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p>
    <w:p>
      <w:pPr>
        <w:widowControl w:val="0"/>
        <w:wordWrap/>
        <w:adjustRightInd w:val="0"/>
        <w:snapToGrid w:val="0"/>
        <w:spacing w:beforeAutospacing="0" w:afterAutospacing="0" w:line="560" w:lineRule="exact"/>
        <w:ind w:left="0" w:leftChars="0" w:right="0" w:firstLine="0" w:firstLineChars="0"/>
        <w:jc w:val="center"/>
        <w:textAlignment w:val="auto"/>
        <w:outlineLvl w:val="9"/>
        <w:rPr>
          <w:rFonts w:hint="eastAsia" w:ascii="宋体" w:hAnsi="宋体" w:eastAsia="方正小标宋简体" w:cs="方正小标宋简体"/>
          <w:color w:val="000000"/>
          <w:sz w:val="36"/>
          <w:szCs w:val="36"/>
          <w:lang w:eastAsia="zh-CN"/>
        </w:rPr>
      </w:pPr>
    </w:p>
    <w:p>
      <w:pPr>
        <w:pStyle w:val="44"/>
        <w:wordWrap/>
        <w:spacing w:line="560" w:lineRule="exact"/>
        <w:jc w:val="center"/>
        <w:textAlignment w:val="auto"/>
        <w:rPr>
          <w:rFonts w:hint="eastAsia" w:ascii="宋体" w:hAnsi="宋体" w:eastAsia="方正小标宋简体" w:cs="方正小标宋简体"/>
          <w:color w:val="000000"/>
          <w:w w:val="95"/>
          <w:kern w:val="2"/>
          <w:sz w:val="44"/>
          <w:szCs w:val="44"/>
          <w:lang w:val="en-US" w:eastAsia="zh-CN" w:bidi="ar-SA"/>
        </w:rPr>
      </w:pPr>
      <w:r>
        <w:rPr>
          <w:rFonts w:hint="eastAsia" w:ascii="宋体" w:hAnsi="宋体" w:eastAsia="方正小标宋简体" w:cs="方正小标宋简体"/>
          <w:color w:val="000000"/>
          <w:w w:val="95"/>
          <w:kern w:val="2"/>
          <w:sz w:val="44"/>
          <w:szCs w:val="44"/>
          <w:lang w:val="en-US" w:eastAsia="zh-CN" w:bidi="ar-SA"/>
        </w:rPr>
        <w:t>广东省新型冠状病毒肺炎疫情防控工作</w:t>
      </w:r>
    </w:p>
    <w:p>
      <w:pPr>
        <w:pStyle w:val="44"/>
        <w:widowControl w:val="0"/>
        <w:wordWrap/>
        <w:adjustRightInd/>
        <w:snapToGrid/>
        <w:spacing w:line="560" w:lineRule="exact"/>
        <w:ind w:left="0" w:leftChars="0" w:right="0" w:firstLine="0" w:firstLineChars="0"/>
        <w:jc w:val="center"/>
        <w:textAlignment w:val="auto"/>
        <w:outlineLvl w:val="9"/>
        <w:rPr>
          <w:rFonts w:hint="eastAsia" w:ascii="宋体" w:hAnsi="宋体" w:eastAsia="方正小标宋简体" w:cs="方正小标宋简体"/>
          <w:color w:val="000000"/>
          <w:kern w:val="2"/>
          <w:sz w:val="52"/>
          <w:szCs w:val="52"/>
          <w:lang w:val="en-US" w:eastAsia="zh-CN" w:bidi="ar-SA"/>
        </w:rPr>
      </w:pPr>
    </w:p>
    <w:p>
      <w:pPr>
        <w:pStyle w:val="44"/>
        <w:widowControl w:val="0"/>
        <w:wordWrap/>
        <w:adjustRightInd/>
        <w:snapToGrid/>
        <w:spacing w:line="560" w:lineRule="exact"/>
        <w:ind w:left="0" w:leftChars="0" w:right="0" w:firstLine="0" w:firstLineChars="0"/>
        <w:jc w:val="center"/>
        <w:textAlignment w:val="auto"/>
        <w:outlineLvl w:val="9"/>
        <w:rPr>
          <w:rFonts w:hint="eastAsia" w:ascii="宋体" w:hAnsi="宋体" w:eastAsia="方正小标宋简体" w:cs="方正小标宋简体"/>
          <w:color w:val="000000"/>
          <w:kern w:val="2"/>
          <w:sz w:val="52"/>
          <w:szCs w:val="52"/>
          <w:lang w:val="en-US" w:eastAsia="zh-CN" w:bidi="ar-SA"/>
        </w:rPr>
      </w:pPr>
      <w:r>
        <w:rPr>
          <w:rFonts w:hint="eastAsia" w:ascii="宋体" w:hAnsi="宋体" w:eastAsia="方正小标宋简体" w:cs="方正小标宋简体"/>
          <w:color w:val="000000"/>
          <w:kern w:val="2"/>
          <w:sz w:val="52"/>
          <w:szCs w:val="52"/>
          <w:lang w:val="en-US" w:eastAsia="zh-CN" w:bidi="ar-SA"/>
        </w:rPr>
        <w:t>法 律 法 规 汇 编</w:t>
      </w:r>
    </w:p>
    <w:p>
      <w:pPr>
        <w:pStyle w:val="44"/>
        <w:wordWrap/>
        <w:spacing w:line="560" w:lineRule="exact"/>
        <w:textAlignment w:val="auto"/>
        <w:rPr>
          <w:rFonts w:hint="eastAsia" w:ascii="方正小标宋简体" w:hAnsi="方正小标宋简体" w:eastAsia="方正小标宋简体"/>
          <w:sz w:val="52"/>
        </w:rPr>
      </w:pPr>
    </w:p>
    <w:p>
      <w:pPr>
        <w:pStyle w:val="44"/>
        <w:wordWrap/>
        <w:spacing w:line="560" w:lineRule="exact"/>
        <w:jc w:val="center"/>
        <w:textAlignment w:val="auto"/>
        <w:rPr>
          <w:rFonts w:hint="eastAsia" w:ascii="宋体" w:hAnsi="宋体" w:eastAsia="方正小标宋简体" w:cs="方正小标宋简体"/>
          <w:color w:val="000000"/>
          <w:w w:val="95"/>
          <w:kern w:val="2"/>
          <w:sz w:val="32"/>
          <w:szCs w:val="32"/>
          <w:lang w:val="en-US" w:eastAsia="zh-CN" w:bidi="ar-SA"/>
        </w:rPr>
      </w:pPr>
      <w:r>
        <w:rPr>
          <w:rFonts w:hint="eastAsia" w:ascii="宋体" w:hAnsi="宋体" w:eastAsia="方正小标宋简体" w:cs="方正小标宋简体"/>
          <w:color w:val="000000"/>
          <w:w w:val="95"/>
          <w:kern w:val="2"/>
          <w:sz w:val="32"/>
          <w:szCs w:val="32"/>
          <w:lang w:val="en-US" w:eastAsia="zh-CN" w:bidi="ar-SA"/>
        </w:rPr>
        <w:t>（第 四 版）</w:t>
      </w:r>
    </w:p>
    <w:p>
      <w:pPr>
        <w:pStyle w:val="44"/>
        <w:wordWrap/>
        <w:spacing w:line="560" w:lineRule="exact"/>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r>
        <w:rPr>
          <w:rFonts w:hint="eastAsia" w:ascii="楷体_GB2312" w:hAnsi="楷体_GB2312" w:eastAsia="楷体_GB2312"/>
          <w:b/>
          <w:bCs/>
          <w:sz w:val="36"/>
          <w:lang w:eastAsia="zh-CN"/>
        </w:rPr>
        <w:t>省人大法制委员会</w:t>
      </w:r>
    </w:p>
    <w:p>
      <w:pPr>
        <w:pStyle w:val="44"/>
        <w:widowControl w:val="0"/>
        <w:wordWrap/>
        <w:adjustRightInd/>
        <w:snapToGrid/>
        <w:spacing w:line="560" w:lineRule="exact"/>
        <w:ind w:left="0" w:leftChars="0" w:firstLine="0" w:firstLineChars="0"/>
        <w:jc w:val="center"/>
        <w:textAlignment w:val="auto"/>
        <w:outlineLvl w:val="9"/>
        <w:rPr>
          <w:rFonts w:hint="eastAsia" w:ascii="楷体_GB2312" w:hAnsi="楷体_GB2312" w:eastAsia="楷体_GB2312"/>
          <w:b/>
          <w:bCs/>
          <w:sz w:val="36"/>
          <w:lang w:eastAsia="zh-CN"/>
        </w:rPr>
      </w:pPr>
      <w:r>
        <w:rPr>
          <w:rFonts w:hint="eastAsia" w:ascii="楷体_GB2312" w:hAnsi="楷体_GB2312" w:eastAsia="楷体_GB2312"/>
          <w:b/>
          <w:bCs/>
          <w:sz w:val="36"/>
        </w:rPr>
        <w:t>省人大常委会</w:t>
      </w:r>
      <w:r>
        <w:rPr>
          <w:rFonts w:hint="eastAsia" w:ascii="楷体_GB2312" w:hAnsi="楷体_GB2312" w:eastAsia="楷体_GB2312"/>
          <w:b/>
          <w:bCs/>
          <w:sz w:val="36"/>
          <w:lang w:eastAsia="zh-CN"/>
        </w:rPr>
        <w:t>法制工作委员会</w:t>
      </w:r>
    </w:p>
    <w:p>
      <w:pPr>
        <w:pStyle w:val="44"/>
        <w:widowControl w:val="0"/>
        <w:wordWrap/>
        <w:adjustRightInd/>
        <w:snapToGrid/>
        <w:spacing w:line="560" w:lineRule="exact"/>
        <w:ind w:left="0" w:leftChars="0" w:right="0" w:firstLine="0" w:firstLineChars="0"/>
        <w:jc w:val="center"/>
        <w:textAlignment w:val="auto"/>
        <w:outlineLvl w:val="9"/>
        <w:rPr>
          <w:rFonts w:hint="eastAsia" w:ascii="宋体" w:hAnsi="宋体" w:eastAsia="楷体_GB2312"/>
          <w:b/>
          <w:bCs/>
          <w:sz w:val="36"/>
          <w:lang w:val="en-US" w:eastAsia="zh-CN"/>
        </w:rPr>
      </w:pPr>
      <w:r>
        <w:rPr>
          <w:rFonts w:hint="eastAsia" w:ascii="宋体" w:hAnsi="宋体" w:eastAsia="楷体_GB2312"/>
          <w:b/>
          <w:bCs/>
          <w:sz w:val="36"/>
          <w:lang w:val="en-US" w:eastAsia="zh-CN"/>
        </w:rPr>
        <w:t>2021年6月</w:t>
      </w:r>
    </w:p>
    <w:p>
      <w:pPr>
        <w:pStyle w:val="44"/>
        <w:widowControl w:val="0"/>
        <w:wordWrap/>
        <w:adjustRightInd/>
        <w:snapToGrid/>
        <w:spacing w:line="560" w:lineRule="exact"/>
        <w:ind w:left="0" w:leftChars="0" w:right="0" w:firstLine="0" w:firstLineChars="0"/>
        <w:jc w:val="center"/>
        <w:textAlignment w:val="auto"/>
        <w:outlineLvl w:val="9"/>
        <w:rPr>
          <w:rFonts w:hint="eastAsia" w:ascii="宋体" w:hAnsi="宋体" w:eastAsia="楷体_GB2312"/>
          <w:b/>
          <w:bCs/>
          <w:sz w:val="36"/>
          <w:lang w:val="en-US" w:eastAsia="zh-CN"/>
        </w:rPr>
      </w:pPr>
    </w:p>
    <w:p>
      <w:pPr>
        <w:widowControl w:val="0"/>
        <w:wordWrap/>
        <w:overflowPunct w:val="0"/>
        <w:adjustRightInd w:val="0"/>
        <w:snapToGrid/>
        <w:spacing w:line="590" w:lineRule="exact"/>
        <w:ind w:left="0" w:leftChars="0" w:right="0"/>
        <w:jc w:val="center"/>
        <w:textAlignment w:val="auto"/>
        <w:outlineLvl w:val="9"/>
        <w:rPr>
          <w:rFonts w:hint="eastAsia" w:ascii="宋体" w:hAnsi="宋体" w:eastAsia="方正小标宋简体" w:cs="方正小标宋简体"/>
          <w:spacing w:val="0"/>
          <w:sz w:val="42"/>
          <w:szCs w:val="42"/>
          <w:lang w:val="en-US" w:eastAsia="zh-CN"/>
        </w:rPr>
      </w:pPr>
      <w:r>
        <w:rPr>
          <w:rFonts w:hint="eastAsia" w:ascii="宋体" w:hAnsi="宋体" w:eastAsia="方正小标宋简体" w:cs="方正小标宋简体"/>
          <w:spacing w:val="0"/>
          <w:sz w:val="42"/>
          <w:szCs w:val="42"/>
          <w:lang w:val="en-US" w:eastAsia="zh-CN"/>
        </w:rPr>
        <w:br w:type="page"/>
      </w:r>
    </w:p>
    <w:p>
      <w:pPr>
        <w:widowControl w:val="0"/>
        <w:wordWrap/>
        <w:overflowPunct w:val="0"/>
        <w:adjustRightInd w:val="0"/>
        <w:snapToGrid/>
        <w:spacing w:line="590" w:lineRule="exact"/>
        <w:ind w:left="0" w:leftChars="0" w:right="0"/>
        <w:jc w:val="center"/>
        <w:textAlignment w:val="auto"/>
        <w:outlineLvl w:val="9"/>
        <w:rPr>
          <w:rFonts w:hint="eastAsia" w:ascii="楷体_GB2312" w:hAnsi="楷体_GB2312" w:eastAsia="楷体_GB2312" w:cs="楷体_GB2312"/>
          <w:sz w:val="32"/>
          <w:szCs w:val="32"/>
          <w:lang w:val="en-US" w:eastAsia="zh-CN"/>
        </w:rPr>
      </w:pPr>
      <w:r>
        <w:rPr>
          <w:rFonts w:hint="eastAsia" w:ascii="宋体" w:hAnsi="宋体" w:eastAsia="方正小标宋简体" w:cs="方正小标宋简体"/>
          <w:spacing w:val="0"/>
          <w:sz w:val="42"/>
          <w:szCs w:val="42"/>
          <w:lang w:val="en-US" w:eastAsia="zh-CN"/>
        </w:rPr>
        <w:t>说  明</w:t>
      </w:r>
    </w:p>
    <w:p>
      <w:pPr>
        <w:pStyle w:val="7"/>
        <w:rPr>
          <w:rFonts w:hint="eastAsia"/>
          <w:lang w:val="en-US" w:eastAsia="zh-CN"/>
        </w:rPr>
      </w:pPr>
    </w:p>
    <w:p>
      <w:pPr>
        <w:pStyle w:val="18"/>
        <w:widowControl/>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为深入贯彻落实习近平总书记关于疫情防控工作的重要讲话和重要指示精神，</w:t>
      </w:r>
      <w:r>
        <w:rPr>
          <w:rFonts w:hint="eastAsia" w:ascii="仿宋_GB2312" w:hAnsi="仿宋_GB2312" w:eastAsia="仿宋_GB2312" w:cs="仿宋_GB2312"/>
          <w:sz w:val="32"/>
          <w:szCs w:val="32"/>
          <w:lang w:val="en-US" w:eastAsia="zh-CN"/>
        </w:rPr>
        <w:t>保障我省</w:t>
      </w:r>
      <w:r>
        <w:rPr>
          <w:rFonts w:hint="eastAsia" w:ascii="仿宋_GB2312" w:hAnsi="仿宋_GB2312" w:cs="仿宋_GB2312"/>
          <w:sz w:val="32"/>
          <w:szCs w:val="32"/>
          <w:lang w:val="en-US" w:eastAsia="zh-CN"/>
        </w:rPr>
        <w:t>统筹推进</w:t>
      </w:r>
      <w:r>
        <w:rPr>
          <w:rFonts w:hint="eastAsia" w:ascii="仿宋_GB2312" w:hAnsi="仿宋_GB2312" w:eastAsia="仿宋_GB2312" w:cs="仿宋_GB2312"/>
          <w:sz w:val="32"/>
          <w:szCs w:val="32"/>
          <w:lang w:val="en-US" w:eastAsia="zh-CN"/>
        </w:rPr>
        <w:t>疫情防控工作</w:t>
      </w:r>
      <w:r>
        <w:rPr>
          <w:rFonts w:hint="eastAsia" w:ascii="仿宋_GB2312" w:hAnsi="仿宋_GB2312" w:cs="仿宋_GB2312"/>
          <w:sz w:val="32"/>
          <w:szCs w:val="32"/>
          <w:lang w:val="en-US" w:eastAsia="zh-CN"/>
        </w:rPr>
        <w:t>和经济社会发展</w:t>
      </w:r>
      <w:r>
        <w:rPr>
          <w:rFonts w:hint="eastAsia" w:ascii="仿宋_GB2312" w:hAnsi="仿宋_GB2312" w:eastAsia="仿宋_GB2312" w:cs="仿宋_GB2312"/>
          <w:sz w:val="32"/>
          <w:szCs w:val="32"/>
          <w:lang w:val="en-US" w:eastAsia="zh-CN"/>
        </w:rPr>
        <w:t>依法科学有序开展，</w:t>
      </w:r>
      <w:r>
        <w:rPr>
          <w:rFonts w:hint="eastAsia" w:ascii="仿宋_GB2312" w:hAnsi="仿宋_GB2312" w:eastAsia="仿宋_GB2312" w:cs="仿宋_GB2312"/>
          <w:kern w:val="2"/>
          <w:sz w:val="32"/>
          <w:szCs w:val="32"/>
          <w:lang w:val="en-US" w:eastAsia="zh-CN" w:bidi="ar-SA"/>
        </w:rPr>
        <w:t>省人大常委会</w:t>
      </w:r>
      <w:r>
        <w:rPr>
          <w:rFonts w:hint="eastAsia" w:ascii="仿宋_GB2312" w:hAnsi="仿宋_GB2312" w:cs="仿宋_GB2312"/>
          <w:sz w:val="32"/>
          <w:szCs w:val="32"/>
          <w:lang w:val="en-US" w:eastAsia="zh-CN"/>
        </w:rPr>
        <w:t>先后</w:t>
      </w:r>
      <w:r>
        <w:rPr>
          <w:rFonts w:hint="eastAsia" w:ascii="仿宋_GB2312" w:hAnsi="仿宋_GB2312" w:cs="仿宋_GB2312"/>
          <w:kern w:val="2"/>
          <w:sz w:val="32"/>
          <w:szCs w:val="32"/>
          <w:lang w:val="en-US" w:eastAsia="zh-CN" w:bidi="ar-SA"/>
        </w:rPr>
        <w:t>于</w:t>
      </w:r>
      <w:r>
        <w:rPr>
          <w:rFonts w:hint="eastAsia" w:ascii="宋体" w:hAnsi="宋体" w:eastAsia="宋体" w:cs="宋体"/>
          <w:sz w:val="32"/>
          <w:szCs w:val="32"/>
          <w:lang w:val="en-US" w:eastAsia="zh-CN"/>
        </w:rPr>
        <w:t>2020</w:t>
      </w:r>
      <w:r>
        <w:rPr>
          <w:rFonts w:hint="eastAsia" w:ascii="仿宋_GB2312" w:hAnsi="仿宋_GB2312" w:eastAsia="仿宋_GB2312" w:cs="仿宋_GB2312"/>
          <w:sz w:val="32"/>
          <w:szCs w:val="32"/>
          <w:lang w:val="en-US" w:eastAsia="zh-CN"/>
        </w:rPr>
        <w:t>年</w:t>
      </w:r>
      <w:r>
        <w:rPr>
          <w:rFonts w:hint="eastAsia" w:ascii="宋体" w:hAnsi="宋体" w:eastAsia="宋体" w:cs="宋体"/>
          <w:sz w:val="32"/>
          <w:szCs w:val="32"/>
          <w:lang w:val="en-US" w:eastAsia="zh-CN"/>
        </w:rPr>
        <w:t>1</w:t>
      </w:r>
      <w:r>
        <w:rPr>
          <w:rFonts w:hint="eastAsia" w:ascii="仿宋_GB2312" w:hAnsi="仿宋_GB2312" w:eastAsia="仿宋_GB2312" w:cs="仿宋_GB2312"/>
          <w:sz w:val="32"/>
          <w:szCs w:val="32"/>
          <w:lang w:val="en-US" w:eastAsia="zh-CN"/>
        </w:rPr>
        <w:t>月</w:t>
      </w:r>
      <w:r>
        <w:rPr>
          <w:rFonts w:hint="eastAsia" w:ascii="宋体" w:hAnsi="宋体" w:eastAsia="宋体" w:cs="宋体"/>
          <w:sz w:val="32"/>
          <w:szCs w:val="32"/>
          <w:lang w:val="en-US" w:eastAsia="zh-CN"/>
        </w:rPr>
        <w:t>31</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w:t>
      </w:r>
      <w:r>
        <w:rPr>
          <w:rFonts w:hint="eastAsia" w:ascii="宋体" w:hAnsi="宋体" w:eastAsia="宋体" w:cs="宋体"/>
          <w:sz w:val="32"/>
          <w:szCs w:val="32"/>
          <w:lang w:val="en-US" w:eastAsia="zh-CN"/>
        </w:rPr>
        <w:t>2</w:t>
      </w:r>
      <w:r>
        <w:rPr>
          <w:rFonts w:hint="eastAsia" w:ascii="仿宋_GB2312" w:hAnsi="仿宋_GB2312" w:cs="仿宋_GB2312"/>
          <w:sz w:val="32"/>
          <w:szCs w:val="32"/>
          <w:lang w:val="en-US" w:eastAsia="zh-CN"/>
        </w:rPr>
        <w:t>月</w:t>
      </w:r>
      <w:r>
        <w:rPr>
          <w:rFonts w:hint="eastAsia" w:ascii="宋体" w:hAnsi="宋体" w:eastAsia="宋体" w:cs="宋体"/>
          <w:sz w:val="32"/>
          <w:szCs w:val="32"/>
          <w:lang w:val="en-US" w:eastAsia="zh-CN"/>
        </w:rPr>
        <w:t>17</w:t>
      </w:r>
      <w:r>
        <w:rPr>
          <w:rFonts w:hint="eastAsia" w:ascii="仿宋_GB2312" w:hAnsi="仿宋_GB2312" w:cs="仿宋_GB2312"/>
          <w:sz w:val="32"/>
          <w:szCs w:val="32"/>
          <w:lang w:val="en-US" w:eastAsia="zh-CN"/>
        </w:rPr>
        <w:t>日、</w:t>
      </w:r>
      <w:r>
        <w:rPr>
          <w:rFonts w:hint="eastAsia" w:ascii="宋体" w:hAnsi="宋体" w:eastAsia="宋体" w:cs="宋体"/>
          <w:sz w:val="32"/>
          <w:szCs w:val="32"/>
          <w:lang w:val="en-US" w:eastAsia="zh-CN"/>
        </w:rPr>
        <w:t>4</w:t>
      </w:r>
      <w:r>
        <w:rPr>
          <w:rFonts w:hint="eastAsia" w:ascii="仿宋_GB2312" w:hAnsi="仿宋_GB2312" w:cs="仿宋_GB2312"/>
          <w:sz w:val="32"/>
          <w:szCs w:val="32"/>
          <w:lang w:val="en-US" w:eastAsia="zh-CN"/>
        </w:rPr>
        <w:t>月</w:t>
      </w:r>
      <w:r>
        <w:rPr>
          <w:rFonts w:hint="eastAsia" w:ascii="宋体" w:hAnsi="宋体" w:eastAsia="宋体" w:cs="宋体"/>
          <w:sz w:val="32"/>
          <w:szCs w:val="32"/>
          <w:lang w:val="en-US" w:eastAsia="zh-CN"/>
        </w:rPr>
        <w:t>13</w:t>
      </w:r>
      <w:r>
        <w:rPr>
          <w:rFonts w:hint="eastAsia" w:ascii="仿宋_GB2312" w:hAnsi="仿宋_GB2312" w:cs="仿宋_GB2312"/>
          <w:sz w:val="32"/>
          <w:szCs w:val="32"/>
          <w:lang w:val="en-US" w:eastAsia="zh-CN"/>
        </w:rPr>
        <w:t>日组织</w:t>
      </w:r>
      <w:r>
        <w:rPr>
          <w:rFonts w:hint="eastAsia" w:ascii="仿宋_GB2312" w:hAnsi="仿宋_GB2312" w:eastAsia="仿宋_GB2312" w:cs="仿宋_GB2312"/>
          <w:kern w:val="2"/>
          <w:sz w:val="32"/>
          <w:szCs w:val="32"/>
          <w:lang w:val="en-US" w:eastAsia="zh-CN" w:bidi="ar-SA"/>
        </w:rPr>
        <w:t>编纂发布了</w:t>
      </w:r>
      <w:r>
        <w:rPr>
          <w:rFonts w:hint="eastAsia" w:ascii="仿宋_GB2312" w:hAnsi="仿宋_GB2312" w:eastAsia="仿宋_GB2312" w:cs="仿宋_GB2312"/>
          <w:sz w:val="32"/>
          <w:szCs w:val="32"/>
          <w:lang w:val="en-US" w:eastAsia="zh-CN"/>
        </w:rPr>
        <w:t>《广东省新型冠状病毒肺炎疫情防控</w:t>
      </w:r>
      <w:r>
        <w:rPr>
          <w:rFonts w:hint="eastAsia" w:ascii="仿宋_GB2312" w:hAnsi="仿宋_GB2312" w:cs="仿宋_GB2312"/>
          <w:sz w:val="32"/>
          <w:szCs w:val="32"/>
          <w:lang w:val="en-US" w:eastAsia="zh-CN"/>
        </w:rPr>
        <w:t>工作</w:t>
      </w:r>
      <w:r>
        <w:rPr>
          <w:rFonts w:hint="eastAsia" w:ascii="仿宋_GB2312" w:hAnsi="仿宋_GB2312" w:eastAsia="仿宋_GB2312" w:cs="仿宋_GB2312"/>
          <w:sz w:val="32"/>
          <w:szCs w:val="32"/>
          <w:lang w:val="en-US" w:eastAsia="zh-CN"/>
        </w:rPr>
        <w:t>法律法规汇编》</w:t>
      </w:r>
      <w:r>
        <w:rPr>
          <w:rFonts w:hint="eastAsia" w:ascii="仿宋_GB2312" w:hAnsi="仿宋_GB2312" w:cs="仿宋_GB2312"/>
          <w:sz w:val="32"/>
          <w:szCs w:val="32"/>
          <w:lang w:val="en-US" w:eastAsia="zh-CN"/>
        </w:rPr>
        <w:t>第一版、第二版和</w:t>
      </w:r>
      <w:r>
        <w:rPr>
          <w:rFonts w:hint="eastAsia" w:ascii="仿宋_GB2312" w:hAnsi="仿宋_GB2312" w:eastAsia="仿宋_GB2312" w:cs="仿宋_GB2312"/>
          <w:sz w:val="32"/>
          <w:szCs w:val="32"/>
          <w:lang w:val="en-US" w:eastAsia="zh-CN"/>
        </w:rPr>
        <w:t>第</w:t>
      </w:r>
      <w:r>
        <w:rPr>
          <w:rFonts w:hint="eastAsia" w:ascii="仿宋_GB2312" w:hAnsi="仿宋_GB2312" w:cs="仿宋_GB2312"/>
          <w:sz w:val="32"/>
          <w:szCs w:val="32"/>
          <w:lang w:val="en-US" w:eastAsia="zh-CN"/>
        </w:rPr>
        <w:t>三</w:t>
      </w:r>
      <w:r>
        <w:rPr>
          <w:rFonts w:hint="eastAsia" w:ascii="仿宋_GB2312" w:hAnsi="仿宋_GB2312" w:eastAsia="仿宋_GB2312" w:cs="仿宋_GB2312"/>
          <w:sz w:val="32"/>
          <w:szCs w:val="32"/>
          <w:lang w:val="en-US" w:eastAsia="zh-CN"/>
        </w:rPr>
        <w:t>版。</w:t>
      </w:r>
      <w:r>
        <w:rPr>
          <w:rFonts w:hint="eastAsia" w:ascii="仿宋_GB2312" w:hAnsi="仿宋_GB2312" w:eastAsia="仿宋_GB2312" w:cs="仿宋_GB2312"/>
          <w:kern w:val="2"/>
          <w:sz w:val="32"/>
          <w:szCs w:val="32"/>
          <w:lang w:val="en-US" w:eastAsia="zh-CN" w:bidi="ar-SA"/>
        </w:rPr>
        <w:t>近</w:t>
      </w:r>
      <w:r>
        <w:rPr>
          <w:rFonts w:hint="eastAsia" w:ascii="仿宋_GB2312" w:hAnsi="仿宋_GB2312" w:cs="仿宋_GB2312"/>
          <w:kern w:val="2"/>
          <w:sz w:val="32"/>
          <w:szCs w:val="32"/>
          <w:lang w:val="en-US" w:eastAsia="zh-CN" w:bidi="ar-SA"/>
        </w:rPr>
        <w:t>期，我们</w:t>
      </w:r>
      <w:r>
        <w:rPr>
          <w:rFonts w:hint="eastAsia" w:ascii="仿宋_GB2312" w:hAnsi="仿宋_GB2312" w:eastAsia="仿宋_GB2312" w:cs="仿宋_GB2312"/>
          <w:sz w:val="32"/>
          <w:szCs w:val="32"/>
          <w:lang w:val="en-US" w:eastAsia="zh-CN"/>
        </w:rPr>
        <w:t>进一步梳理疫情防控有关法律法规</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sz w:val="32"/>
          <w:szCs w:val="32"/>
          <w:lang w:val="en-US" w:eastAsia="zh-CN"/>
        </w:rPr>
        <w:t>在第</w:t>
      </w:r>
      <w:r>
        <w:rPr>
          <w:rFonts w:hint="eastAsia" w:ascii="仿宋_GB2312" w:hAnsi="仿宋_GB2312" w:cs="仿宋_GB2312"/>
          <w:sz w:val="32"/>
          <w:szCs w:val="32"/>
          <w:lang w:val="en-US" w:eastAsia="zh-CN"/>
        </w:rPr>
        <w:t>三</w:t>
      </w:r>
      <w:r>
        <w:rPr>
          <w:rFonts w:hint="eastAsia" w:ascii="仿宋_GB2312" w:hAnsi="仿宋_GB2312" w:eastAsia="仿宋_GB2312" w:cs="仿宋_GB2312"/>
          <w:sz w:val="32"/>
          <w:szCs w:val="32"/>
          <w:lang w:val="en-US" w:eastAsia="zh-CN"/>
        </w:rPr>
        <w:t>版基础上</w:t>
      </w:r>
      <w:r>
        <w:rPr>
          <w:rFonts w:hint="eastAsia" w:ascii="仿宋_GB2312" w:hAnsi="仿宋_GB2312" w:cs="仿宋_GB2312"/>
          <w:sz w:val="32"/>
          <w:szCs w:val="32"/>
          <w:lang w:val="en-US" w:eastAsia="zh-CN"/>
        </w:rPr>
        <w:t>进一步</w:t>
      </w:r>
      <w:r>
        <w:rPr>
          <w:rFonts w:hint="eastAsia" w:ascii="仿宋_GB2312" w:hAnsi="仿宋_GB2312" w:eastAsia="仿宋_GB2312" w:cs="仿宋_GB2312"/>
          <w:sz w:val="32"/>
          <w:szCs w:val="32"/>
          <w:lang w:val="en-US" w:eastAsia="zh-CN"/>
        </w:rPr>
        <w:t>作了补充完善，</w:t>
      </w:r>
      <w:r>
        <w:rPr>
          <w:rFonts w:hint="eastAsia" w:ascii="仿宋_GB2312" w:hAnsi="仿宋_GB2312" w:cs="仿宋_GB2312"/>
          <w:sz w:val="32"/>
          <w:szCs w:val="32"/>
          <w:lang w:val="en-US" w:eastAsia="zh-CN"/>
        </w:rPr>
        <w:t>更新了已修改的《刑法》《野生动物保护法》《固体废物污染环境保护法》《行政处罚法》、</w:t>
      </w:r>
      <w:r>
        <w:rPr>
          <w:rFonts w:hint="eastAsia" w:ascii="仿宋_GB2312" w:hAnsi="仿宋_GB2312" w:eastAsia="仿宋_GB2312" w:cs="仿宋_GB2312"/>
          <w:sz w:val="32"/>
          <w:szCs w:val="32"/>
          <w:lang w:val="en-US" w:eastAsia="zh-CN"/>
        </w:rPr>
        <w:t>增加了</w:t>
      </w:r>
      <w:r>
        <w:rPr>
          <w:rFonts w:hint="eastAsia" w:ascii="仿宋_GB2312" w:hAnsi="仿宋_GB2312" w:cs="仿宋_GB2312"/>
          <w:sz w:val="32"/>
          <w:szCs w:val="32"/>
          <w:lang w:val="en-US" w:eastAsia="zh-CN"/>
        </w:rPr>
        <w:t>新制定的《反食品浪费法</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出口</w:t>
      </w:r>
      <w:r>
        <w:rPr>
          <w:rFonts w:hint="eastAsia" w:ascii="仿宋_GB2312" w:hAnsi="仿宋_GB2312" w:eastAsia="仿宋_GB2312" w:cs="仿宋_GB2312"/>
          <w:sz w:val="32"/>
          <w:szCs w:val="32"/>
          <w:lang w:val="en-US" w:eastAsia="zh-CN"/>
        </w:rPr>
        <w:t>管制法》《广东省人民代表大会常务委员会关于制止餐饮浪费的决定》</w:t>
      </w:r>
      <w:r>
        <w:rPr>
          <w:rFonts w:hint="eastAsia" w:ascii="仿宋_GB2312" w:hAnsi="仿宋_GB2312" w:eastAsia="仿宋_GB2312" w:cs="仿宋_GB2312"/>
          <w:b w:val="0"/>
          <w:i w:val="0"/>
          <w:color w:val="000000"/>
          <w:sz w:val="32"/>
          <w:szCs w:val="32"/>
          <w:lang w:eastAsia="zh-CN"/>
        </w:rPr>
        <w:t>《</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_GB2312" w:hAnsi="仿宋_GB2312" w:eastAsia="仿宋_GB2312" w:cs="仿宋_GB2312"/>
          <w:kern w:val="2"/>
          <w:sz w:val="32"/>
          <w:szCs w:val="44"/>
          <w:lang w:val="en-US" w:eastAsia="zh-CN" w:bidi="ar-SA"/>
        </w:rPr>
        <w:t>关于进一步做好冷链食品追溯管理工作的通知</w:t>
      </w:r>
      <w:r>
        <w:rPr>
          <w:rFonts w:hint="eastAsia" w:ascii="仿宋_GB2312" w:hAnsi="仿宋_GB2312" w:eastAsia="仿宋_GB2312" w:cs="仿宋_GB2312"/>
          <w:b w:val="0"/>
          <w:i w:val="0"/>
          <w:color w:val="000000"/>
          <w:sz w:val="32"/>
          <w:szCs w:val="32"/>
          <w:lang w:val="en-US" w:eastAsia="zh-CN"/>
        </w:rPr>
        <w:t xml:space="preserve"> </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_GB2312" w:hAnsi="仿宋_GB2312" w:eastAsia="仿宋_GB2312" w:cs="仿宋_GB2312"/>
          <w:b w:val="0"/>
          <w:bCs w:val="0"/>
          <w:kern w:val="2"/>
          <w:sz w:val="32"/>
          <w:szCs w:val="44"/>
          <w:lang w:val="en-US" w:eastAsia="zh-CN" w:bidi="ar-SA"/>
        </w:rPr>
        <w:t>关于印发全员新型冠状病毒核酸检测组织实施指南的通知</w:t>
      </w:r>
      <w:r>
        <w:rPr>
          <w:rFonts w:hint="eastAsia" w:ascii="仿宋_GB2312" w:hAnsi="仿宋_GB2312" w:eastAsia="仿宋_GB2312" w:cs="仿宋_GB2312"/>
          <w:sz w:val="32"/>
          <w:szCs w:val="32"/>
          <w:lang w:val="en-US" w:eastAsia="zh-CN"/>
        </w:rPr>
        <w:t>》等有关法律法规规章规范性文件</w:t>
      </w:r>
      <w:r>
        <w:rPr>
          <w:rFonts w:hint="eastAsia" w:ascii="宋体" w:hAnsi="宋体" w:eastAsia="宋体" w:cs="宋体"/>
          <w:sz w:val="32"/>
          <w:szCs w:val="32"/>
          <w:lang w:val="en-US" w:eastAsia="zh-CN"/>
        </w:rPr>
        <w:t>24</w:t>
      </w:r>
      <w:r>
        <w:rPr>
          <w:rFonts w:hint="eastAsia" w:ascii="仿宋_GB2312" w:hAnsi="仿宋_GB2312" w:eastAsia="仿宋_GB2312" w:cs="仿宋_GB2312"/>
          <w:sz w:val="32"/>
          <w:szCs w:val="32"/>
          <w:lang w:val="en-US" w:eastAsia="zh-CN"/>
        </w:rPr>
        <w:t>部，删减了已废止失效的《民法总则》《合同法》《物权法》《侵权责任法》《广东省政务公开条例》等</w:t>
      </w:r>
      <w:r>
        <w:rPr>
          <w:rFonts w:hint="eastAsia" w:ascii="宋体" w:hAnsi="宋体" w:eastAsia="宋体" w:cs="宋体"/>
          <w:sz w:val="32"/>
          <w:szCs w:val="32"/>
          <w:lang w:val="en-US" w:eastAsia="zh-CN"/>
        </w:rPr>
        <w:t>5</w:t>
      </w:r>
      <w:r>
        <w:rPr>
          <w:rFonts w:hint="eastAsia" w:ascii="仿宋_GB2312" w:hAnsi="仿宋_GB2312" w:eastAsia="仿宋_GB2312" w:cs="仿宋_GB2312"/>
          <w:sz w:val="32"/>
          <w:szCs w:val="32"/>
          <w:lang w:val="en-US" w:eastAsia="zh-CN"/>
        </w:rPr>
        <w:t>部法律法规，合共收录</w:t>
      </w:r>
      <w:r>
        <w:rPr>
          <w:rFonts w:hint="eastAsia" w:ascii="宋体" w:hAnsi="宋体" w:eastAsia="宋体" w:cs="宋体"/>
          <w:sz w:val="32"/>
          <w:szCs w:val="32"/>
          <w:lang w:val="en-US" w:eastAsia="zh-CN"/>
        </w:rPr>
        <w:t>189</w:t>
      </w:r>
      <w:r>
        <w:rPr>
          <w:rFonts w:hint="eastAsia" w:ascii="仿宋_GB2312" w:hAnsi="仿宋_GB2312" w:eastAsia="仿宋_GB2312" w:cs="仿宋_GB2312"/>
          <w:sz w:val="32"/>
          <w:szCs w:val="32"/>
          <w:lang w:val="en-US" w:eastAsia="zh-CN"/>
        </w:rPr>
        <w:t>部，形成了汇编第四版，现予发布</w:t>
      </w:r>
      <w:r>
        <w:rPr>
          <w:rFonts w:hint="eastAsia" w:ascii="仿宋_GB2312" w:hAnsi="仿宋_GB2312" w:eastAsia="仿宋_GB2312" w:cs="仿宋_GB2312"/>
          <w:kern w:val="2"/>
          <w:sz w:val="32"/>
          <w:szCs w:val="32"/>
          <w:lang w:val="en-US" w:eastAsia="zh-CN" w:bidi="ar-SA"/>
        </w:rPr>
        <w:t>。由于编纂时间紧、工作人员能力水平有限，本版亦难免还存在不足。欢迎人大代表和各界人士提出宝贵意见。</w:t>
      </w:r>
    </w:p>
    <w:p>
      <w:pPr>
        <w:widowControl/>
        <w:spacing w:beforeLines="0" w:afterLines="0" w:line="560" w:lineRule="exact"/>
        <w:ind w:left="120" w:firstLine="640" w:firstLineChars="200"/>
        <w:jc w:val="left"/>
        <w:rPr>
          <w:rFonts w:hint="eastAsia" w:ascii="宋体" w:hAnsi="宋体" w:eastAsia="宋体" w:cs="宋体"/>
          <w:b w:val="0"/>
          <w:i w:val="0"/>
          <w:color w:val="000000"/>
          <w:sz w:val="28"/>
          <w:szCs w:val="28"/>
          <w:u w:val="none"/>
        </w:rPr>
      </w:pPr>
      <w:r>
        <w:rPr>
          <w:rFonts w:hint="eastAsia" w:ascii="仿宋_GB2312" w:hAnsi="仿宋_GB2312" w:cs="仿宋_GB2312"/>
          <w:kern w:val="0"/>
          <w:sz w:val="32"/>
          <w:szCs w:val="32"/>
          <w:lang w:val="en-US" w:eastAsia="zh-CN"/>
        </w:rPr>
        <w:t>本汇编的WPS格式文档，可于</w:t>
      </w:r>
      <w:r>
        <w:rPr>
          <w:rFonts w:hint="eastAsia" w:ascii="仿宋_GB2312" w:hAnsi="仿宋_GB2312" w:eastAsia="仿宋_GB2312" w:cs="仿宋_GB2312"/>
          <w:kern w:val="0"/>
          <w:sz w:val="32"/>
          <w:szCs w:val="32"/>
          <w:lang w:val="en-US" w:eastAsia="zh-CN"/>
        </w:rPr>
        <w:t>电子邮箱</w:t>
      </w:r>
      <w:r>
        <w:rPr>
          <w:rFonts w:hint="eastAsia" w:ascii="仿宋_GB2312" w:hAnsi="仿宋_GB2312" w:eastAsia="仿宋_GB2312" w:cs="仿宋_GB2312"/>
          <w:b w:val="0"/>
          <w:i w:val="0"/>
          <w:color w:val="000000"/>
          <w:kern w:val="0"/>
          <w:sz w:val="32"/>
          <w:szCs w:val="32"/>
          <w:u w:val="none"/>
          <w:lang w:val="en-US" w:eastAsia="zh-CN"/>
        </w:rPr>
        <w:t>fgwbgk@gdrd.cn</w:t>
      </w:r>
      <w:r>
        <w:rPr>
          <w:rFonts w:hint="eastAsia" w:ascii="仿宋_GB2312" w:hAnsi="仿宋_GB2312" w:cs="仿宋_GB2312"/>
          <w:kern w:val="0"/>
          <w:sz w:val="32"/>
          <w:szCs w:val="32"/>
          <w:lang w:val="en-US" w:eastAsia="zh-CN"/>
        </w:rPr>
        <w:t>(密码：</w:t>
      </w:r>
      <w:r>
        <w:rPr>
          <w:rFonts w:hint="eastAsia" w:ascii="仿宋_GB2312" w:hAnsi="仿宋_GB2312" w:eastAsia="仿宋_GB2312" w:cs="仿宋_GB2312"/>
          <w:b w:val="0"/>
          <w:i w:val="0"/>
          <w:color w:val="000000"/>
          <w:kern w:val="0"/>
          <w:sz w:val="32"/>
          <w:szCs w:val="32"/>
          <w:u w:val="none"/>
          <w:lang w:val="en-US" w:eastAsia="zh-CN"/>
        </w:rPr>
        <w:t>fgwb409#</w:t>
      </w:r>
      <w:r>
        <w:rPr>
          <w:rFonts w:hint="eastAsia" w:ascii="仿宋_GB2312" w:hAnsi="仿宋_GB2312" w:cs="仿宋_GB2312"/>
          <w:kern w:val="0"/>
          <w:sz w:val="32"/>
          <w:szCs w:val="32"/>
          <w:lang w:val="en-US" w:eastAsia="zh-CN"/>
        </w:rPr>
        <w:t>）下载</w:t>
      </w:r>
      <w:r>
        <w:rPr>
          <w:rFonts w:hint="eastAsia" w:ascii="仿宋_GB2312" w:hAnsi="仿宋_GB2312" w:cs="仿宋_GB2312"/>
          <w:kern w:val="0"/>
          <w:sz w:val="32"/>
          <w:szCs w:val="32"/>
          <w:lang w:val="en-US" w:eastAsia="zh-CN" w:bidi="ar-SA"/>
        </w:rPr>
        <w:t>。</w:t>
      </w:r>
    </w:p>
    <w:p>
      <w:pPr>
        <w:pStyle w:val="18"/>
        <w:widowControl/>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ind w:left="0" w:right="0" w:firstLine="640" w:firstLineChars="200"/>
        <w:jc w:val="left"/>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（联系电话：</w:t>
      </w:r>
      <w:r>
        <w:rPr>
          <w:rFonts w:hint="eastAsia" w:ascii="宋体" w:hAnsi="宋体" w:eastAsia="宋体" w:cs="宋体"/>
          <w:kern w:val="0"/>
          <w:sz w:val="32"/>
          <w:szCs w:val="32"/>
          <w:highlight w:val="none"/>
          <w:lang w:val="en-US" w:eastAsia="zh-CN" w:bidi="ar-SA"/>
        </w:rPr>
        <w:t>020—37866846</w:t>
      </w:r>
      <w:r>
        <w:rPr>
          <w:rFonts w:hint="eastAsia" w:ascii="仿宋_GB2312" w:hAnsi="仿宋_GB2312" w:eastAsia="仿宋_GB2312" w:cs="仿宋_GB2312"/>
          <w:kern w:val="0"/>
          <w:sz w:val="32"/>
          <w:szCs w:val="32"/>
          <w:lang w:val="en-US" w:eastAsia="zh-CN" w:bidi="ar-SA"/>
        </w:rPr>
        <w:t xml:space="preserve"> 电子邮箱：</w:t>
      </w:r>
      <w:r>
        <w:rPr>
          <w:rFonts w:hint="eastAsia" w:ascii="仿宋_GB2312" w:hAnsi="仿宋_GB2312" w:cs="仿宋_GB2312"/>
          <w:kern w:val="0"/>
          <w:sz w:val="32"/>
          <w:szCs w:val="32"/>
          <w:highlight w:val="none"/>
          <w:lang w:val="en-US" w:eastAsia="zh-CN" w:bidi="ar-SA"/>
        </w:rPr>
        <w:t>bascc@gdrd.cn</w:t>
      </w:r>
      <w:r>
        <w:rPr>
          <w:rFonts w:hint="eastAsia" w:ascii="仿宋_GB2312" w:hAnsi="仿宋_GB2312" w:eastAsia="仿宋_GB2312" w:cs="仿宋_GB2312"/>
          <w:kern w:val="0"/>
          <w:sz w:val="32"/>
          <w:szCs w:val="32"/>
          <w:lang w:val="en-US" w:eastAsia="zh-CN" w:bidi="ar-SA"/>
        </w:rPr>
        <w:t>）</w:t>
      </w:r>
    </w:p>
    <w:p>
      <w:pPr>
        <w:pStyle w:val="44"/>
        <w:widowControl w:val="0"/>
        <w:wordWrap/>
        <w:adjustRightInd/>
        <w:snapToGrid/>
        <w:spacing w:line="560" w:lineRule="exact"/>
        <w:ind w:left="0" w:leftChars="0" w:right="0" w:firstLine="0" w:firstLineChars="0"/>
        <w:jc w:val="both"/>
        <w:textAlignment w:val="auto"/>
        <w:outlineLvl w:val="9"/>
        <w:rPr>
          <w:rFonts w:hint="eastAsia" w:ascii="宋体" w:hAnsi="宋体" w:eastAsia="楷体_GB2312"/>
          <w:b/>
          <w:bCs/>
          <w:sz w:val="36"/>
          <w:lang w:val="en-US" w:eastAsia="zh-CN"/>
        </w:rPr>
      </w:pPr>
    </w:p>
    <w:p>
      <w:pPr>
        <w:widowControl w:val="0"/>
        <w:wordWrap/>
        <w:overflowPunct w:val="0"/>
        <w:adjustRightInd w:val="0"/>
        <w:snapToGrid/>
        <w:spacing w:beforeAutospacing="0" w:afterAutospacing="0" w:line="560" w:lineRule="exact"/>
        <w:ind w:left="0" w:leftChars="0" w:right="0" w:firstLine="640" w:firstLineChars="200"/>
        <w:jc w:val="both"/>
        <w:textAlignment w:val="auto"/>
        <w:outlineLvl w:val="9"/>
        <w:rPr>
          <w:rFonts w:hint="eastAsia" w:ascii="黑体" w:hAnsi="黑体" w:eastAsia="黑体" w:cs="黑体"/>
          <w:color w:val="000000"/>
          <w:sz w:val="32"/>
          <w:szCs w:val="32"/>
          <w:lang w:eastAsia="zh-CN"/>
        </w:rPr>
      </w:pPr>
      <w:r>
        <w:rPr>
          <w:rFonts w:hint="eastAsia" w:ascii="黑体" w:hAnsi="黑体" w:eastAsia="黑体" w:cs="黑体"/>
          <w:color w:val="000000"/>
          <w:sz w:val="32"/>
          <w:szCs w:val="32"/>
          <w:lang w:eastAsia="zh-CN"/>
        </w:rPr>
        <w:br w:type="page"/>
      </w:r>
    </w:p>
    <w:p>
      <w:pPr>
        <w:widowControl w:val="0"/>
        <w:wordWrap/>
        <w:overflowPunct w:val="0"/>
        <w:adjustRightInd w:val="0"/>
        <w:snapToGrid/>
        <w:spacing w:beforeAutospacing="0" w:afterAutospacing="0" w:line="560" w:lineRule="exact"/>
        <w:ind w:left="0" w:leftChars="0" w:right="0" w:firstLine="1040" w:firstLineChars="200"/>
        <w:jc w:val="center"/>
        <w:textAlignment w:val="auto"/>
        <w:outlineLvl w:val="9"/>
        <w:rPr>
          <w:rFonts w:hint="eastAsia" w:ascii="宋体" w:hAnsi="宋体" w:eastAsia="方正小标宋简体" w:cs="方正小标宋简体"/>
          <w:color w:val="000000"/>
          <w:kern w:val="2"/>
          <w:sz w:val="52"/>
          <w:szCs w:val="52"/>
          <w:lang w:val="en-US" w:eastAsia="zh-CN" w:bidi="ar-SA"/>
        </w:rPr>
      </w:pPr>
    </w:p>
    <w:p>
      <w:pPr>
        <w:widowControl w:val="0"/>
        <w:wordWrap/>
        <w:overflowPunct w:val="0"/>
        <w:adjustRightInd w:val="0"/>
        <w:snapToGrid/>
        <w:spacing w:beforeAutospacing="0" w:afterAutospacing="0" w:line="560" w:lineRule="exact"/>
        <w:ind w:left="0" w:leftChars="0" w:right="0" w:firstLine="0" w:firstLineChars="0"/>
        <w:jc w:val="center"/>
        <w:textAlignment w:val="auto"/>
        <w:outlineLvl w:val="9"/>
        <w:rPr>
          <w:rFonts w:hint="eastAsia" w:ascii="宋体" w:hAnsi="宋体" w:eastAsia="方正小标宋简体" w:cs="方正小标宋简体"/>
          <w:color w:val="000000"/>
          <w:kern w:val="2"/>
          <w:sz w:val="44"/>
          <w:szCs w:val="44"/>
          <w:lang w:val="en-US" w:eastAsia="zh-CN" w:bidi="ar-SA"/>
        </w:rPr>
      </w:pPr>
      <w:r>
        <w:rPr>
          <w:rFonts w:hint="eastAsia" w:ascii="宋体" w:hAnsi="宋体" w:eastAsia="方正小标宋简体" w:cs="方正小标宋简体"/>
          <w:color w:val="000000"/>
          <w:kern w:val="2"/>
          <w:sz w:val="44"/>
          <w:szCs w:val="44"/>
          <w:lang w:val="en-US" w:eastAsia="zh-CN" w:bidi="ar-SA"/>
        </w:rPr>
        <w:t>目  录</w:t>
      </w:r>
    </w:p>
    <w:p>
      <w:pPr>
        <w:widowControl w:val="0"/>
        <w:wordWrap/>
        <w:overflowPunct w:val="0"/>
        <w:adjustRightInd w:val="0"/>
        <w:snapToGrid/>
        <w:spacing w:beforeAutospacing="0" w:afterAutospacing="0" w:line="560" w:lineRule="exact"/>
        <w:ind w:left="0" w:leftChars="0" w:right="0" w:firstLine="1040" w:firstLineChars="200"/>
        <w:jc w:val="both"/>
        <w:textAlignment w:val="auto"/>
        <w:outlineLvl w:val="9"/>
        <w:rPr>
          <w:rFonts w:hint="eastAsia" w:ascii="宋体" w:hAnsi="宋体" w:eastAsia="方正小标宋简体" w:cs="方正小标宋简体"/>
          <w:color w:val="000000"/>
          <w:kern w:val="2"/>
          <w:sz w:val="52"/>
          <w:szCs w:val="52"/>
          <w:lang w:val="en-US" w:eastAsia="zh-CN" w:bidi="ar-SA"/>
        </w:rPr>
      </w:pPr>
    </w:p>
    <w:p>
      <w:pPr>
        <w:pStyle w:val="14"/>
        <w:widowControl w:val="0"/>
        <w:tabs>
          <w:tab w:val="right" w:leader="dot" w:pos="8788"/>
        </w:tabs>
        <w:wordWrap/>
        <w:snapToGrid/>
        <w:spacing w:line="560" w:lineRule="exact"/>
        <w:ind w:left="0" w:leftChars="0" w:firstLine="0" w:firstLineChars="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一、法律（43部）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 w:val="32"/>
          <w:szCs w:val="32"/>
          <w:lang w:eastAsia="zh-CN"/>
        </w:rPr>
        <w:fldChar w:fldCharType="begin"/>
      </w:r>
      <w:r>
        <w:rPr>
          <w:rFonts w:hint="eastAsia" w:ascii="仿宋" w:hAnsi="仿宋" w:eastAsia="仿宋" w:cs="仿宋"/>
          <w:color w:val="000000"/>
          <w:sz w:val="32"/>
          <w:szCs w:val="32"/>
          <w:lang w:eastAsia="zh-CN"/>
        </w:rPr>
        <w:instrText xml:space="preserve">TOC \o "1-3" \h \u </w:instrText>
      </w:r>
      <w:r>
        <w:rPr>
          <w:rFonts w:hint="eastAsia" w:ascii="仿宋" w:hAnsi="仿宋" w:eastAsia="仿宋" w:cs="仿宋"/>
          <w:color w:val="000000"/>
          <w:sz w:val="32"/>
          <w:szCs w:val="32"/>
          <w:lang w:eastAsia="zh-CN"/>
        </w:rPr>
        <w:fldChar w:fldCharType="separate"/>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_Toc28871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中华人民共和国传染病防治法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_Toc28871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_Toc13757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中华人民共和国突发事件应对法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_Toc13757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_Toc12935 </w:instrText>
      </w:r>
      <w:r>
        <w:rPr>
          <w:rFonts w:hint="eastAsia" w:ascii="仿宋" w:hAnsi="仿宋" w:eastAsia="仿宋" w:cs="仿宋"/>
          <w:szCs w:val="32"/>
          <w:lang w:eastAsia="zh-CN"/>
        </w:rPr>
        <w:fldChar w:fldCharType="separate"/>
      </w:r>
      <w:r>
        <w:rPr>
          <w:rFonts w:hint="eastAsia" w:ascii="仿宋" w:hAnsi="仿宋" w:eastAsia="仿宋" w:cs="仿宋"/>
          <w:lang w:eastAsia="zh-CN"/>
        </w:rPr>
        <w:t>中华人民共和国基本医疗卫生与健康促进法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_Toc12935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_Toc20378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eastAsia="zh-CN"/>
        </w:rPr>
        <w:t>中华人民共和国执业医师法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_Toc20378 </w:instrText>
      </w:r>
      <w:r>
        <w:rPr>
          <w:rFonts w:hint="eastAsia" w:ascii="仿宋" w:hAnsi="仿宋" w:eastAsia="仿宋" w:cs="仿宋"/>
        </w:rPr>
        <w:fldChar w:fldCharType="separate"/>
      </w:r>
      <w:r>
        <w:rPr>
          <w:rFonts w:hint="eastAsia" w:ascii="仿宋" w:hAnsi="仿宋" w:eastAsia="仿宋" w:cs="仿宋"/>
        </w:rPr>
        <w:t>76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_Toc6850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eastAsia="zh-CN"/>
        </w:rPr>
        <w:t>中华人民共和国食品安全法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_Toc6850 </w:instrText>
      </w:r>
      <w:r>
        <w:rPr>
          <w:rFonts w:hint="eastAsia" w:ascii="仿宋" w:hAnsi="仿宋" w:eastAsia="仿宋" w:cs="仿宋"/>
        </w:rPr>
        <w:fldChar w:fldCharType="separate"/>
      </w:r>
      <w:r>
        <w:rPr>
          <w:rFonts w:hint="eastAsia" w:ascii="仿宋" w:hAnsi="仿宋" w:eastAsia="仿宋" w:cs="仿宋"/>
        </w:rPr>
        <w:t>88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_Toc31765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w:t>
      </w:r>
      <w:r>
        <w:rPr>
          <w:rFonts w:hint="eastAsia" w:ascii="仿宋" w:hAnsi="仿宋" w:eastAsia="仿宋" w:cs="仿宋"/>
          <w:kern w:val="0"/>
          <w:szCs w:val="44"/>
        </w:rPr>
        <w:t>药品管理法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_Toc31765 </w:instrText>
      </w:r>
      <w:r>
        <w:rPr>
          <w:rFonts w:hint="eastAsia" w:ascii="仿宋" w:hAnsi="仿宋" w:eastAsia="仿宋" w:cs="仿宋"/>
        </w:rPr>
        <w:fldChar w:fldCharType="separate"/>
      </w:r>
      <w:r>
        <w:rPr>
          <w:rFonts w:hint="eastAsia" w:ascii="仿宋" w:hAnsi="仿宋" w:eastAsia="仿宋" w:cs="仿宋"/>
        </w:rPr>
        <w:t>146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_Toc20970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中华人民共和国疫苗管理法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_Toc20970 </w:instrText>
      </w:r>
      <w:r>
        <w:rPr>
          <w:rFonts w:hint="eastAsia" w:ascii="仿宋" w:hAnsi="仿宋" w:eastAsia="仿宋" w:cs="仿宋"/>
        </w:rPr>
        <w:fldChar w:fldCharType="separate"/>
      </w:r>
      <w:r>
        <w:rPr>
          <w:rFonts w:hint="eastAsia" w:ascii="仿宋" w:hAnsi="仿宋" w:eastAsia="仿宋" w:cs="仿宋"/>
        </w:rPr>
        <w:t>188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_Toc23661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中华人民共和国中医药法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_Toc23661 </w:instrText>
      </w:r>
      <w:r>
        <w:rPr>
          <w:rFonts w:hint="eastAsia" w:ascii="仿宋" w:hAnsi="仿宋" w:eastAsia="仿宋" w:cs="仿宋"/>
        </w:rPr>
        <w:fldChar w:fldCharType="separate"/>
      </w:r>
      <w:r>
        <w:rPr>
          <w:rFonts w:hint="eastAsia" w:ascii="仿宋" w:hAnsi="仿宋" w:eastAsia="仿宋" w:cs="仿宋"/>
        </w:rPr>
        <w:t>224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_Toc27793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中华人民共和国国境卫生检疫法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_Toc27793 </w:instrText>
      </w:r>
      <w:r>
        <w:rPr>
          <w:rFonts w:hint="eastAsia" w:ascii="仿宋" w:hAnsi="仿宋" w:eastAsia="仿宋" w:cs="仿宋"/>
        </w:rPr>
        <w:fldChar w:fldCharType="separate"/>
      </w:r>
      <w:r>
        <w:rPr>
          <w:rFonts w:hint="eastAsia" w:ascii="仿宋" w:hAnsi="仿宋" w:eastAsia="仿宋" w:cs="仿宋"/>
        </w:rPr>
        <w:t>240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_Toc29198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中华人民共和国野生动物保护法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_Toc29198 </w:instrText>
      </w:r>
      <w:r>
        <w:rPr>
          <w:rFonts w:hint="eastAsia" w:ascii="仿宋" w:hAnsi="仿宋" w:eastAsia="仿宋" w:cs="仿宋"/>
        </w:rPr>
        <w:fldChar w:fldCharType="separate"/>
      </w:r>
      <w:r>
        <w:rPr>
          <w:rFonts w:hint="eastAsia" w:ascii="仿宋" w:hAnsi="仿宋" w:eastAsia="仿宋" w:cs="仿宋"/>
        </w:rPr>
        <w:t>247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_Toc12551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全国人民代表大会常务委员会关于全面禁止非法野生动物交易、革除滥食野生动物陋习、切实保障人民群众生命健康安全的决定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_Toc12551 </w:instrText>
      </w:r>
      <w:r>
        <w:rPr>
          <w:rFonts w:hint="eastAsia" w:ascii="仿宋" w:hAnsi="仿宋" w:eastAsia="仿宋" w:cs="仿宋"/>
        </w:rPr>
        <w:fldChar w:fldCharType="separate"/>
      </w:r>
      <w:r>
        <w:rPr>
          <w:rFonts w:hint="eastAsia" w:ascii="仿宋" w:hAnsi="仿宋" w:eastAsia="仿宋" w:cs="仿宋"/>
        </w:rPr>
        <w:t>265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_Toc29243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中华人民共和国生物安全法</w:t>
      </w:r>
      <w:r>
        <w:rPr>
          <w:rFonts w:hint="eastAsia" w:ascii="仿宋" w:hAnsi="仿宋" w:eastAsia="仿宋" w:cs="仿宋"/>
        </w:rPr>
        <w:tab/>
      </w:r>
      <w:r>
        <w:rPr>
          <w:rFonts w:hint="eastAsia" w:ascii="仿宋" w:hAnsi="仿宋" w:eastAsia="仿宋" w:cs="仿宋"/>
          <w:lang w:val="en-US" w:eastAsia="zh-CN"/>
        </w:rPr>
        <w:t>2</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val="en-US" w:eastAsia="zh-CN"/>
        </w:rPr>
        <w:t>68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_Toc29243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中华人民共和国反食品浪费法</w:t>
      </w:r>
      <w:r>
        <w:rPr>
          <w:rFonts w:hint="eastAsia" w:ascii="仿宋" w:hAnsi="仿宋" w:eastAsia="仿宋" w:cs="仿宋"/>
        </w:rPr>
        <w:tab/>
      </w:r>
      <w:r>
        <w:rPr>
          <w:rFonts w:hint="eastAsia" w:ascii="仿宋" w:hAnsi="仿宋" w:eastAsia="仿宋" w:cs="仿宋"/>
          <w:lang w:val="en-US" w:eastAsia="zh-CN"/>
        </w:rPr>
        <w:t>2</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val="en-US" w:eastAsia="zh-CN"/>
        </w:rPr>
        <w:t>89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_Toc29243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中华人民共和国出口管制法</w:t>
      </w:r>
      <w:r>
        <w:rPr>
          <w:rFonts w:hint="eastAsia" w:ascii="仿宋" w:hAnsi="仿宋" w:eastAsia="仿宋" w:cs="仿宋"/>
        </w:rPr>
        <w:tab/>
      </w:r>
      <w:r>
        <w:rPr>
          <w:rFonts w:hint="eastAsia" w:ascii="仿宋" w:hAnsi="仿宋" w:eastAsia="仿宋" w:cs="仿宋"/>
          <w:lang w:val="en-US" w:eastAsia="zh-CN"/>
        </w:rPr>
        <w:t>2</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val="en-US" w:eastAsia="zh-CN"/>
        </w:rPr>
        <w:t>98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_Toc29243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中华人民共和国渔业法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312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_Toc12020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中华人民共和国畜牧法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324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_Toc18365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中华人民共和国动物防疫法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343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_Toc24752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中华人民共和国大气污染防治法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_Toc24752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lang w:val="en-US" w:eastAsia="zh-CN"/>
        </w:rPr>
        <w:t>7</w:t>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_Toc15201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中华人民共和国水污染防治法</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_Toc15201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lang w:val="en-US" w:eastAsia="zh-CN"/>
        </w:rPr>
        <w:t>1</w:t>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_Toc3172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中华人民共和国固体废物污染环境防治法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_Toc3172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lang w:val="en-US" w:eastAsia="zh-CN"/>
        </w:rPr>
        <w:t>4</w:t>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_Toc16649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中华人民共和国进出口商品检验法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_Toc16649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_Toc2880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中华人民共和国旅游法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_Toc2880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92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_Toc5784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中华人民共和国出境入境管理法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_Toc5784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_Toc3910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中华人民共和国进出境动植物检疫法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_Toc3910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_Toc2828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中华人民共和国治安管理处罚法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_Toc2828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_Toc1142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中华人民共和国行政处罚法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_Toc1142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_Toc14199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中华人民共和国行政强制法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611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_Toc20581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中华人民共和国行政复议法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632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_Toc8906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中华人民共和国网络安全法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647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_Toc29538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中华人民共和国消费者权益保护法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668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_Toc18625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中华人民共和国广告法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686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_Toc223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中华人民共和国产品质量法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709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_Toc18122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中华人民共和国价格法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726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_Toc9576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中华人民共和国社会保险法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737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_Toc18139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eastAsia="zh-CN"/>
        </w:rPr>
        <w:t>中华人民共和国劳动法</w:t>
      </w:r>
      <w:r>
        <w:rPr>
          <w:rFonts w:hint="eastAsia" w:ascii="仿宋" w:hAnsi="仿宋" w:eastAsia="仿宋" w:cs="仿宋"/>
          <w:kern w:val="0"/>
          <w:szCs w:val="32"/>
          <w:lang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760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_Toc32587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中华人民共和国劳动合同法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_Toc32587 </w:instrText>
      </w:r>
      <w:r>
        <w:rPr>
          <w:rFonts w:hint="eastAsia" w:ascii="仿宋" w:hAnsi="仿宋" w:eastAsia="仿宋" w:cs="仿宋"/>
        </w:rPr>
        <w:fldChar w:fldCharType="separate"/>
      </w:r>
      <w:r>
        <w:rPr>
          <w:rFonts w:hint="eastAsia" w:ascii="仿宋" w:hAnsi="仿宋" w:eastAsia="仿宋" w:cs="仿宋"/>
        </w:rPr>
        <w:t>780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_Toc16789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中华人民共和国慈善法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_Toc16789 </w:instrText>
      </w:r>
      <w:r>
        <w:rPr>
          <w:rFonts w:hint="eastAsia" w:ascii="仿宋" w:hAnsi="仿宋" w:eastAsia="仿宋" w:cs="仿宋"/>
        </w:rPr>
        <w:fldChar w:fldCharType="separate"/>
      </w:r>
      <w:r>
        <w:rPr>
          <w:rFonts w:hint="eastAsia" w:ascii="仿宋" w:hAnsi="仿宋" w:eastAsia="仿宋" w:cs="仿宋"/>
        </w:rPr>
        <w:t>806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_Toc12828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中华人民共和国红十字会法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_Toc12828 </w:instrText>
      </w:r>
      <w:r>
        <w:rPr>
          <w:rFonts w:hint="eastAsia" w:ascii="仿宋" w:hAnsi="仿宋" w:eastAsia="仿宋" w:cs="仿宋"/>
        </w:rPr>
        <w:fldChar w:fldCharType="separate"/>
      </w:r>
      <w:r>
        <w:rPr>
          <w:rFonts w:hint="eastAsia" w:ascii="仿宋" w:hAnsi="仿宋" w:eastAsia="仿宋" w:cs="仿宋"/>
        </w:rPr>
        <w:t>832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_Toc3013 </w:instrText>
      </w:r>
      <w:r>
        <w:rPr>
          <w:rFonts w:hint="eastAsia" w:ascii="仿宋" w:hAnsi="仿宋" w:eastAsia="仿宋" w:cs="仿宋"/>
          <w:szCs w:val="32"/>
          <w:lang w:eastAsia="zh-CN"/>
        </w:rPr>
        <w:fldChar w:fldCharType="separate"/>
      </w:r>
      <w:r>
        <w:rPr>
          <w:rFonts w:hint="eastAsia" w:ascii="仿宋" w:hAnsi="仿宋" w:eastAsia="仿宋" w:cs="仿宋"/>
          <w:bCs w:val="0"/>
          <w:kern w:val="2"/>
          <w:szCs w:val="44"/>
          <w:lang w:val="en-US" w:eastAsia="zh-CN" w:bidi="ar-SA"/>
        </w:rPr>
        <w:t>中华人民共和国公益事业捐赠法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_Toc3013 </w:instrText>
      </w:r>
      <w:r>
        <w:rPr>
          <w:rFonts w:hint="eastAsia" w:ascii="仿宋" w:hAnsi="仿宋" w:eastAsia="仿宋" w:cs="仿宋"/>
        </w:rPr>
        <w:fldChar w:fldCharType="separate"/>
      </w:r>
      <w:r>
        <w:rPr>
          <w:rFonts w:hint="eastAsia" w:ascii="仿宋" w:hAnsi="仿宋" w:eastAsia="仿宋" w:cs="仿宋"/>
        </w:rPr>
        <w:t>841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_Toc18622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中华人民共和国刑法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_Toc18622 </w:instrText>
      </w:r>
      <w:r>
        <w:rPr>
          <w:rFonts w:hint="eastAsia" w:ascii="仿宋" w:hAnsi="仿宋" w:eastAsia="仿宋" w:cs="仿宋"/>
        </w:rPr>
        <w:fldChar w:fldCharType="separate"/>
      </w:r>
      <w:r>
        <w:rPr>
          <w:rFonts w:hint="eastAsia" w:ascii="仿宋" w:hAnsi="仿宋" w:eastAsia="仿宋" w:cs="仿宋"/>
        </w:rPr>
        <w:t>848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_Toc4331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中华人民共和国刑事诉讼法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_Toc4331 </w:instrText>
      </w:r>
      <w:r>
        <w:rPr>
          <w:rFonts w:hint="eastAsia" w:ascii="仿宋" w:hAnsi="仿宋" w:eastAsia="仿宋" w:cs="仿宋"/>
        </w:rPr>
        <w:fldChar w:fldCharType="separate"/>
      </w:r>
      <w:r>
        <w:rPr>
          <w:rFonts w:hint="eastAsia" w:ascii="仿宋" w:hAnsi="仿宋" w:eastAsia="仿宋" w:cs="仿宋"/>
        </w:rPr>
        <w:t>965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_Toc25673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中华人民共和国民事诉讼法</w:t>
      </w:r>
      <w:r>
        <w:rPr>
          <w:rFonts w:hint="eastAsia" w:ascii="仿宋" w:hAnsi="仿宋" w:eastAsia="仿宋" w:cs="仿宋"/>
          <w:kern w:val="0"/>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_Toc25673 </w:instrText>
      </w:r>
      <w:r>
        <w:rPr>
          <w:rFonts w:hint="eastAsia" w:ascii="仿宋" w:hAnsi="仿宋" w:eastAsia="仿宋" w:cs="仿宋"/>
        </w:rPr>
        <w:fldChar w:fldCharType="separate"/>
      </w:r>
      <w:r>
        <w:rPr>
          <w:rFonts w:hint="eastAsia" w:ascii="仿宋" w:hAnsi="仿宋" w:eastAsia="仿宋" w:cs="仿宋"/>
        </w:rPr>
        <w:t>1048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_Toc10990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中华人民共和国行政诉讼法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_Toc10990 </w:instrText>
      </w:r>
      <w:r>
        <w:rPr>
          <w:rFonts w:hint="eastAsia" w:ascii="仿宋" w:hAnsi="仿宋" w:eastAsia="仿宋" w:cs="仿宋"/>
        </w:rPr>
        <w:fldChar w:fldCharType="separate"/>
      </w:r>
      <w:r>
        <w:rPr>
          <w:rFonts w:hint="eastAsia" w:ascii="仿宋" w:hAnsi="仿宋" w:eastAsia="仿宋" w:cs="仿宋"/>
        </w:rPr>
        <w:t>1116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eastAsia="zh-CN"/>
        </w:rPr>
      </w:pPr>
    </w:p>
    <w:p>
      <w:pPr>
        <w:pStyle w:val="14"/>
        <w:widowControl w:val="0"/>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二、行政法规（29部）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_Toc1912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中华人民共和国传染病防治法实施办法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_Toc1912 </w:instrText>
      </w:r>
      <w:r>
        <w:rPr>
          <w:rFonts w:hint="eastAsia" w:ascii="仿宋" w:hAnsi="仿宋" w:eastAsia="仿宋" w:cs="仿宋"/>
        </w:rPr>
        <w:fldChar w:fldCharType="separate"/>
      </w:r>
      <w:r>
        <w:rPr>
          <w:rFonts w:hint="eastAsia" w:ascii="仿宋" w:hAnsi="仿宋" w:eastAsia="仿宋" w:cs="仿宋"/>
        </w:rPr>
        <w:t>1143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_Toc18525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疫苗流通和预防接种管理条例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_Toc18525 </w:instrText>
      </w:r>
      <w:r>
        <w:rPr>
          <w:rFonts w:hint="eastAsia" w:ascii="仿宋" w:hAnsi="仿宋" w:eastAsia="仿宋" w:cs="仿宋"/>
        </w:rPr>
        <w:fldChar w:fldCharType="separate"/>
      </w:r>
      <w:r>
        <w:rPr>
          <w:rFonts w:hint="eastAsia" w:ascii="仿宋" w:hAnsi="仿宋" w:eastAsia="仿宋" w:cs="仿宋"/>
        </w:rPr>
        <w:t>1165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_Toc2641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中华人民共和国中医药条例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_Toc2641 </w:instrText>
      </w:r>
      <w:r>
        <w:rPr>
          <w:rFonts w:hint="eastAsia" w:ascii="仿宋" w:hAnsi="仿宋" w:eastAsia="仿宋" w:cs="仿宋"/>
        </w:rPr>
        <w:fldChar w:fldCharType="separate"/>
      </w:r>
      <w:r>
        <w:rPr>
          <w:rFonts w:hint="eastAsia" w:ascii="仿宋" w:hAnsi="仿宋" w:eastAsia="仿宋" w:cs="仿宋"/>
        </w:rPr>
        <w:t>1187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_Toc24061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中华人民共和国陆生野生动物保护实施条例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_Toc24061 </w:instrText>
      </w:r>
      <w:r>
        <w:rPr>
          <w:rFonts w:hint="eastAsia" w:ascii="仿宋" w:hAnsi="仿宋" w:eastAsia="仿宋" w:cs="仿宋"/>
        </w:rPr>
        <w:fldChar w:fldCharType="separate"/>
      </w:r>
      <w:r>
        <w:rPr>
          <w:rFonts w:hint="eastAsia" w:ascii="仿宋" w:hAnsi="仿宋" w:eastAsia="仿宋" w:cs="仿宋"/>
        </w:rPr>
        <w:t>1196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_Toc24596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中华人民共和国水生野生动物保护实施条例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_Toc24596 </w:instrText>
      </w:r>
      <w:r>
        <w:rPr>
          <w:rFonts w:hint="eastAsia" w:ascii="仿宋" w:hAnsi="仿宋" w:eastAsia="仿宋" w:cs="仿宋"/>
        </w:rPr>
        <w:fldChar w:fldCharType="separate"/>
      </w:r>
      <w:r>
        <w:rPr>
          <w:rFonts w:hint="eastAsia" w:ascii="仿宋" w:hAnsi="仿宋" w:eastAsia="仿宋" w:cs="仿宋"/>
        </w:rPr>
        <w:t>1209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_Toc17770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_Toc27075 </w:instrText>
      </w:r>
      <w:r>
        <w:rPr>
          <w:rFonts w:hint="eastAsia" w:ascii="仿宋" w:hAnsi="仿宋" w:eastAsia="仿宋" w:cs="仿宋"/>
          <w:szCs w:val="32"/>
          <w:lang w:eastAsia="zh-CN"/>
        </w:rPr>
        <w:fldChar w:fldCharType="separate"/>
      </w:r>
      <w:r>
        <w:rPr>
          <w:rFonts w:hint="eastAsia" w:ascii="仿宋" w:hAnsi="仿宋" w:eastAsia="仿宋" w:cs="仿宋"/>
          <w:szCs w:val="44"/>
        </w:rPr>
        <w:t>濒危野生动植物进出口管理条例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_Toc27075 </w:instrText>
      </w:r>
      <w:r>
        <w:rPr>
          <w:rFonts w:hint="eastAsia" w:ascii="仿宋" w:hAnsi="仿宋" w:eastAsia="仿宋" w:cs="仿宋"/>
        </w:rPr>
        <w:fldChar w:fldCharType="separate"/>
      </w:r>
      <w:r>
        <w:rPr>
          <w:rFonts w:hint="eastAsia" w:ascii="仿宋" w:hAnsi="仿宋" w:eastAsia="仿宋" w:cs="仿宋"/>
        </w:rPr>
        <w:t>1219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_Toc31253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中华人民共和国渔业法实施细则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_Toc31253 </w:instrText>
      </w:r>
      <w:r>
        <w:rPr>
          <w:rFonts w:hint="eastAsia" w:ascii="仿宋" w:hAnsi="仿宋" w:eastAsia="仿宋" w:cs="仿宋"/>
        </w:rPr>
        <w:fldChar w:fldCharType="separate"/>
      </w:r>
      <w:r>
        <w:rPr>
          <w:rFonts w:hint="eastAsia" w:ascii="仿宋" w:hAnsi="仿宋" w:eastAsia="仿宋" w:cs="仿宋"/>
        </w:rPr>
        <w:t>1226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_Toc8635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中华人民共和国国境卫生检疫法实施细则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_Toc8635 </w:instrText>
      </w:r>
      <w:r>
        <w:rPr>
          <w:rFonts w:hint="eastAsia" w:ascii="仿宋" w:hAnsi="仿宋" w:eastAsia="仿宋" w:cs="仿宋"/>
        </w:rPr>
        <w:fldChar w:fldCharType="separate"/>
      </w:r>
      <w:r>
        <w:rPr>
          <w:rFonts w:hint="eastAsia" w:ascii="仿宋" w:hAnsi="仿宋" w:eastAsia="仿宋" w:cs="仿宋"/>
        </w:rPr>
        <w:t>1236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_Toc28393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_Toc4400 </w:instrText>
      </w:r>
      <w:r>
        <w:rPr>
          <w:rFonts w:hint="eastAsia" w:ascii="仿宋" w:hAnsi="仿宋" w:eastAsia="仿宋" w:cs="仿宋"/>
          <w:szCs w:val="32"/>
          <w:lang w:eastAsia="zh-CN"/>
        </w:rPr>
        <w:fldChar w:fldCharType="separate"/>
      </w:r>
      <w:r>
        <w:rPr>
          <w:rFonts w:hint="eastAsia" w:ascii="仿宋" w:hAnsi="仿宋" w:eastAsia="仿宋" w:cs="仿宋"/>
          <w:szCs w:val="44"/>
        </w:rPr>
        <w:t>进出境动植物检疫法实施条例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_Toc4400 </w:instrText>
      </w:r>
      <w:r>
        <w:rPr>
          <w:rFonts w:hint="eastAsia" w:ascii="仿宋" w:hAnsi="仿宋" w:eastAsia="仿宋" w:cs="仿宋"/>
        </w:rPr>
        <w:fldChar w:fldCharType="separate"/>
      </w:r>
      <w:r>
        <w:rPr>
          <w:rFonts w:hint="eastAsia" w:ascii="仿宋" w:hAnsi="仿宋" w:eastAsia="仿宋" w:cs="仿宋"/>
        </w:rPr>
        <w:t>1267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_Toc19031 </w:instrText>
      </w:r>
      <w:r>
        <w:rPr>
          <w:rFonts w:hint="eastAsia" w:ascii="仿宋" w:hAnsi="仿宋" w:eastAsia="仿宋" w:cs="仿宋"/>
          <w:szCs w:val="32"/>
          <w:lang w:eastAsia="zh-CN"/>
        </w:rPr>
        <w:fldChar w:fldCharType="separate"/>
      </w:r>
      <w:r>
        <w:rPr>
          <w:rFonts w:hint="eastAsia" w:ascii="仿宋" w:hAnsi="仿宋" w:eastAsia="仿宋" w:cs="仿宋"/>
          <w:bCs/>
          <w:szCs w:val="44"/>
        </w:rPr>
        <w:t>突发公共卫生事件应急条例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_Toc19031 </w:instrText>
      </w:r>
      <w:r>
        <w:rPr>
          <w:rFonts w:hint="eastAsia" w:ascii="仿宋" w:hAnsi="仿宋" w:eastAsia="仿宋" w:cs="仿宋"/>
        </w:rPr>
        <w:fldChar w:fldCharType="separate"/>
      </w:r>
      <w:r>
        <w:rPr>
          <w:rFonts w:hint="eastAsia" w:ascii="仿宋" w:hAnsi="仿宋" w:eastAsia="仿宋" w:cs="仿宋"/>
        </w:rPr>
        <w:t>1286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_Toc18072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医疗纠纷预防和处理条例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_Toc18072 </w:instrText>
      </w:r>
      <w:r>
        <w:rPr>
          <w:rFonts w:hint="eastAsia" w:ascii="仿宋" w:hAnsi="仿宋" w:eastAsia="仿宋" w:cs="仿宋"/>
        </w:rPr>
        <w:fldChar w:fldCharType="separate"/>
      </w:r>
      <w:r>
        <w:rPr>
          <w:rFonts w:hint="eastAsia" w:ascii="仿宋" w:hAnsi="仿宋" w:eastAsia="仿宋" w:cs="仿宋"/>
        </w:rPr>
        <w:t>1300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_Toc935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医疗事故处理条例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_Toc935 </w:instrText>
      </w:r>
      <w:r>
        <w:rPr>
          <w:rFonts w:hint="eastAsia" w:ascii="仿宋" w:hAnsi="仿宋" w:eastAsia="仿宋" w:cs="仿宋"/>
        </w:rPr>
        <w:fldChar w:fldCharType="separate"/>
      </w:r>
      <w:r>
        <w:rPr>
          <w:rFonts w:hint="eastAsia" w:ascii="仿宋" w:hAnsi="仿宋" w:eastAsia="仿宋" w:cs="仿宋"/>
        </w:rPr>
        <w:t>1315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_Toc31803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医疗机构管理条例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_Toc31803 </w:instrText>
      </w:r>
      <w:r>
        <w:rPr>
          <w:rFonts w:hint="eastAsia" w:ascii="仿宋" w:hAnsi="仿宋" w:eastAsia="仿宋" w:cs="仿宋"/>
        </w:rPr>
        <w:fldChar w:fldCharType="separate"/>
      </w:r>
      <w:r>
        <w:rPr>
          <w:rFonts w:hint="eastAsia" w:ascii="仿宋" w:hAnsi="仿宋" w:eastAsia="仿宋" w:cs="仿宋"/>
        </w:rPr>
        <w:t>1335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_Toc29609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医疗器械监督管理条例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_Toc29609 </w:instrText>
      </w:r>
      <w:r>
        <w:rPr>
          <w:rFonts w:hint="eastAsia" w:ascii="仿宋" w:hAnsi="仿宋" w:eastAsia="仿宋" w:cs="仿宋"/>
        </w:rPr>
        <w:fldChar w:fldCharType="separate"/>
      </w:r>
      <w:r>
        <w:rPr>
          <w:rFonts w:hint="eastAsia" w:ascii="仿宋" w:hAnsi="仿宋" w:eastAsia="仿宋" w:cs="仿宋"/>
        </w:rPr>
        <w:t>1345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_Toc22667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医疗废物管理条例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_Toc22667 </w:instrText>
      </w:r>
      <w:r>
        <w:rPr>
          <w:rFonts w:hint="eastAsia" w:ascii="仿宋" w:hAnsi="仿宋" w:eastAsia="仿宋" w:cs="仿宋"/>
        </w:rPr>
        <w:fldChar w:fldCharType="separate"/>
      </w:r>
      <w:r>
        <w:rPr>
          <w:rFonts w:hint="eastAsia" w:ascii="仿宋" w:hAnsi="仿宋" w:eastAsia="仿宋" w:cs="仿宋"/>
        </w:rPr>
        <w:t>1373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_Toc15440 </w:instrText>
      </w:r>
      <w:r>
        <w:rPr>
          <w:rFonts w:hint="eastAsia" w:ascii="仿宋" w:hAnsi="仿宋" w:eastAsia="仿宋" w:cs="仿宋"/>
          <w:szCs w:val="32"/>
          <w:lang w:eastAsia="zh-CN"/>
        </w:rPr>
        <w:fldChar w:fldCharType="separate"/>
      </w:r>
      <w:r>
        <w:rPr>
          <w:rFonts w:hint="eastAsia" w:ascii="仿宋" w:hAnsi="仿宋" w:eastAsia="仿宋" w:cs="仿宋"/>
          <w:bCs/>
          <w:szCs w:val="44"/>
        </w:rPr>
        <w:t>重大动物疫情应急条例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_Toc15440 </w:instrText>
      </w:r>
      <w:r>
        <w:rPr>
          <w:rFonts w:hint="eastAsia" w:ascii="仿宋" w:hAnsi="仿宋" w:eastAsia="仿宋" w:cs="仿宋"/>
        </w:rPr>
        <w:fldChar w:fldCharType="separate"/>
      </w:r>
      <w:r>
        <w:rPr>
          <w:rFonts w:hint="eastAsia" w:ascii="仿宋" w:hAnsi="仿宋" w:eastAsia="仿宋" w:cs="仿宋"/>
        </w:rPr>
        <w:t>1388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_Toc15856 </w:instrText>
      </w:r>
      <w:r>
        <w:rPr>
          <w:rFonts w:hint="eastAsia" w:ascii="仿宋" w:hAnsi="仿宋" w:eastAsia="仿宋" w:cs="仿宋"/>
          <w:szCs w:val="32"/>
          <w:lang w:eastAsia="zh-CN"/>
        </w:rPr>
        <w:fldChar w:fldCharType="separate"/>
      </w:r>
      <w:r>
        <w:rPr>
          <w:rFonts w:hint="eastAsia" w:ascii="仿宋" w:hAnsi="仿宋" w:eastAsia="仿宋" w:cs="仿宋"/>
          <w:szCs w:val="44"/>
        </w:rPr>
        <w:t>畜禽规模养殖污染防治条例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_Toc15856 </w:instrText>
      </w:r>
      <w:r>
        <w:rPr>
          <w:rFonts w:hint="eastAsia" w:ascii="仿宋" w:hAnsi="仿宋" w:eastAsia="仿宋" w:cs="仿宋"/>
        </w:rPr>
        <w:fldChar w:fldCharType="separate"/>
      </w:r>
      <w:r>
        <w:rPr>
          <w:rFonts w:hint="eastAsia" w:ascii="仿宋" w:hAnsi="仿宋" w:eastAsia="仿宋" w:cs="仿宋"/>
        </w:rPr>
        <w:t>1400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_Toc17846 </w:instrText>
      </w:r>
      <w:r>
        <w:rPr>
          <w:rFonts w:hint="eastAsia" w:ascii="仿宋" w:hAnsi="仿宋" w:eastAsia="仿宋" w:cs="仿宋"/>
          <w:szCs w:val="32"/>
          <w:lang w:eastAsia="zh-CN"/>
        </w:rPr>
        <w:fldChar w:fldCharType="separate"/>
      </w:r>
      <w:r>
        <w:rPr>
          <w:rFonts w:hint="eastAsia" w:ascii="仿宋" w:hAnsi="仿宋" w:eastAsia="仿宋" w:cs="仿宋"/>
          <w:szCs w:val="44"/>
        </w:rPr>
        <w:t>生猪屠宰管理条例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_Toc17846 </w:instrText>
      </w:r>
      <w:r>
        <w:rPr>
          <w:rFonts w:hint="eastAsia" w:ascii="仿宋" w:hAnsi="仿宋" w:eastAsia="仿宋" w:cs="仿宋"/>
        </w:rPr>
        <w:fldChar w:fldCharType="separate"/>
      </w:r>
      <w:r>
        <w:rPr>
          <w:rFonts w:hint="eastAsia" w:ascii="仿宋" w:hAnsi="仿宋" w:eastAsia="仿宋" w:cs="仿宋"/>
        </w:rPr>
        <w:t>1410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_Toc17555 </w:instrText>
      </w:r>
      <w:r>
        <w:rPr>
          <w:rFonts w:hint="eastAsia" w:ascii="仿宋" w:hAnsi="仿宋" w:eastAsia="仿宋" w:cs="仿宋"/>
          <w:szCs w:val="32"/>
          <w:lang w:eastAsia="zh-CN"/>
        </w:rPr>
        <w:fldChar w:fldCharType="separate"/>
      </w:r>
      <w:r>
        <w:rPr>
          <w:rFonts w:hint="eastAsia" w:ascii="仿宋" w:hAnsi="仿宋" w:eastAsia="仿宋" w:cs="仿宋"/>
          <w:bCs w:val="0"/>
          <w:lang w:eastAsia="zh-CN"/>
        </w:rPr>
        <w:t>病原微生物实验室生物安全管理条例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_Toc17555 </w:instrText>
      </w:r>
      <w:r>
        <w:rPr>
          <w:rFonts w:hint="eastAsia" w:ascii="仿宋" w:hAnsi="仿宋" w:eastAsia="仿宋" w:cs="仿宋"/>
        </w:rPr>
        <w:fldChar w:fldCharType="separate"/>
      </w:r>
      <w:r>
        <w:rPr>
          <w:rFonts w:hint="eastAsia" w:ascii="仿宋" w:hAnsi="仿宋" w:eastAsia="仿宋" w:cs="仿宋"/>
        </w:rPr>
        <w:t>1420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_Toc9559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中华人民共和国食品安全法实施条例</w:t>
      </w:r>
      <w:r>
        <w:rPr>
          <w:rFonts w:hint="eastAsia" w:ascii="仿宋" w:hAnsi="仿宋" w:eastAsia="仿宋" w:cs="仿宋"/>
          <w:bCs/>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_Toc9559 </w:instrText>
      </w:r>
      <w:r>
        <w:rPr>
          <w:rFonts w:hint="eastAsia" w:ascii="仿宋" w:hAnsi="仿宋" w:eastAsia="仿宋" w:cs="仿宋"/>
        </w:rPr>
        <w:fldChar w:fldCharType="separate"/>
      </w:r>
      <w:r>
        <w:rPr>
          <w:rFonts w:hint="eastAsia" w:ascii="仿宋" w:hAnsi="仿宋" w:eastAsia="仿宋" w:cs="仿宋"/>
        </w:rPr>
        <w:t>1444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_Toc7478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中华人民共和国药品管理法实施条例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_Toc7478 </w:instrText>
      </w:r>
      <w:r>
        <w:rPr>
          <w:rFonts w:hint="eastAsia" w:ascii="仿宋" w:hAnsi="仿宋" w:eastAsia="仿宋" w:cs="仿宋"/>
        </w:rPr>
        <w:fldChar w:fldCharType="separate"/>
      </w:r>
      <w:r>
        <w:rPr>
          <w:rFonts w:hint="eastAsia" w:ascii="仿宋" w:hAnsi="仿宋" w:eastAsia="仿宋" w:cs="仿宋"/>
        </w:rPr>
        <w:t>1465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_Toc13253 </w:instrText>
      </w:r>
      <w:r>
        <w:rPr>
          <w:rFonts w:hint="eastAsia" w:ascii="仿宋" w:hAnsi="仿宋" w:eastAsia="仿宋" w:cs="仿宋"/>
          <w:szCs w:val="32"/>
          <w:lang w:eastAsia="zh-CN"/>
        </w:rPr>
        <w:fldChar w:fldCharType="separate"/>
      </w:r>
      <w:r>
        <w:rPr>
          <w:rFonts w:hint="eastAsia" w:ascii="仿宋" w:hAnsi="仿宋" w:eastAsia="仿宋" w:cs="仿宋"/>
          <w:bCs/>
          <w:szCs w:val="44"/>
        </w:rPr>
        <w:t>公共场所卫生管理条例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_Toc13253 </w:instrText>
      </w:r>
      <w:r>
        <w:rPr>
          <w:rFonts w:hint="eastAsia" w:ascii="仿宋" w:hAnsi="仿宋" w:eastAsia="仿宋" w:cs="仿宋"/>
        </w:rPr>
        <w:fldChar w:fldCharType="separate"/>
      </w:r>
      <w:r>
        <w:rPr>
          <w:rFonts w:hint="eastAsia" w:ascii="仿宋" w:hAnsi="仿宋" w:eastAsia="仿宋" w:cs="仿宋"/>
        </w:rPr>
        <w:t>1488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_Toc20353 </w:instrText>
      </w:r>
      <w:r>
        <w:rPr>
          <w:rFonts w:hint="eastAsia" w:ascii="仿宋" w:hAnsi="仿宋" w:eastAsia="仿宋" w:cs="仿宋"/>
          <w:szCs w:val="32"/>
          <w:lang w:eastAsia="zh-CN"/>
        </w:rPr>
        <w:fldChar w:fldCharType="separate"/>
      </w:r>
      <w:r>
        <w:rPr>
          <w:rFonts w:hint="eastAsia" w:ascii="仿宋" w:hAnsi="仿宋" w:eastAsia="仿宋" w:cs="仿宋"/>
          <w:bCs/>
          <w:szCs w:val="44"/>
        </w:rPr>
        <w:t>国内交通卫生检疫条例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_Toc20353 </w:instrText>
      </w:r>
      <w:r>
        <w:rPr>
          <w:rFonts w:hint="eastAsia" w:ascii="仿宋" w:hAnsi="仿宋" w:eastAsia="仿宋" w:cs="仿宋"/>
        </w:rPr>
        <w:fldChar w:fldCharType="separate"/>
      </w:r>
      <w:r>
        <w:rPr>
          <w:rFonts w:hint="eastAsia" w:ascii="仿宋" w:hAnsi="仿宋" w:eastAsia="仿宋" w:cs="仿宋"/>
        </w:rPr>
        <w:t>1493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_Toc4168 </w:instrText>
      </w:r>
      <w:r>
        <w:rPr>
          <w:rFonts w:hint="eastAsia" w:ascii="仿宋" w:hAnsi="仿宋" w:eastAsia="仿宋" w:cs="仿宋"/>
          <w:szCs w:val="32"/>
          <w:lang w:eastAsia="zh-CN"/>
        </w:rPr>
        <w:fldChar w:fldCharType="separate"/>
      </w:r>
      <w:r>
        <w:rPr>
          <w:rFonts w:hint="eastAsia" w:ascii="仿宋" w:hAnsi="仿宋" w:eastAsia="仿宋" w:cs="仿宋"/>
          <w:bCs/>
          <w:szCs w:val="44"/>
        </w:rPr>
        <w:t>城市市容和环境卫生管理条例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_Toc4168 </w:instrText>
      </w:r>
      <w:r>
        <w:rPr>
          <w:rFonts w:hint="eastAsia" w:ascii="仿宋" w:hAnsi="仿宋" w:eastAsia="仿宋" w:cs="仿宋"/>
        </w:rPr>
        <w:fldChar w:fldCharType="separate"/>
      </w:r>
      <w:r>
        <w:rPr>
          <w:rFonts w:hint="eastAsia" w:ascii="仿宋" w:hAnsi="仿宋" w:eastAsia="仿宋" w:cs="仿宋"/>
        </w:rPr>
        <w:t>1499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_Toc15216 </w:instrText>
      </w:r>
      <w:r>
        <w:rPr>
          <w:rFonts w:hint="eastAsia" w:ascii="仿宋" w:hAnsi="仿宋" w:eastAsia="仿宋" w:cs="仿宋"/>
          <w:szCs w:val="32"/>
          <w:lang w:eastAsia="zh-CN"/>
        </w:rPr>
        <w:fldChar w:fldCharType="separate"/>
      </w:r>
      <w:r>
        <w:rPr>
          <w:rFonts w:hint="eastAsia" w:ascii="仿宋" w:hAnsi="仿宋" w:eastAsia="仿宋" w:cs="仿宋"/>
          <w:bCs/>
          <w:szCs w:val="44"/>
        </w:rPr>
        <w:t>护士条例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_Toc15216 </w:instrText>
      </w:r>
      <w:r>
        <w:rPr>
          <w:rFonts w:hint="eastAsia" w:ascii="仿宋" w:hAnsi="仿宋" w:eastAsia="仿宋" w:cs="仿宋"/>
        </w:rPr>
        <w:fldChar w:fldCharType="separate"/>
      </w:r>
      <w:r>
        <w:rPr>
          <w:rFonts w:hint="eastAsia" w:ascii="仿宋" w:hAnsi="仿宋" w:eastAsia="仿宋" w:cs="仿宋"/>
        </w:rPr>
        <w:t>1509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_Toc13616 </w:instrText>
      </w:r>
      <w:r>
        <w:rPr>
          <w:rFonts w:hint="eastAsia" w:ascii="仿宋" w:hAnsi="仿宋" w:eastAsia="仿宋" w:cs="仿宋"/>
          <w:szCs w:val="32"/>
          <w:lang w:eastAsia="zh-CN"/>
        </w:rPr>
        <w:fldChar w:fldCharType="separate"/>
      </w:r>
      <w:r>
        <w:rPr>
          <w:rFonts w:hint="eastAsia" w:ascii="仿宋" w:hAnsi="仿宋" w:eastAsia="仿宋" w:cs="仿宋"/>
          <w:bCs/>
          <w:szCs w:val="44"/>
        </w:rPr>
        <w:t>职工带薪年休假条例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_Toc13616 </w:instrText>
      </w:r>
      <w:r>
        <w:rPr>
          <w:rFonts w:hint="eastAsia" w:ascii="仿宋" w:hAnsi="仿宋" w:eastAsia="仿宋" w:cs="仿宋"/>
        </w:rPr>
        <w:fldChar w:fldCharType="separate"/>
      </w:r>
      <w:r>
        <w:rPr>
          <w:rFonts w:hint="eastAsia" w:ascii="仿宋" w:hAnsi="仿宋" w:eastAsia="仿宋" w:cs="仿宋"/>
        </w:rPr>
        <w:t>1518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_Toc19254 </w:instrText>
      </w:r>
      <w:r>
        <w:rPr>
          <w:rFonts w:hint="eastAsia" w:ascii="仿宋" w:hAnsi="仿宋" w:eastAsia="仿宋" w:cs="仿宋"/>
          <w:szCs w:val="32"/>
          <w:lang w:eastAsia="zh-CN"/>
        </w:rPr>
        <w:fldChar w:fldCharType="separate"/>
      </w:r>
      <w:r>
        <w:rPr>
          <w:rFonts w:hint="eastAsia" w:ascii="仿宋" w:hAnsi="仿宋" w:eastAsia="仿宋" w:cs="仿宋"/>
          <w:bCs/>
          <w:szCs w:val="44"/>
        </w:rPr>
        <w:t>工伤保险条例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_Toc19254 </w:instrText>
      </w:r>
      <w:r>
        <w:rPr>
          <w:rFonts w:hint="eastAsia" w:ascii="仿宋" w:hAnsi="仿宋" w:eastAsia="仿宋" w:cs="仿宋"/>
        </w:rPr>
        <w:fldChar w:fldCharType="separate"/>
      </w:r>
      <w:r>
        <w:rPr>
          <w:rFonts w:hint="eastAsia" w:ascii="仿宋" w:hAnsi="仿宋" w:eastAsia="仿宋" w:cs="仿宋"/>
        </w:rPr>
        <w:t>1521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_Toc24704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中华人民共和国政府信息公开条例</w:t>
      </w:r>
      <w:r>
        <w:rPr>
          <w:rFonts w:hint="eastAsia" w:ascii="仿宋" w:hAnsi="仿宋" w:eastAsia="仿宋" w:cs="仿宋"/>
          <w:kern w:val="0"/>
          <w:szCs w:val="32"/>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_Toc24704 </w:instrText>
      </w:r>
      <w:r>
        <w:rPr>
          <w:rFonts w:hint="eastAsia" w:ascii="仿宋" w:hAnsi="仿宋" w:eastAsia="仿宋" w:cs="仿宋"/>
        </w:rPr>
        <w:fldChar w:fldCharType="separate"/>
      </w:r>
      <w:r>
        <w:rPr>
          <w:rFonts w:hint="eastAsia" w:ascii="仿宋" w:hAnsi="仿宋" w:eastAsia="仿宋" w:cs="仿宋"/>
        </w:rPr>
        <w:t>1541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_Toc24704 </w:instrText>
      </w:r>
      <w:r>
        <w:rPr>
          <w:rFonts w:hint="eastAsia" w:ascii="仿宋" w:hAnsi="仿宋" w:eastAsia="仿宋" w:cs="仿宋"/>
          <w:szCs w:val="32"/>
          <w:lang w:eastAsia="zh-CN"/>
        </w:rPr>
        <w:fldChar w:fldCharType="separate"/>
      </w:r>
      <w:r>
        <w:rPr>
          <w:rFonts w:hint="eastAsia" w:ascii="仿宋" w:hAnsi="仿宋" w:eastAsia="仿宋" w:cs="仿宋"/>
          <w:bCs/>
          <w:szCs w:val="44"/>
          <w:lang w:eastAsia="zh-CN"/>
        </w:rPr>
        <w:t>娱乐场所管理</w:t>
      </w:r>
      <w:r>
        <w:rPr>
          <w:rFonts w:hint="eastAsia" w:ascii="仿宋" w:hAnsi="仿宋" w:eastAsia="仿宋" w:cs="仿宋"/>
          <w:bCs/>
          <w:szCs w:val="44"/>
        </w:rPr>
        <w:t>条例</w:t>
      </w:r>
      <w:r>
        <w:rPr>
          <w:rFonts w:hint="eastAsia" w:ascii="仿宋" w:hAnsi="仿宋" w:eastAsia="仿宋" w:cs="仿宋"/>
          <w:kern w:val="0"/>
          <w:szCs w:val="32"/>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_Toc24704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56</w:t>
      </w:r>
    </w:p>
    <w:p>
      <w:pPr>
        <w:rPr>
          <w:rFonts w:hint="eastAsia"/>
          <w:lang w:eastAsia="zh-CN"/>
        </w:rPr>
      </w:pPr>
    </w:p>
    <w:p>
      <w:pPr>
        <w:pStyle w:val="14"/>
        <w:widowControl w:val="0"/>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三、司法解释</w:t>
      </w:r>
      <w:r>
        <w:rPr>
          <w:rFonts w:hint="eastAsia" w:ascii="黑体" w:hAnsi="黑体" w:eastAsia="黑体" w:cs="黑体"/>
          <w:color w:val="000000"/>
          <w:sz w:val="32"/>
          <w:szCs w:val="32"/>
          <w:highlight w:val="none"/>
          <w:lang w:val="en-US" w:eastAsia="zh-CN"/>
        </w:rPr>
        <w:t>和司法文件</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u w:val="none"/>
          <w:lang w:val="en-US" w:eastAsia="zh-CN"/>
        </w:rPr>
        <w:t>8</w:t>
      </w:r>
      <w:r>
        <w:rPr>
          <w:rFonts w:hint="eastAsia" w:ascii="黑体" w:hAnsi="黑体" w:eastAsia="黑体" w:cs="黑体"/>
          <w:color w:val="000000"/>
          <w:sz w:val="32"/>
          <w:szCs w:val="32"/>
          <w:lang w:val="en-US" w:eastAsia="zh-CN"/>
        </w:rPr>
        <w:t>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_Toc14077 </w:instrText>
      </w:r>
      <w:r>
        <w:rPr>
          <w:rFonts w:hint="eastAsia" w:ascii="仿宋" w:hAnsi="仿宋" w:eastAsia="仿宋" w:cs="仿宋"/>
          <w:szCs w:val="32"/>
          <w:lang w:eastAsia="zh-CN"/>
        </w:rPr>
        <w:fldChar w:fldCharType="separate"/>
      </w:r>
      <w:r>
        <w:rPr>
          <w:rFonts w:hint="eastAsia" w:ascii="仿宋" w:hAnsi="仿宋" w:eastAsia="仿宋" w:cs="仿宋"/>
          <w:bCs/>
          <w:szCs w:val="44"/>
        </w:rPr>
        <w:t>最高人民法院</w:t>
      </w:r>
      <w:r>
        <w:rPr>
          <w:rFonts w:hint="eastAsia" w:ascii="仿宋" w:hAnsi="仿宋" w:eastAsia="仿宋" w:cs="仿宋"/>
          <w:bCs/>
          <w:szCs w:val="44"/>
          <w:lang w:val="en-US" w:eastAsia="zh-CN"/>
        </w:rPr>
        <w:t xml:space="preserve"> </w:t>
      </w:r>
      <w:r>
        <w:rPr>
          <w:rFonts w:hint="eastAsia" w:ascii="仿宋" w:hAnsi="仿宋" w:eastAsia="仿宋" w:cs="仿宋"/>
          <w:bCs/>
          <w:szCs w:val="44"/>
        </w:rPr>
        <w:t>最高人民检察院</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_Toc23335 </w:instrText>
      </w:r>
      <w:r>
        <w:rPr>
          <w:rFonts w:hint="eastAsia" w:ascii="仿宋" w:hAnsi="仿宋" w:eastAsia="仿宋" w:cs="仿宋"/>
          <w:szCs w:val="32"/>
          <w:lang w:eastAsia="zh-CN"/>
        </w:rPr>
        <w:fldChar w:fldCharType="separate"/>
      </w:r>
      <w:r>
        <w:rPr>
          <w:rFonts w:hint="eastAsia" w:ascii="仿宋" w:hAnsi="仿宋" w:eastAsia="仿宋" w:cs="仿宋"/>
          <w:bCs/>
          <w:szCs w:val="44"/>
        </w:rPr>
        <w:t>关于办理妨害预防、控制突发传染病疫情等</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_Toc30652 </w:instrText>
      </w:r>
      <w:r>
        <w:rPr>
          <w:rFonts w:hint="eastAsia" w:ascii="仿宋" w:hAnsi="仿宋" w:eastAsia="仿宋" w:cs="仿宋"/>
          <w:szCs w:val="32"/>
          <w:lang w:eastAsia="zh-CN"/>
        </w:rPr>
        <w:fldChar w:fldCharType="separate"/>
      </w:r>
      <w:r>
        <w:rPr>
          <w:rFonts w:hint="eastAsia" w:ascii="仿宋" w:hAnsi="仿宋" w:eastAsia="仿宋" w:cs="仿宋"/>
          <w:bCs/>
          <w:szCs w:val="44"/>
        </w:rPr>
        <w:t>灾害的刑事案件具体应用法律若干问题的解释</w:t>
      </w:r>
      <w:r>
        <w:rPr>
          <w:rFonts w:hint="eastAsia" w:ascii="仿宋" w:hAnsi="仿宋" w:eastAsia="仿宋" w:cs="仿宋"/>
          <w:bCs/>
          <w:szCs w:val="44"/>
          <w:lang w:val="en-US" w:eastAsia="zh-CN"/>
        </w:rPr>
        <w:t xml:space="preserve"> </w:t>
      </w:r>
      <w:r>
        <w:rPr>
          <w:rFonts w:hint="eastAsia" w:ascii="仿宋" w:hAnsi="仿宋" w:eastAsia="仿宋" w:cs="仿宋"/>
          <w:szCs w:val="44"/>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_Toc30652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_Toc18165 </w:instrText>
      </w:r>
      <w:r>
        <w:rPr>
          <w:rFonts w:hint="eastAsia" w:ascii="仿宋" w:hAnsi="仿宋" w:eastAsia="仿宋" w:cs="仿宋"/>
          <w:szCs w:val="32"/>
          <w:lang w:eastAsia="zh-CN"/>
        </w:rPr>
        <w:fldChar w:fldCharType="separate"/>
      </w:r>
      <w:r>
        <w:rPr>
          <w:rFonts w:hint="eastAsia" w:ascii="仿宋" w:hAnsi="仿宋" w:eastAsia="仿宋" w:cs="仿宋"/>
          <w:bCs/>
          <w:szCs w:val="44"/>
          <w:lang w:val="zh-CN"/>
        </w:rPr>
        <w:t>最高人民法院关于审理破坏野生动物资源</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_Toc27086 </w:instrText>
      </w:r>
      <w:r>
        <w:rPr>
          <w:rFonts w:hint="eastAsia" w:ascii="仿宋" w:hAnsi="仿宋" w:eastAsia="仿宋" w:cs="仿宋"/>
          <w:szCs w:val="32"/>
          <w:lang w:eastAsia="zh-CN"/>
        </w:rPr>
        <w:fldChar w:fldCharType="separate"/>
      </w:r>
      <w:r>
        <w:rPr>
          <w:rFonts w:hint="eastAsia" w:ascii="仿宋" w:hAnsi="仿宋" w:eastAsia="仿宋" w:cs="仿宋"/>
          <w:bCs/>
          <w:szCs w:val="44"/>
          <w:lang w:val="zh-CN"/>
        </w:rPr>
        <w:t>刑事案件具体应用法律若干问题的解释</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1576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_Toc4452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最高人民法院 最高人民检察院</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_Toc25900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关于办理生产、销售伪劣商品刑事案件</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_Toc22887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 xml:space="preserve">具体应用法律若干问题的解释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1580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_Toc113 </w:instrText>
      </w:r>
      <w:r>
        <w:rPr>
          <w:rFonts w:hint="eastAsia" w:ascii="仿宋" w:hAnsi="仿宋" w:eastAsia="仿宋" w:cs="仿宋"/>
          <w:szCs w:val="32"/>
          <w:lang w:eastAsia="zh-CN"/>
        </w:rPr>
        <w:fldChar w:fldCharType="separate"/>
      </w:r>
      <w:r>
        <w:rPr>
          <w:rFonts w:hint="eastAsia" w:ascii="仿宋" w:hAnsi="仿宋" w:eastAsia="仿宋" w:cs="仿宋"/>
          <w:szCs w:val="44"/>
        </w:rPr>
        <w:t>最高人民法院</w:t>
      </w:r>
      <w:r>
        <w:rPr>
          <w:rFonts w:hint="eastAsia" w:ascii="仿宋" w:hAnsi="仿宋" w:eastAsia="仿宋" w:cs="仿宋"/>
          <w:szCs w:val="44"/>
          <w:lang w:val="en-US" w:eastAsia="zh-CN"/>
        </w:rPr>
        <w:t xml:space="preserve"> </w:t>
      </w:r>
      <w:r>
        <w:rPr>
          <w:rFonts w:hint="eastAsia" w:ascii="仿宋" w:hAnsi="仿宋" w:eastAsia="仿宋" w:cs="仿宋"/>
          <w:szCs w:val="44"/>
        </w:rPr>
        <w:t>最高人民检察院</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_Toc18645 </w:instrText>
      </w:r>
      <w:r>
        <w:rPr>
          <w:rFonts w:hint="eastAsia" w:ascii="仿宋" w:hAnsi="仿宋" w:eastAsia="仿宋" w:cs="仿宋"/>
          <w:szCs w:val="32"/>
          <w:lang w:eastAsia="zh-CN"/>
        </w:rPr>
        <w:fldChar w:fldCharType="separate"/>
      </w:r>
      <w:r>
        <w:rPr>
          <w:rFonts w:hint="eastAsia" w:ascii="仿宋" w:hAnsi="仿宋" w:eastAsia="仿宋" w:cs="仿宋"/>
          <w:szCs w:val="44"/>
        </w:rPr>
        <w:t>关于办理利用信息网络实施诽谤等刑事案件</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_Toc7446 </w:instrText>
      </w:r>
      <w:r>
        <w:rPr>
          <w:rFonts w:hint="eastAsia" w:ascii="仿宋" w:hAnsi="仿宋" w:eastAsia="仿宋" w:cs="仿宋"/>
          <w:szCs w:val="32"/>
          <w:lang w:eastAsia="zh-CN"/>
        </w:rPr>
        <w:fldChar w:fldCharType="separate"/>
      </w:r>
      <w:r>
        <w:rPr>
          <w:rFonts w:hint="eastAsia" w:ascii="仿宋" w:hAnsi="仿宋" w:eastAsia="仿宋" w:cs="仿宋"/>
          <w:szCs w:val="44"/>
        </w:rPr>
        <w:t>适用法律若干问题的解释</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1585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_Toc9784 </w:instrText>
      </w:r>
      <w:r>
        <w:rPr>
          <w:rFonts w:hint="eastAsia" w:ascii="仿宋" w:hAnsi="仿宋" w:eastAsia="仿宋" w:cs="仿宋"/>
          <w:szCs w:val="32"/>
          <w:lang w:eastAsia="zh-CN"/>
        </w:rPr>
        <w:fldChar w:fldCharType="separate"/>
      </w:r>
      <w:r>
        <w:rPr>
          <w:rFonts w:hint="eastAsia" w:ascii="仿宋" w:hAnsi="仿宋" w:eastAsia="仿宋" w:cs="仿宋"/>
          <w:szCs w:val="44"/>
        </w:rPr>
        <w:t>最高人民法院关于审理利用信息网络侵害人身权益民事纠纷案件适用法律若干问题的规定</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1589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_Toc3727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shd w:val="clear" w:color="050000" w:fill="FFFFFF"/>
        </w:rPr>
        <w:t>最高人民法院 最高人民检察院 公安部 司法部关于依法惩治妨害新型冠状病毒感染肺炎</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_Toc18948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shd w:val="clear" w:color="050000" w:fill="FFFFFF"/>
        </w:rPr>
        <w:t>疫情防控违法犯罪的意见</w:t>
      </w:r>
      <w:r>
        <w:rPr>
          <w:rFonts w:hint="eastAsia" w:ascii="仿宋" w:hAnsi="仿宋" w:eastAsia="仿宋" w:cs="仿宋"/>
          <w:i w:val="0"/>
          <w:caps w:val="0"/>
          <w:spacing w:val="0"/>
          <w:szCs w:val="44"/>
          <w:shd w:val="clear" w:color="050000" w:fill="FFFFFF"/>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1596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_Toc31523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shd w:val="clear" w:color="050000" w:fill="FFFFFF"/>
        </w:rPr>
        <w:t>最高人民法院 最高人民检察院 公安部 司法部 海关总署关于进一步加强国境卫生检疫工作 依法惩治妨害国境卫生检疫违法犯罪的意见</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1605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t>【新增</w:t>
      </w:r>
      <w:r>
        <w:rPr>
          <w:rFonts w:hint="eastAsia" w:ascii="仿宋" w:hAnsi="仿宋" w:eastAsia="仿宋" w:cs="仿宋"/>
          <w:color w:val="000000"/>
          <w:szCs w:val="32"/>
          <w:lang w:val="en-US" w:eastAsia="zh-CN"/>
        </w:rPr>
        <w:t>1件</w:t>
      </w:r>
      <w:r>
        <w:rPr>
          <w:rFonts w:hint="eastAsia" w:ascii="仿宋" w:hAnsi="仿宋" w:eastAsia="仿宋" w:cs="仿宋"/>
          <w:color w:val="000000"/>
          <w:szCs w:val="32"/>
          <w:lang w:eastAsia="zh-CN"/>
        </w:rPr>
        <w:t>】</w:t>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_Toc31523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shd w:val="clear" w:color="050000" w:fill="FFFFFF"/>
        </w:rPr>
        <w:t>最高人民法院关于</w:t>
      </w:r>
      <w:r>
        <w:rPr>
          <w:rFonts w:hint="eastAsia" w:ascii="仿宋" w:hAnsi="仿宋" w:eastAsia="仿宋" w:cs="仿宋"/>
          <w:i w:val="0"/>
          <w:caps w:val="0"/>
          <w:spacing w:val="0"/>
          <w:szCs w:val="44"/>
          <w:shd w:val="clear" w:color="050000" w:fill="FFFFFF"/>
          <w:lang w:eastAsia="zh-CN"/>
        </w:rPr>
        <w:t>适用《中华人民共和国民法典》时间效力的若干规定</w:t>
      </w:r>
      <w:r>
        <w:rPr>
          <w:rFonts w:hint="eastAsia" w:ascii="仿宋" w:hAnsi="仿宋" w:eastAsia="仿宋" w:cs="仿宋"/>
        </w:rPr>
        <w:tab/>
      </w:r>
      <w:r>
        <w:rPr>
          <w:rFonts w:hint="eastAsia" w:ascii="仿宋" w:hAnsi="仿宋" w:eastAsia="仿宋" w:cs="仿宋"/>
          <w:lang w:val="en-US" w:eastAsia="zh-CN"/>
        </w:rPr>
        <w:t xml:space="preserve"> 1</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val="en-US" w:eastAsia="zh-CN"/>
        </w:rPr>
        <w:t>610</w:t>
      </w:r>
    </w:p>
    <w:p>
      <w:pPr>
        <w:rPr>
          <w:rFonts w:hint="eastAsia"/>
          <w:lang w:eastAsia="zh-CN"/>
        </w:rPr>
      </w:pPr>
    </w:p>
    <w:p>
      <w:pPr>
        <w:pStyle w:val="14"/>
        <w:widowControl w:val="0"/>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【新增4件】四、部门规章和规范性文件（46部）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_Toc14973 </w:instrText>
      </w:r>
      <w:r>
        <w:rPr>
          <w:rFonts w:hint="eastAsia" w:ascii="仿宋" w:hAnsi="仿宋" w:eastAsia="仿宋" w:cs="仿宋"/>
          <w:szCs w:val="32"/>
          <w:lang w:eastAsia="zh-CN"/>
        </w:rPr>
        <w:fldChar w:fldCharType="separate"/>
      </w:r>
      <w:r>
        <w:rPr>
          <w:rFonts w:hint="eastAsia" w:ascii="仿宋" w:hAnsi="仿宋" w:eastAsia="仿宋" w:cs="仿宋"/>
          <w:bCs/>
          <w:szCs w:val="44"/>
        </w:rPr>
        <w:t>国境口岸突发公共卫生事件出入境检验</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_Toc19642 </w:instrText>
      </w:r>
      <w:r>
        <w:rPr>
          <w:rFonts w:hint="eastAsia" w:ascii="仿宋" w:hAnsi="仿宋" w:eastAsia="仿宋" w:cs="仿宋"/>
          <w:szCs w:val="32"/>
          <w:lang w:eastAsia="zh-CN"/>
        </w:rPr>
        <w:fldChar w:fldCharType="separate"/>
      </w:r>
      <w:r>
        <w:rPr>
          <w:rFonts w:hint="eastAsia" w:ascii="仿宋" w:hAnsi="仿宋" w:eastAsia="仿宋" w:cs="仿宋"/>
          <w:bCs/>
          <w:szCs w:val="44"/>
        </w:rPr>
        <w:t>检疫应急处理规定</w:t>
      </w:r>
      <w:r>
        <w:rPr>
          <w:rFonts w:hint="eastAsia" w:ascii="仿宋" w:hAnsi="仿宋" w:eastAsia="仿宋" w:cs="仿宋"/>
          <w:bCs/>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1616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_Toc3031 </w:instrText>
      </w:r>
      <w:r>
        <w:rPr>
          <w:rFonts w:hint="eastAsia" w:ascii="仿宋" w:hAnsi="仿宋" w:eastAsia="仿宋" w:cs="仿宋"/>
          <w:szCs w:val="32"/>
          <w:lang w:eastAsia="zh-CN"/>
        </w:rPr>
        <w:fldChar w:fldCharType="separate"/>
      </w:r>
      <w:r>
        <w:rPr>
          <w:rFonts w:hint="eastAsia" w:ascii="仿宋" w:hAnsi="仿宋" w:eastAsia="仿宋" w:cs="仿宋"/>
          <w:szCs w:val="44"/>
        </w:rPr>
        <w:t>动物检疫管理办法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1625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_Toc30969 </w:instrText>
      </w:r>
      <w:r>
        <w:rPr>
          <w:rFonts w:hint="eastAsia" w:ascii="仿宋" w:hAnsi="仿宋" w:eastAsia="仿宋" w:cs="仿宋"/>
          <w:szCs w:val="32"/>
          <w:lang w:eastAsia="zh-CN"/>
        </w:rPr>
        <w:fldChar w:fldCharType="separate"/>
      </w:r>
      <w:r>
        <w:rPr>
          <w:rFonts w:hint="eastAsia" w:ascii="仿宋" w:hAnsi="仿宋" w:eastAsia="仿宋" w:cs="仿宋"/>
          <w:szCs w:val="44"/>
        </w:rPr>
        <w:t>出入境邮轮检疫管理办法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1639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_Toc20053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企业职工带薪年休假实施办法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1652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_Toc25445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突发公共卫生事件与传染病疫情监测</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_Toc25209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信息报告管理办法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1656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_Toc29023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医疗机构传染病预检分诊管理办法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1669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_Toc2938 </w:instrText>
      </w:r>
      <w:r>
        <w:rPr>
          <w:rFonts w:hint="eastAsia" w:ascii="仿宋" w:hAnsi="仿宋" w:eastAsia="仿宋" w:cs="仿宋"/>
          <w:szCs w:val="32"/>
          <w:lang w:eastAsia="zh-CN"/>
        </w:rPr>
        <w:fldChar w:fldCharType="separate"/>
      </w:r>
      <w:r>
        <w:rPr>
          <w:rFonts w:hint="eastAsia" w:ascii="仿宋" w:hAnsi="仿宋" w:eastAsia="仿宋" w:cs="仿宋"/>
          <w:szCs w:val="44"/>
        </w:rPr>
        <w:t>医院感染管理办法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1672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_Toc26420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突发公共卫生事件交通应急规定</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1683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_Toc6808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国家突发公共事件总体应急预案</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1700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_Toc7842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国家突发公共事件医疗卫生救援应急预案</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1711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_Toc8725 </w:instrText>
      </w:r>
      <w:r>
        <w:rPr>
          <w:rFonts w:hint="eastAsia" w:ascii="仿宋" w:hAnsi="仿宋" w:eastAsia="仿宋" w:cs="仿宋"/>
          <w:szCs w:val="32"/>
          <w:lang w:eastAsia="zh-CN"/>
        </w:rPr>
        <w:fldChar w:fldCharType="separate"/>
      </w:r>
      <w:r>
        <w:rPr>
          <w:rFonts w:hint="eastAsia" w:ascii="仿宋" w:hAnsi="仿宋" w:eastAsia="仿宋" w:cs="仿宋"/>
          <w:szCs w:val="44"/>
        </w:rPr>
        <w:t>公共场所卫生管理条例实施细则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_Toc8725 </w:instrText>
      </w:r>
      <w:r>
        <w:rPr>
          <w:rFonts w:hint="eastAsia" w:ascii="仿宋" w:hAnsi="仿宋" w:eastAsia="仿宋" w:cs="仿宋"/>
        </w:rPr>
        <w:fldChar w:fldCharType="separate"/>
      </w:r>
      <w:r>
        <w:rPr>
          <w:rFonts w:hint="eastAsia" w:ascii="仿宋" w:hAnsi="仿宋" w:eastAsia="仿宋" w:cs="仿宋"/>
        </w:rPr>
        <w:t>172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_Toc27255 </w:instrText>
      </w:r>
      <w:r>
        <w:rPr>
          <w:rFonts w:hint="eastAsia" w:ascii="仿宋" w:hAnsi="仿宋" w:eastAsia="仿宋" w:cs="仿宋"/>
          <w:szCs w:val="32"/>
          <w:lang w:eastAsia="zh-CN"/>
        </w:rPr>
        <w:fldChar w:fldCharType="separate"/>
      </w:r>
      <w:r>
        <w:rPr>
          <w:rFonts w:hint="eastAsia" w:ascii="仿宋" w:hAnsi="仿宋" w:eastAsia="仿宋" w:cs="仿宋"/>
          <w:szCs w:val="44"/>
        </w:rPr>
        <w:t>消毒管理办法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1737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_Toc21713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中华人民共和国国家卫生健康委员会</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_Toc22583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公告</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_Toc8151 </w:instrText>
      </w:r>
      <w:r>
        <w:rPr>
          <w:rFonts w:hint="eastAsia" w:ascii="仿宋" w:hAnsi="仿宋" w:eastAsia="仿宋" w:cs="仿宋"/>
          <w:szCs w:val="32"/>
          <w:lang w:eastAsia="zh-CN"/>
        </w:rPr>
        <w:fldChar w:fldCharType="separate"/>
      </w:r>
      <w:r>
        <w:rPr>
          <w:rFonts w:hint="eastAsia" w:ascii="仿宋" w:hAnsi="仿宋" w:eastAsia="仿宋" w:cs="仿宋"/>
          <w:kern w:val="2"/>
          <w:szCs w:val="32"/>
          <w:lang w:val="en-US" w:eastAsia="zh-CN" w:bidi="ar-SA"/>
        </w:rPr>
        <w:t xml:space="preserve">2020年第1号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1746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_Toc18417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国家卫生健康委办公厅关于加强新型冠状病毒感染的肺炎重症病例医疗救治工作的通知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_Toc18417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_Toc13672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人力资源社会保障部 财政部 国家卫生健康委关于因履行工作职责感染新型冠状病毒肺炎的医护及相关工作人员有关保障问题的通知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1750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_Toc21409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国家卫生健康委办公厅 民政部办公厅 公安部办公厅关于印发新型冠状病毒感染的肺炎患者遗体处置工作指引(试行)的通知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1752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_Toc15685 </w:instrText>
      </w:r>
      <w:r>
        <w:rPr>
          <w:rFonts w:hint="eastAsia" w:ascii="仿宋" w:hAnsi="仿宋" w:eastAsia="仿宋" w:cs="仿宋"/>
          <w:szCs w:val="32"/>
          <w:lang w:eastAsia="zh-CN"/>
        </w:rPr>
        <w:fldChar w:fldCharType="separate"/>
      </w:r>
      <w:r>
        <w:rPr>
          <w:rFonts w:hint="eastAsia" w:ascii="仿宋" w:hAnsi="仿宋" w:eastAsia="仿宋" w:cs="仿宋"/>
          <w:szCs w:val="44"/>
        </w:rPr>
        <w:t>中央应对新型冠状病毒感染肺炎疫情工作领导小组关于全面落实进一步保护关心爱护医务人员若干措施的通知</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1758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_Toc2781 </w:instrText>
      </w:r>
      <w:r>
        <w:rPr>
          <w:rFonts w:hint="eastAsia" w:ascii="仿宋" w:hAnsi="仿宋" w:eastAsia="仿宋" w:cs="仿宋"/>
          <w:szCs w:val="32"/>
          <w:lang w:eastAsia="zh-CN"/>
        </w:rPr>
        <w:fldChar w:fldCharType="separate"/>
      </w:r>
      <w:r>
        <w:rPr>
          <w:rFonts w:hint="eastAsia" w:ascii="仿宋" w:hAnsi="仿宋" w:eastAsia="仿宋" w:cs="仿宋"/>
          <w:szCs w:val="44"/>
        </w:rPr>
        <w:t>国务院应对新型冠状病毒肺炎疫情联防联控机制关于进一步推进分区分级恢复正常医疗服务工作的通知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1762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_Toc15421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财政部 国家卫生健康委 国家医疗保障局 国家中医药管理局关于印发基本公共卫生服务等5项补助资金管理办法的通知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1767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_Toc27798 </w:instrText>
      </w:r>
      <w:r>
        <w:rPr>
          <w:rFonts w:hint="eastAsia" w:ascii="仿宋" w:hAnsi="仿宋" w:eastAsia="仿宋" w:cs="仿宋"/>
          <w:szCs w:val="32"/>
          <w:lang w:eastAsia="zh-CN"/>
        </w:rPr>
        <w:fldChar w:fldCharType="separate"/>
      </w:r>
      <w:r>
        <w:rPr>
          <w:rFonts w:hint="eastAsia" w:ascii="仿宋" w:hAnsi="仿宋" w:eastAsia="仿宋" w:cs="仿宋"/>
          <w:bCs/>
          <w:szCs w:val="44"/>
        </w:rPr>
        <w:t>国家医疗保障局 财政部关于做好</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_Toc5459 </w:instrText>
      </w:r>
      <w:r>
        <w:rPr>
          <w:rFonts w:hint="eastAsia" w:ascii="仿宋" w:hAnsi="仿宋" w:eastAsia="仿宋" w:cs="仿宋"/>
          <w:szCs w:val="32"/>
          <w:lang w:eastAsia="zh-CN"/>
        </w:rPr>
        <w:fldChar w:fldCharType="separate"/>
      </w:r>
      <w:r>
        <w:rPr>
          <w:rFonts w:hint="eastAsia" w:ascii="仿宋" w:hAnsi="仿宋" w:eastAsia="仿宋" w:cs="仿宋"/>
          <w:bCs/>
          <w:szCs w:val="44"/>
        </w:rPr>
        <w:t>新型冠状病毒感染的肺炎疫情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_Toc6195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医疗保障的通知</w:t>
      </w:r>
      <w:r>
        <w:rPr>
          <w:rFonts w:hint="eastAsia" w:ascii="仿宋" w:hAnsi="仿宋" w:eastAsia="仿宋" w:cs="仿宋"/>
          <w:bCs/>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1789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val="en-US" w:eastAsia="zh-CN"/>
        </w:rPr>
        <w:t>国务院</w:t>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_Toc22779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highlight w:val="none"/>
          <w:lang w:val="en-US" w:eastAsia="zh-CN" w:bidi="ar-SA"/>
        </w:rPr>
        <w:t>应对新型冠状病毒感染的肺炎疫情联防联控工作机制关</w:t>
      </w:r>
      <w:r>
        <w:rPr>
          <w:rFonts w:hint="eastAsia" w:ascii="仿宋" w:hAnsi="仿宋" w:eastAsia="仿宋" w:cs="仿宋"/>
          <w:bCs/>
          <w:kern w:val="44"/>
          <w:szCs w:val="44"/>
          <w:lang w:val="en-US" w:eastAsia="zh-CN" w:bidi="ar-SA"/>
        </w:rPr>
        <w:t>于严格预防通过交通工具传播新型冠状病毒感染的肺炎的通知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1791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_Toc14429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国家卫生健康委办公厅关于进一步加强县域新型冠状病毒感染的肺炎医疗救治工作的通知</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1795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_Toc31541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民政部 国家卫生健康委</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_Toc32039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关于进一步动员城乡社区组织开展新型冠状病毒感染的肺炎疫情防控工作的紧急通知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1798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_Toc3987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国务院应对新型冠状病毒感染的肺炎疫情联防联控机制关于进一步做好农村地区新型冠状病毒感染的肺炎疫情防控工作的通知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1804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_Toc26746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国家卫生健康委基层司</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_Toc25202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关于进一步做好基层医疗卫生机构防控新型</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_Toc1778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 xml:space="preserve">冠状病毒感染的肺炎疫情工作的通知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1807</w:t>
      </w:r>
    </w:p>
    <w:p>
      <w:pPr>
        <w:pStyle w:val="14"/>
        <w:widowControl w:val="0"/>
        <w:tabs>
          <w:tab w:val="right" w:leader="dot" w:pos="8788"/>
        </w:tabs>
        <w:wordWrap/>
        <w:adjustRightInd/>
        <w:snapToGrid/>
        <w:spacing w:line="560" w:lineRule="exact"/>
        <w:ind w:left="640" w:leftChars="0" w:hanging="640" w:hangingChars="200"/>
        <w:textAlignment w:val="auto"/>
        <w:outlineLvl w:val="9"/>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_Toc16617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lang w:val="en-US" w:eastAsia="zh-CN"/>
        </w:rPr>
        <w:t>中国人民银行 财政部 银保监会 证监会 外汇局</w:t>
      </w:r>
      <w:r>
        <w:rPr>
          <w:rFonts w:hint="eastAsia" w:ascii="仿宋" w:hAnsi="仿宋" w:eastAsia="仿宋" w:cs="仿宋"/>
          <w:bCs/>
          <w:i w:val="0"/>
          <w:caps w:val="0"/>
          <w:spacing w:val="0"/>
          <w:szCs w:val="44"/>
          <w:shd w:val="clear" w:color="060000" w:fill="FFFFFF"/>
        </w:rPr>
        <w:t>关于进一步强化金融支持防控新型冠状病毒感染肺炎疫情的通知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1810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_Toc16525 </w:instrText>
      </w:r>
      <w:r>
        <w:rPr>
          <w:rFonts w:hint="eastAsia" w:ascii="仿宋" w:hAnsi="仿宋" w:eastAsia="仿宋" w:cs="仿宋"/>
          <w:szCs w:val="32"/>
          <w:lang w:eastAsia="zh-CN"/>
        </w:rPr>
        <w:fldChar w:fldCharType="separate"/>
      </w:r>
      <w:r>
        <w:rPr>
          <w:rFonts w:hint="eastAsia" w:ascii="仿宋" w:hAnsi="仿宋" w:eastAsia="仿宋" w:cs="仿宋"/>
          <w:kern w:val="0"/>
          <w:szCs w:val="44"/>
          <w:highlight w:val="none"/>
          <w:lang w:val="en-US" w:eastAsia="zh-CN"/>
        </w:rPr>
        <w:t>生态环境部办公厅关</w:t>
      </w:r>
      <w:r>
        <w:rPr>
          <w:rFonts w:hint="eastAsia" w:ascii="仿宋" w:hAnsi="仿宋" w:eastAsia="仿宋" w:cs="仿宋"/>
          <w:kern w:val="0"/>
          <w:szCs w:val="44"/>
          <w:lang w:val="en-US" w:eastAsia="zh-CN"/>
        </w:rPr>
        <w:t>于做好新型冠状病毒</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_Toc3386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感染的肺炎疫情医疗污水和城镇污水监管工作</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_Toc2006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1820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_Toc27596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国务院应对新型冠状病毒肺炎疫情联防联控机制关于依法科学精准做好新冠肺炎疫情防控工作的通知</w:t>
      </w:r>
      <w:r>
        <w:rPr>
          <w:rFonts w:hint="eastAsia" w:ascii="仿宋" w:hAnsi="仿宋" w:eastAsia="仿宋" w:cs="仿宋"/>
          <w:bCs/>
          <w:i w:val="0"/>
          <w:caps w:val="0"/>
          <w:spacing w:val="0"/>
          <w:szCs w:val="44"/>
          <w:shd w:val="clear" w:color="060000" w:fill="FFFFFF"/>
          <w:lang w:val="en-US" w:eastAsia="zh-CN"/>
        </w:rPr>
        <w:t xml:space="preserve"> </w:t>
      </w:r>
      <w:r>
        <w:rPr>
          <w:rFonts w:hint="eastAsia" w:ascii="仿宋" w:hAnsi="仿宋" w:eastAsia="仿宋" w:cs="仿宋"/>
          <w:i w:val="0"/>
          <w:caps w:val="0"/>
          <w:spacing w:val="0"/>
          <w:szCs w:val="32"/>
          <w:shd w:val="clear" w:color="050000" w:fill="FFFFFF"/>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1829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_Toc9080 </w:instrText>
      </w:r>
      <w:r>
        <w:rPr>
          <w:rFonts w:hint="eastAsia" w:ascii="仿宋" w:hAnsi="仿宋" w:eastAsia="仿宋" w:cs="仿宋"/>
          <w:szCs w:val="32"/>
          <w:lang w:eastAsia="zh-CN"/>
        </w:rPr>
        <w:fldChar w:fldCharType="separate"/>
      </w:r>
      <w:r>
        <w:rPr>
          <w:rFonts w:hint="eastAsia" w:ascii="仿宋" w:hAnsi="仿宋" w:eastAsia="仿宋" w:cs="仿宋"/>
          <w:szCs w:val="44"/>
        </w:rPr>
        <w:t>国务院应对新型冠状病毒肺炎疫情联防联控机制关于印发公众科学戴口罩指引</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_Toc29945 </w:instrText>
      </w:r>
      <w:r>
        <w:rPr>
          <w:rFonts w:hint="eastAsia" w:ascii="仿宋" w:hAnsi="仿宋" w:eastAsia="仿宋" w:cs="仿宋"/>
          <w:szCs w:val="32"/>
          <w:lang w:eastAsia="zh-CN"/>
        </w:rPr>
        <w:fldChar w:fldCharType="separate"/>
      </w:r>
      <w:r>
        <w:rPr>
          <w:rFonts w:hint="eastAsia" w:ascii="仿宋" w:hAnsi="仿宋" w:eastAsia="仿宋" w:cs="仿宋"/>
          <w:szCs w:val="44"/>
        </w:rPr>
        <w:t>的通知</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1908</w:t>
      </w:r>
    </w:p>
    <w:p>
      <w:pPr>
        <w:widowControl w:val="0"/>
        <w:wordWrap/>
        <w:adjustRightInd/>
        <w:snapToGrid/>
        <w:spacing w:line="560" w:lineRule="exact"/>
        <w:textAlignment w:val="auto"/>
        <w:rPr>
          <w:rFonts w:hint="eastAsia" w:ascii="仿宋" w:hAnsi="仿宋" w:eastAsia="仿宋" w:cs="仿宋"/>
          <w:kern w:val="2"/>
          <w:sz w:val="32"/>
          <w:szCs w:val="44"/>
          <w:lang w:val="en-US" w:eastAsia="zh-CN" w:bidi="ar-SA"/>
        </w:rPr>
      </w:pPr>
      <w:r>
        <w:rPr>
          <w:rFonts w:hint="eastAsia" w:ascii="仿宋" w:hAnsi="仿宋" w:eastAsia="仿宋" w:cs="仿宋"/>
          <w:b/>
          <w:bCs/>
          <w:kern w:val="2"/>
          <w:sz w:val="32"/>
          <w:szCs w:val="44"/>
          <w:lang w:val="en-US" w:eastAsia="zh-CN" w:bidi="ar-SA"/>
        </w:rPr>
        <w:t>（新增）</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 w:hAnsi="仿宋" w:eastAsia="仿宋" w:cs="仿宋"/>
          <w:kern w:val="2"/>
          <w:sz w:val="32"/>
          <w:szCs w:val="44"/>
          <w:lang w:val="en-US" w:eastAsia="zh-CN" w:bidi="ar-SA"/>
        </w:rPr>
        <w:t>关于进一步做好冷链食品追溯管理工作的通知1912</w:t>
      </w:r>
    </w:p>
    <w:p>
      <w:pPr>
        <w:pStyle w:val="4"/>
        <w:widowControl w:val="0"/>
        <w:wordWrap/>
        <w:adjustRightInd/>
        <w:snapToGrid/>
        <w:spacing w:line="560" w:lineRule="exact"/>
        <w:ind w:left="1928" w:hanging="1928" w:hangingChars="600"/>
        <w:textAlignment w:val="auto"/>
        <w:rPr>
          <w:rFonts w:hint="eastAsia" w:ascii="仿宋" w:hAnsi="仿宋" w:eastAsia="仿宋" w:cs="仿宋"/>
          <w:b w:val="0"/>
          <w:bCs w:val="0"/>
          <w:kern w:val="2"/>
          <w:sz w:val="32"/>
          <w:szCs w:val="44"/>
          <w:lang w:val="en-US" w:eastAsia="zh-CN" w:bidi="ar-SA"/>
        </w:rPr>
      </w:pPr>
      <w:r>
        <w:rPr>
          <w:rFonts w:hint="eastAsia" w:ascii="仿宋" w:hAnsi="仿宋" w:eastAsia="仿宋" w:cs="仿宋"/>
          <w:kern w:val="2"/>
          <w:sz w:val="32"/>
          <w:szCs w:val="44"/>
          <w:lang w:val="en-US" w:eastAsia="zh-CN" w:bidi="ar-SA"/>
        </w:rPr>
        <w:t>（新增）</w:t>
      </w:r>
      <w:r>
        <w:rPr>
          <w:rFonts w:hint="eastAsia" w:ascii="仿宋_GB2312" w:hAnsi="仿宋_GB2312" w:eastAsia="仿宋_GB2312" w:cs="仿宋_GB2312"/>
          <w:b w:val="0"/>
          <w:bCs w:val="0"/>
          <w:sz w:val="32"/>
          <w:szCs w:val="32"/>
          <w:lang w:val="en-US" w:eastAsia="zh-CN"/>
        </w:rPr>
        <w:t>国务院应对新型冠状病毒肺炎疫情联防联控机制</w:t>
      </w:r>
      <w:r>
        <w:rPr>
          <w:rFonts w:hint="eastAsia" w:ascii="仿宋_GB2312" w:hAnsi="仿宋_GB2312" w:cs="仿宋_GB2312"/>
          <w:b w:val="0"/>
          <w:bCs w:val="0"/>
          <w:sz w:val="32"/>
          <w:szCs w:val="32"/>
          <w:lang w:val="en-US" w:eastAsia="zh-CN"/>
        </w:rPr>
        <w:t>医疗救治</w:t>
      </w:r>
      <w:r>
        <w:rPr>
          <w:rFonts w:hint="eastAsia" w:ascii="仿宋_GB2312" w:hAnsi="仿宋_GB2312" w:eastAsia="仿宋_GB2312" w:cs="仿宋_GB2312"/>
          <w:b w:val="0"/>
          <w:bCs w:val="0"/>
          <w:sz w:val="32"/>
          <w:szCs w:val="32"/>
          <w:lang w:val="en-US" w:eastAsia="zh-CN"/>
        </w:rPr>
        <w:t>组</w:t>
      </w:r>
      <w:r>
        <w:rPr>
          <w:rFonts w:hint="eastAsia" w:ascii="仿宋" w:hAnsi="仿宋" w:eastAsia="仿宋" w:cs="仿宋"/>
          <w:b w:val="0"/>
          <w:bCs w:val="0"/>
          <w:kern w:val="2"/>
          <w:sz w:val="32"/>
          <w:szCs w:val="44"/>
          <w:lang w:val="en-US" w:eastAsia="zh-CN" w:bidi="ar-SA"/>
        </w:rPr>
        <w:t>关于保障群众基本就医需求并做好医疗机构感染防控工作的通知1916</w:t>
      </w:r>
    </w:p>
    <w:p>
      <w:pPr>
        <w:widowControl w:val="0"/>
        <w:wordWrap/>
        <w:adjustRightInd/>
        <w:snapToGrid/>
        <w:spacing w:line="560" w:lineRule="exact"/>
        <w:ind w:left="1928" w:hanging="1928" w:hangingChars="600"/>
        <w:textAlignment w:val="auto"/>
        <w:rPr>
          <w:rFonts w:hint="eastAsia" w:ascii="仿宋" w:hAnsi="仿宋" w:eastAsia="仿宋" w:cs="仿宋"/>
          <w:b w:val="0"/>
          <w:bCs w:val="0"/>
          <w:kern w:val="2"/>
          <w:sz w:val="32"/>
          <w:szCs w:val="44"/>
          <w:lang w:val="en-US" w:eastAsia="zh-CN" w:bidi="ar-SA"/>
        </w:rPr>
      </w:pPr>
      <w:r>
        <w:rPr>
          <w:rFonts w:hint="eastAsia" w:ascii="仿宋" w:hAnsi="仿宋" w:eastAsia="仿宋" w:cs="仿宋"/>
          <w:b/>
          <w:bCs/>
          <w:kern w:val="2"/>
          <w:sz w:val="32"/>
          <w:szCs w:val="44"/>
          <w:lang w:val="en-US" w:eastAsia="zh-CN" w:bidi="ar-SA"/>
        </w:rPr>
        <w:t>（新增）</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 w:hAnsi="仿宋" w:eastAsia="仿宋" w:cs="仿宋"/>
          <w:b w:val="0"/>
          <w:bCs w:val="0"/>
          <w:kern w:val="2"/>
          <w:sz w:val="32"/>
          <w:szCs w:val="44"/>
          <w:lang w:val="en-US" w:eastAsia="zh-CN" w:bidi="ar-SA"/>
        </w:rPr>
        <w:t>关于印发全员新型冠状病毒核酸检测组织实施指南的通知1919</w:t>
      </w:r>
    </w:p>
    <w:p>
      <w:pPr>
        <w:widowControl w:val="0"/>
        <w:wordWrap/>
        <w:adjustRightInd/>
        <w:snapToGrid/>
        <w:spacing w:line="560" w:lineRule="exact"/>
        <w:ind w:left="1928" w:hanging="1928" w:hangingChars="600"/>
        <w:textAlignment w:val="auto"/>
        <w:rPr>
          <w:rFonts w:hint="eastAsia" w:ascii="仿宋" w:hAnsi="仿宋" w:eastAsia="仿宋" w:cs="仿宋"/>
          <w:b w:val="0"/>
          <w:bCs w:val="0"/>
          <w:kern w:val="2"/>
          <w:sz w:val="32"/>
          <w:szCs w:val="44"/>
          <w:lang w:val="en-US" w:eastAsia="zh-CN" w:bidi="ar-SA"/>
        </w:rPr>
      </w:pPr>
      <w:r>
        <w:rPr>
          <w:rFonts w:hint="eastAsia" w:ascii="仿宋" w:hAnsi="仿宋" w:eastAsia="仿宋" w:cs="仿宋"/>
          <w:b/>
          <w:bCs/>
          <w:kern w:val="2"/>
          <w:sz w:val="32"/>
          <w:szCs w:val="44"/>
          <w:lang w:val="en-US" w:eastAsia="zh-CN" w:bidi="ar-SA"/>
        </w:rPr>
        <w:t>（新增）</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 w:hAnsi="仿宋" w:eastAsia="仿宋" w:cs="仿宋"/>
          <w:b w:val="0"/>
          <w:bCs w:val="0"/>
          <w:kern w:val="2"/>
          <w:sz w:val="32"/>
          <w:szCs w:val="44"/>
          <w:lang w:val="en-US" w:eastAsia="zh-CN" w:bidi="ar-SA"/>
        </w:rPr>
        <w:t>关于做好在内地的港澳同胞接种新冠病毒疫苗有关工作的通知1920</w:t>
      </w:r>
    </w:p>
    <w:p>
      <w:pPr>
        <w:widowControl w:val="0"/>
        <w:wordWrap/>
        <w:adjustRightInd/>
        <w:snapToGrid/>
        <w:spacing w:line="560" w:lineRule="exact"/>
        <w:ind w:left="1928" w:hanging="1920" w:hangingChars="6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_Toc27996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市场监管总局关于坚决维护防疫用品市场价格秩序的公告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1922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_Toc31276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市场监管总局关于新型冠状病毒感染肺炎疫情防控期间查处哄抬价格违法行为的指导意见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1924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_Toc31680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国家药监局关于严厉打击制售假劣药品医疗器械违法行为切实保障新型冠状病毒感染肺炎疫情防控药品医疗器械安全的通知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1929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_Toc8492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市场监管总局关于疫情防控期间严厉打击口罩等防控物资生产领域价格违法行为的紧急通知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1934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_Toc3041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11"/>
          <w:kern w:val="0"/>
          <w:szCs w:val="44"/>
          <w:shd w:val="clear" w:color="060000" w:fill="FFFFFF"/>
          <w:lang w:val="en-US" w:eastAsia="zh-CN"/>
        </w:rPr>
        <w:t>市场监管总局 农业农村部 国家林草局</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_Toc28295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kern w:val="0"/>
          <w:szCs w:val="44"/>
          <w:shd w:val="clear" w:color="060000" w:fill="FFFFFF"/>
          <w:lang w:val="en-US" w:eastAsia="zh-CN"/>
        </w:rPr>
        <w:t>关于加强野生动物市场监管积极做好疫情防控工作的紧急通知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1937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_Toc822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市场监管总局 农业农村部 国家林草局</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_Toc24692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关于禁止野生动物交易的公告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1939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_Toc17232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农业农村部农产品质量安全监管司</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_Toc1445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关于进一步加强新冠肺炎疫情防控期间</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_Toc11734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农产品质量安全工作的通知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1940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_Toc24881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国家林</w:t>
      </w:r>
      <w:r>
        <w:rPr>
          <w:rFonts w:hint="eastAsia" w:ascii="仿宋" w:hAnsi="仿宋" w:eastAsia="仿宋" w:cs="仿宋"/>
          <w:bCs/>
          <w:i w:val="0"/>
          <w:caps w:val="0"/>
          <w:spacing w:val="0"/>
          <w:szCs w:val="44"/>
          <w:shd w:val="clear" w:color="060000" w:fill="FFFFFF"/>
          <w:lang w:val="en-US" w:eastAsia="zh-CN"/>
        </w:rPr>
        <w:t>草</w:t>
      </w:r>
      <w:r>
        <w:rPr>
          <w:rFonts w:hint="eastAsia" w:ascii="仿宋" w:hAnsi="仿宋" w:eastAsia="仿宋" w:cs="仿宋"/>
          <w:bCs/>
          <w:i w:val="0"/>
          <w:caps w:val="0"/>
          <w:spacing w:val="0"/>
          <w:szCs w:val="44"/>
          <w:shd w:val="clear" w:color="060000" w:fill="FFFFFF"/>
        </w:rPr>
        <w:t>局关于贯彻落实《全国人民代表大会常务委员会关于全面禁止非法野生动物交易、革除滥食野生动物陋习、切实保障人民群众生命健康安全的决定》的通知</w:t>
      </w:r>
      <w:r>
        <w:rPr>
          <w:rFonts w:hint="eastAsia" w:ascii="仿宋" w:hAnsi="仿宋" w:eastAsia="仿宋" w:cs="仿宋"/>
          <w:bCs/>
          <w:i w:val="0"/>
          <w:caps w:val="0"/>
          <w:spacing w:val="0"/>
          <w:szCs w:val="44"/>
          <w:shd w:val="clear" w:color="060000" w:fill="FFFFFF"/>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1946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_Toc8325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农业农村部关于贯彻落实《全国人民代表大会常务委员会关于全面禁止非法野生动物交易、革除滥食野生动物陋习、切实保障人民群众生命健康安全的决定》进一步加强水生野生动物保护管理的通知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1952</w:t>
      </w:r>
    </w:p>
    <w:p>
      <w:pPr>
        <w:pStyle w:val="14"/>
        <w:widowControl w:val="0"/>
        <w:tabs>
          <w:tab w:val="right" w:leader="dot" w:pos="8788"/>
        </w:tabs>
        <w:wordWrap/>
        <w:adjustRightInd/>
        <w:snapToGrid/>
        <w:spacing w:line="560" w:lineRule="exact"/>
        <w:ind w:left="960" w:leftChars="0" w:hanging="960" w:hangingChars="3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_Toc15343 </w:instrText>
      </w:r>
      <w:r>
        <w:rPr>
          <w:rFonts w:hint="eastAsia" w:ascii="仿宋" w:hAnsi="仿宋" w:eastAsia="仿宋" w:cs="仿宋"/>
          <w:szCs w:val="32"/>
          <w:lang w:eastAsia="zh-CN"/>
        </w:rPr>
        <w:fldChar w:fldCharType="separate"/>
      </w:r>
      <w:r>
        <w:rPr>
          <w:rFonts w:hint="eastAsia" w:ascii="仿宋" w:hAnsi="仿宋" w:eastAsia="仿宋" w:cs="仿宋"/>
          <w:szCs w:val="44"/>
        </w:rPr>
        <w:t>交通运输部关于进一步依法加强野生动物运输管理工作的通知</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1956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_Toc7344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人力资源社会保障部 教育部 财政部</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_Toc25571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交通运输部 国家卫生健康委关于做好疫情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_Toc2711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防控期间有关就业工作的通知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_Toc2711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_Toc14212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人力资源社会保障部办公厅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_Toc19408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关于妥善处理新型冠状病毒感染的肺炎</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_Toc805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疫情防控期间劳动关系问题的通知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_Toc805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_Toc28716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国务院办公厅关于应对新冠肺炎疫情影响</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_Toc24818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强化稳就业举措的实施意见</w:t>
      </w:r>
      <w:r>
        <w:rPr>
          <w:rFonts w:hint="eastAsia" w:ascii="仿宋" w:hAnsi="仿宋" w:eastAsia="仿宋" w:cs="仿宋"/>
          <w:bCs/>
          <w:i w:val="0"/>
          <w:caps w:val="0"/>
          <w:spacing w:val="0"/>
          <w:szCs w:val="44"/>
          <w:shd w:val="clear" w:color="060000" w:fill="FFFFFF"/>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_Toc24818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eastAsia="zh-CN"/>
        </w:rPr>
      </w:pPr>
    </w:p>
    <w:p>
      <w:pPr>
        <w:pStyle w:val="14"/>
        <w:widowControl w:val="0"/>
        <w:numPr>
          <w:ilvl w:val="0"/>
          <w:numId w:val="2"/>
        </w:numPr>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本省地方性法规（28部）【新增4部，删减1部】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_Toc21569 </w:instrText>
      </w:r>
      <w:r>
        <w:rPr>
          <w:rFonts w:hint="eastAsia" w:ascii="仿宋" w:hAnsi="仿宋" w:eastAsia="仿宋" w:cs="仿宋"/>
          <w:szCs w:val="32"/>
          <w:lang w:eastAsia="zh-CN"/>
        </w:rPr>
        <w:fldChar w:fldCharType="separate"/>
      </w:r>
      <w:r>
        <w:rPr>
          <w:rFonts w:hint="eastAsia" w:ascii="仿宋" w:hAnsi="仿宋" w:eastAsia="仿宋" w:cs="仿宋"/>
          <w:bCs/>
          <w:szCs w:val="44"/>
        </w:rPr>
        <w:t>广东省突发公共卫生事件应急办法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_Toc21569 </w:instrText>
      </w:r>
      <w:r>
        <w:rPr>
          <w:rFonts w:hint="eastAsia" w:ascii="仿宋" w:hAnsi="仿宋" w:eastAsia="仿宋" w:cs="仿宋"/>
        </w:rPr>
        <w:fldChar w:fldCharType="separate"/>
      </w:r>
      <w:r>
        <w:rPr>
          <w:rFonts w:hint="eastAsia" w:ascii="仿宋" w:hAnsi="仿宋" w:eastAsia="仿宋" w:cs="仿宋"/>
        </w:rPr>
        <w:t>197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_Toc8668 </w:instrText>
      </w:r>
      <w:r>
        <w:rPr>
          <w:rFonts w:hint="eastAsia" w:ascii="仿宋" w:hAnsi="仿宋" w:eastAsia="仿宋" w:cs="仿宋"/>
          <w:szCs w:val="32"/>
          <w:lang w:eastAsia="zh-CN"/>
        </w:rPr>
        <w:fldChar w:fldCharType="separate"/>
      </w:r>
      <w:r>
        <w:rPr>
          <w:rFonts w:hint="eastAsia" w:ascii="仿宋" w:hAnsi="仿宋" w:eastAsia="仿宋" w:cs="仿宋"/>
          <w:szCs w:val="44"/>
        </w:rPr>
        <w:t>广东省突发事件应对条例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_Toc8668 </w:instrText>
      </w:r>
      <w:r>
        <w:rPr>
          <w:rFonts w:hint="eastAsia" w:ascii="仿宋" w:hAnsi="仿宋" w:eastAsia="仿宋" w:cs="仿宋"/>
        </w:rPr>
        <w:fldChar w:fldCharType="separate"/>
      </w:r>
      <w:r>
        <w:rPr>
          <w:rFonts w:hint="eastAsia" w:ascii="仿宋" w:hAnsi="仿宋" w:eastAsia="仿宋" w:cs="仿宋"/>
        </w:rPr>
        <w:t>198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_Toc6442 </w:instrText>
      </w:r>
      <w:r>
        <w:rPr>
          <w:rFonts w:hint="eastAsia" w:ascii="仿宋" w:hAnsi="仿宋" w:eastAsia="仿宋" w:cs="仿宋"/>
          <w:szCs w:val="32"/>
          <w:lang w:eastAsia="zh-CN"/>
        </w:rPr>
        <w:fldChar w:fldCharType="separate"/>
      </w:r>
      <w:r>
        <w:rPr>
          <w:rFonts w:hint="eastAsia" w:ascii="仿宋" w:hAnsi="仿宋" w:eastAsia="仿宋" w:cs="仿宋"/>
          <w:szCs w:val="44"/>
        </w:rPr>
        <w:t>广东省人民代表大会常务委员会关于依法防控新型冠状病毒肺炎疫情切实保障人民群众生命健康安全的决定</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2001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t>广东省人民代表大会常务委员会关于制止餐饮浪费的决定</w:t>
      </w:r>
      <w:r>
        <w:rPr>
          <w:rFonts w:hint="eastAsia" w:ascii="仿宋" w:hAnsi="仿宋" w:eastAsia="仿宋" w:cs="仿宋"/>
          <w:color w:val="000000"/>
          <w:szCs w:val="32"/>
          <w:lang w:val="en-US" w:eastAsia="zh-CN"/>
        </w:rPr>
        <w:t>2009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_Toc20180 </w:instrText>
      </w:r>
      <w:r>
        <w:rPr>
          <w:rFonts w:hint="eastAsia" w:ascii="仿宋" w:hAnsi="仿宋" w:eastAsia="仿宋" w:cs="仿宋"/>
          <w:szCs w:val="32"/>
          <w:lang w:eastAsia="zh-CN"/>
        </w:rPr>
        <w:fldChar w:fldCharType="separate"/>
      </w:r>
      <w:r>
        <w:rPr>
          <w:rFonts w:hint="eastAsia" w:ascii="仿宋" w:hAnsi="仿宋" w:eastAsia="仿宋" w:cs="仿宋"/>
          <w:bCs/>
          <w:szCs w:val="44"/>
        </w:rPr>
        <w:t>广东省发展中医条例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_Toc20180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lang w:val="en-US" w:eastAsia="zh-CN"/>
        </w:rPr>
        <w:t>1</w:t>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_Toc26438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广东省岭南中药材保护条例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_Toc26438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_Toc3344 </w:instrText>
      </w:r>
      <w:r>
        <w:rPr>
          <w:rFonts w:hint="eastAsia" w:ascii="仿宋" w:hAnsi="仿宋" w:eastAsia="仿宋" w:cs="仿宋"/>
          <w:szCs w:val="32"/>
          <w:lang w:eastAsia="zh-CN"/>
        </w:rPr>
        <w:fldChar w:fldCharType="separate"/>
      </w:r>
      <w:r>
        <w:rPr>
          <w:rFonts w:hint="eastAsia" w:ascii="仿宋" w:hAnsi="仿宋" w:eastAsia="仿宋" w:cs="仿宋"/>
          <w:szCs w:val="44"/>
        </w:rPr>
        <w:t>广东省爱国卫生工作条例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_Toc3344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_Toc17700 </w:instrText>
      </w:r>
      <w:r>
        <w:rPr>
          <w:rFonts w:hint="eastAsia" w:ascii="仿宋" w:hAnsi="仿宋" w:eastAsia="仿宋" w:cs="仿宋"/>
          <w:szCs w:val="32"/>
          <w:lang w:eastAsia="zh-CN"/>
        </w:rPr>
        <w:fldChar w:fldCharType="separate"/>
      </w:r>
      <w:r>
        <w:rPr>
          <w:rFonts w:hint="eastAsia" w:ascii="仿宋" w:hAnsi="仿宋" w:eastAsia="仿宋" w:cs="仿宋"/>
          <w:szCs w:val="44"/>
          <w:lang w:val="en-US" w:eastAsia="zh-CN"/>
        </w:rPr>
        <w:t>广东省医疗废物管理条例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_Toc17700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_Toc17149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bidi="ar-SA"/>
        </w:rPr>
        <w:t>广东省野生动物保护管理条例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_Toc17149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_Toc11319 </w:instrText>
      </w:r>
      <w:r>
        <w:rPr>
          <w:rFonts w:hint="eastAsia" w:ascii="仿宋" w:hAnsi="仿宋" w:eastAsia="仿宋" w:cs="仿宋"/>
          <w:szCs w:val="32"/>
          <w:lang w:eastAsia="zh-CN"/>
        </w:rPr>
        <w:fldChar w:fldCharType="separate"/>
      </w:r>
      <w:r>
        <w:rPr>
          <w:rFonts w:hint="eastAsia" w:ascii="仿宋" w:hAnsi="仿宋" w:eastAsia="仿宋" w:cs="仿宋"/>
          <w:szCs w:val="44"/>
        </w:rPr>
        <w:t>广东省渔业管理条例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_Toc11319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_Toc31977 </w:instrText>
      </w:r>
      <w:r>
        <w:rPr>
          <w:rFonts w:hint="eastAsia" w:ascii="仿宋" w:hAnsi="仿宋" w:eastAsia="仿宋" w:cs="仿宋"/>
          <w:szCs w:val="32"/>
          <w:lang w:eastAsia="zh-CN"/>
        </w:rPr>
        <w:fldChar w:fldCharType="separate"/>
      </w:r>
      <w:r>
        <w:rPr>
          <w:rFonts w:hint="eastAsia" w:ascii="仿宋" w:hAnsi="仿宋" w:eastAsia="仿宋" w:cs="仿宋"/>
          <w:szCs w:val="44"/>
          <w:lang w:eastAsia="zh-CN"/>
        </w:rPr>
        <w:t>广东省动物防疫条例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_Toc31977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099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_Toc1955 </w:instrText>
      </w:r>
      <w:r>
        <w:rPr>
          <w:rFonts w:hint="eastAsia" w:ascii="仿宋" w:hAnsi="仿宋" w:eastAsia="仿宋" w:cs="仿宋"/>
          <w:szCs w:val="32"/>
          <w:lang w:eastAsia="zh-CN"/>
        </w:rPr>
        <w:fldChar w:fldCharType="separate"/>
      </w:r>
      <w:r>
        <w:rPr>
          <w:rFonts w:hint="eastAsia" w:ascii="仿宋" w:hAnsi="仿宋" w:eastAsia="仿宋" w:cs="仿宋"/>
          <w:bCs/>
          <w:szCs w:val="44"/>
        </w:rPr>
        <w:t>广东省实验动物管理条例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_Toc1955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07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_Toc1718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市场监管</w:t>
      </w:r>
      <w:r>
        <w:rPr>
          <w:rFonts w:hint="eastAsia" w:ascii="仿宋" w:hAnsi="仿宋" w:eastAsia="仿宋" w:cs="仿宋"/>
          <w:szCs w:val="44"/>
        </w:rPr>
        <w:t>条例</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_Toc1718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_Toc27964 </w:instrText>
      </w:r>
      <w:r>
        <w:rPr>
          <w:rFonts w:hint="eastAsia" w:ascii="仿宋" w:hAnsi="仿宋" w:eastAsia="仿宋" w:cs="仿宋"/>
          <w:szCs w:val="32"/>
          <w:lang w:eastAsia="zh-CN"/>
        </w:rPr>
        <w:fldChar w:fldCharType="separate"/>
      </w:r>
      <w:r>
        <w:rPr>
          <w:rFonts w:hint="eastAsia" w:ascii="仿宋" w:hAnsi="仿宋" w:eastAsia="仿宋" w:cs="仿宋"/>
          <w:szCs w:val="44"/>
        </w:rPr>
        <w:t>广东省租赁房屋治安管理规定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_Toc27964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_Toc11130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广东省流动人口服务管理条例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_Toc11130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_Toc9343 </w:instrText>
      </w:r>
      <w:r>
        <w:rPr>
          <w:rFonts w:hint="eastAsia" w:ascii="仿宋" w:hAnsi="仿宋" w:eastAsia="仿宋" w:cs="仿宋"/>
          <w:szCs w:val="32"/>
          <w:lang w:eastAsia="zh-CN"/>
        </w:rPr>
        <w:fldChar w:fldCharType="separate"/>
      </w:r>
      <w:r>
        <w:rPr>
          <w:rFonts w:hint="eastAsia" w:ascii="仿宋" w:hAnsi="仿宋" w:eastAsia="仿宋" w:cs="仿宋"/>
          <w:kern w:val="2"/>
          <w:szCs w:val="32"/>
          <w:lang w:val="en-US" w:eastAsia="zh-CN" w:bidi="ar-SA"/>
        </w:rPr>
        <w:t>广东省大气污染防治条例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_Toc9343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_Toc17061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固体废物污染环境防治</w:t>
      </w:r>
      <w:r>
        <w:rPr>
          <w:rFonts w:hint="eastAsia" w:ascii="仿宋" w:hAnsi="仿宋" w:eastAsia="仿宋" w:cs="仿宋"/>
          <w:szCs w:val="44"/>
        </w:rPr>
        <w:t>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_Toc17061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_Toc11297 </w:instrText>
      </w:r>
      <w:r>
        <w:rPr>
          <w:rFonts w:hint="eastAsia" w:ascii="仿宋" w:hAnsi="仿宋" w:eastAsia="仿宋" w:cs="仿宋"/>
          <w:szCs w:val="32"/>
          <w:lang w:eastAsia="zh-CN"/>
        </w:rPr>
        <w:fldChar w:fldCharType="separate"/>
      </w:r>
      <w:r>
        <w:rPr>
          <w:rFonts w:hint="eastAsia" w:ascii="仿宋" w:hAnsi="仿宋" w:eastAsia="仿宋" w:cs="仿宋"/>
          <w:szCs w:val="44"/>
          <w:lang w:val="en-US" w:eastAsia="zh-CN"/>
        </w:rPr>
        <w:t>广东省食品安全条例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_Toc11297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_Toc1415 </w:instrText>
      </w:r>
      <w:r>
        <w:rPr>
          <w:rFonts w:hint="eastAsia" w:ascii="仿宋" w:hAnsi="仿宋" w:eastAsia="仿宋" w:cs="仿宋"/>
          <w:szCs w:val="32"/>
          <w:lang w:eastAsia="zh-CN"/>
        </w:rPr>
        <w:fldChar w:fldCharType="separate"/>
      </w:r>
      <w:r>
        <w:rPr>
          <w:rFonts w:hint="eastAsia" w:ascii="仿宋" w:hAnsi="仿宋" w:eastAsia="仿宋" w:cs="仿宋"/>
          <w:szCs w:val="44"/>
          <w:shd w:val="clear" w:color="auto" w:fill="FFFFFF"/>
        </w:rPr>
        <w:t>广东省</w:t>
      </w:r>
      <w:r>
        <w:rPr>
          <w:rFonts w:hint="eastAsia" w:ascii="仿宋" w:hAnsi="仿宋" w:eastAsia="仿宋" w:cs="仿宋"/>
          <w:szCs w:val="44"/>
          <w:shd w:val="clear" w:color="auto" w:fill="FFFFFF"/>
          <w:lang w:eastAsia="zh-CN"/>
        </w:rPr>
        <w:t>红十字会条例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_Toc1415 </w:instrText>
      </w:r>
      <w:r>
        <w:rPr>
          <w:rFonts w:hint="eastAsia" w:ascii="仿宋" w:hAnsi="仿宋" w:eastAsia="仿宋" w:cs="仿宋"/>
        </w:rPr>
        <w:fldChar w:fldCharType="separate"/>
      </w:r>
      <w:r>
        <w:rPr>
          <w:rFonts w:hint="eastAsia" w:ascii="仿宋" w:hAnsi="仿宋" w:eastAsia="仿宋" w:cs="仿宋"/>
        </w:rPr>
        <w:t>222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广东省工资支付条例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_Toc210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_Toc8742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广东省工伤保险条例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_Toc8742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_Toc18304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广东省实施《中华人民共和国消费者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_Toc14857 </w:instrText>
      </w:r>
      <w:r>
        <w:rPr>
          <w:rFonts w:hint="eastAsia" w:ascii="仿宋" w:hAnsi="仿宋" w:eastAsia="仿宋" w:cs="仿宋"/>
          <w:szCs w:val="32"/>
          <w:lang w:eastAsia="zh-CN"/>
        </w:rPr>
        <w:fldChar w:fldCharType="separate"/>
      </w:r>
      <w:r>
        <w:rPr>
          <w:rFonts w:hint="eastAsia" w:ascii="仿宋" w:hAnsi="仿宋" w:eastAsia="仿宋" w:cs="仿宋"/>
          <w:szCs w:val="44"/>
        </w:rPr>
        <w:t>权益保护法》办法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_Toc14857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_Toc31248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广东省实施《中华人民共和国价格法》办法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_Toc31248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_Toc25940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广东省产品质量监督条例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02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t>广东省水污染防治条例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231</w:t>
      </w:r>
      <w:r>
        <w:rPr>
          <w:rFonts w:hint="eastAsia" w:ascii="仿宋" w:hAnsi="仿宋" w:eastAsia="仿宋" w:cs="仿宋"/>
        </w:rPr>
        <w:fldChar w:fldCharType="end"/>
      </w:r>
      <w:r>
        <w:rPr>
          <w:rFonts w:hint="eastAsia" w:ascii="仿宋" w:hAnsi="仿宋" w:eastAsia="仿宋" w:cs="仿宋"/>
          <w:lang w:val="en-US" w:eastAsia="zh-CN"/>
        </w:rPr>
        <w:t>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_Toc25940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粮食安全保障</w:t>
      </w:r>
      <w:r>
        <w:rPr>
          <w:rFonts w:hint="eastAsia" w:ascii="仿宋" w:hAnsi="仿宋" w:eastAsia="仿宋" w:cs="仿宋"/>
          <w:szCs w:val="44"/>
        </w:rPr>
        <w:t>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_Toc25940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城乡生活垃圾管理</w:t>
      </w:r>
      <w:r>
        <w:rPr>
          <w:rFonts w:hint="eastAsia" w:ascii="仿宋" w:hAnsi="仿宋" w:eastAsia="仿宋" w:cs="仿宋"/>
          <w:szCs w:val="44"/>
        </w:rPr>
        <w:t>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_Toc25940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查处生产销售假冒伪劣商品违法</w:t>
      </w:r>
      <w:r>
        <w:rPr>
          <w:rFonts w:hint="eastAsia" w:ascii="仿宋" w:hAnsi="仿宋" w:eastAsia="仿宋" w:cs="仿宋"/>
          <w:szCs w:val="44"/>
        </w:rPr>
        <w:t>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75</w:t>
      </w:r>
    </w:p>
    <w:p>
      <w:pPr>
        <w:pStyle w:val="14"/>
        <w:widowControl w:val="0"/>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【新增11件】六、本省政府规章和规范性文件（35部）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_Toc22448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广东省病媒生物预防控制管理规定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_Toc22448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97</w:t>
      </w:r>
    </w:p>
    <w:p>
      <w:pPr>
        <w:ind w:left="1285" w:hanging="1285" w:hangingChars="400"/>
        <w:rPr>
          <w:rFonts w:hint="eastAsia" w:eastAsia="仿宋_GB2312"/>
          <w:lang w:val="en-US" w:eastAsia="zh-CN"/>
        </w:rPr>
      </w:pPr>
      <w:r>
        <w:rPr>
          <w:rFonts w:hint="eastAsia" w:ascii="仿宋" w:hAnsi="仿宋" w:eastAsia="仿宋" w:cs="仿宋"/>
          <w:b/>
          <w:bCs/>
          <w:color w:val="000000"/>
          <w:sz w:val="32"/>
          <w:szCs w:val="32"/>
          <w:lang w:eastAsia="zh-CN"/>
        </w:rPr>
        <w:t>（新增）</w:t>
      </w:r>
      <w:r>
        <w:rPr>
          <w:rFonts w:hint="eastAsia"/>
        </w:rPr>
        <w:t>广东省人民政府关于印发广东省疫苗安全事件应急预案（试行）的通知</w:t>
      </w:r>
      <w:r>
        <w:rPr>
          <w:rFonts w:hint="eastAsia"/>
          <w:lang w:val="en-US" w:eastAsia="zh-CN"/>
        </w:rPr>
        <w:t>2403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_Toc403 </w:instrText>
      </w:r>
      <w:r>
        <w:rPr>
          <w:rFonts w:hint="eastAsia" w:ascii="仿宋" w:hAnsi="仿宋" w:eastAsia="仿宋" w:cs="仿宋"/>
          <w:szCs w:val="32"/>
          <w:lang w:eastAsia="zh-CN"/>
        </w:rPr>
        <w:fldChar w:fldCharType="separate"/>
      </w:r>
      <w:r>
        <w:rPr>
          <w:rFonts w:hint="eastAsia" w:ascii="仿宋_GB2312" w:hAnsi="仿宋_GB2312" w:eastAsia="仿宋_GB2312" w:cs="仿宋_GB2312"/>
          <w:bCs/>
          <w:kern w:val="44"/>
          <w:szCs w:val="44"/>
          <w:lang w:val="en-US" w:eastAsia="zh-CN" w:bidi="ar-SA"/>
        </w:rPr>
        <w:t>广东省突发事件应急补偿管理暂行办法</w:t>
      </w:r>
      <w:r>
        <w:rPr>
          <w:rFonts w:hint="eastAsia" w:ascii="仿宋_GB2312" w:hAnsi="仿宋_GB2312" w:cs="仿宋_GB2312"/>
          <w:bCs/>
          <w:kern w:val="44"/>
          <w:szCs w:val="44"/>
          <w:lang w:val="en-US" w:eastAsia="zh-CN" w:bidi="ar-SA"/>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_Toc403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28</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1285" w:right="0" w:hanging="1285" w:hangingChars="400"/>
        <w:jc w:val="both"/>
        <w:rPr>
          <w:rFonts w:hint="eastAsia" w:ascii="仿宋" w:hAnsi="仿宋" w:eastAsia="仿宋" w:cs="仿宋"/>
          <w:b/>
          <w:bCs/>
          <w:color w:val="000000"/>
          <w:sz w:val="32"/>
          <w:szCs w:val="32"/>
          <w:lang w:eastAsia="zh-CN"/>
        </w:rPr>
      </w:pPr>
      <w:r>
        <w:rPr>
          <w:rFonts w:hint="eastAsia" w:ascii="仿宋" w:hAnsi="仿宋" w:eastAsia="仿宋" w:cs="仿宋"/>
          <w:b/>
          <w:bCs/>
          <w:color w:val="000000"/>
          <w:sz w:val="32"/>
          <w:szCs w:val="32"/>
          <w:lang w:eastAsia="zh-CN"/>
        </w:rPr>
        <w:t>（规章）</w:t>
      </w:r>
      <w:r>
        <w:rPr>
          <w:rFonts w:hint="eastAsia" w:ascii="仿宋" w:hAnsi="仿宋" w:eastAsia="仿宋" w:cs="仿宋"/>
          <w:color w:val="000000"/>
          <w:sz w:val="32"/>
          <w:szCs w:val="32"/>
          <w:lang w:eastAsia="zh-CN"/>
        </w:rPr>
        <w:fldChar w:fldCharType="begin"/>
      </w:r>
      <w:r>
        <w:rPr>
          <w:rFonts w:hint="eastAsia" w:ascii="仿宋" w:hAnsi="仿宋" w:eastAsia="仿宋" w:cs="仿宋"/>
          <w:sz w:val="32"/>
          <w:szCs w:val="32"/>
          <w:lang w:eastAsia="zh-CN"/>
        </w:rPr>
        <w:instrText xml:space="preserve"> HYPERLINK \l _Toc15364 </w:instrText>
      </w:r>
      <w:r>
        <w:rPr>
          <w:rFonts w:hint="eastAsia" w:ascii="仿宋" w:hAnsi="仿宋" w:eastAsia="仿宋" w:cs="仿宋"/>
          <w:sz w:val="32"/>
          <w:szCs w:val="32"/>
          <w:lang w:eastAsia="zh-CN"/>
        </w:rPr>
        <w:fldChar w:fldCharType="separate"/>
      </w:r>
      <w:r>
        <w:rPr>
          <w:rFonts w:hint="eastAsia" w:ascii="仿宋_GB2312" w:hAnsi="仿宋_GB2312" w:eastAsia="仿宋_GB2312" w:cs="仿宋_GB2312"/>
          <w:bCs/>
          <w:i w:val="0"/>
          <w:caps w:val="0"/>
          <w:spacing w:val="0"/>
          <w:sz w:val="32"/>
          <w:szCs w:val="32"/>
          <w:shd w:val="clear" w:color="070000" w:fill="FFFFFF"/>
        </w:rPr>
        <w:t>广东省医疗纠纷预防与处理办法</w:t>
      </w:r>
      <w:r>
        <w:rPr>
          <w:rFonts w:hint="eastAsia" w:ascii="宋体" w:hAnsi="宋体" w:eastAsia="宋体" w:cs="宋体"/>
          <w:bCs/>
          <w:i w:val="0"/>
          <w:caps w:val="0"/>
          <w:spacing w:val="0"/>
          <w:sz w:val="32"/>
          <w:szCs w:val="32"/>
          <w:shd w:val="clear" w:color="070000" w:fill="FFFFFF"/>
          <w:lang w:val="en-US" w:eastAsia="zh-CN"/>
        </w:rPr>
        <w:t>2435</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tab/>
      </w:r>
      <w:r>
        <w:rPr>
          <w:rFonts w:hint="eastAsia" w:ascii="仿宋" w:hAnsi="仿宋" w:eastAsia="仿宋" w:cs="仿宋"/>
          <w:sz w:val="32"/>
          <w:szCs w:val="32"/>
        </w:rPr>
        <w:tab/>
      </w:r>
      <w:r>
        <w:rPr>
          <w:rFonts w:hint="eastAsia" w:ascii="仿宋" w:hAnsi="仿宋" w:eastAsia="仿宋" w:cs="仿宋"/>
          <w:color w:val="000000"/>
          <w:sz w:val="32"/>
          <w:szCs w:val="32"/>
          <w:lang w:eastAsia="zh-CN"/>
        </w:rPr>
        <w:fldChar w:fldCharType="end"/>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1285" w:right="0" w:hanging="1285" w:hangingChars="400"/>
        <w:jc w:val="both"/>
        <w:rPr>
          <w:rFonts w:hint="eastAsia" w:ascii="仿宋" w:hAnsi="仿宋" w:eastAsia="仿宋" w:cs="仿宋"/>
          <w:bCs/>
          <w:kern w:val="44"/>
          <w:sz w:val="32"/>
          <w:szCs w:val="44"/>
          <w:lang w:val="en-US" w:eastAsia="zh-CN" w:bidi="ar-SA"/>
        </w:rPr>
      </w:pPr>
      <w:r>
        <w:rPr>
          <w:rFonts w:hint="eastAsia" w:ascii="仿宋" w:hAnsi="仿宋" w:eastAsia="仿宋" w:cs="仿宋"/>
          <w:b/>
          <w:bCs/>
          <w:color w:val="000000"/>
          <w:sz w:val="32"/>
          <w:szCs w:val="32"/>
          <w:lang w:eastAsia="zh-CN"/>
        </w:rPr>
        <w:t>（新增）</w:t>
      </w:r>
      <w:r>
        <w:rPr>
          <w:rFonts w:hint="eastAsia" w:ascii="仿宋" w:hAnsi="仿宋" w:eastAsia="仿宋" w:cs="仿宋"/>
          <w:bCs/>
          <w:kern w:val="44"/>
          <w:sz w:val="32"/>
          <w:szCs w:val="44"/>
          <w:lang w:val="en-US" w:eastAsia="zh-CN" w:bidi="ar-SA"/>
        </w:rPr>
        <w:t>广东省人民政府办公厅转发省卫生健康委、人力资源社会保障厅、财政厅关于做好一线医务人员及其家属保障工作若干措施的通知2453</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1928" w:right="0" w:hanging="1928" w:hangingChars="600"/>
        <w:jc w:val="both"/>
        <w:rPr>
          <w:rFonts w:hint="eastAsia"/>
          <w:b/>
          <w:bCs/>
          <w:lang w:val="en-US"/>
        </w:rPr>
      </w:pPr>
      <w:r>
        <w:rPr>
          <w:rFonts w:hint="eastAsia" w:ascii="仿宋" w:hAnsi="仿宋" w:eastAsia="仿宋" w:cs="仿宋"/>
          <w:b/>
          <w:bCs/>
          <w:color w:val="000000"/>
          <w:sz w:val="32"/>
          <w:szCs w:val="32"/>
          <w:lang w:eastAsia="zh-CN"/>
        </w:rPr>
        <w:t>（新增）</w:t>
      </w:r>
      <w:r>
        <w:rPr>
          <w:rFonts w:hint="eastAsia" w:ascii="仿宋" w:hAnsi="仿宋" w:eastAsia="仿宋" w:cs="仿宋"/>
          <w:bCs/>
          <w:kern w:val="44"/>
          <w:sz w:val="32"/>
          <w:szCs w:val="44"/>
          <w:lang w:val="en-US" w:eastAsia="zh-CN" w:bidi="ar-SA"/>
        </w:rPr>
        <w:t>广东省人民政府办公厅关于一视同仁做好疫情防控有关工作的通知2458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_Toc26806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广东省突发公共事件总体应急预案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_Toc26806 </w:instrText>
      </w:r>
      <w:r>
        <w:rPr>
          <w:rFonts w:hint="eastAsia" w:ascii="仿宋" w:hAnsi="仿宋" w:eastAsia="仿宋" w:cs="仿宋"/>
        </w:rPr>
        <w:fldChar w:fldCharType="separate"/>
      </w:r>
      <w:r>
        <w:rPr>
          <w:rFonts w:hint="eastAsia" w:ascii="仿宋" w:hAnsi="仿宋" w:eastAsia="仿宋" w:cs="仿宋"/>
        </w:rPr>
        <w:t>246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_Toc3541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广东省推出防控新型冠状病毒感染的肺炎疫情一级响应16条措施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_Toc3541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_Toc13331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广东省新型冠状病毒感染的肺炎疫情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_Toc20733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防控指挥部办公室通告</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_Toc6658 </w:instrText>
      </w:r>
      <w:r>
        <w:rPr>
          <w:rFonts w:hint="eastAsia" w:ascii="仿宋" w:hAnsi="仿宋" w:eastAsia="仿宋" w:cs="仿宋"/>
          <w:szCs w:val="32"/>
          <w:lang w:eastAsia="zh-CN"/>
        </w:rPr>
        <w:fldChar w:fldCharType="separate"/>
      </w:r>
      <w:r>
        <w:rPr>
          <w:rFonts w:hint="eastAsia" w:ascii="仿宋" w:hAnsi="仿宋" w:eastAsia="仿宋" w:cs="仿宋"/>
          <w:kern w:val="0"/>
          <w:szCs w:val="32"/>
          <w:lang w:val="en-US" w:eastAsia="zh-CN"/>
        </w:rPr>
        <w:t xml:space="preserve">2020第2号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_Toc6658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76</w:t>
      </w:r>
    </w:p>
    <w:p>
      <w:pPr>
        <w:ind w:left="1285" w:hanging="1285" w:hangingChars="400"/>
        <w:rPr>
          <w:rFonts w:hint="eastAsia" w:ascii="仿宋" w:hAnsi="仿宋" w:eastAsia="仿宋" w:cs="仿宋"/>
          <w:bCs/>
          <w:kern w:val="44"/>
          <w:sz w:val="32"/>
          <w:szCs w:val="44"/>
          <w:lang w:val="en-US" w:eastAsia="zh-CN" w:bidi="ar-SA"/>
        </w:rPr>
      </w:pPr>
      <w:r>
        <w:rPr>
          <w:rFonts w:hint="eastAsia" w:ascii="仿宋" w:hAnsi="仿宋" w:eastAsia="仿宋" w:cs="仿宋"/>
          <w:b/>
          <w:bCs w:val="0"/>
          <w:kern w:val="44"/>
          <w:sz w:val="32"/>
          <w:szCs w:val="44"/>
          <w:lang w:val="en-US" w:eastAsia="zh-CN" w:bidi="ar-SA"/>
        </w:rPr>
        <w:t>（新增）</w:t>
      </w:r>
      <w:r>
        <w:rPr>
          <w:rFonts w:hint="eastAsia" w:ascii="仿宋" w:hAnsi="仿宋" w:eastAsia="仿宋" w:cs="仿宋"/>
          <w:bCs/>
          <w:kern w:val="44"/>
          <w:sz w:val="32"/>
          <w:szCs w:val="44"/>
          <w:lang w:val="en-US" w:eastAsia="zh-CN" w:bidi="ar-SA"/>
        </w:rPr>
        <w:t>广东省工业和信息化厅等九厅局印发《关于应对疫情影响加大对中小企业支持力度的若干政策措施》的通知2479</w:t>
      </w:r>
    </w:p>
    <w:p>
      <w:pPr>
        <w:pStyle w:val="14"/>
        <w:widowControl w:val="0"/>
        <w:tabs>
          <w:tab w:val="right" w:leader="dot" w:pos="8788"/>
        </w:tabs>
        <w:wordWrap/>
        <w:adjustRightInd/>
        <w:snapToGrid/>
        <w:spacing w:line="560" w:lineRule="exact"/>
        <w:ind w:left="64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_Toc19746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广东省住房和城乡建设厅关于进一步加强城市生活垃圾、污水及市容环境卫生管理工作的</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_Toc16667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紧急通知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_Toc16667 </w:instrText>
      </w:r>
      <w:r>
        <w:rPr>
          <w:rFonts w:hint="eastAsia" w:ascii="仿宋" w:hAnsi="仿宋" w:eastAsia="仿宋" w:cs="仿宋"/>
        </w:rPr>
        <w:fldChar w:fldCharType="separate"/>
      </w:r>
      <w:r>
        <w:rPr>
          <w:rFonts w:hint="eastAsia" w:ascii="仿宋" w:hAnsi="仿宋" w:eastAsia="仿宋" w:cs="仿宋"/>
        </w:rPr>
        <w:t>249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_Toc2311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广东省住房和城乡建设厅关于加强废弃口罩</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_Toc21676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管理做好新型冠状病毒感染的肺炎防范</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_Toc6830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有关工作的紧急通知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_Toc6830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494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_Toc21579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广东省住房和城乡建设厅关于印发新型冠状</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_Toc12600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病毒感染肺炎疫情防控工作指引的通知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_Toc12600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497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_Toc14098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广东省住房和城乡建设厅关于印发《广东省物业管理区域新型冠状病毒感染的肺炎疫情防控工作指引（试行）》的通知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_Toc14098 </w:instrText>
      </w:r>
      <w:r>
        <w:rPr>
          <w:rFonts w:hint="eastAsia" w:ascii="仿宋" w:hAnsi="仿宋" w:eastAsia="仿宋" w:cs="仿宋"/>
        </w:rPr>
        <w:fldChar w:fldCharType="separate"/>
      </w:r>
      <w:r>
        <w:rPr>
          <w:rFonts w:hint="eastAsia" w:ascii="仿宋" w:hAnsi="仿宋" w:eastAsia="仿宋" w:cs="仿宋"/>
        </w:rPr>
        <w:t>250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_Toc25046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广东省人力资源和社会保障厅关于积极应对新型冠状病毒感染肺炎疫情做好劳动关系</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_Toc13822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相关工作的通知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_Toc13822 </w:instrText>
      </w:r>
      <w:r>
        <w:rPr>
          <w:rFonts w:hint="eastAsia" w:ascii="仿宋" w:hAnsi="仿宋" w:eastAsia="仿宋" w:cs="仿宋"/>
        </w:rPr>
        <w:fldChar w:fldCharType="separate"/>
      </w:r>
      <w:r>
        <w:rPr>
          <w:rFonts w:hint="eastAsia" w:ascii="仿宋" w:hAnsi="仿宋" w:eastAsia="仿宋" w:cs="仿宋"/>
        </w:rPr>
        <w:t>251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_Toc24535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广东省人力资源和社会保障厅 广东省财政厅 广东省卫生健康委员会转发人力资源社会保障部 财政部 国家卫生健康委关于因履行工作</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_Toc17484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职责感染新型冠状病毒肺炎的医护及相关</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_Toc12833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工作人员有关保障问题的通知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_Toc12833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t>广东省防控新型冠状病毒感染的肺炎疫情工作领导小组办公室</w:t>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_Toc4981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 xml:space="preserve">关于印发广东省新型冠状病毒感染的肺炎重点场所预防控制工作指引的通知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_Toc4981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val="en-US" w:eastAsia="zh-CN"/>
        </w:rPr>
        <w:t>广东省市场监管领域防控</w:t>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_Toc14768 </w:instrText>
      </w:r>
      <w:r>
        <w:rPr>
          <w:rFonts w:hint="eastAsia" w:ascii="仿宋" w:hAnsi="仿宋" w:eastAsia="仿宋" w:cs="仿宋"/>
          <w:szCs w:val="32"/>
          <w:lang w:eastAsia="zh-CN"/>
        </w:rPr>
        <w:fldChar w:fldCharType="separate"/>
      </w:r>
      <w:r>
        <w:rPr>
          <w:rFonts w:hint="eastAsia" w:ascii="仿宋" w:hAnsi="仿宋" w:eastAsia="仿宋" w:cs="仿宋"/>
          <w:bCs w:val="0"/>
          <w:kern w:val="44"/>
          <w:szCs w:val="44"/>
          <w:lang w:val="en-US" w:eastAsia="zh-CN" w:bidi="ar-SA"/>
        </w:rPr>
        <w:t>新型冠状病毒感染的肺炎疫情工作领导小组办公室关于强化食品经营监管做好疫情防控的</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_Toc18507 </w:instrText>
      </w:r>
      <w:r>
        <w:rPr>
          <w:rFonts w:hint="eastAsia" w:ascii="仿宋" w:hAnsi="仿宋" w:eastAsia="仿宋" w:cs="仿宋"/>
          <w:szCs w:val="32"/>
          <w:lang w:eastAsia="zh-CN"/>
        </w:rPr>
        <w:fldChar w:fldCharType="separate"/>
      </w:r>
      <w:r>
        <w:rPr>
          <w:rFonts w:hint="eastAsia" w:ascii="仿宋" w:hAnsi="仿宋" w:eastAsia="仿宋" w:cs="仿宋"/>
          <w:bCs w:val="0"/>
          <w:kern w:val="44"/>
          <w:szCs w:val="44"/>
          <w:lang w:val="en-US" w:eastAsia="zh-CN" w:bidi="ar-SA"/>
        </w:rPr>
        <w:t xml:space="preserve">公告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_Toc18507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_Toc14538 </w:instrText>
      </w:r>
      <w:r>
        <w:rPr>
          <w:rFonts w:hint="eastAsia" w:ascii="仿宋" w:hAnsi="仿宋" w:eastAsia="仿宋" w:cs="仿宋"/>
          <w:szCs w:val="32"/>
          <w:lang w:eastAsia="zh-CN"/>
        </w:rPr>
        <w:fldChar w:fldCharType="separate"/>
      </w:r>
      <w:r>
        <w:rPr>
          <w:rFonts w:hint="eastAsia" w:ascii="仿宋" w:hAnsi="仿宋" w:eastAsia="仿宋" w:cs="仿宋"/>
          <w:lang w:val="zh-CN" w:eastAsia="zh-CN"/>
        </w:rPr>
        <w:t>广东省市场监管领域防控新型冠状病毒肺炎疫情工作领导小组办公室关于从严打击哄抬物价、囤积居奇、强制搭售等违法行为的公告</w:t>
      </w:r>
      <w:r>
        <w:rPr>
          <w:rFonts w:hint="eastAsia" w:ascii="仿宋" w:hAnsi="仿宋" w:eastAsia="仿宋" w:cs="仿宋"/>
          <w:lang w:val="en-US" w:eastAsia="zh-CN"/>
        </w:rPr>
        <w:t xml:space="preserve">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_Toc14538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_Toc29129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zh-CN" w:eastAsia="zh-CN" w:bidi="ar-SA"/>
        </w:rPr>
        <w:t>广东省市场监管领域防控新型冠状病毒肺炎疫情工作领导小组办公室关于加强野生动物经营行为监管做好疫情防控工作</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_Toc18694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zh-CN" w:eastAsia="zh-CN" w:bidi="ar-SA"/>
        </w:rPr>
        <w:t>的公告</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_Toc18694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54</w:t>
      </w:r>
    </w:p>
    <w:p>
      <w:pPr>
        <w:rPr>
          <w:rFonts w:hint="eastAsia" w:eastAsia="仿宋_GB2312"/>
          <w:lang w:val="en-US" w:eastAsia="zh-CN"/>
        </w:rPr>
      </w:pPr>
      <w:r>
        <w:rPr>
          <w:rFonts w:hint="eastAsia"/>
          <w:b/>
          <w:bCs/>
          <w:lang w:eastAsia="zh-CN"/>
        </w:rPr>
        <w:t>（新增）</w:t>
      </w:r>
      <w:r>
        <w:rPr>
          <w:rFonts w:hint="eastAsia"/>
        </w:rPr>
        <w:t>广东省市场监督管理局关于对从事冷藏冷冻食品贮存服务的非食品生产经营者备案的通告</w:t>
      </w:r>
      <w:r>
        <w:rPr>
          <w:rFonts w:hint="eastAsia"/>
          <w:lang w:val="en-US" w:eastAsia="zh-CN"/>
        </w:rPr>
        <w:t xml:space="preserve"> </w:t>
      </w:r>
      <w:r>
        <w:rPr>
          <w:rFonts w:hint="eastAsia" w:ascii="宋体" w:hAnsi="宋体" w:eastAsia="宋体" w:cs="宋体"/>
          <w:lang w:val="en-US" w:eastAsia="zh-CN"/>
        </w:rPr>
        <w:t>2555</w:t>
      </w:r>
    </w:p>
    <w:p>
      <w:pPr>
        <w:ind w:left="1285" w:hanging="1285" w:hangingChars="400"/>
        <w:rPr>
          <w:rFonts w:hint="eastAsia" w:eastAsia="仿宋_GB2312"/>
          <w:lang w:val="en-US" w:eastAsia="zh-CN"/>
        </w:rPr>
      </w:pPr>
      <w:r>
        <w:rPr>
          <w:rFonts w:hint="eastAsia"/>
          <w:b/>
          <w:bCs/>
          <w:lang w:eastAsia="zh-CN"/>
        </w:rPr>
        <w:t>（新增）</w:t>
      </w:r>
      <w:r>
        <w:rPr>
          <w:rFonts w:hint="eastAsia"/>
        </w:rPr>
        <w:t>广东省市场监督管理局关于印发《广东省市场监督管理局关于广东省食品相关产品生产企业监督检查的管理办法》的通知</w:t>
      </w:r>
      <w:r>
        <w:rPr>
          <w:rFonts w:hint="eastAsia" w:ascii="宋体" w:hAnsi="宋体" w:eastAsia="宋体" w:cs="宋体"/>
          <w:lang w:val="en-US" w:eastAsia="zh-CN"/>
        </w:rPr>
        <w:t>2558</w:t>
      </w:r>
    </w:p>
    <w:p>
      <w:pPr>
        <w:pStyle w:val="14"/>
        <w:widowControl w:val="0"/>
        <w:tabs>
          <w:tab w:val="right" w:leader="dot" w:pos="8788"/>
        </w:tabs>
        <w:wordWrap/>
        <w:adjustRightInd/>
        <w:snapToGrid/>
        <w:spacing w:line="560" w:lineRule="exact"/>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_Toc6033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广东省人民政府关于印发广东省进一步稳定和促进就业若干政策措施的通知</w:t>
      </w:r>
      <w:r>
        <w:rPr>
          <w:rFonts w:hint="eastAsia" w:ascii="仿宋" w:hAnsi="仿宋" w:eastAsia="仿宋" w:cs="仿宋"/>
          <w:bCs/>
          <w:i w:val="0"/>
          <w:caps w:val="0"/>
          <w:spacing w:val="0"/>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_Toc6033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_Toc9518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广东省人民政府关于印发应对新型冠状病毒感染的肺炎疫情支持企业复工复产</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_Toc10190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若干政策措施的通知</w:t>
      </w:r>
      <w:r>
        <w:rPr>
          <w:rFonts w:hint="eastAsia" w:ascii="仿宋" w:hAnsi="仿宋" w:eastAsia="仿宋" w:cs="仿宋"/>
          <w:bCs/>
          <w:i w:val="0"/>
          <w:caps w:val="0"/>
          <w:spacing w:val="0"/>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_Toc10190 </w:instrText>
      </w:r>
      <w:r>
        <w:rPr>
          <w:rFonts w:hint="eastAsia" w:ascii="仿宋" w:hAnsi="仿宋" w:eastAsia="仿宋" w:cs="仿宋"/>
        </w:rPr>
        <w:fldChar w:fldCharType="separate"/>
      </w:r>
      <w:r>
        <w:rPr>
          <w:rFonts w:hint="eastAsia" w:ascii="仿宋" w:hAnsi="仿宋" w:eastAsia="仿宋" w:cs="仿宋"/>
        </w:rPr>
        <w:t>257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_Toc24725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rPr>
        <w:t>广东省司法厅关于遵守疫情防控</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_Toc25213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rPr>
        <w:t>有关法律规定的通告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_Toc25213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_Toc19832 </w:instrText>
      </w:r>
      <w:r>
        <w:rPr>
          <w:rFonts w:hint="eastAsia" w:ascii="仿宋" w:hAnsi="仿宋" w:eastAsia="仿宋" w:cs="仿宋"/>
          <w:szCs w:val="32"/>
          <w:lang w:eastAsia="zh-CN"/>
        </w:rPr>
        <w:fldChar w:fldCharType="separate"/>
      </w:r>
      <w:r>
        <w:rPr>
          <w:rFonts w:hint="eastAsia" w:ascii="仿宋" w:hAnsi="仿宋" w:eastAsia="仿宋" w:cs="仿宋"/>
          <w:bCs/>
          <w:caps w:val="0"/>
          <w:spacing w:val="0"/>
          <w:szCs w:val="44"/>
        </w:rPr>
        <w:t>广东省农业农村厅关于加强水生野生动物管理的通告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_Toc19832 </w:instrText>
      </w:r>
      <w:r>
        <w:rPr>
          <w:rFonts w:hint="eastAsia" w:ascii="仿宋" w:hAnsi="仿宋" w:eastAsia="仿宋" w:cs="仿宋"/>
        </w:rPr>
        <w:fldChar w:fldCharType="separate"/>
      </w:r>
      <w:r>
        <w:rPr>
          <w:rFonts w:hint="eastAsia" w:ascii="仿宋" w:hAnsi="仿宋" w:eastAsia="仿宋" w:cs="仿宋"/>
        </w:rPr>
        <w:t>258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_Toc6683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广东省人民政府办公厅关于进一步加强</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_Toc11369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野生动物保护管理工作的通知</w:t>
      </w:r>
      <w:r>
        <w:rPr>
          <w:rFonts w:hint="eastAsia" w:ascii="仿宋" w:hAnsi="仿宋" w:eastAsia="仿宋" w:cs="仿宋"/>
          <w:bCs/>
          <w:i w:val="0"/>
          <w:caps w:val="0"/>
          <w:spacing w:val="0"/>
          <w:szCs w:val="44"/>
          <w:shd w:val="clear" w:color="060000" w:fill="FFFFFF"/>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_Toc11369 </w:instrText>
      </w:r>
      <w:r>
        <w:rPr>
          <w:rFonts w:hint="eastAsia" w:ascii="仿宋" w:hAnsi="仿宋" w:eastAsia="仿宋" w:cs="仿宋"/>
        </w:rPr>
        <w:fldChar w:fldCharType="separate"/>
      </w:r>
      <w:r>
        <w:rPr>
          <w:rFonts w:hint="eastAsia" w:ascii="仿宋" w:hAnsi="仿宋" w:eastAsia="仿宋" w:cs="仿宋"/>
        </w:rPr>
        <w:t>258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_Toc27151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广东省公安厅关于依法严厉打击涉野生动物违法犯罪行为的通告</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_Toc27151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86</w:t>
      </w:r>
    </w:p>
    <w:p>
      <w:pPr>
        <w:pStyle w:val="14"/>
        <w:widowControl w:val="0"/>
        <w:tabs>
          <w:tab w:val="right" w:leader="dot" w:pos="8788"/>
        </w:tabs>
        <w:wordWrap/>
        <w:adjustRightInd/>
        <w:snapToGrid/>
        <w:spacing w:line="560" w:lineRule="exact"/>
        <w:ind w:left="640" w:leftChars="0" w:hanging="640" w:hangingChars="200"/>
        <w:textAlignment w:val="auto"/>
        <w:rPr>
          <w:rFonts w:hint="eastAsia" w:eastAsia="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_Toc31711 </w:instrText>
      </w:r>
      <w:r>
        <w:rPr>
          <w:rFonts w:hint="eastAsia" w:ascii="仿宋" w:hAnsi="仿宋" w:eastAsia="仿宋" w:cs="仿宋"/>
          <w:szCs w:val="32"/>
          <w:lang w:eastAsia="zh-CN"/>
        </w:rPr>
        <w:fldChar w:fldCharType="separate"/>
      </w:r>
      <w:r>
        <w:rPr>
          <w:rFonts w:hint="eastAsia" w:ascii="仿宋" w:hAnsi="仿宋" w:eastAsia="仿宋" w:cs="仿宋"/>
          <w:kern w:val="2"/>
          <w:szCs w:val="44"/>
          <w:lang w:val="en-US" w:eastAsia="zh-CN" w:bidi="ar-SA"/>
        </w:rPr>
        <w:t xml:space="preserve">广东省卫生厅关于印发广东省法定传染病疫情和突发公共卫生事件信息发布方案的通知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_Toc31711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_Toc11482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rPr>
        <w:t>广东省新冠肺炎防控指挥办疫情防控组关于印发广东省公共交通新冠肺炎疫情防控工作指引的通知</w:t>
      </w:r>
      <w:r>
        <w:rPr>
          <w:rFonts w:hint="eastAsia" w:ascii="仿宋" w:hAnsi="仿宋" w:eastAsia="仿宋" w:cs="仿宋"/>
          <w:i w:val="0"/>
          <w:caps w:val="0"/>
          <w:spacing w:val="0"/>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_Toc11482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596</w:t>
      </w:r>
    </w:p>
    <w:p>
      <w:pPr>
        <w:ind w:left="1285" w:hanging="1285" w:hangingChars="400"/>
        <w:rPr>
          <w:rFonts w:hint="eastAsia" w:eastAsia="仿宋_GB2312"/>
          <w:lang w:val="en-US" w:eastAsia="zh-CN"/>
        </w:rPr>
      </w:pPr>
      <w:r>
        <w:rPr>
          <w:rFonts w:hint="eastAsia"/>
          <w:b/>
          <w:bCs/>
          <w:lang w:eastAsia="zh-CN"/>
        </w:rPr>
        <w:t>（新增）</w:t>
      </w:r>
      <w:r>
        <w:rPr>
          <w:rFonts w:hint="eastAsia"/>
        </w:rPr>
        <w:t>广东省新冠肺炎防控指挥办疫情防控组关于印发广东省园区新冠肺炎疫情常态化防控工作指引的通知</w:t>
      </w:r>
      <w:r>
        <w:rPr>
          <w:rFonts w:hint="eastAsia" w:ascii="宋体" w:hAnsi="宋体" w:eastAsia="宋体" w:cs="宋体"/>
          <w:lang w:val="en-US" w:eastAsia="zh-CN"/>
        </w:rPr>
        <w:t>2645</w:t>
      </w:r>
    </w:p>
    <w:p>
      <w:pPr>
        <w:ind w:left="1285" w:hanging="1285" w:hangingChars="400"/>
        <w:rPr>
          <w:rFonts w:hint="eastAsia" w:eastAsia="仿宋_GB2312"/>
          <w:lang w:val="en-US" w:eastAsia="zh-CN"/>
        </w:rPr>
      </w:pPr>
      <w:r>
        <w:rPr>
          <w:rFonts w:hint="eastAsia"/>
          <w:b/>
          <w:bCs/>
          <w:lang w:eastAsia="zh-CN"/>
        </w:rPr>
        <w:t>（新增）</w:t>
      </w:r>
      <w:r>
        <w:rPr>
          <w:rFonts w:hint="eastAsia"/>
        </w:rPr>
        <w:t>广东省新冠肺炎防控指挥办疫情防控组关于印发《广东省大型群众性活动新冠肺炎疫情常态化防控工作指引》的通知</w:t>
      </w:r>
      <w:r>
        <w:rPr>
          <w:rFonts w:hint="eastAsia" w:ascii="宋体" w:hAnsi="宋体" w:eastAsia="宋体" w:cs="宋体"/>
          <w:lang w:val="en-US" w:eastAsia="zh-CN"/>
        </w:rPr>
        <w:t>2658</w:t>
      </w:r>
    </w:p>
    <w:p>
      <w:pPr>
        <w:ind w:left="1285" w:hanging="1285" w:hangingChars="400"/>
        <w:rPr>
          <w:rFonts w:hint="eastAsia" w:ascii="仿宋" w:hAnsi="仿宋" w:eastAsia="仿宋_GB2312" w:cs="仿宋"/>
          <w:color w:val="000000"/>
          <w:szCs w:val="32"/>
          <w:lang w:val="en-US" w:eastAsia="zh-CN"/>
        </w:rPr>
      </w:pPr>
      <w:r>
        <w:rPr>
          <w:rFonts w:hint="eastAsia"/>
          <w:b/>
          <w:bCs/>
          <w:lang w:eastAsia="zh-CN"/>
        </w:rPr>
        <w:t>（新增）</w:t>
      </w:r>
      <w:r>
        <w:rPr>
          <w:rFonts w:hint="eastAsia"/>
        </w:rPr>
        <w:t>广东省新冠肺炎防控指挥办疫情防控组关于印发广东省月子服务机构新冠肺炎疫情常态化防控工作指引（第二版）的通知</w:t>
      </w:r>
      <w:r>
        <w:rPr>
          <w:rFonts w:hint="eastAsia" w:ascii="宋体" w:hAnsi="宋体" w:eastAsia="宋体" w:cs="宋体"/>
          <w:lang w:val="en-US" w:eastAsia="zh-CN"/>
        </w:rPr>
        <w:t>2666</w:t>
      </w:r>
    </w:p>
    <w:p>
      <w:pPr>
        <w:ind w:left="1285" w:hanging="1280" w:hangingChars="400"/>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_Toc13173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广东省公安厅关于依法严厉打击新型冠状病毒感染肺炎疫情防控期间违法犯罪的通告</w:t>
      </w:r>
      <w:r>
        <w:rPr>
          <w:rFonts w:hint="eastAsia" w:ascii="仿宋" w:hAnsi="仿宋" w:eastAsia="仿宋" w:cs="仿宋"/>
          <w:szCs w:val="44"/>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2674</w:t>
      </w:r>
    </w:p>
    <w:p>
      <w:pPr>
        <w:ind w:left="1285" w:hanging="1280" w:hangingChars="400"/>
        <w:rPr>
          <w:rFonts w:hint="eastAsia" w:eastAsia="仿宋_GB2312"/>
          <w:lang w:val="en-US" w:eastAsia="zh-CN"/>
        </w:rPr>
      </w:pPr>
      <w:r>
        <w:rPr>
          <w:rFonts w:hint="eastAsia" w:ascii="仿宋" w:hAnsi="仿宋" w:eastAsia="仿宋" w:cs="仿宋"/>
          <w:color w:val="000000"/>
          <w:szCs w:val="32"/>
          <w:lang w:eastAsia="zh-CN"/>
        </w:rPr>
        <w:fldChar w:fldCharType="end"/>
      </w:r>
      <w:r>
        <w:rPr>
          <w:rFonts w:hint="eastAsia" w:ascii="仿宋" w:hAnsi="仿宋" w:eastAsia="仿宋" w:cs="仿宋"/>
          <w:b/>
          <w:bCs/>
          <w:color w:val="000000"/>
          <w:szCs w:val="32"/>
          <w:lang w:eastAsia="zh-CN"/>
        </w:rPr>
        <w:t>（新增）</w:t>
      </w:r>
      <w:r>
        <w:rPr>
          <w:rFonts w:hint="eastAsia"/>
        </w:rPr>
        <w:t>广东省老龄工作办公室关于做好老年人冬春季新冠肺炎疫情防控工作的通知</w:t>
      </w:r>
      <w:r>
        <w:rPr>
          <w:rFonts w:hint="eastAsia" w:ascii="宋体" w:hAnsi="宋体" w:eastAsia="宋体" w:cs="宋体"/>
          <w:lang w:val="en-US" w:eastAsia="zh-CN"/>
        </w:rPr>
        <w:t>2677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 w:val="32"/>
          <w:szCs w:val="32"/>
          <w:lang w:eastAsia="zh-CN"/>
        </w:rPr>
      </w:pPr>
    </w:p>
    <w:p>
      <w:pPr>
        <w:pStyle w:val="33"/>
        <w:wordWrap/>
        <w:spacing w:line="560" w:lineRule="exact"/>
        <w:ind w:firstLine="0" w:firstLineChars="0"/>
        <w:textAlignment w:val="auto"/>
        <w:sectPr>
          <w:headerReference r:id="rId4" w:type="default"/>
          <w:footerReference r:id="rId6" w:type="default"/>
          <w:headerReference r:id="rId5" w:type="even"/>
          <w:footerReference r:id="rId7" w:type="even"/>
          <w:pgSz w:w="11850" w:h="16783"/>
          <w:pgMar w:top="1984" w:right="1531" w:bottom="1871" w:left="1531" w:header="851" w:footer="1361" w:gutter="0"/>
          <w:pgNumType w:start="1"/>
          <w:cols w:space="720" w:num="1"/>
          <w:rtlGutter w:val="0"/>
          <w:docGrid w:type="lines" w:linePitch="445" w:charSpace="0"/>
        </w:sectPr>
      </w:pPr>
    </w:p>
    <w:p>
      <w:pPr>
        <w:widowControl w:val="0"/>
        <w:wordWrap/>
        <w:overflowPunct w:val="0"/>
        <w:spacing w:beforeAutospacing="0" w:afterAutospacing="0" w:line="560" w:lineRule="exact"/>
        <w:jc w:val="center"/>
        <w:textAlignment w:val="auto"/>
        <w:outlineLvl w:val="0"/>
        <w:rPr>
          <w:rFonts w:ascii="宋体" w:hAnsi="宋体" w:eastAsia="宋体" w:cs="宋体"/>
          <w:kern w:val="0"/>
          <w:sz w:val="44"/>
          <w:szCs w:val="44"/>
        </w:rPr>
      </w:pPr>
      <w:bookmarkStart w:id="0" w:name="_Toc28871"/>
      <w:r>
        <w:rPr>
          <w:rFonts w:hint="eastAsia" w:ascii="宋体" w:hAnsi="宋体" w:eastAsia="宋体" w:cs="宋体"/>
          <w:kern w:val="0"/>
          <w:sz w:val="44"/>
          <w:szCs w:val="44"/>
        </w:rPr>
        <w:t>中华人民共和国传染病防治法</w:t>
      </w:r>
      <w:bookmarkEnd w:id="0"/>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kern w:val="0"/>
          <w:szCs w:val="32"/>
        </w:rPr>
      </w:pPr>
      <w:r>
        <w:rPr>
          <w:rFonts w:hint="eastAsia" w:ascii="宋体" w:hAnsi="宋体" w:eastAsia="楷体_GB2312" w:cs="楷体_GB2312"/>
          <w:kern w:val="0"/>
          <w:szCs w:val="32"/>
        </w:rPr>
        <w:t>（1989年2月21日第七届全国人民代表大会常务委员会第六次会议通过　2004年8月28日第十届全国人民代表大会常务委员会第十一次会议修订　根据2013年6月29日第十二届全国人民代表大会常务委员会第三次会议《关于修改&lt;中华人民共和国文物保护法&gt;等十二部法律的决定》修正）</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传染病预防</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疫情报告、通报和公布</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疫情控制</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医疗救治</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监督管理</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第七章　保障措施</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第八章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第九章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为了预防、控制和消除传染病的发生与流行，保障人体健康和公共卫生，制定本法。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国家对传染病防治实行预防为主的方针，防治结合、分类管理、依靠科学、依靠群众。</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本法规定的传染病分为甲类、乙类和丙类。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甲类传染病是指:鼠疫、霍乱。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乙类传染病是指:传染性非典型肺炎、艾滋病、病毒性肝炎、脊髓灰质炎、人感染高致病性禽流感、麻疹、流行性出血热、狂犬病、流行性乙型脑炎、登革热、炭疽、细菌性和阿米巴性痢疾、肺结核、伤寒和副伤寒、流行性脑脊髓膜炎、百日咳、白喉、新生儿破伤风、猩红热、布鲁氏菌病、淋病、梅毒、钩端螺旋体病、血吸虫病、疟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丙类传染病是指:流行性感冒、流行性腮腺炎、风疹、急性出血性结膜炎、麻风病、流行性和地方性斑疹伤寒、黑热病、包虫病、丝虫病，除霍乱、细菌性和阿米巴性痢疾、伤寒和副伤寒以外的感染性腹泻病。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国务院卫生行政部门根据传染病暴发、流行情况和危害程度，可以决定增加、减少或者调整乙类、丙类传染病病种并予以公布。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对乙类传染病中传染性非典型肺炎、炭疽中的肺炭疽和人感染高致病性禽流感，采取本法所称甲类传染病的预防、控制措施。其他乙类传染病和突发原因不明的传染病需要采取本法所称甲类传染病的预防、控制措施的，由国务院卫生行政部门及时报经国务院批准后予以公布、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需要解除依照前款规定采取的甲类传染病预防、控制措施的，由国务院卫生行政部门报经国务院批准后予以公布。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省、自治区、直辖市人民政府对本行政区域内常见、多发的其他地方性传染病，可以根据情况决定按照乙类或者丙类传染病管理并予以公布，报国务院卫生行政部门备案。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各级人民政府领导传染病防治工作。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县级以上人民政府制定传染病防治规划并组织实施，建立健全传染病防治的疾病预防控制、医疗救治和监督管理体系。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国务院卫生行政部门主管全国传染病防治及其监督管理工作。县级以上地方人民政府卫生行政部门负责本行政区域内的传染病防治及其监督管理工作。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县级以上人民政府其他部门在各自的职责范围内负责传染病防治工作。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军队的传染病防治工作，依照本法和国家有关规定办理，由中国人民解放军卫生主管部门实施监督管理。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各级疾病预防控制机构承担传染病监测、预测、流行病学调查、疫情报告以及其他预防、控制工作。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医疗机构承担与医疗救治有关的传染病防治工作和责任区域内的传染病预防工作。城市社区和农村基层医疗机构在疾病预防控制机构的指导下，承担城市社区、农村基层相应的传染病防治工作。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国家发展现代医学和中医药等传统医学，支持和鼓励开展传染病防治的科学研究，提高传染病防治的科学技术水平。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国家支持和鼓励开展传染病防治的国际合作。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国家支持和鼓励单位和个人参与传染病防治工作。各级人民政府应当完善有关制度，方便单位和个人参与防治传染病的宣传教育、疫情报告、志愿服务和捐赠活动。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居民委员会、村民委员会应当组织居民、村民参与社区、农村的传染病预防与控制活动。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国家开展预防传染病的健康教育。新闻媒体应当无偿开展传染病防治和公共卫生教育的公益宣传。</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各级各类学校应当对学生进行健康知识和传染病预防知识的教育。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医学院校应当加强预防医学教育和科学研究，对在校学生以及其他与传染病防治相关人员进行预防医学教育和培训，为传染病防治工作提供技术支持。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疾病预防控制机构、医疗机构应当定期对其工作人员进行传染病防治知识、技能的培训。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对在传染病防治工作中做出显著成绩和贡献的单位和个人，给予表彰和奖励。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对因参与传染病防治工作致病、致残、死亡的人员，按照有关规定给予补助、抚恤。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在中华人民共和国领域内的一切单位和个人，必须接受疾病预防控制机构、医疗机构有关传染病的调查、检验、采集样本、隔离治疗等预防、控制措施，如实提供有关情况。疾病预防控制机构、医疗机构不得泄露涉及个人隐私的有关信息、资料。</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卫生行政部门以及其他有关部门、疾病预防控制机构和医疗机构因违法实施行政管理或者预防、控制措施，侵犯单位和个人合法权益的，有关单位和个人可以依法申请行政复议或者提起诉讼。</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传染病预防</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各级人民政府组织开展群众性卫生活动，进行预防传染病的健康教育，倡导文明健康的生活方式，提高公众对传染病的防治意识和应对能力，加强环境卫生建设，消除鼠害和蚊、蝇等病媒生物的危害。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各级人民政府农业、水利、林业行政部门按照职责分工负责指导和组织消除农田、湖区、河流、牧场、林区的鼠害与血吸虫危害，以及其他传播传染病的动物和病媒生物的危害。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铁路、交通、民用航空行政部门负责组织消除交通工具以及相关场所的鼠害和蚊、蝇等病媒生物的危害。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地方各级人民政府应当有计划地建设和改造公共卫生设施，改善饮用水卫生条件，对污水、污物、粪便进行无害化处置。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国家实行有计划的预防接种制度。国务院卫生行政部门和省、自治区、直辖市人民政府卫生行政部门，根据传染病预防、控制的需要，制定传染病预防接种规划并组织实施。用于预防接种的疫苗必须符合国家质量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国家对儿童实行预防接种证制度。国家免疫规划项目的预防接种实行免费。医疗机构、疾病预防控制机构与儿童的监护人应当相互配合，保证儿童及时接受预防接种。具体办法由国务院制定。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国家和社会应当关心、帮助传染病病人、病原携带者和疑似传染病病人，使其得到及时救治。任何单位和个人不得歧视传染病病人、病原携带者和疑似传染病病人。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传染病病人、病原携带者和疑似传染病病人，在治愈前或者在排除传染病嫌疑前，不得从事法律、行政法规和国务院卫生行政部门规定禁止从事的易使该传染病扩散的工作。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国家建立传染病监测制度。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国务院卫生行政部门制定国家传染病监测规划和方案。省、自治区、直辖市人民政府卫生行政部门根据国家传染病监测规划和方案，制定本行政区域的传染病监测计划和工作方案。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各级疾病预防控制机构对传染病的发生、流行以及影响其发生、流行的因素，进行监测；对国外发生、国内尚未发生的传染病或者国内新发生的传染病，进行监测。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w:t>
      </w:r>
      <w:r>
        <w:rPr>
          <w:rFonts w:hint="eastAsia" w:ascii="宋体" w:hAnsi="宋体" w:cs="Arial"/>
          <w:kern w:val="0"/>
          <w:szCs w:val="32"/>
        </w:rPr>
        <w:t>　各级疾病预防控制机构在传染病预防控制中履行下列职责: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（一）实施传染病预防控制规划、计划和方案；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（二）收集、分析和报告传染病监测信息，预测传染病的发生、流行趋势；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（三）开展对传染病疫情和突发公共卫生事件的流行病学调查、现场处理及其效果评价；</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（四）开展传染病实验室检测、诊断、病原学鉴定；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（五）实施免疫规划，负责预防性生物制品的使用管理；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（六）开展健康教育、咨询，普及传染病防治知识；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（七）指导、培训下级疾病预防控制机构及其工作人员开展传染病监测工作；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（八）开展传染病防治应用性研究和卫生评价，提供技术咨询。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省级疾病预防控制机构负责对传染病发生、流行以及分布进行监测，对重大传染病流行趋势进行预测，提出预防控制对策，参与并指导对暴发的疫情进行调查处理，开展传染病病原学鉴定，建立检测质量控制体系，开展应用性研究和卫生评价。</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设区的市和县级疾病预防控制机构负责传染病预防控制规划、方案的落实，组织实施免疫、消毒、控制病媒生物的危害，普及传染病防治知识，负责本地区疫情和突发公共卫生事件监测、报告，开展流行病学调查和常见病原微生物检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国家建立传染病预警制度。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国务院卫生行政部门和省、自治区、直辖市人民政府根据传染病发生、流行趋势的预测，及时发出传染病预警，根据情况予以公布。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县级以上地方人民政府应当制定传染病预防、控制预案，报上一级人民政府备案。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传染病预防、控制预案应当包括以下主要内容: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（一）传染病预防控制指挥部的组成和相关部门的职责；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（二）传染病的监测、信息收集、分析、报告、通报制度；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（三）疾病预防控制机构、医疗机构在发生传染病疫情时的任务与职责；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（四）传染病暴发、流行情况的分级以及相应的应急工作方案；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（五）传染病预防、疫点疫区现场控制，应急设施、设备、救治药品和医疗器械以及其他物资和技术的储备与调用。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地方人民政府和疾病预防控制机构接到国务院卫生行政部门或者省、自治区、直辖市人民政府发出的传染病预警后，应当按照传染病预防、控制预案，采取相应的预防、控制措施。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医疗机构必须严格执行国务院卫生行政部门规定的管理制度、操作规范，防止传染病的医源性感染和医院感染。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应当确定专门的部门或者人员，承担传染病疫情报告、本单位的传染病预防、控制以及责任区域内的传染病预防工作；承担医疗活动中与医院感染有关的危险因素监测、安全防护、消毒、隔离和医疗废物处置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疾病预防控制机构应当指定专门人员负责对医疗机构内传染病预防工作进行指导、考核，开展流行病学调查。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疾病预防控制机构、医疗机构的实验室和从事病原微生物实验的单位，应当符合国家规定的条件和技术标准，建立严格的监督管理制度，对传染病病原体样本按照规定的措施实行严格监督管理，严防传染病病原体的实验室感染和病原微生物的扩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采供血机构、生物制品生产单位必须严格执行国家有关规定，保证血液、血液制品的质量。禁止非法采集血液或者组织他人出卖血液。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疾病预防控制机构、医疗机构使用血液和血液制品，必须遵守国家有关规定，防止因输入血液、使用血液制品引起经血液传播疾病的发生。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各级人民政府应当加强艾滋病的防治工作，采取预防、控制措施，防止艾滋病的传播。具体办法由国务院制定。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县级以上人民政府农业、林业行政部门以及其他有关部门，依据各自的职责负责与人畜共患传染病有关的动物传染病的防治管理工作。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与人畜共患传染病有关的野生动物、家畜家禽，经检疫合格后，方可出售、运输。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国家建立传染病菌种、毒种库。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对传染病菌种、毒种和传染病检测样本的采集、保藏、携带、运输和使用实行分类管理，建立健全严格的管理制度。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对可能导致甲类传染病传播的以及国务院卫生行政部门规定的菌种、毒种和传染病检测样本，确需采集、保藏、携带、运输和使用的，须经省级以上人民政府卫生行政部门批准。具体办法由国务院制定。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对被传染病病原体污染的污水、污物、场所和物品，有关单位和个人必须在疾病预防控制机构的指导下或者按照其提出的卫生要求，进行严格消毒处理；拒绝消毒处理的，由当地卫生行政部门或者疾病预防控制机构进行强制消毒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第二十八条</w:t>
      </w:r>
      <w:r>
        <w:rPr>
          <w:rFonts w:hint="eastAsia" w:ascii="宋体" w:hAnsi="宋体" w:cs="Arial"/>
          <w:kern w:val="0"/>
          <w:szCs w:val="32"/>
        </w:rPr>
        <w:t>　在国家确认的自然疫源地计划兴建水利、交通、旅游、能源等大型建设项目的，应当事先由省级以上疾病预防控制机构对施工环境进行卫生调查。建设单位应当根据疾病预防控制机构的意见，采取必要的传染病预防、控制措施。施工期间，建设单位应当设专人负责工地上的卫生防疫工作。工程竣工后，疾病预防控制机构应当对可能发生的传染病进行监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第二十九条</w:t>
      </w:r>
      <w:r>
        <w:rPr>
          <w:rFonts w:hint="eastAsia" w:ascii="宋体" w:hAnsi="宋体" w:cs="Arial"/>
          <w:kern w:val="0"/>
          <w:szCs w:val="32"/>
        </w:rPr>
        <w:t>　用于传染病防治的消毒产品、饮用水供水单位供应的饮用水和涉及饮用水卫生安全的产品，应当符合国家卫生标准和卫生规范。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饮用水供水单位从事生产或者供应活动，应当依法取得卫生许可证。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生产用于传染病防治的消毒产品的单位和生产用于传染病防治的消毒产品，应当经省级以上人民政府卫生行政部门审批。具体办法由国务院制定。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疫情报告、通报和公布</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第三十条</w:t>
      </w:r>
      <w:r>
        <w:rPr>
          <w:rFonts w:hint="eastAsia" w:ascii="宋体" w:hAnsi="宋体" w:cs="Arial"/>
          <w:kern w:val="0"/>
          <w:szCs w:val="32"/>
        </w:rPr>
        <w:t>　疾病预防控制机构、医疗机构和采供血机构及其执行职务的人员发现本法规定的传染病疫情或者发现其他传染病暴发、流行以及突发原因不明的传染病时，应当遵循疫情报告属地管理原则，按照国务院规定的或者国务院卫生行政部门规定的内容、程序、方式和时限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军队医疗机构向社会公众提供医疗服务，发现前款规定的传染病疫情时，应当按照国务院卫生行政部门的规定报告。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第三十一条</w:t>
      </w:r>
      <w:r>
        <w:rPr>
          <w:rFonts w:hint="eastAsia" w:ascii="宋体" w:hAnsi="宋体" w:cs="Arial"/>
          <w:kern w:val="0"/>
          <w:szCs w:val="32"/>
        </w:rPr>
        <w:t>　任何单位和个人发现传染病病人或者疑似传染病病人时，应当及时向附近的疾病预防控制机构或者医疗机构报告。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第三十二条</w:t>
      </w:r>
      <w:r>
        <w:rPr>
          <w:rFonts w:hint="eastAsia" w:ascii="宋体" w:hAnsi="宋体" w:cs="Arial"/>
          <w:kern w:val="0"/>
          <w:szCs w:val="32"/>
        </w:rPr>
        <w:t>　港口、机场、铁路疾病预防控制机构以及国境卫生检疫机关发现甲类传染病病人、病原携带者、疑似传染病病人时，应当按照国家有关规定立即向国境口岸所在地的疾病预防控制机构或者所在地县级以上地方人民政府卫生行政部门报告并互相通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第三十三条</w:t>
      </w:r>
      <w:r>
        <w:rPr>
          <w:rFonts w:hint="eastAsia" w:ascii="宋体" w:hAnsi="宋体" w:cs="Arial"/>
          <w:kern w:val="0"/>
          <w:szCs w:val="32"/>
        </w:rPr>
        <w:t>　疾病预防控制机构应当主动收集、分析、调查、核实传染病疫情信息。接到甲类、乙类传染病疫情报告或者发现传染病暴发、流行时，应当立即报告当地卫生行政部门，由当地卫生行政部门立即报告当地人民政府，同时报告上级卫生行政部门和国务院卫生行政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疾病预防控制机构应当设立或者指定专门的部门、人员负责传染病疫情信息管理工作，及时对疫情报告进行核实、分析。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第三十四条</w:t>
      </w:r>
      <w:r>
        <w:rPr>
          <w:rFonts w:hint="eastAsia" w:ascii="宋体" w:hAnsi="宋体" w:cs="Arial"/>
          <w:kern w:val="0"/>
          <w:szCs w:val="32"/>
        </w:rPr>
        <w:t>　县级以上地方人民政府卫生行政部门应当及时向本行政区域内的疾病预防控制机构和医疗机构通报传染病疫情以及监测、预警的相关信息。接到通报的疾病预防控制机构和医疗机构应当及时告知本单位的有关人员。</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第三十五条</w:t>
      </w:r>
      <w:r>
        <w:rPr>
          <w:rFonts w:hint="eastAsia" w:ascii="宋体" w:hAnsi="宋体" w:cs="Arial"/>
          <w:kern w:val="0"/>
          <w:szCs w:val="32"/>
        </w:rPr>
        <w:t>　国务院卫生行政部门应当及时向国务院其他有关部门和各省、自治区、直辖市人民政府卫生行政部门通报全国传染病疫情以及监测、预警的相关信息。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毗邻的以及相关的地方人民政府卫生行政部门，应当及时互相通报本行政区域的传染病疫情以及监测、预警的相关信息。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县级以上人民政府有关部门发现传染病疫情时，应当及时向同级人民政府卫生行政部门通报。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中国人民解放军卫生主管部门发现传染病疫情时，应当向国务院卫生行政部门通报。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第三十六条</w:t>
      </w:r>
      <w:r>
        <w:rPr>
          <w:rFonts w:hint="eastAsia" w:ascii="宋体" w:hAnsi="宋体" w:cs="Arial"/>
          <w:kern w:val="0"/>
          <w:szCs w:val="32"/>
        </w:rPr>
        <w:t>　动物防疫机构和疾病预防控制机构，应当及时互相通报动物间和人间发生的人畜共患传染病疫情以及相关信息。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第三十七条</w:t>
      </w:r>
      <w:r>
        <w:rPr>
          <w:rFonts w:hint="eastAsia" w:ascii="宋体" w:hAnsi="宋体" w:cs="Arial"/>
          <w:kern w:val="0"/>
          <w:szCs w:val="32"/>
        </w:rPr>
        <w:t>　依照本法的规定负有传染病疫情报告职责的人民政府有关部门、疾病预防控制机构、医疗机构、采供血机构及其工作人员，不得隐瞒、谎报、缓报传染病疫情。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第三十八条</w:t>
      </w:r>
      <w:r>
        <w:rPr>
          <w:rFonts w:hint="eastAsia" w:ascii="宋体" w:hAnsi="宋体" w:cs="Arial"/>
          <w:kern w:val="0"/>
          <w:szCs w:val="32"/>
        </w:rPr>
        <w:t>　国家建立传染病疫情信息公布制度。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国务院卫生行政部门定期公布全国传染病疫情信息。省、自治区、直辖市人民政府卫生行政部门定期公布本行政区域的传染病疫情信息。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传染病暴发、流行时，国务院卫生行政部门负责向社会公布传染病疫情信息，并可以授权省、自治区、直辖市人民政府卫生行政部门向社会公布本行政区域的传染病疫情信息。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公布传染病疫情信息应当及时、准确。</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疫情控制</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第三十九条</w:t>
      </w:r>
      <w:r>
        <w:rPr>
          <w:rFonts w:hint="eastAsia" w:ascii="宋体" w:hAnsi="宋体" w:cs="Arial"/>
          <w:kern w:val="0"/>
          <w:szCs w:val="32"/>
        </w:rPr>
        <w:t>　医疗机构发现甲类传染病时，应当及时采取下列措施: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（一）对病人、病原携带者，予以隔离治疗，隔离期限根据医学检查结果确定；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（二）对疑似病人，确诊前在指定场所单独隔离治疗；</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（三）对医疗机构内的病人、病原携带者、疑似病人的密切接触者，在指定场所进行医学观察和采取其他必要的预防措施。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拒绝隔离治疗或者隔离期未满擅自脱离隔离治疗的，可以由公安机关协助医疗机构采取强制隔离治疗措施。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医疗机构发现乙类或者丙类传染病病人，应当根据病情采取必要的治疗和控制传播措施。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医疗机构对本单位内被传染病病原体污染的场所、物品以及医疗废物，必须依照法律、法规的规定实施消毒和无害化处置。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第四十条</w:t>
      </w:r>
      <w:r>
        <w:rPr>
          <w:rFonts w:hint="eastAsia" w:ascii="宋体" w:hAnsi="宋体" w:cs="Arial"/>
          <w:kern w:val="0"/>
          <w:szCs w:val="32"/>
        </w:rPr>
        <w:t>　疾病预防控制机构发现传染病疫情或者接到传染病疫情报告时，应当及时采取下列措施: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对传染病疫情进行流行病学调查，根据调查情况提出划定疫点、疫区的建议，对被污染的场所进行卫生处理，对密切接触者，在指定场所进行医学观察和采取其他必要的预防措施，并向卫生行政部门提出疫情控制方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（二）传染病暴发、流行时，对疫点、疫区进行卫生处理，向卫生行政部门提出疫情控制方案，并按照卫生行政部门的要求采取措施；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（三）指导下级疾病预防控制机构实施传染病预防、控制措施，组织、指导有关单位对传染病疫情的处理。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第四十一条</w:t>
      </w:r>
      <w:r>
        <w:rPr>
          <w:rFonts w:hint="eastAsia" w:ascii="宋体" w:hAnsi="宋体" w:cs="Arial"/>
          <w:kern w:val="0"/>
          <w:szCs w:val="32"/>
        </w:rPr>
        <w:t>　对已经发生甲类传染病病例的场所或者该场所内的特定区域的人员，所在地的县级以上地方人民政府可以实施隔离措施，并同时向上一级人民政府报告；接到报告的上级人民政府应当即时作出是否批准的决定。上级人民政府作出不予批准决定的，实施隔离措施的人民政府应当立即解除隔离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在隔离期间，实施隔离措施的人民政府应当对被隔离人员提供生活保障；被隔离人员有工作单位的，所在单位不得停止支付其隔离期间的工作报酬。</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隔离措施的解除，由原决定机关决定并宣布。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第四十二条</w:t>
      </w:r>
      <w:r>
        <w:rPr>
          <w:rFonts w:hint="eastAsia" w:ascii="宋体" w:hAnsi="宋体" w:cs="Arial"/>
          <w:kern w:val="0"/>
          <w:szCs w:val="32"/>
        </w:rPr>
        <w:t>　传染病暴发、流行时，县级以上地方人民政府应当立即组织力量，按照预防、控制预案进行防治，切断传染病的传播途径，必要时，报经上一级人民政府决定，可以采取下列紧急措施并予以公告: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（一）限制或者停止集市、影剧院演出或者其他人群聚集的活动；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（二）停工、停业、停课；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（三）封闭或者封存被传染病病原体污染的公共饮用水源、食品以及相关物品；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（四）控制或者扑杀染疫野生动物、家畜家禽；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（五）封闭可能造成传染病扩散的场所。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上级人民政府接到下级人民政府关于采取前款所列紧急措施的报告时，应当即时作出决定。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紧急措施的解除，由原决定机关决定并宣布。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第四十三条</w:t>
      </w:r>
      <w:r>
        <w:rPr>
          <w:rFonts w:hint="eastAsia" w:ascii="宋体" w:hAnsi="宋体" w:cs="Arial"/>
          <w:kern w:val="0"/>
          <w:szCs w:val="32"/>
        </w:rPr>
        <w:t>　甲类、乙类传染病暴发、流行时，县级以上地方人民政府报经上一级人民政府决定，可以宣布本行政区域部分或者全部为疫区；国务院可以决定并宣布跨省、自治区、直辖市的疫区。县级以上地方人民政府可以在疫区内采取本法第四十二条规定的紧急措施，并可以对出入疫区的人员、物资和交通工具实施卫生检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可以决定对本行政区域内的甲类传染病疫区实施封锁；但是，封锁大、中城市的疫区或者封锁跨省、自治区、直辖市的疫区，以及封锁疫区导致中断干线交通或者封锁国境的，由国务院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疫区封锁的解除，由原决定机关决定并宣布。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第四十四条</w:t>
      </w:r>
      <w:r>
        <w:rPr>
          <w:rFonts w:hint="eastAsia" w:ascii="宋体" w:hAnsi="宋体" w:cs="Arial"/>
          <w:kern w:val="0"/>
          <w:szCs w:val="32"/>
        </w:rPr>
        <w:t>　发生甲类传染病时，为了防止该传染病通过交通工具及其乘运的人员、物资传播，可以实施交通卫生检疫。具体办法由国务院制定。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第四十五条</w:t>
      </w:r>
      <w:r>
        <w:rPr>
          <w:rFonts w:hint="eastAsia" w:ascii="宋体" w:hAnsi="宋体" w:cs="Arial"/>
          <w:kern w:val="0"/>
          <w:szCs w:val="32"/>
        </w:rPr>
        <w:t>　传染病暴发、流行时，根据传染病疫情控制的需要，国务院有权在全国范围或者跨省、自治区、直辖市范围内，县级以上地方人民政府有权在本行政区域内紧急调集人员或者调用储备物资，临时征用房屋、交通工具以及相关设施、设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紧急调集人员的，应当按照规定给予合理报酬。临时征用房屋、交通工具以及相关设施、设备的，应当依法给予补偿；能返还的，应当及时返还。</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第四十六条</w:t>
      </w:r>
      <w:r>
        <w:rPr>
          <w:rFonts w:hint="eastAsia" w:ascii="宋体" w:hAnsi="宋体" w:cs="Arial"/>
          <w:kern w:val="0"/>
          <w:szCs w:val="32"/>
        </w:rPr>
        <w:t>　患甲类传染病、炭疽死亡的，应当将尸体立即进行卫生处理，就近火化。患其他传染病死亡的，必要时，应当将尸体进行卫生处理后火化或者按照规定深埋。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为了查找传染病病因，医疗机构在必要时可以按照国务院卫生行政部门的规定，对传染病病人尸体或者疑似传染病病人尸体进行解剖查验，并应当告知死者家属。</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第四十七条</w:t>
      </w:r>
      <w:r>
        <w:rPr>
          <w:rFonts w:hint="eastAsia" w:ascii="宋体" w:hAnsi="宋体" w:cs="Arial"/>
          <w:kern w:val="0"/>
          <w:szCs w:val="32"/>
        </w:rPr>
        <w:t>　疫区中被传染病病原体污染或者可能被传染病病原体污染的物品，经消毒可以使用的，应当在当地疾病预防控制机构的指导下，进行消毒处理后，方可使用、出售和运输。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第四十八条</w:t>
      </w:r>
      <w:r>
        <w:rPr>
          <w:rFonts w:hint="eastAsia" w:ascii="宋体" w:hAnsi="宋体" w:cs="Arial"/>
          <w:kern w:val="0"/>
          <w:szCs w:val="32"/>
        </w:rPr>
        <w:t>　发生传染病疫情时，疾病预防控制机构和省级以上人民政府卫生行政部门指派的其他与传染病有关的专业技术机构，可以进入传染病疫点、疫区进行调查、采集样本、技术分析和检验。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第四十九条</w:t>
      </w:r>
      <w:r>
        <w:rPr>
          <w:rFonts w:hint="eastAsia" w:ascii="宋体" w:hAnsi="宋体" w:cs="Arial"/>
          <w:kern w:val="0"/>
          <w:szCs w:val="32"/>
        </w:rPr>
        <w:t>　传染病暴发、流行时，药品和医疗器械生产、供应单位应当及时生产、供应防治传染病的药品和医疗器械。铁路、交通、民用航空经营单位必须优先运送处理传染病疫情的人员以及防治传染病的药品和医疗器械。县级以上人民政府有关部门应当做好组织协调工作。</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医疗救治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第五十条</w:t>
      </w:r>
      <w:r>
        <w:rPr>
          <w:rFonts w:hint="eastAsia" w:ascii="宋体" w:hAnsi="宋体" w:cs="Arial"/>
          <w:kern w:val="0"/>
          <w:szCs w:val="32"/>
        </w:rPr>
        <w:t>　县级以上人民政府应当加强和完善传染病医疗救治服务网络的建设，指定具备传染病救治条件和能力的医疗机构承担传染病救治任务，或者根据传染病救治需要设置传染病医院。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第五十一条</w:t>
      </w:r>
      <w:r>
        <w:rPr>
          <w:rFonts w:hint="eastAsia" w:ascii="宋体" w:hAnsi="宋体" w:cs="Arial"/>
          <w:kern w:val="0"/>
          <w:szCs w:val="32"/>
        </w:rPr>
        <w:t>　医疗机构的基本标准、建筑设计和服务流程，应当符合预防传染病医院感染的要求。</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医疗机构应当按照规定对使用的医疗器械进行消毒；对按照规定一次使用的医疗器具，应当在使用后予以销毁。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医疗机构应当按照国务院卫生行政部门规定的传染病诊断标准和治疗要求，采取相应措施，提高传染病医疗救治能力。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第五十二条</w:t>
      </w:r>
      <w:r>
        <w:rPr>
          <w:rFonts w:hint="eastAsia" w:ascii="宋体" w:hAnsi="宋体" w:cs="Arial"/>
          <w:kern w:val="0"/>
          <w:szCs w:val="32"/>
        </w:rPr>
        <w:t>　医疗机构应当对传染病病人或者疑似传染病病人提供医疗救护、现场救援和接诊治疗，书写病历记录以及其他有关资料，并妥善保管。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应当实行传染病预检、分诊制度；对传染病病人、疑似传染病病人，应当引导至相对隔离的分诊点进行初诊。医疗机构不具备相应救治能力的，应当将患者及其病历记录复印件一并转至具备相应救治能力的医疗机构。具体办法由国务院卫生行政部门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监督管理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第五十三条</w:t>
      </w:r>
      <w:r>
        <w:rPr>
          <w:rFonts w:hint="eastAsia" w:ascii="宋体" w:hAnsi="宋体" w:cs="Arial"/>
          <w:kern w:val="0"/>
          <w:szCs w:val="32"/>
        </w:rPr>
        <w:t>　县级以上人民政府卫生行政部门对传染病防治工作履行下列监督检查职责: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（一）对下级人民政府卫生行政部门履行本法规定的传染病防治职责进行监督检查；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（二）对疾病预防控制机构、医疗机构的传染病防治工作进行监督检查；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（三）对采供血机构的采供血活动进行监督检查；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（四）对用于传染病防治的消毒产品及其生产单位进行监督检查，并对饮用水供水单位从事生产或者供应活动以及涉及饮用水卫生安全的产品进行监督检查；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（五）对传染病菌种、毒种和传染病检测样本的采集、保藏、携带、运输、使用进行监督检查；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（六）对公共场所和有关单位的卫生条件和传染病预防、控制措施进行监督检查。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省级以上人民政府卫生行政部门负责组织对传染病防治重大事项的处理。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第五十四条</w:t>
      </w:r>
      <w:r>
        <w:rPr>
          <w:rFonts w:hint="eastAsia" w:ascii="宋体" w:hAnsi="宋体" w:cs="Arial"/>
          <w:kern w:val="0"/>
          <w:szCs w:val="32"/>
        </w:rPr>
        <w:t>　县级以上人民政府卫生行政部门在履行监督检查职责时，有权进入被检查单位和传染病疫情发生现场调查取证，查阅或者复制有关的资料和采集样本。被检查单位应当予以配合，不得拒绝、阻挠。</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第五十五条</w:t>
      </w:r>
      <w:r>
        <w:rPr>
          <w:rFonts w:hint="eastAsia" w:ascii="宋体" w:hAnsi="宋体" w:cs="Arial"/>
          <w:kern w:val="0"/>
          <w:szCs w:val="32"/>
        </w:rPr>
        <w:t>　县级以上地方人民政府卫生行政部门在履行监督检查职责时，发现被传染病病原体污染的公共饮用水源、食品以及相关物品，如不及时采取控制措施可能导致传染病传播、流行的，可以采取封闭公共饮用水源、封存食品以及相关物品或者暂停销售的临时控制措施，并予以检验或者进行消毒。经检验，属于被污染的食品，应当予以销毁；对未被污染的食品或者经消毒后可以使用的物品，应当解除控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第五十六条</w:t>
      </w:r>
      <w:r>
        <w:rPr>
          <w:rFonts w:hint="eastAsia" w:ascii="宋体" w:hAnsi="宋体" w:cs="Arial"/>
          <w:kern w:val="0"/>
          <w:szCs w:val="32"/>
        </w:rPr>
        <w:t>　卫生行政部门工作人员依法执行职务时，应当不少于两人，并出示执法证件，填写卫生执法文书。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卫生执法文书经核对无误后，应当由卫生执法人员和当事人签名。当事人拒绝签名的，卫生执法人员应当注明情况。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第五十七条</w:t>
      </w:r>
      <w:r>
        <w:rPr>
          <w:rFonts w:hint="eastAsia" w:ascii="宋体" w:hAnsi="宋体" w:cs="Arial"/>
          <w:kern w:val="0"/>
          <w:szCs w:val="32"/>
        </w:rPr>
        <w:t>　卫生行政部门应当依法建立健全内部监督制度，对其工作人员依据法定职权和程序履行职责的情况进行监督。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上级卫生行政部门发现下级卫生行政部门不及时处理职责范围内的事项或者不履行职责的，应当责令纠正或者直接予以处理。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第五十八条</w:t>
      </w:r>
      <w:r>
        <w:rPr>
          <w:rFonts w:hint="eastAsia" w:ascii="宋体" w:hAnsi="宋体" w:cs="Arial"/>
          <w:kern w:val="0"/>
          <w:szCs w:val="32"/>
        </w:rPr>
        <w:t>　卫生行政部门及其工作人员履行职责，应当自觉接受社会和公民的监督。单位和个人有权向上级人民政府及其卫生行政部门举报违反本法的行为。接到举报的有关人民政府或者其卫生行政部门，应当及时调查处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第七章　保障措施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第五十九条</w:t>
      </w:r>
      <w:r>
        <w:rPr>
          <w:rFonts w:hint="eastAsia" w:ascii="宋体" w:hAnsi="宋体" w:cs="Arial"/>
          <w:kern w:val="0"/>
          <w:szCs w:val="32"/>
        </w:rPr>
        <w:t>　国家将传染病防治工作纳入国民经济和社会发展计划，县级以上地方人民政府将传染病防治工作纳入本行政区域的国民经济和社会发展计划。</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第六十条</w:t>
      </w:r>
      <w:r>
        <w:rPr>
          <w:rFonts w:hint="eastAsia" w:ascii="宋体" w:hAnsi="宋体" w:cs="Arial"/>
          <w:kern w:val="0"/>
          <w:szCs w:val="32"/>
        </w:rPr>
        <w:t>　县级以上地方人民政府按照本级政府职责负责本行政区域内传染病预防、控制、监督工作的日常经费。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国务院卫生行政部门会同国务院有关部门，根据传染病流行趋势，确定全国传染病预防、控制、救治、监测、预测、预警、监督检查等项目。中央财政对困难地区实施重大传染病防治项目给予补助。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省、自治区、直辖市人民政府根据本行政区域内传染病流行趋势，在国务院卫生行政部门确定的项目范围内，确定传染病预防、控制、监督等项目，并保障项目的实施经费。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第六十一条</w:t>
      </w:r>
      <w:r>
        <w:rPr>
          <w:rFonts w:hint="eastAsia" w:ascii="宋体" w:hAnsi="宋体" w:cs="Arial"/>
          <w:kern w:val="0"/>
          <w:szCs w:val="32"/>
        </w:rPr>
        <w:t>　国家加强基层传染病防治体系建设，扶持贫困地区和少数民族地区的传染病防治工作。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地方各级人民政府应当保障城市社区、农村基层传染病预防工作的经费。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第六十二条</w:t>
      </w:r>
      <w:r>
        <w:rPr>
          <w:rFonts w:hint="eastAsia" w:ascii="宋体" w:hAnsi="宋体" w:cs="Arial"/>
          <w:kern w:val="0"/>
          <w:szCs w:val="32"/>
        </w:rPr>
        <w:t>　国家对患有特定传染病的困难人群实行医疗救助，减免医疗费用。具体办法由国务院卫生行政部门会同国务院财政部门等部门制定。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第六十三条</w:t>
      </w:r>
      <w:r>
        <w:rPr>
          <w:rFonts w:hint="eastAsia" w:ascii="宋体" w:hAnsi="宋体" w:cs="Arial"/>
          <w:kern w:val="0"/>
          <w:szCs w:val="32"/>
        </w:rPr>
        <w:t>　县级以上人民政府负责储备防治传染病的药品、医疗器械和其他物资，以备调用。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第六十四条</w:t>
      </w:r>
      <w:r>
        <w:rPr>
          <w:rFonts w:hint="eastAsia" w:ascii="宋体" w:hAnsi="宋体" w:cs="Arial"/>
          <w:kern w:val="0"/>
          <w:szCs w:val="32"/>
        </w:rPr>
        <w:t>　对从事传染病预防、医疗、科研、教学、现场处理疫情的人员，以及在生产、工作中接触传染病病原体的其他人员，有关单位应当按照国家规定，采取有效的卫生防护措施和医疗保健措施，并给予适当的津贴。</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第八章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第六十五条</w:t>
      </w:r>
      <w:r>
        <w:rPr>
          <w:rFonts w:hint="eastAsia" w:ascii="宋体" w:hAnsi="宋体" w:cs="Arial"/>
          <w:kern w:val="0"/>
          <w:szCs w:val="32"/>
        </w:rPr>
        <w:t>　地方各级人民政府未依照本法的规定履行报告职责，或者隐瞒、谎报、缓报传染病疫情，或者在传染病暴发、流行时，未及时组织救治、采取控制措施的，由上级人民政府责令改正，通报批评；造成传染病传播、流行或者其他严重后果的，对负有责任的主管人员，依法给予行政处分；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第六十六条</w:t>
      </w:r>
      <w:r>
        <w:rPr>
          <w:rFonts w:hint="eastAsia" w:ascii="宋体" w:hAnsi="宋体" w:cs="Arial"/>
          <w:kern w:val="0"/>
          <w:szCs w:val="32"/>
        </w:rPr>
        <w:t>　县级以上人民政府卫生行政部门违反本法规定，有下列情形之一的，由本级人民政府、上级人民政府卫生行政部门责令改正，通报批评；造成传染病传播、流行或者其他严重后果的，对负有责任的主管人员和其他直接责任人员，依法给予行政处分；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（一）未依法履行传染病疫情通报、报告或者公布职责，或者隐瞒、谎报、缓报传染病疫情的；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（二）发生或者可能发生传染病传播时未及时采取预防、控制措施的；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（三）未依法履行监督检查职责，或者发现违法行为不及时查处的；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（四）未及时调查、处理单位和个人对下级卫生行政部门不履行传染病防治职责的举报的；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（五）违反本法的其他失职、渎职行为。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第六十七条</w:t>
      </w:r>
      <w:r>
        <w:rPr>
          <w:rFonts w:hint="eastAsia" w:ascii="宋体" w:hAnsi="宋体" w:cs="Arial"/>
          <w:kern w:val="0"/>
          <w:szCs w:val="32"/>
        </w:rPr>
        <w:t>　县级以上人民政府有关部门未依照本法的规定履行传染病防治和保障职责的，由本级人民政府或者上级人民政府有关部门责令改正，通报批评；造成传染病传播、流行或者其他严重后果的，对负有责任的主管人员和其他直接责任人员，依法给予行政处分；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第六十八条</w:t>
      </w:r>
      <w:r>
        <w:rPr>
          <w:rFonts w:hint="eastAsia" w:ascii="宋体" w:hAnsi="宋体" w:cs="Arial"/>
          <w:kern w:val="0"/>
          <w:szCs w:val="32"/>
        </w:rPr>
        <w:t>　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（一）未依法履行传染病监测职责的；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（二）未依法履行传染病疫情报告、通报职责，或者隐瞒、谎报、缓报传染病疫情的；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（三）未主动收集传染病疫情信息，或者对传染病疫情信息和疫情报告未及时进行分析、调查、核实的；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（四）发现传染病疫情时，未依据职责及时采取本法规定的措施的；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（五）故意泄露传染病病人、病原携带者、疑似传染病病人、密切接触者涉及个人隐私的有关信息、资料的。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第六十九条</w:t>
      </w:r>
      <w:r>
        <w:rPr>
          <w:rFonts w:hint="eastAsia" w:ascii="宋体" w:hAnsi="宋体" w:cs="Arial"/>
          <w:kern w:val="0"/>
          <w:szCs w:val="32"/>
        </w:rPr>
        <w:t>　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（一）未按照规定承担本单位的传染病预防、控制工作、医院感染控制任务和责任区域内的传染病预防工作的；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（二）未按照规定报告传染病疫情，或者隐瞒、谎报、缓报传染病疫情的；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（三）发现传染病疫情时，未按照规定对传染病病人、疑似传染病病人提供医疗救护、现场救援、接诊、转诊的，或者拒绝接受转诊的；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（四）未按照规定对本单位内被传染病病原体污染的场所、物品以及医疗废物实施消毒或者无害化处置的；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（五）未按照规定对医疗器械进行消毒，或者对按照规定一次使用的医疗器具未予销毁，再次使用的；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（六）在医疗救治过程中未按照规定保管医学记录资料的；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（七）故意泄露传染病病人、病原携带者、疑似传染病病人、密切接触者涉及个人隐私的有关信息、资料的。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第七十条</w:t>
      </w:r>
      <w:r>
        <w:rPr>
          <w:rFonts w:hint="eastAsia" w:ascii="宋体" w:hAnsi="宋体" w:cs="Arial"/>
          <w:kern w:val="0"/>
          <w:szCs w:val="32"/>
        </w:rPr>
        <w:t>　采供血机构未按照规定报告传染病疫情，或者隐瞒、谎报、缓报传染病疫情，或者未执行国家有关规定，导致因输入血液引起经血液传播疾病发生的，由县级以上人民政府卫生行政部门责令改正，通报批评，给予警告；造成传染病传播、流行或者其他严重后果的，对负有责任的主管人员和其他直接责任人员，依法给予降级、撤职、开除的处分，并可以依法吊销采供血机构的执业许可证；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非法采集血液或者组织他人出卖血液的，由县级以上人民政府卫生行政部门予以取缔，没收违法所得，可以并处十万元以下的罚款；构成犯罪的，依法追究刑事责任。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第七十一条</w:t>
      </w:r>
      <w:r>
        <w:rPr>
          <w:rFonts w:hint="eastAsia" w:ascii="宋体" w:hAnsi="宋体" w:cs="Arial"/>
          <w:kern w:val="0"/>
          <w:szCs w:val="32"/>
        </w:rPr>
        <w:t>　国境卫生检疫机关、动物防疫机构未依法履行传染病疫情通报职责的，由有关部门在各自职责范围内责令改正，通报批评；造成传染病传播、流行或者其他严重后果的，对负有责任的主管人员和其他直接责任人员，依法给予降级、撤职、开除的处分；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第七十二条</w:t>
      </w:r>
      <w:r>
        <w:rPr>
          <w:rFonts w:hint="eastAsia" w:ascii="宋体" w:hAnsi="宋体" w:cs="Arial"/>
          <w:kern w:val="0"/>
          <w:szCs w:val="32"/>
        </w:rPr>
        <w:t>　铁路、交通、民用航空经营单位未依照本法的规定优先运送处理传染病疫情的人员以及防治传染病的药品和医疗器械的，由有关部门责令限期改正，给予警告；造成严重后果的，对负有责任的主管人员和其他直接责任人员，依法给予降级、撤职、开除的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第七十三条</w:t>
      </w:r>
      <w:r>
        <w:rPr>
          <w:rFonts w:hint="eastAsia" w:ascii="宋体" w:hAnsi="宋体" w:cs="Arial"/>
          <w:kern w:val="0"/>
          <w:szCs w:val="32"/>
        </w:rPr>
        <w:t>　违反本法规定，有下列情形之一，导致或者可能导致传染病传播、流行的，由县级以上人民政府卫生行政部门责令限期改正，没收违法所得，可以并处五万元以下的罚款；已取得许可证的，原发证部门可以依法暂扣或者吊销许可证；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（一）饮用水供水单位供应的饮用水不符合国家卫生标准和卫生规范的；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（二）涉及饮用水卫生安全的产品不符合国家卫生标准和卫生规范的；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（三）用于传染病防治的消毒产品不符合国家卫生标准和卫生规范的；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（四）出售、运输疫区中被传染病病原体污染或者可能被传染病病原体污染的物品，未进行消毒处理的；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（五）生物制品生产单位生产的血液制品不符合国家质量标准的。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第七十四条</w:t>
      </w:r>
      <w:r>
        <w:rPr>
          <w:rFonts w:hint="eastAsia" w:ascii="宋体" w:hAnsi="宋体" w:cs="Arial"/>
          <w:kern w:val="0"/>
          <w:szCs w:val="32"/>
        </w:rPr>
        <w:t>　违反本法规定，有下列情形之一的，由县级以上地方人民政府卫生行政部门责令改正，通报批评，给予警告，已取得许可证的，可以依法暂扣或者吊销许可证；造成传染病传播、流行以及其他严重后果的，对负有责任的主管人员和其他直接责任人员，依法给予降级、撤职、开除的处分，并可以依法吊销有关责任人员的执业证书；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（一）疾病预防控制机构、医疗机构和从事病原微生物实验的单位，不符合国家规定的条件和技术标准，对传染病病原体样本未按照规定进行严格管理，造成实验室感染和病原微生物扩散的；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（二）违反国家有关规定，采集、保藏、携带、运输和使用传染病菌种、毒种和传染病检测样本的；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（三）疾病预防控制机构、医疗机构未执行国家有关规定，导致因输入血液、使用血液制品引起经血液传播疾病发生的。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第七十五条</w:t>
      </w:r>
      <w:r>
        <w:rPr>
          <w:rFonts w:hint="eastAsia" w:ascii="宋体" w:hAnsi="宋体" w:cs="Arial"/>
          <w:kern w:val="0"/>
          <w:szCs w:val="32"/>
        </w:rPr>
        <w:t>　未经检疫出售、运输与人畜共患传染病有关的野生动物、家畜家禽的，由县级以上地方人民政府畜牧兽医行政部门责令停止违法行为，并依法给予行政处罚。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第七十六条</w:t>
      </w:r>
      <w:r>
        <w:rPr>
          <w:rFonts w:hint="eastAsia" w:ascii="宋体" w:hAnsi="宋体" w:cs="Arial"/>
          <w:kern w:val="0"/>
          <w:szCs w:val="32"/>
        </w:rPr>
        <w:t>　在国家确认的自然疫源地兴建水利、交通、旅游、能源等大型建设项目，未经卫生调查进行施工的，或者未按照疾病预防控制机构的意见采取必要的传染病预防、控制措施的，由县级以上人民政府卫生行政部门责令限期改正，给予警告，处五千元以上三万元以下的罚款；逾期不改正的，处三万元以上十万元以下的罚款，并可以提请有关人民政府依据职责权限，责令停建、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第七十七条</w:t>
      </w:r>
      <w:r>
        <w:rPr>
          <w:rFonts w:hint="eastAsia" w:ascii="宋体" w:hAnsi="宋体" w:cs="Arial"/>
          <w:kern w:val="0"/>
          <w:szCs w:val="32"/>
        </w:rPr>
        <w:t>　单位和个人违反本法规定，导致传染病传播、流行，给他人人身、财产造成损害的，应当依法承担民事责任。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第九章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第七十八条</w:t>
      </w:r>
      <w:r>
        <w:rPr>
          <w:rFonts w:hint="eastAsia" w:ascii="宋体" w:hAnsi="宋体" w:cs="Arial"/>
          <w:kern w:val="0"/>
          <w:szCs w:val="32"/>
        </w:rPr>
        <w:t>　本法中下列用语的含义: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（一）传染病病人、疑似传染病病人:指根据国务院卫生行政部门发布的《中华人民共和国传染病防治法规定管理的传染病诊断标准》，符合传染病病人和疑似传染病病人诊断标准的人。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（二）病原携带者:指感染病原体无临床症状但能排出病原体的人。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（三）流行病学调查:指对人群中疾病或者健康状况的分布及其决定因素进行调查研究，提出疾病预防控制措施及保健对策。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（四）疫点:指病原体从传染源向周围播散的范围较小或者单个疫源地。</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（五）疫区:指传染病在人群中暴发、流行，其病原体向周围播散时所能波及的地区。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（六）人畜共患传染病:指人与脊椎动物共同罹患的传染病，如鼠疫、狂犬病、血吸虫病等。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（七）自然疫源地:指某些可引起人类传染病的病原体在自然界的野生动物中长期存在和循环的地区。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（八）病媒生物:指能够将病原体从人或者其他动物传播给人的生物，如蚊、蝇、蚤类等。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（九）医源性感染:指在医学服务中，因病原体传播引起的感染。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医院感染:指住院病人在医院内获得的感染，包括在住院期间发生的感染和在医院内获得出院后发生的感染，但不包括入院前已开始或者入院时已处于潜伏期的感染。医院工作人员在医院内获得的感染也属医院感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（十一）实验室感染:指从事实验室工作时，因接触病原体所致的感染。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（十二）菌种、毒种:指可能引起本法规定的传染病发生的细菌菌种、病毒毒种。</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（十三）消毒:指用化学、物理、生物的方法杀灭或者消除环境中的病原微生物。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（十四）疾病预防控制机构:指从事疾病预防控制活动的疾病预防控制中心以及与上述机构业务活动相同的单位。</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（十五）医疗机构:指按照《医疗机构管理条例》取得医疗机构执业许可证，从事疾病诊断、治疗活动的机构。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第七十九条</w:t>
      </w:r>
      <w:r>
        <w:rPr>
          <w:rFonts w:hint="eastAsia" w:ascii="宋体" w:hAnsi="宋体" w:cs="Arial"/>
          <w:kern w:val="0"/>
          <w:szCs w:val="32"/>
        </w:rPr>
        <w:t>　传染病防治中有关食品、药品、血液、水、医疗废物和病原微生物的管理以及动物防疫和国境卫生检疫，本法未规定的，分别适用其他有关法律、行政法规的规定。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第八十条</w:t>
      </w:r>
      <w:r>
        <w:rPr>
          <w:rFonts w:hint="eastAsia" w:ascii="宋体" w:hAnsi="宋体" w:cs="Arial"/>
          <w:kern w:val="0"/>
          <w:szCs w:val="32"/>
        </w:rPr>
        <w:t>　本法自2004年12月1日起施行。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rPr>
      </w:pPr>
      <w:bookmarkStart w:id="1" w:name="_Toc13757"/>
      <w:r>
        <w:rPr>
          <w:rFonts w:hint="eastAsia" w:ascii="宋体" w:hAnsi="宋体" w:eastAsia="宋体" w:cs="宋体"/>
          <w:kern w:val="0"/>
          <w:sz w:val="44"/>
          <w:szCs w:val="44"/>
        </w:rPr>
        <w:t>中华人民共和国突发事件应对法</w:t>
      </w:r>
      <w:bookmarkEnd w:id="1"/>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 w:val="44"/>
          <w:szCs w:val="44"/>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（2007年8月30日第十届全国人民代表大会常务委员会第二十九次会议通过）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二章　预防与应急准备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三章　监测与预警</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四章　应急处置与救援</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五章　事后恢复与重建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六章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七章　附则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一条</w:t>
      </w:r>
      <w:r>
        <w:rPr>
          <w:rFonts w:hint="eastAsia" w:ascii="宋体" w:hAnsi="宋体" w:cs="Arial"/>
          <w:kern w:val="0"/>
          <w:szCs w:val="32"/>
        </w:rPr>
        <w:t>　为了预防和减少突发事件的发生，控制、减轻和消除突发事件引起的严重社会危害，规范突发事件应对活动，保护人民生命财产安全，维护国家安全、公共安全、环境安全和社会秩序，制定本法。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二条</w:t>
      </w:r>
      <w:r>
        <w:rPr>
          <w:rFonts w:hint="eastAsia" w:ascii="宋体" w:hAnsi="宋体" w:cs="Arial"/>
          <w:kern w:val="0"/>
          <w:szCs w:val="32"/>
        </w:rPr>
        <w:t>　突发事件的预防与应急准备、监测与预警、应急处置与救援、事后恢复与重建等应对活动，适用本法。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三条</w:t>
      </w:r>
      <w:r>
        <w:rPr>
          <w:rFonts w:hint="eastAsia" w:ascii="宋体" w:hAnsi="宋体" w:cs="Arial"/>
          <w:kern w:val="0"/>
          <w:szCs w:val="32"/>
        </w:rPr>
        <w:t>　本法所称突发事件，是指突然发生，造成或者可能造成严重社会危害，需要采取应急处置措施予以应对的自然灾害、事故灾难、公共卫生事件和社会安全事件。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按照社会危害程度、影响范围等因素，自然灾害、事故灾难、公共卫生事件分为特别重大、重大、较大和一般四级。法律、行政法规或者国务院另有规定的，从其规定。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突发事件的分级标准由国务院或者国务院确定的部门制定。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四条</w:t>
      </w:r>
      <w:r>
        <w:rPr>
          <w:rFonts w:hint="eastAsia" w:ascii="宋体" w:hAnsi="宋体" w:cs="Arial"/>
          <w:kern w:val="0"/>
          <w:szCs w:val="32"/>
        </w:rPr>
        <w:t>　国家建立统一领导、综合协调、分类管理、分级负责、属地管理为主的应急管理体制。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五条</w:t>
      </w:r>
      <w:r>
        <w:rPr>
          <w:rFonts w:hint="eastAsia" w:ascii="宋体" w:hAnsi="宋体" w:cs="Arial"/>
          <w:kern w:val="0"/>
          <w:szCs w:val="32"/>
        </w:rPr>
        <w:t>　突发事件应对工作实行预防为主、预防与应急相结合的原则。国家建立重大突发事件风险评估体系，对可能发生的突发事件进行综合性评估，减少重大突发事件的发生，最大限度地减轻重大突发事件的影响。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六条</w:t>
      </w:r>
      <w:r>
        <w:rPr>
          <w:rFonts w:hint="eastAsia" w:ascii="宋体" w:hAnsi="宋体" w:cs="Arial"/>
          <w:kern w:val="0"/>
          <w:szCs w:val="32"/>
        </w:rPr>
        <w:t>　国家建立有效的社会动员机制，增强全民的公共安全和防范风险的意识，提高全社会的避险救助能力。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七条</w:t>
      </w:r>
      <w:r>
        <w:rPr>
          <w:rFonts w:hint="eastAsia" w:ascii="宋体" w:hAnsi="宋体" w:cs="Arial"/>
          <w:kern w:val="0"/>
          <w:szCs w:val="32"/>
        </w:rPr>
        <w:t>　县级人民政府对本行政区域内突发事件的应对工作负责；涉及两个以上行政区域的，由有关行政区域共同的上一级人民政府负责，或者由各有关行政区域的上一级人民政府共同负责。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突发事件发生后，发生地县级人民政府应当立即采取措施控制事态发展，组织开展应急救援和处置工作，并立即向上一级人民政府报告，必要时可以越级上报。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突发事件发生地县级人民政府不能消除或者不能有效控制突发事件引起的严重社会危害的，应当及时向上级人民政府报告。上级人民政府应当及时采取措施，统一领导应急处置工作。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法律、行政法规规定由国务院有关部门对突发事件的应对工作负责的，从其规定；地方人民政府应当积极配合并提供必要的支持。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八条</w:t>
      </w:r>
      <w:r>
        <w:rPr>
          <w:rFonts w:hint="eastAsia" w:ascii="宋体" w:hAnsi="宋体" w:cs="Arial"/>
          <w:kern w:val="0"/>
          <w:szCs w:val="32"/>
        </w:rPr>
        <w:t>　国务院在总理领导下研究、决定和部署特别重大突发事件的应对工作；根据实际需要，设立国家突发事件应急指挥机构，负责突发事件应对工作；必要时，国务院可以派出工作组指导有关工作。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上级人民政府主管部门应当在各自职责范围内，指导、协助下级人民政府及其相应部门做好有关突发事件的应对工作。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九条</w:t>
      </w:r>
      <w:r>
        <w:rPr>
          <w:rFonts w:hint="eastAsia" w:ascii="宋体" w:hAnsi="宋体" w:cs="Arial"/>
          <w:kern w:val="0"/>
          <w:szCs w:val="32"/>
        </w:rPr>
        <w:t>　国务院和县级以上地方各级人民政府是突发事件应对工作的行政领导机关，其办事机构及具体职责由国务院规定。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十条</w:t>
      </w:r>
      <w:r>
        <w:rPr>
          <w:rFonts w:hint="eastAsia" w:ascii="宋体" w:hAnsi="宋体" w:cs="Arial"/>
          <w:kern w:val="0"/>
          <w:szCs w:val="32"/>
        </w:rPr>
        <w:t>　有关人民政府及其部门作出的应对突发事件的决定、命令，应当及时公布。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十一条</w:t>
      </w:r>
      <w:r>
        <w:rPr>
          <w:rFonts w:hint="eastAsia" w:ascii="宋体" w:hAnsi="宋体" w:cs="Arial"/>
          <w:kern w:val="0"/>
          <w:szCs w:val="32"/>
        </w:rPr>
        <w:t>　有关人民政府及其部门采取的应对突发事件的措施，应当与突发事件可能造成的社会危害的性质、程度和范围相适应；有多种措施可供选择的，应当选择有利于最大程度地保护公民、法人和其他组织权益的措施。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公民、法人和其他组织有义务参与突发事件应对工作。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十二条</w:t>
      </w:r>
      <w:r>
        <w:rPr>
          <w:rFonts w:hint="eastAsia" w:ascii="宋体" w:hAnsi="宋体" w:cs="Arial"/>
          <w:kern w:val="0"/>
          <w:szCs w:val="32"/>
        </w:rPr>
        <w:t>　有关人民政府及其部门为应对突发事件，可以征用单位和个人的财产。被征用的财产在使用完毕或者突发事件应急处置工作结束后，应当及时返还。财产被征用或者征用后毁损、灭失的，应当给予补偿。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十三条</w:t>
      </w:r>
      <w:r>
        <w:rPr>
          <w:rFonts w:hint="eastAsia" w:ascii="宋体" w:hAnsi="宋体" w:cs="Arial"/>
          <w:kern w:val="0"/>
          <w:szCs w:val="32"/>
        </w:rPr>
        <w:t>　因采取突发事件应对措施，诉讼、行政复议、仲裁活动不能正常进行的，适用有关时效中止和程序中止的规定，但法律另有规定的除外。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十四条</w:t>
      </w:r>
      <w:r>
        <w:rPr>
          <w:rFonts w:hint="eastAsia" w:ascii="宋体" w:hAnsi="宋体" w:cs="Arial"/>
          <w:kern w:val="0"/>
          <w:szCs w:val="32"/>
        </w:rPr>
        <w:t>　中国人民解放军、中国人民武装警察部队和民兵组织依照本法和其他有关法律、行政法规、军事法规的规定以及国务院、中央军事委员会的命令，参加突发事件的应急救援和处置工作。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十五条</w:t>
      </w:r>
      <w:r>
        <w:rPr>
          <w:rFonts w:hint="eastAsia" w:ascii="宋体" w:hAnsi="宋体" w:cs="Arial"/>
          <w:kern w:val="0"/>
          <w:szCs w:val="32"/>
        </w:rPr>
        <w:t>　中华人民共和国政府在突发事件的预防、监测与预警、应急处置与救援、事后恢复与重建等方面，同外国政府和有关国际组织开展合作与交流。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十六条</w:t>
      </w:r>
      <w:r>
        <w:rPr>
          <w:rFonts w:hint="eastAsia" w:ascii="宋体" w:hAnsi="宋体" w:cs="Arial"/>
          <w:kern w:val="0"/>
          <w:szCs w:val="32"/>
        </w:rPr>
        <w:t>　县级以上人民政府作出应对突发事件的决定、命令，应当报本级人民代表大会常务委员会备案；突发事件应急处置工作结束后，应当向本级人民代表大会常务委员会作出专项工作报告。</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预防与应急准备</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十七条</w:t>
      </w:r>
      <w:r>
        <w:rPr>
          <w:rFonts w:hint="eastAsia" w:ascii="宋体" w:hAnsi="宋体" w:cs="Arial"/>
          <w:kern w:val="0"/>
          <w:szCs w:val="32"/>
        </w:rPr>
        <w:t>　国家建立健全突发事件应急预案体系。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国务院制定国家突发事件总体应急预案，组织制定国家突发事件专项应急预案；国务院有关部门根据各自的职责和国务院相关应急预案，制定国家突发事件部门应急预案。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地方各级人民政府和县级以上地方各级人民政府有关部门根据有关法律、法规、规章、上级人民政府及其有关部门的应急预案以及本地区的实际情况，制定相应的突发事件应急预案。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应急预案制定机关应当根据实际需要和情势变化，适时修订应急预案。应急预案的制定、修订程序由国务院规定。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十八条</w:t>
      </w:r>
      <w:r>
        <w:rPr>
          <w:rFonts w:hint="eastAsia" w:ascii="宋体" w:hAnsi="宋体" w:cs="Arial"/>
          <w:kern w:val="0"/>
          <w:szCs w:val="32"/>
        </w:rPr>
        <w:t>　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十九条</w:t>
      </w:r>
      <w:r>
        <w:rPr>
          <w:rFonts w:hint="eastAsia" w:ascii="宋体" w:hAnsi="宋体" w:cs="Arial"/>
          <w:kern w:val="0"/>
          <w:szCs w:val="32"/>
        </w:rPr>
        <w:t>　城乡规划应当符合预防、处置突发事件的需要，统筹安排应对突发事件所必需的设备和基础设施建设，合理确定应急避难场所。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二十条</w:t>
      </w:r>
      <w:r>
        <w:rPr>
          <w:rFonts w:hint="eastAsia" w:ascii="宋体" w:hAnsi="宋体" w:cs="Arial"/>
          <w:kern w:val="0"/>
          <w:szCs w:val="32"/>
        </w:rPr>
        <w:t>　县级人民政府应当对本行政区域内容易引发自然灾害、事故灾难和公共卫生事件的危险源、危险区域进行调查、登记、风险评估，定期进行检查、监控，并责令有关单位采取安全防范措施。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省级和设区的市级人民政府应当对本行政区域内容易引发特别重大、重大突发事件的危险源、危险区域进行调查、登记、风险评估，组织进行检查、监控，并责令有关单位采取安全防范措施。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县级以上地方各级人民政府按照本法规定登记的危险源、危险区域，应当按照国家规定及时向社会公布。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二十一条</w:t>
      </w:r>
      <w:r>
        <w:rPr>
          <w:rFonts w:hint="eastAsia" w:ascii="宋体" w:hAnsi="宋体" w:cs="Arial"/>
          <w:kern w:val="0"/>
          <w:szCs w:val="32"/>
        </w:rPr>
        <w:t>　县级人民政府及其有关部门、乡级人民政府、街道办事处、居民委员会、村民委员会应当及时调解处理可能引发社会安全事件的矛盾纠纷。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二十二条</w:t>
      </w:r>
      <w:r>
        <w:rPr>
          <w:rFonts w:hint="eastAsia" w:ascii="宋体" w:hAnsi="宋体" w:cs="Arial"/>
          <w:kern w:val="0"/>
          <w:szCs w:val="32"/>
        </w:rPr>
        <w:t>　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二十三条</w:t>
      </w:r>
      <w:r>
        <w:rPr>
          <w:rFonts w:hint="eastAsia" w:ascii="宋体" w:hAnsi="宋体" w:cs="Arial"/>
          <w:kern w:val="0"/>
          <w:szCs w:val="32"/>
        </w:rPr>
        <w:t>　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二十四条</w:t>
      </w:r>
      <w:r>
        <w:rPr>
          <w:rFonts w:hint="eastAsia" w:ascii="宋体" w:hAnsi="宋体" w:cs="Arial"/>
          <w:kern w:val="0"/>
          <w:szCs w:val="32"/>
        </w:rPr>
        <w:t>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有关单位应当定期检测、维护其报警装置和应急救援设备、设施，使其处于良好状态，确保正常使用。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二十五条</w:t>
      </w:r>
      <w:r>
        <w:rPr>
          <w:rFonts w:hint="eastAsia" w:ascii="宋体" w:hAnsi="宋体" w:cs="Arial"/>
          <w:kern w:val="0"/>
          <w:szCs w:val="32"/>
        </w:rPr>
        <w:t>　县级以上人民政府应当建立健全突发事件应急管理培训制度，对人民政府及其有关部门负有处置突发事件职责的工作人员定期进行培训。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二十六条</w:t>
      </w:r>
      <w:r>
        <w:rPr>
          <w:rFonts w:hint="eastAsia" w:ascii="宋体" w:hAnsi="宋体" w:cs="Arial"/>
          <w:kern w:val="0"/>
          <w:szCs w:val="32"/>
        </w:rPr>
        <w:t>　县级以上人民政府应当整合应急资源，建立或者确定综合性应急救援队伍。人民政府有关部门可以根据实际需要设立专业应急救援队伍。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县级以上人民政府及其有关部门可以建立由成年志愿者组成的应急救援队伍。单位应当建立由本单位职工组成的专职或者兼职应急救援队伍。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县级以上人民政府应当加强专业应急救援队伍与非专业应急救援队伍的合作，联合培训、联合演练，提高合成应急、协同应急的能力。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二十七条</w:t>
      </w:r>
      <w:r>
        <w:rPr>
          <w:rFonts w:hint="eastAsia" w:ascii="宋体" w:hAnsi="宋体" w:cs="Arial"/>
          <w:kern w:val="0"/>
          <w:szCs w:val="32"/>
        </w:rPr>
        <w:t>　国务院有关部门、县级以上地方各级人民政府及其有关部门、有关单位应当为专业应急救援人员购买人身意外伤害保险，配备必要的防护装备和器材，减少应急救援人员的人身风险。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二十八条</w:t>
      </w:r>
      <w:r>
        <w:rPr>
          <w:rFonts w:hint="eastAsia" w:ascii="宋体" w:hAnsi="宋体" w:cs="Arial"/>
          <w:kern w:val="0"/>
          <w:szCs w:val="32"/>
        </w:rPr>
        <w:t>　中国人民解放军、中国人民武装警察部队和民兵组织应当有计划地组织开展应急救援的专门训练。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二十九条</w:t>
      </w:r>
      <w:r>
        <w:rPr>
          <w:rFonts w:hint="eastAsia" w:ascii="宋体" w:hAnsi="宋体" w:cs="Arial"/>
          <w:kern w:val="0"/>
          <w:szCs w:val="32"/>
        </w:rPr>
        <w:t>　县级人民政府及其有关部门、乡级人民政府、街道办事处应当组织开展应急知识的宣传普及活动和必要的应急演练。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居民委员会、村民委员会、企业事业单位应当根据所在地人民政府的要求，结合各自的实际情况，开展有关突发事件应急知识的宣传普及活动和必要的应急演练。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新闻媒体应当无偿开展突发事件预防与应急、自救与互救知识的公益宣传。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三十条</w:t>
      </w:r>
      <w:r>
        <w:rPr>
          <w:rFonts w:hint="eastAsia" w:ascii="宋体" w:hAnsi="宋体" w:cs="Arial"/>
          <w:kern w:val="0"/>
          <w:szCs w:val="32"/>
        </w:rPr>
        <w:t>　各级各类学校应当把应急知识教育纳入教学内容，对学生进行应急知识教育，培养学生的安全意识和自救与互救能力。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教育主管部门应当对学校开展应急知识教育进行指导和监督。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三十一条</w:t>
      </w:r>
      <w:r>
        <w:rPr>
          <w:rFonts w:hint="eastAsia" w:ascii="宋体" w:hAnsi="宋体" w:cs="Arial"/>
          <w:kern w:val="0"/>
          <w:szCs w:val="32"/>
        </w:rPr>
        <w:t>　国务院和县级以上地方各级人民政府应当采取财政措施，保障突发事件应对工作所需经费。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三十二条</w:t>
      </w:r>
      <w:r>
        <w:rPr>
          <w:rFonts w:hint="eastAsia" w:ascii="宋体" w:hAnsi="宋体" w:cs="Arial"/>
          <w:kern w:val="0"/>
          <w:szCs w:val="32"/>
        </w:rPr>
        <w:t>　国家建立健全应急物资储备保障制度，完善重要应急物资的监管、生产、储备、调拨和紧急配送体系。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设区的市级以上人民政府和突发事件易发、多发地区的县级人民政府应当建立应急救援物资、生活必需品和应急处置装备的储备制度。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县级以上地方各级人民政府应当根据本地区的实际情况，与有关企业签订协议，保障应急救援物资、生活必需品和应急处置装备的生产、供给。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三十三条</w:t>
      </w:r>
      <w:r>
        <w:rPr>
          <w:rFonts w:hint="eastAsia" w:ascii="宋体" w:hAnsi="宋体" w:cs="Arial"/>
          <w:kern w:val="0"/>
          <w:szCs w:val="32"/>
        </w:rPr>
        <w:t>　国家建立健全应急通信保障体系，完善公用通信网，建立有线与无线相结合、基础电信网络与机动通信系统相配套的应急通信系统，确保突发事件应对工作的通信畅通。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三十四条</w:t>
      </w:r>
      <w:r>
        <w:rPr>
          <w:rFonts w:hint="eastAsia" w:ascii="宋体" w:hAnsi="宋体" w:cs="Arial"/>
          <w:kern w:val="0"/>
          <w:szCs w:val="32"/>
        </w:rPr>
        <w:t>　国家鼓励公民、法人和其他组织为人民政府应对突发事件工作提供物资、资金、技术支持和捐赠。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三十五条</w:t>
      </w:r>
      <w:r>
        <w:rPr>
          <w:rFonts w:hint="eastAsia" w:ascii="宋体" w:hAnsi="宋体" w:cs="Arial"/>
          <w:kern w:val="0"/>
          <w:szCs w:val="32"/>
        </w:rPr>
        <w:t>　国家发展保险事业，建立国家财政支持的巨灾风险保险体系，并鼓励单位和公民参加保险。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三十六条</w:t>
      </w:r>
      <w:r>
        <w:rPr>
          <w:rFonts w:hint="eastAsia" w:ascii="宋体" w:hAnsi="宋体" w:cs="Arial"/>
          <w:kern w:val="0"/>
          <w:szCs w:val="32"/>
        </w:rPr>
        <w:t>　国家鼓励、扶持具备相应条件的教学科研机构培养应急管理专门人才，鼓励、扶持教学科研机构和有关企业研究开发用于突发事件预防、监测、预警、应急处置与救援的新技术、新设备和新工具。</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监测与预警</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三十七条</w:t>
      </w:r>
      <w:r>
        <w:rPr>
          <w:rFonts w:hint="eastAsia" w:ascii="宋体" w:hAnsi="宋体" w:cs="Arial"/>
          <w:kern w:val="0"/>
          <w:szCs w:val="32"/>
        </w:rPr>
        <w:t>　国务院建立全国统一的突发事件信息系统。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三十八条</w:t>
      </w:r>
      <w:r>
        <w:rPr>
          <w:rFonts w:hint="eastAsia" w:ascii="宋体" w:hAnsi="宋体" w:cs="Arial"/>
          <w:kern w:val="0"/>
          <w:szCs w:val="32"/>
        </w:rPr>
        <w:t>　县级以上人民政府及其有关部门、专业机构应当通过多种途径收集突发事件信息。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县级人民政府应当在居民委员会、村民委员会和有关单位建立专职或者兼职信息报告员制度。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获悉突发事件信息的公民、法人或者其他组织，应当立即向所在地人民政府、有关主管部门或者指定的专业机构报告。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三十九条</w:t>
      </w:r>
      <w:r>
        <w:rPr>
          <w:rFonts w:hint="eastAsia" w:ascii="宋体" w:hAnsi="宋体" w:cs="Arial"/>
          <w:kern w:val="0"/>
          <w:szCs w:val="32"/>
        </w:rPr>
        <w:t>　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有关单位和人员报送、报告突发事件信息，应当做到及时、客观、真实，不得迟报、谎报、瞒报、漏报。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四十条</w:t>
      </w:r>
      <w:r>
        <w:rPr>
          <w:rFonts w:hint="eastAsia" w:ascii="宋体" w:hAnsi="宋体" w:cs="Arial"/>
          <w:kern w:val="0"/>
          <w:szCs w:val="32"/>
        </w:rPr>
        <w:t>　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四十一条</w:t>
      </w:r>
      <w:r>
        <w:rPr>
          <w:rFonts w:hint="eastAsia" w:ascii="宋体" w:hAnsi="宋体" w:cs="Arial"/>
          <w:kern w:val="0"/>
          <w:szCs w:val="32"/>
        </w:rPr>
        <w:t>　国家建立健全突发事件监测制度。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四十二条</w:t>
      </w:r>
      <w:r>
        <w:rPr>
          <w:rFonts w:hint="eastAsia" w:ascii="宋体" w:hAnsi="宋体" w:cs="Arial"/>
          <w:kern w:val="0"/>
          <w:szCs w:val="32"/>
        </w:rPr>
        <w:t>　国家建立健全突发事件预警制度。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可以预警的自然灾害、事故灾难和公共卫生事件的预警级别，按照突发事件发生的紧急程度、发展势态和可能造成的危害程度分为一级、二级、三级和四级，分别用红色、橙色、黄色和蓝色标示，一级为最高级别。</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预警级别的划分标准由国务院或者国务院确定的部门制定。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四十三条</w:t>
      </w:r>
      <w:r>
        <w:rPr>
          <w:rFonts w:hint="eastAsia" w:ascii="宋体" w:hAnsi="宋体" w:cs="Arial"/>
          <w:kern w:val="0"/>
          <w:szCs w:val="32"/>
        </w:rPr>
        <w:t>　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四十四条</w:t>
      </w:r>
      <w:r>
        <w:rPr>
          <w:rFonts w:hint="eastAsia" w:ascii="宋体" w:hAnsi="宋体" w:cs="Arial"/>
          <w:kern w:val="0"/>
          <w:szCs w:val="32"/>
        </w:rPr>
        <w:t>　发布三级、四级警报，宣布进入预警期后，县级以上地方各级人民政府应当根据即将发生的突发事件的特点和可能造成的危害，采取下列措施：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（一）启动应急预案；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（二）责令有关部门、专业机构、监测网点和负有特定职责的人员及时收集、报告有关信息，向社会公布反映突发事件信息</w:t>
      </w:r>
      <w:r>
        <w:rPr>
          <w:rFonts w:hint="eastAsia" w:ascii="宋体" w:hAnsi="宋体" w:cs="Arial"/>
          <w:spacing w:val="-6"/>
          <w:kern w:val="0"/>
          <w:szCs w:val="32"/>
        </w:rPr>
        <w:t>的渠道，加强对突发事件发生、发展情况的监测、预报和预警工作；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（三）组织有关部门和机构、专业技术人员、有关专家学者，随时对突发事件信息进行分析评估，预测发生突发事件可能性的大小、影响范围和强度以及可能发生的突发事件的级别；</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（四）定时向社会发布与公众有关的突发事件预测信息和分析评估结果，并对相关信息的报道工作进行管理；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（五）及时按照有关规定向社会发布可能受到突发事件危害的警告，宣传避免、减轻危害的常识，公布咨询电话。</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四十五条</w:t>
      </w:r>
      <w:r>
        <w:rPr>
          <w:rFonts w:hint="eastAsia" w:ascii="宋体" w:hAnsi="宋体" w:cs="Arial"/>
          <w:kern w:val="0"/>
          <w:szCs w:val="32"/>
        </w:rPr>
        <w:t>　发布一级、二级警报，宣布进入预警期后，县级以上地方各级人民政府除采取本法第四十四条　规定的措施外，还应当针对即将发生的突发事件的特点和可能造成的危害，采取下列一项或者多项措施：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（一）责令应急救援队伍、负有特定职责的人员进入待命状态，并动员后备人员做好参加应急救援和处置工作的准备；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（二）调集应急救援所需物资、设备、工具，准备应急设施和避难场所，并确保其处于良好状态、随时可以投入正常使用；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（三）加强对重点单位、重要部位和重要基础设施的安全保卫，维护社会治安秩序；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（四）采取必要措施，确保交通、通信、供水、排水、供电、供气、供热等公共设施的安全和正常运行；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（五）及时向社会发布有关采取特定措施避免或者减轻危害的建议、劝告；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（六）转移、疏散或者撤离易受突发事件危害的人员并予以妥善安置，转移重要财产；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（七）关闭或者限制使用易受突发事件危害的场所，控制或者限制容易导致危害扩大的公共场所的活动；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（八）法律、法规、规章规定的其他必要的防范性、保护性措施。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四十六条</w:t>
      </w:r>
      <w:r>
        <w:rPr>
          <w:rFonts w:hint="eastAsia" w:ascii="宋体" w:hAnsi="宋体" w:cs="Arial"/>
          <w:kern w:val="0"/>
          <w:szCs w:val="32"/>
        </w:rPr>
        <w:t>　对即将发生或者已经发生的社会安全事件，县级以上地方各级人民政府及其有关主管部门应当按照规定向上一级人民政府及其有关主管部门报告，必要时可以越级上报。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四十七条</w:t>
      </w:r>
      <w:r>
        <w:rPr>
          <w:rFonts w:hint="eastAsia" w:ascii="宋体" w:hAnsi="宋体" w:cs="Arial"/>
          <w:kern w:val="0"/>
          <w:szCs w:val="32"/>
        </w:rPr>
        <w:t>　发布突发事件警报的人民政府应当根据事态的发展，按照有关规定适时调整预警级别并重新发布。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有事实证明不可能发生突发事件或者危险已经解除的，发布警报的人民政府应当立即宣布解除警报，终止预警期，并解除已经采取的有关措施。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应急处置与救援</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四十八条</w:t>
      </w:r>
      <w:r>
        <w:rPr>
          <w:rFonts w:hint="eastAsia" w:ascii="宋体" w:hAnsi="宋体" w:cs="Arial"/>
          <w:kern w:val="0"/>
          <w:szCs w:val="32"/>
        </w:rPr>
        <w:t>　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四十九条</w:t>
      </w:r>
      <w:r>
        <w:rPr>
          <w:rFonts w:hint="eastAsia" w:ascii="宋体" w:hAnsi="宋体" w:cs="Arial"/>
          <w:kern w:val="0"/>
          <w:szCs w:val="32"/>
        </w:rPr>
        <w:t>　自然灾害、事故灾难或者公共卫生事件发生后，履行统一领导职责的人民政府可以采取下列一项或者多项应急处置措施：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（一）组织营救和救治受害人员，疏散、撤离并妥善安置受到威胁的人员以及采取其他救助措施；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（二）迅速控制危险源，标明危险区域，封锁危险场所，划定警戒区，实行交通管制以及其他控制措施；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（三）立即抢修被损坏的交通、通信、供水、排水、供电、供气、供热等公共设施，向受到危害的人员提供避难场所和生活必需品，实施医疗救护和卫生防疫以及其他保障措施；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（四）禁止或者限制使用有关设备、设施，关闭或者限制使用有关场所，中止人员密集的活动或者可能导致危害扩大的生产经营活动以及采取其他保护措施；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（五）启用本级人民政府设置的财政预备费和储备的应急救援物资，必要时调用其他急需物资、设备、设施、工具；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（六）组织公民参加应急救援和处置工作，要求具有特定专长的人员提供服务；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（七）保障食品、饮用水、燃料等基本生活必需品的供应；</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（八）依法从严惩处囤积居奇、哄抬物价、制假售假等扰乱市场秩序的行为，稳定市场价格，维护市场秩序；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（九）依法从严惩处哄抢财物、干扰破坏应急处置工作等扰乱社会秩序的行为，维护社会治安；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（十）采取防止发生次生、衍生事件的必要措施。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五十条</w:t>
      </w:r>
      <w:r>
        <w:rPr>
          <w:rFonts w:hint="eastAsia" w:ascii="宋体" w:hAnsi="宋体" w:cs="Arial"/>
          <w:kern w:val="0"/>
          <w:szCs w:val="32"/>
        </w:rPr>
        <w:t>　社会安全事件发生后，组织处置工作的人民政府应当立即组织有关部门并由公安机关针对事件的性质和特点，依照有关法律、行政法规和国家其他有关规定，采取下列一项或者多项应急处置措施：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（一）强制隔离使用器械相互对抗或者以暴力行为参与冲突的当事人，妥善解决现场纠纷和争端，控制事态发展；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（二）对特定区域内的建筑物、交通工具、设备、设施以及燃料、燃气、电力、水的供应进行控制；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（三）封锁有关场所、道路，查验现场人员的身份证件，限制有关公共场所内的活动；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　（四）加强对易受冲击的核心机关和单位的警卫，在国家机关、军事机关、国家通讯社、广播电台、电视台、外国驻华使领馆等单位附近设置临时警戒线；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（五）法律、行政法规和国务院规定的其他必要措施。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严重危害社会治安秩序的事件发生时，公安机关应当立即依法出动警力，根据现场情况依法采取相应的强制性措施，尽快使社会秩序恢复正常。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五十一条</w:t>
      </w:r>
      <w:r>
        <w:rPr>
          <w:rFonts w:hint="eastAsia" w:ascii="宋体" w:hAnsi="宋体" w:cs="Arial"/>
          <w:kern w:val="0"/>
          <w:szCs w:val="32"/>
        </w:rPr>
        <w:t>　发生突发事件，严重影响国民经济正常运行时，国务院或者国务院授权的有关主管部门可以采取保障、控制等必要的应急措施，保障人民群众的基本生活需要，最大限度地减轻突发事件的影响。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五十二条</w:t>
      </w:r>
      <w:r>
        <w:rPr>
          <w:rFonts w:hint="eastAsia" w:ascii="宋体" w:hAnsi="宋体" w:cs="Arial"/>
          <w:kern w:val="0"/>
          <w:szCs w:val="32"/>
        </w:rPr>
        <w:t>　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履行统一领导职责或者组织处置突发事件的人民政府，应当组织协调运输经营单位，优先运送处置突发事件所需物资、设备、工具、应急救援人员和受到突发事件危害的人员。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五十三条</w:t>
      </w:r>
      <w:r>
        <w:rPr>
          <w:rFonts w:hint="eastAsia" w:ascii="宋体" w:hAnsi="宋体" w:cs="Arial"/>
          <w:kern w:val="0"/>
          <w:szCs w:val="32"/>
        </w:rPr>
        <w:t>　履行统一领导职责或者组织处置突发事件的人民政府，应当按照有关规定统一、准确、及时发布有关突发事件事态发展和应急处置工作的信息。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五十四条</w:t>
      </w:r>
      <w:r>
        <w:rPr>
          <w:rFonts w:hint="eastAsia" w:ascii="宋体" w:hAnsi="宋体" w:cs="Arial"/>
          <w:kern w:val="0"/>
          <w:szCs w:val="32"/>
        </w:rPr>
        <w:t>　任何单位和个人不得编造、传播有关突发事件事态发展或者应急处置工作的虚假信息。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五十五条</w:t>
      </w:r>
      <w:r>
        <w:rPr>
          <w:rFonts w:hint="eastAsia" w:ascii="宋体" w:hAnsi="宋体" w:cs="Arial"/>
          <w:kern w:val="0"/>
          <w:szCs w:val="32"/>
        </w:rPr>
        <w:t>　突发事件发生地的居民委员会、村民委员会和其他组织应当按照当地人民政府的决定、命令，进行宣传动员，组织群众开展自救和互救，协助维护社会秩序。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五十六条</w:t>
      </w:r>
      <w:r>
        <w:rPr>
          <w:rFonts w:hint="eastAsia" w:ascii="宋体" w:hAnsi="宋体" w:cs="Arial"/>
          <w:kern w:val="0"/>
          <w:szCs w:val="32"/>
        </w:rPr>
        <w:t>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突发事件发生地的其他单位应当服从人民政府发布的决定、命令，配合人民政府采取的应急处置措施，做好本单位的应急救援工作，并积极组织人员参加所在地的应急救援和处置工作。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五十七条</w:t>
      </w:r>
      <w:r>
        <w:rPr>
          <w:rFonts w:hint="eastAsia" w:ascii="宋体" w:hAnsi="宋体" w:cs="Arial"/>
          <w:kern w:val="0"/>
          <w:szCs w:val="32"/>
        </w:rPr>
        <w:t>　突发事件发生地的公民应当服从人民政府、居民委员会、村民委员会或者所属单位的指挥和安排，配合人民政府采取的应急处置措施，积极参加应急救援工作，协助维护社会秩序。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事后恢复与重建</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五十八条</w:t>
      </w:r>
      <w:r>
        <w:rPr>
          <w:rFonts w:hint="eastAsia" w:ascii="宋体" w:hAnsi="宋体" w:cs="Arial"/>
          <w:kern w:val="0"/>
          <w:szCs w:val="32"/>
        </w:rPr>
        <w:t>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五十九条</w:t>
      </w:r>
      <w:r>
        <w:rPr>
          <w:rFonts w:hint="eastAsia" w:ascii="宋体" w:hAnsi="宋体" w:cs="Arial"/>
          <w:kern w:val="0"/>
          <w:szCs w:val="32"/>
        </w:rPr>
        <w:t>　突发事件应急处置工作结束后，履行统一领导职责的人民政府应当立即组织对突发事件造成的损失进行评估，组织受影响地区尽快恢复生产、生活、工作和社会秩序，制定恢复重建计划，并向上一级人民政府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受突发事件影响地区的人民政府应当及时组织和协调公安、交通、铁路、民航、邮电、建设等有关部门恢复社会治安秩序，尽快修复被损坏的交通、通信、供水、排水、供电、供气、供热等公共设施。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六十条</w:t>
      </w:r>
      <w:r>
        <w:rPr>
          <w:rFonts w:hint="eastAsia" w:ascii="宋体" w:hAnsi="宋体" w:cs="Arial"/>
          <w:kern w:val="0"/>
          <w:szCs w:val="32"/>
        </w:rPr>
        <w:t>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六十一条</w:t>
      </w:r>
      <w:r>
        <w:rPr>
          <w:rFonts w:hint="eastAsia" w:ascii="宋体" w:hAnsi="宋体" w:cs="Arial"/>
          <w:kern w:val="0"/>
          <w:szCs w:val="32"/>
        </w:rPr>
        <w:t>　国务院根据受突发事件影响地区遭受损失的情况，制定扶持该地区有关行业发展的优惠政策。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受突发事件影响地区的人民政府应当根据本地区遭受损失的情况，制定救助、补偿、抚慰、抚恤、安置等善后工作计划并组织实施，妥善解决因处置突发事件引发的矛盾和纠纷。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公民参加应急救援工作或者协助维护社会秩序期间，其在本单位的工资待遇和福利不变；表现突出、成绩显著的，由县级以上人民政府给予表彰或者奖励。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县级以上人民政府对在应急救援工作中伤亡的人员依法给予抚恤。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六十二条</w:t>
      </w:r>
      <w:r>
        <w:rPr>
          <w:rFonts w:hint="eastAsia" w:ascii="宋体" w:hAnsi="宋体" w:cs="Arial"/>
          <w:kern w:val="0"/>
          <w:szCs w:val="32"/>
        </w:rPr>
        <w:t>　履行统一领导职责的人民政府应当及时查明突发事件的发生经过和原因，总结突发事件应急处置工作的经验教训，制定改进措施，并向上一级人民政府提出报告。</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　法律责任</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六十三条</w:t>
      </w:r>
      <w:r>
        <w:rPr>
          <w:rFonts w:hint="eastAsia" w:ascii="宋体" w:hAnsi="宋体" w:cs="Arial"/>
          <w:kern w:val="0"/>
          <w:szCs w:val="32"/>
        </w:rPr>
        <w:t>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（一）未按规定采取预防措施，导致发生突发事件，或者未采取必要的防范措施，导致发生次生、衍生事件的；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（二）迟报、谎报、瞒报、漏报有关突发事件的信息，或者通报、报送、公布虚假信息，造成后果的；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（三）未按规定及时发布突发事件警报、采取预警期的措施，导致损害发生的；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（四）未按规定及时采取措施处置突发事件或者处置不当，造成后果的；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（五）不服从上级人民政府对突发事件应急处置工作的统一领导、指挥和协调的；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（六）未及时组织开展生产自救、恢复重建等善后工作的；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（七）截留、挪用、私分或者变相私分应急救援资金、物资的；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（八）不及时归还征用的单位和个人的财产，或者对被征用财产的单位和个人不按规定给予补偿的。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六十四条</w:t>
      </w:r>
      <w:r>
        <w:rPr>
          <w:rFonts w:hint="eastAsia" w:ascii="宋体" w:hAnsi="宋体" w:cs="Arial"/>
          <w:kern w:val="0"/>
          <w:szCs w:val="32"/>
        </w:rPr>
        <w:t>　有关单位有下列情形之一的，由所在地履行统一领导职责的人民政府责令停产停业，暂扣或者吊销许可证或者营业执照，并处五万元以上二十万元以下的罚款；构成违反治安管理行为的，由公安机关依法给予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（一）未按规定采取预防措施，导致发生严重突发事件的；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（二）未及时消除已发现的可能引发突发事件的隐患，导致发生严重突发事件的；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（三）未做好应急设备、设施日常维护、检测工作，导致发生严重突发事件或者突发事件危害扩大的；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（四）突发事件发生后，不及时组织开展应急救援工作，造成严重后果的。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前款规定的行为，其他法律、行政法规规定由人民政府有关部门依法决定处罚的，从其规定。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六十五条</w:t>
      </w:r>
      <w:r>
        <w:rPr>
          <w:rFonts w:hint="eastAsia" w:ascii="宋体" w:hAnsi="宋体" w:cs="Arial"/>
          <w:kern w:val="0"/>
          <w:szCs w:val="32"/>
        </w:rPr>
        <w:t>　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六十六条</w:t>
      </w:r>
      <w:r>
        <w:rPr>
          <w:rFonts w:hint="eastAsia" w:ascii="宋体" w:hAnsi="宋体" w:cs="Arial"/>
          <w:kern w:val="0"/>
          <w:szCs w:val="32"/>
        </w:rPr>
        <w:t>　单位或者个人违反本法规定，不服从所在地人民政府及其有关部门发布的决定、命令或者不配合其依法采取的措施，构成违反治安管理行为的，由公安机关依法给予处罚。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六十七条</w:t>
      </w:r>
      <w:r>
        <w:rPr>
          <w:rFonts w:hint="eastAsia" w:ascii="宋体" w:hAnsi="宋体" w:cs="Arial"/>
          <w:kern w:val="0"/>
          <w:szCs w:val="32"/>
        </w:rPr>
        <w:t>　单位或者个人违反本法规定，导致突发事件发生或者危害扩大，给他人人身、财产造成损害的，应当依法承担民事责任。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六十八条</w:t>
      </w:r>
      <w:r>
        <w:rPr>
          <w:rFonts w:hint="eastAsia" w:ascii="宋体" w:hAnsi="宋体" w:cs="Arial"/>
          <w:kern w:val="0"/>
          <w:szCs w:val="32"/>
        </w:rPr>
        <w:t>　违反本法规定，构成犯罪的，依法追究刑事责任。</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附则</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六十九条</w:t>
      </w:r>
      <w:r>
        <w:rPr>
          <w:rFonts w:hint="eastAsia" w:ascii="宋体" w:hAnsi="宋体" w:cs="Arial"/>
          <w:kern w:val="0"/>
          <w:szCs w:val="32"/>
        </w:rPr>
        <w:t>　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紧急状态期间采取的非常措施，依照有关法律规定执行或者由全国人民代表大会常务委员会另行规定。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七十条</w:t>
      </w:r>
      <w:r>
        <w:rPr>
          <w:rFonts w:hint="eastAsia" w:ascii="宋体" w:hAnsi="宋体" w:cs="Arial"/>
          <w:kern w:val="0"/>
          <w:szCs w:val="32"/>
        </w:rPr>
        <w:t>　本法自2007年11月1日起施行。</w:t>
      </w:r>
    </w:p>
    <w:p>
      <w:pPr>
        <w:pStyle w:val="4"/>
        <w:wordWrap/>
        <w:spacing w:before="0" w:after="0" w:line="560" w:lineRule="exact"/>
        <w:jc w:val="center"/>
        <w:textAlignment w:val="auto"/>
        <w:outlineLvl w:val="0"/>
        <w:rPr>
          <w:rFonts w:hint="eastAsia" w:ascii="Times New Roman" w:hAnsi="Times New Roman" w:eastAsia="宋体"/>
          <w:b w:val="0"/>
          <w:lang w:eastAsia="zh-CN"/>
        </w:rPr>
      </w:pPr>
      <w:r>
        <w:rPr>
          <w:rFonts w:hint="eastAsia" w:ascii="宋体" w:hAnsi="宋体" w:eastAsia="宋体" w:cs="宋体"/>
          <w:kern w:val="0"/>
          <w:sz w:val="44"/>
          <w:szCs w:val="44"/>
          <w:lang w:eastAsia="zh-CN"/>
        </w:rPr>
        <w:br w:type="page"/>
      </w:r>
      <w:bookmarkStart w:id="2" w:name="_Toc14729"/>
      <w:bookmarkStart w:id="3" w:name="_Toc6700"/>
      <w:bookmarkStart w:id="4" w:name="_Toc13124"/>
      <w:bookmarkStart w:id="5" w:name="_Toc30832"/>
      <w:bookmarkStart w:id="6" w:name="_Toc7536"/>
      <w:bookmarkStart w:id="7" w:name="_Toc26377"/>
      <w:bookmarkStart w:id="8" w:name="_Toc12935"/>
      <w:bookmarkStart w:id="9" w:name="_Toc31940"/>
      <w:bookmarkStart w:id="10" w:name="_Toc28539"/>
      <w:bookmarkStart w:id="11" w:name="_Toc4875"/>
      <w:r>
        <w:rPr>
          <w:rFonts w:hint="eastAsia" w:ascii="Times New Roman" w:hAnsi="Times New Roman" w:eastAsia="宋体"/>
          <w:b w:val="0"/>
          <w:lang w:eastAsia="zh-CN"/>
        </w:rPr>
        <w:t>中华人民共和国基本医疗卫生与健康促进法</w:t>
      </w:r>
      <w:bookmarkEnd w:id="2"/>
      <w:bookmarkEnd w:id="3"/>
      <w:bookmarkEnd w:id="4"/>
      <w:bookmarkEnd w:id="5"/>
      <w:bookmarkEnd w:id="6"/>
      <w:bookmarkEnd w:id="7"/>
      <w:bookmarkEnd w:id="8"/>
      <w:bookmarkEnd w:id="9"/>
      <w:bookmarkEnd w:id="10"/>
      <w:bookmarkEnd w:id="11"/>
    </w:p>
    <w:p>
      <w:pPr>
        <w:wordWrap/>
        <w:spacing w:line="560" w:lineRule="exact"/>
        <w:textAlignment w:val="auto"/>
        <w:rPr>
          <w:rFonts w:hint="eastAsia"/>
          <w:lang w:eastAsia="zh-CN"/>
        </w:rPr>
      </w:pPr>
    </w:p>
    <w:p>
      <w:pPr>
        <w:widowControl/>
        <w:wordWrap/>
        <w:spacing w:before="0" w:beforeAutospacing="0" w:after="0" w:afterAutospacing="0" w:line="560" w:lineRule="exact"/>
        <w:ind w:left="0" w:right="0" w:firstLine="739" w:firstLineChars="231"/>
        <w:jc w:val="left"/>
        <w:textAlignment w:val="auto"/>
        <w:rPr>
          <w:rFonts w:hint="eastAsia" w:ascii="楷体_GB2312" w:hAnsi="楷体_GB2312" w:eastAsia="楷体_GB2312" w:cs="楷体_GB2312"/>
          <w:kern w:val="0"/>
          <w:sz w:val="32"/>
          <w:szCs w:val="32"/>
          <w:shd w:val="clear" w:color="040000" w:fill="FFFFFF"/>
          <w:lang w:val="en-US" w:eastAsia="zh-CN"/>
        </w:rPr>
      </w:pPr>
      <w:r>
        <w:rPr>
          <w:rFonts w:hint="eastAsia" w:ascii="楷体_GB2312" w:hAnsi="楷体_GB2312" w:eastAsia="楷体_GB2312" w:cs="楷体_GB2312"/>
          <w:kern w:val="0"/>
          <w:sz w:val="32"/>
          <w:szCs w:val="32"/>
          <w:shd w:val="clear" w:color="040000" w:fill="FFFFFF"/>
          <w:lang w:val="en-US" w:eastAsia="zh-CN"/>
        </w:rPr>
        <w:t>（2019年12月28日第十三届全国人民代表大会常务委员会第十五次会议通过）</w:t>
      </w:r>
    </w:p>
    <w:p>
      <w:pPr>
        <w:widowControl/>
        <w:wordWrap/>
        <w:spacing w:before="0" w:beforeAutospacing="0" w:after="0" w:afterAutospacing="0" w:line="560" w:lineRule="exact"/>
        <w:ind w:left="0" w:right="0" w:firstLine="739" w:firstLineChars="231"/>
        <w:jc w:val="left"/>
        <w:textAlignment w:val="auto"/>
        <w:rPr>
          <w:rFonts w:hint="eastAsia" w:ascii="楷体_GB2312" w:hAnsi="楷体_GB2312" w:eastAsia="楷体_GB2312" w:cs="楷体_GB2312"/>
          <w:kern w:val="0"/>
          <w:sz w:val="32"/>
          <w:szCs w:val="32"/>
          <w:shd w:val="clear" w:color="040000" w:fill="FFFFFF"/>
          <w:lang w:val="en-US" w:eastAsia="zh-CN"/>
        </w:rPr>
      </w:pPr>
    </w:p>
    <w:p>
      <w:pPr>
        <w:widowControl/>
        <w:wordWrap/>
        <w:adjustRightInd/>
        <w:snapToGrid/>
        <w:spacing w:before="0" w:beforeAutospacing="0" w:after="0" w:afterAutospacing="0" w:line="560" w:lineRule="exact"/>
        <w:ind w:left="0" w:leftChars="0" w:right="0" w:firstLine="420"/>
        <w:jc w:val="center"/>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目　录</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第一章　总　　则</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第二章　基本医疗卫生服务</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第三章　医疗卫生机构</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第四章　医疗卫生人员</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第五章　药品供应保障</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第六章　健康促进</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第七章　资金保障</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第八章　监督管理</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第九章　法律责任</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shd w:val="clear" w:color="040000" w:fill="FFFFFF"/>
          <w:lang w:val="en-US" w:eastAsia="zh-CN"/>
        </w:rPr>
      </w:pPr>
      <w:r>
        <w:rPr>
          <w:rFonts w:hint="eastAsia" w:ascii="楷体_GB2312" w:hAnsi="楷体_GB2312" w:eastAsia="楷体_GB2312" w:cs="楷体_GB2312"/>
          <w:kern w:val="0"/>
          <w:sz w:val="32"/>
          <w:szCs w:val="32"/>
          <w:shd w:val="clear" w:color="040000" w:fill="FFFFFF"/>
          <w:lang w:val="en-US" w:eastAsia="zh-CN"/>
        </w:rPr>
        <w:t>第十章　附　　则</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shd w:val="clear" w:color="040000" w:fill="FFFFFF"/>
          <w:lang w:val="en-US" w:eastAsia="zh-CN"/>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第一条</w:t>
      </w:r>
      <w:r>
        <w:rPr>
          <w:rFonts w:hint="eastAsia" w:ascii="仿宋_GB2312" w:hAnsi="仿宋_GB2312" w:eastAsia="仿宋_GB2312" w:cs="仿宋_GB2312"/>
          <w:sz w:val="32"/>
          <w:szCs w:val="32"/>
        </w:rPr>
        <w:t>　为了发展医疗卫生与健康事业，保障公民享有基本医疗卫生服务，提高公民健康水平，推进健康中国建设，根据宪法，制定本法。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第二条　</w:t>
      </w:r>
      <w:r>
        <w:rPr>
          <w:rFonts w:hint="eastAsia" w:ascii="仿宋_GB2312" w:hAnsi="仿宋_GB2312" w:eastAsia="仿宋_GB2312" w:cs="仿宋_GB2312"/>
          <w:sz w:val="32"/>
          <w:szCs w:val="32"/>
        </w:rPr>
        <w:t>从事医疗卫生、健康促进及其监督管理活动，适用本法。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第三条　</w:t>
      </w:r>
      <w:r>
        <w:rPr>
          <w:rFonts w:hint="eastAsia" w:ascii="仿宋_GB2312" w:hAnsi="仿宋_GB2312" w:eastAsia="仿宋_GB2312" w:cs="仿宋_GB2312"/>
          <w:sz w:val="32"/>
          <w:szCs w:val="32"/>
        </w:rPr>
        <w:t>医疗卫生与健康事业应当坚持以人民为中心，为人民健康服务。</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医疗卫生事业应当坚持公益性原则。</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第四条</w:t>
      </w:r>
      <w:r>
        <w:rPr>
          <w:rFonts w:hint="eastAsia" w:ascii="仿宋_GB2312" w:hAnsi="仿宋_GB2312" w:eastAsia="仿宋_GB2312" w:cs="仿宋_GB2312"/>
          <w:sz w:val="32"/>
          <w:szCs w:val="32"/>
        </w:rPr>
        <w:t>　国家和社会尊重、保护公民的健康权。</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国家实施健康中国战略，普及健康生活，优化健康服务，完善健康保障，建设健康环境，发展健康产业，提升公民全生命周期健康水平。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国家建立健康教育制度，保障公民获得健康教育的权利，提高公民的健康素养。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公民依法享有从国家和社会获得基本医疗卫生服务的权利。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国家建立基本医疗卫生制度，建立健全医疗卫生服务体系，保护和实现公民获得基本医疗卫生服务的权利。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第六条</w:t>
      </w:r>
      <w:r>
        <w:rPr>
          <w:rFonts w:hint="eastAsia" w:ascii="仿宋_GB2312" w:hAnsi="仿宋_GB2312" w:eastAsia="仿宋_GB2312" w:cs="仿宋_GB2312"/>
          <w:sz w:val="32"/>
          <w:szCs w:val="32"/>
        </w:rPr>
        <w:t>　各级人民政府应当把人民健康放在优先发展的战略地位，将健康理念融入各项政策，坚持预防为主，完善健康促进工作体系，组织实施健康促进的规划和行动，推进全民健身，建立健康影响评估制度，将公民主要健康指标改善情况纳入政府目标责任考核。</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全社会应当共同关心和支持医疗卫生与健康事业的发展。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第七条</w:t>
      </w:r>
      <w:r>
        <w:rPr>
          <w:rFonts w:hint="eastAsia" w:ascii="仿宋_GB2312" w:hAnsi="仿宋_GB2312" w:eastAsia="仿宋_GB2312" w:cs="仿宋_GB2312"/>
          <w:sz w:val="32"/>
          <w:szCs w:val="32"/>
        </w:rPr>
        <w:t>　国务院和地方各级人民政府领导医疗卫生与健康促进工作。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国务院卫生健康主管部门负责统筹协调全国医疗卫生与健康促进工作。国务院其他有关部门在各自职责范围内负责有关的医疗卫生与健康促进工作。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县级以上地方人民政府卫生健康主管部门负责统筹协调本行政区域医疗卫生与健康促进工作。县级以上地方人民政府其他有关部门在各自职责范围内负责有关的医疗卫生与健康促进工作。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第八条　</w:t>
      </w:r>
      <w:r>
        <w:rPr>
          <w:rFonts w:hint="eastAsia" w:ascii="仿宋_GB2312" w:hAnsi="仿宋_GB2312" w:eastAsia="仿宋_GB2312" w:cs="仿宋_GB2312"/>
          <w:sz w:val="32"/>
          <w:szCs w:val="32"/>
        </w:rPr>
        <w:t>国家加强医学基础科学研究，鼓励医学科学技术创新，支持临床医学发展，促进医学科技成果的转化和应用，推进医疗卫生与信息技术融合发展，推广医疗卫生适宜技术，提高医疗卫生服务质量。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国家发展医学教育，完善适应医疗卫生事业发展需要的医学教育体系，大力培养医疗卫生人才。</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国家大力发展中医药事业，坚持中西医并重、传承与创新相结合，发挥中医药在医疗卫生与健康事业中的独特作用。</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第十条　</w:t>
      </w:r>
      <w:r>
        <w:rPr>
          <w:rFonts w:hint="eastAsia" w:ascii="仿宋_GB2312" w:hAnsi="仿宋_GB2312" w:eastAsia="仿宋_GB2312" w:cs="仿宋_GB2312"/>
          <w:sz w:val="32"/>
          <w:szCs w:val="32"/>
        </w:rPr>
        <w:t>国家合理规划和配置医疗卫生资源，以基层为重点，采取多种措施优先支持县级以下医疗卫生机构发展，提高其医疗卫生服务能力。</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第十一条</w:t>
      </w:r>
      <w:r>
        <w:rPr>
          <w:rFonts w:hint="eastAsia" w:ascii="仿宋_GB2312" w:hAnsi="仿宋_GB2312" w:eastAsia="仿宋_GB2312" w:cs="仿宋_GB2312"/>
          <w:sz w:val="32"/>
          <w:szCs w:val="32"/>
        </w:rPr>
        <w:t>　国家加大对医疗卫生与健康事业的财政投入，通过增加转移支付等方式重点扶持革命老区、民族地区、边疆地区和经济欠发达地区发展医疗卫生与健康事业。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第十二条</w:t>
      </w:r>
      <w:r>
        <w:rPr>
          <w:rFonts w:hint="eastAsia" w:ascii="仿宋_GB2312" w:hAnsi="仿宋_GB2312" w:eastAsia="仿宋_GB2312" w:cs="仿宋_GB2312"/>
          <w:sz w:val="32"/>
          <w:szCs w:val="32"/>
        </w:rPr>
        <w:t>　国家鼓励和支持公民、法人和其他组织通过依法举办机构和捐赠、资助等方式，参与医疗卫生与健康事业，满足公民多样化、差异化、个性化健康需求。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公民、法人和其他组织捐赠财产用于医疗卫生与健康事业的，依法享受税收优惠。</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第十三条</w:t>
      </w:r>
      <w:r>
        <w:rPr>
          <w:rFonts w:hint="eastAsia" w:ascii="仿宋_GB2312" w:hAnsi="仿宋_GB2312" w:eastAsia="仿宋_GB2312" w:cs="仿宋_GB2312"/>
          <w:sz w:val="32"/>
          <w:szCs w:val="32"/>
        </w:rPr>
        <w:t>　对在医疗卫生与健康事业中做出突出贡献的组织和个人，按照国家规定给予表彰、奖励。</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第十四条</w:t>
      </w:r>
      <w:r>
        <w:rPr>
          <w:rFonts w:hint="eastAsia" w:ascii="仿宋_GB2312" w:hAnsi="仿宋_GB2312" w:eastAsia="仿宋_GB2312" w:cs="仿宋_GB2312"/>
          <w:sz w:val="32"/>
          <w:szCs w:val="32"/>
        </w:rPr>
        <w:t>　国家鼓励和支持医疗卫生与健康促进领域的对外交流合作。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开展医疗卫生与健康促进对外交流合作活动，应当遵守法律、法规，维护国家主权、安全和社会公共利益。</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基本医疗卫生服务</w:t>
      </w:r>
    </w:p>
    <w:p>
      <w:pPr>
        <w:wordWrap/>
        <w:spacing w:line="560" w:lineRule="exact"/>
        <w:ind w:firstLine="640" w:firstLineChars="200"/>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第十五条</w:t>
      </w:r>
      <w:r>
        <w:rPr>
          <w:rFonts w:hint="eastAsia" w:ascii="仿宋_GB2312" w:hAnsi="仿宋_GB2312" w:eastAsia="仿宋_GB2312" w:cs="仿宋_GB2312"/>
          <w:sz w:val="32"/>
          <w:szCs w:val="32"/>
        </w:rPr>
        <w:t>　基本医疗卫生服务，是指维护人体健康所必需、与经济社会发展水平相适应、公民可公平获得的，采用适宜药物、适宜技术、适宜设备提供的疾病预防、诊断、治疗、护理和康复等服务。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基本医疗卫生服务包括基本公共卫生服务和基本医疗服务。基本公共卫生服务由国家免费提供。</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第十六条</w:t>
      </w:r>
      <w:r>
        <w:rPr>
          <w:rFonts w:hint="eastAsia" w:ascii="仿宋_GB2312" w:hAnsi="仿宋_GB2312" w:eastAsia="仿宋_GB2312" w:cs="仿宋_GB2312"/>
          <w:sz w:val="32"/>
          <w:szCs w:val="32"/>
        </w:rPr>
        <w:t>　国家采取措施，保障公民享有安全有效的基本公共卫生服务，控制影响健康的危险因素，提高疾病的预防控制水平。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国家基本公共卫生服务项目由国务院卫生健康主管部门会同国务院财政部门、中医药主管部门等共同确定。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省、自治区、直辖市人民政府可以在国家基本公共卫生服务项目基础上，补充确定本行政区域的基本公共卫生服务项目，并报国务院卫生健康主管部门备案。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第十七条</w:t>
      </w:r>
      <w:r>
        <w:rPr>
          <w:rFonts w:hint="eastAsia" w:ascii="仿宋_GB2312" w:hAnsi="仿宋_GB2312" w:eastAsia="仿宋_GB2312" w:cs="仿宋_GB2312"/>
          <w:sz w:val="32"/>
          <w:szCs w:val="32"/>
        </w:rPr>
        <w:t>　国务院和省、自治区、直辖市人民政府可以将针对重点地区、重点疾病和特定人群的服务内容纳入基本公共卫生服务项目并组织实施。</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县级以上地方人民政府针对本行政区域重大疾病和主要健康危险因素，开展专项防控工作。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第十八条</w:t>
      </w:r>
      <w:r>
        <w:rPr>
          <w:rFonts w:hint="eastAsia" w:ascii="仿宋_GB2312" w:hAnsi="仿宋_GB2312" w:eastAsia="仿宋_GB2312" w:cs="仿宋_GB2312"/>
          <w:sz w:val="32"/>
          <w:szCs w:val="32"/>
        </w:rPr>
        <w:t>　县级以上人民政府通过举办专业公共卫生机构、基层医疗卫生机构和医院，或者从其他医疗卫生机构购买服务的方式提供基本公共卫生服务。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第十九条　</w:t>
      </w:r>
      <w:r>
        <w:rPr>
          <w:rFonts w:hint="eastAsia" w:ascii="仿宋_GB2312" w:hAnsi="仿宋_GB2312" w:eastAsia="仿宋_GB2312" w:cs="仿宋_GB2312"/>
          <w:sz w:val="32"/>
          <w:szCs w:val="32"/>
        </w:rPr>
        <w:t>国家建立健全突发事件卫生应急体系，制定和完善应急预案，组织开展突发事件的医疗救治、卫生学调查处置和心理援助等卫生应急工作，有效控制和消除危害。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第二十条</w:t>
      </w:r>
      <w:r>
        <w:rPr>
          <w:rFonts w:hint="eastAsia" w:ascii="仿宋_GB2312" w:hAnsi="仿宋_GB2312" w:eastAsia="仿宋_GB2312" w:cs="仿宋_GB2312"/>
          <w:sz w:val="32"/>
          <w:szCs w:val="32"/>
        </w:rPr>
        <w:t>　国家建立传染病防控制度，制定传染病防治规划并组织实施，加强传染病监测预警，坚持预防为主、防治结合，联防联控、群防群控、源头防控、综合治理，阻断传播途径，保护易感人群，降低传染病的危害。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任何组织和个人应当接受、配合医疗卫生机构为预防、控制、消除传染病危害依法采取的调查、检验、采集样本、隔离治疗、医学观察等措施。</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第二十一条</w:t>
      </w:r>
      <w:r>
        <w:rPr>
          <w:rFonts w:hint="eastAsia" w:ascii="仿宋_GB2312" w:hAnsi="仿宋_GB2312" w:eastAsia="仿宋_GB2312" w:cs="仿宋_GB2312"/>
          <w:sz w:val="32"/>
          <w:szCs w:val="32"/>
        </w:rPr>
        <w:t>　国家实行预防接种制度，加强免疫规划工作。居民有依法接种免疫规划疫苗的权利和义务。政府向居民免费提供免疫规划疫苗。</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第二十二条</w:t>
      </w:r>
      <w:r>
        <w:rPr>
          <w:rFonts w:hint="eastAsia" w:ascii="仿宋_GB2312" w:hAnsi="仿宋_GB2312" w:eastAsia="仿宋_GB2312" w:cs="仿宋_GB2312"/>
          <w:sz w:val="32"/>
          <w:szCs w:val="32"/>
        </w:rPr>
        <w:t>　国家建立慢性非传染性疾病防控与管理制度，对慢性非传染性疾病及其致病危险因素开展监测、调查和综合防控干预，及时发现高危人群，为患者和高危人群提供诊疗、早期干预、随访管理和健康教育等服务。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第二十三条</w:t>
      </w:r>
      <w:r>
        <w:rPr>
          <w:rFonts w:hint="eastAsia" w:ascii="仿宋_GB2312" w:hAnsi="仿宋_GB2312" w:eastAsia="仿宋_GB2312" w:cs="仿宋_GB2312"/>
          <w:sz w:val="32"/>
          <w:szCs w:val="32"/>
        </w:rPr>
        <w:t>　国家加强职业健康保护。县级以上人民政府应当制定职业病防治规划，建立健全职业健康工作机制，加强职业健康监督管理，提高职业病综合防治能力和水平。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用人单位应当控制职业病危害因素，采取工程技术、个体防护和健康管理等综合治理措施，改善工作环境和劳动条件。</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第二十四条</w:t>
      </w:r>
      <w:r>
        <w:rPr>
          <w:rFonts w:hint="eastAsia" w:ascii="仿宋_GB2312" w:hAnsi="仿宋_GB2312" w:eastAsia="仿宋_GB2312" w:cs="仿宋_GB2312"/>
          <w:sz w:val="32"/>
          <w:szCs w:val="32"/>
        </w:rPr>
        <w:t>　国家发展妇幼保健事业，建立健全妇幼健康服务体系，为妇女、儿童提供保健及常见病防治服务，保障妇女、儿童健康。</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国家采取措施，为公民提供婚前保健、孕产期保健等服务，促进生殖健康，预防出生缺陷。</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第二十五条</w:t>
      </w:r>
      <w:r>
        <w:rPr>
          <w:rFonts w:hint="eastAsia" w:ascii="仿宋_GB2312" w:hAnsi="仿宋_GB2312" w:eastAsia="仿宋_GB2312" w:cs="仿宋_GB2312"/>
          <w:sz w:val="32"/>
          <w:szCs w:val="32"/>
        </w:rPr>
        <w:t>　国家发展老年人保健事业。国务院和省、自治区、直辖市人民政府应当将老年人健康管理和常见病预防等纳入基本公共卫生服务项目。</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第二十六条</w:t>
      </w:r>
      <w:r>
        <w:rPr>
          <w:rFonts w:hint="eastAsia" w:ascii="仿宋_GB2312" w:hAnsi="仿宋_GB2312" w:eastAsia="仿宋_GB2312" w:cs="仿宋_GB2312"/>
          <w:sz w:val="32"/>
          <w:szCs w:val="32"/>
        </w:rPr>
        <w:t>　国家发展残疾预防和残疾人康复事业，完善残疾预防和残疾人康复及其保障体系，采取措施为残疾人提供基本康复服务。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县级以上人民政府应当优先开展残疾儿童康复工作，实行康复与教育相结合。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第二十七条</w:t>
      </w:r>
      <w:r>
        <w:rPr>
          <w:rFonts w:hint="eastAsia" w:ascii="仿宋_GB2312" w:hAnsi="仿宋_GB2312" w:eastAsia="仿宋_GB2312" w:cs="仿宋_GB2312"/>
          <w:sz w:val="32"/>
          <w:szCs w:val="32"/>
        </w:rPr>
        <w:t>　国家建立健全院前急救体系，为急危重症患者提供及时、规范、有效的急救服务。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卫生健康主管部门、红十字会等有关部门、组织应当积极开展急救培训，普及急救知识，鼓励医疗卫生人员、经过急救培训的人员积极参与公共场所急救服务。公共场所应当按照规定配备必要的急救设备、设施。</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急救中心（站）不得以未付费为由拒绝或者拖延为急危重症患者提供急救服务。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第二十八条</w:t>
      </w:r>
      <w:r>
        <w:rPr>
          <w:rFonts w:hint="eastAsia" w:ascii="仿宋_GB2312" w:hAnsi="仿宋_GB2312" w:eastAsia="仿宋_GB2312" w:cs="仿宋_GB2312"/>
          <w:sz w:val="32"/>
          <w:szCs w:val="32"/>
        </w:rPr>
        <w:t>　国家发展精神卫生事业，建设完善精神卫生服务体系，维护和增进公民心理健康，预防、治疗精神障碍。</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措施，加强心理健康服务体系和人才队伍建设，促进心理健康教育、心理评估、心理咨询与心理治疗服务的有效衔接，设立为公众提供公益服务的心理援助热线，加强未成年人、残疾人和老年人等重点人群心理健康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第二十九条</w:t>
      </w:r>
      <w:r>
        <w:rPr>
          <w:rFonts w:hint="eastAsia" w:ascii="仿宋_GB2312" w:hAnsi="仿宋_GB2312" w:eastAsia="仿宋_GB2312" w:cs="仿宋_GB2312"/>
          <w:sz w:val="32"/>
          <w:szCs w:val="32"/>
        </w:rPr>
        <w:t>　基本医疗服务主要由政府举办的医疗卫生机构提供。鼓励社会力量举办的医疗卫生机构提供基本医疗服务。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第三十条</w:t>
      </w:r>
      <w:r>
        <w:rPr>
          <w:rFonts w:hint="eastAsia" w:ascii="仿宋_GB2312" w:hAnsi="仿宋_GB2312" w:eastAsia="仿宋_GB2312" w:cs="仿宋_GB2312"/>
          <w:sz w:val="32"/>
          <w:szCs w:val="32"/>
        </w:rPr>
        <w:t>　国家推进基本医疗服务实行分级诊疗制度，引导非急诊患者首先到基层医疗卫生机构就诊，实行首诊负责制和转诊审核责任制，逐步建立基层首诊、双向转诊、急慢分治、上下联动的机制，并与基本医疗保险制度相衔接。</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县级以上地方人民政府根据本行政区域医疗卫生需求，整合区域内政府举办的医疗卫生资源，因地制宜建立医疗联合体等协同联动的医疗服务合作机制。鼓励社会力量举办的医疗卫生机构参与医疗服务合作机制。</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第三十一条</w:t>
      </w:r>
      <w:r>
        <w:rPr>
          <w:rFonts w:hint="eastAsia" w:ascii="仿宋_GB2312" w:hAnsi="仿宋_GB2312" w:eastAsia="仿宋_GB2312" w:cs="仿宋_GB2312"/>
          <w:sz w:val="32"/>
          <w:szCs w:val="32"/>
        </w:rPr>
        <w:t>　国家推进基层医疗卫生机构实行家庭医生签约服务，建立家庭医生服务团队，与居民签订协议，根据居民健康状况和医疗需求提供基本医疗卫生服务。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第三十二条</w:t>
      </w:r>
      <w:r>
        <w:rPr>
          <w:rFonts w:hint="eastAsia" w:ascii="仿宋_GB2312" w:hAnsi="仿宋_GB2312" w:eastAsia="仿宋_GB2312" w:cs="仿宋_GB2312"/>
          <w:sz w:val="32"/>
          <w:szCs w:val="32"/>
        </w:rPr>
        <w:t>　公民接受医疗卫生服务，对病情、诊疗方案、医疗风险、医疗费用等事项依法享有知情同意的权利。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需要实施手术、特殊检查、特殊治疗的，医疗卫生人员应当及时向患者说明医疗风险、替代医疗方案等情况，并取得其同意；不能或者不宜向患者说明的，应当向患者的近亲属说明，并取得其同意。法律另有规定的，依照其规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开展药物、医疗器械临床试验和其他医学研究应当遵守医学伦理规范，依法通过伦理审查，取得知情同意。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第三十三条</w:t>
      </w:r>
      <w:r>
        <w:rPr>
          <w:rFonts w:hint="eastAsia" w:ascii="仿宋_GB2312" w:hAnsi="仿宋_GB2312" w:eastAsia="仿宋_GB2312" w:cs="仿宋_GB2312"/>
          <w:sz w:val="32"/>
          <w:szCs w:val="32"/>
        </w:rPr>
        <w:t>　公民接受医疗卫生服务，应当受到尊重。医疗卫生机构、医疗卫生人员应当关心爱护、平等对待患者，尊重患者人格尊严，保护患者隐私。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公民接受医疗卫生服务，应当遵守诊疗制度和医疗卫生服务秩序，尊重医疗卫生人员。</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医疗卫生机构</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第三十四条</w:t>
      </w:r>
      <w:r>
        <w:rPr>
          <w:rFonts w:hint="eastAsia" w:ascii="仿宋_GB2312" w:hAnsi="仿宋_GB2312" w:eastAsia="仿宋_GB2312" w:cs="仿宋_GB2312"/>
          <w:sz w:val="32"/>
          <w:szCs w:val="32"/>
        </w:rPr>
        <w:t>　国家建立健全由基层医疗卫生机构、医院、专业公共卫生机构等组成的城乡全覆盖、功能互补、连续协同的医疗卫生服务体系。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国家加强县级医院、乡镇卫生院、村卫生室、社区卫生服务中心（站）和专业公共卫生机构等的建设，建立健全农村医疗卫生服务网络和城市社区卫生服务网络。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第三十五条</w:t>
      </w:r>
      <w:r>
        <w:rPr>
          <w:rFonts w:hint="eastAsia" w:ascii="仿宋_GB2312" w:hAnsi="仿宋_GB2312" w:eastAsia="仿宋_GB2312" w:cs="仿宋_GB2312"/>
          <w:sz w:val="32"/>
          <w:szCs w:val="32"/>
        </w:rPr>
        <w:t>　基层医疗卫生机构主要提供预防、保健、健康教育、疾病管理，为居民建立健康档案，常见病、多发病的诊疗以及部分疾病的康复、护理，接收医院转诊患者，向医院转诊超出自身服务能力的患者等基本医疗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主要提供疾病诊治，特别是急危重症和疑难病症的诊疗，突发事件医疗处置和救援以及健康教育等医疗卫生服务，并开展医学教育、医疗卫生人员培训、医学科学研究和对基层医疗卫生机构的业务指导等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专业公共卫生机构主要提供传染病、慢性非传染性疾病、职业病、地方病等疾病预防控制和健康教育、妇幼保健、精神卫生、院前急救、采供血、食品安全风险监测评估、出生缺陷防治等公共卫生服务。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第三十六条</w:t>
      </w:r>
      <w:r>
        <w:rPr>
          <w:rFonts w:hint="eastAsia" w:ascii="仿宋_GB2312" w:hAnsi="仿宋_GB2312" w:eastAsia="仿宋_GB2312" w:cs="仿宋_GB2312"/>
          <w:sz w:val="32"/>
          <w:szCs w:val="32"/>
        </w:rPr>
        <w:t>　各级各类医疗卫生机构应当分工合作，为公民提供预防、保健、治疗、护理、康复、安宁疗护等全方位全周期的医疗卫生服务。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各级人民政府采取措施支持医疗卫生机构与养老机构、儿童福利机构、社区组织建立协作机制，为老年人、孤残儿童提供安全、便捷的医疗和健康服务。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第三十七条</w:t>
      </w:r>
      <w:r>
        <w:rPr>
          <w:rFonts w:hint="eastAsia" w:ascii="仿宋_GB2312" w:hAnsi="仿宋_GB2312" w:eastAsia="仿宋_GB2312" w:cs="仿宋_GB2312"/>
          <w:sz w:val="32"/>
          <w:szCs w:val="32"/>
        </w:rPr>
        <w:t>　县级以上人民政府应当制定并落实医疗卫生服务体系规划，科学配置医疗卫生资源，举办医疗卫生机构，为公民获得基本医疗卫生服务提供保障。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政府举办医疗卫生机构，应当考虑本行政区域人口、经济社会发展状况、医疗卫生资源、健康危险因素、发病率、患病率以及紧急救治需求等情况。</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第三十八条</w:t>
      </w:r>
      <w:r>
        <w:rPr>
          <w:rFonts w:hint="eastAsia" w:ascii="仿宋_GB2312" w:hAnsi="仿宋_GB2312" w:eastAsia="仿宋_GB2312" w:cs="仿宋_GB2312"/>
          <w:sz w:val="32"/>
          <w:szCs w:val="32"/>
        </w:rPr>
        <w:t>　举办医疗机构，应当具备下列条件，按照国家有关规定办理审批或者备案手续：</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（一）有符合规定的名称、组织机构和场所；</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（二）有与其开展的业务相适应的经费、设施、设备和医疗卫生人员；</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（三）有相应的规章制度；</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（四）能够独立承担民事责任;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（五）法律、行政法规规定的其他条件。</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医疗机构依法取得执业许可证。禁止伪造、变造、买卖、出租、出借医疗机构执业许可证。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各级各类医疗卫生机构的具体条件和配置应当符合国务院卫生健康主管部门制定的医疗卫生机构标准。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第三十九条</w:t>
      </w:r>
      <w:r>
        <w:rPr>
          <w:rFonts w:hint="eastAsia" w:ascii="仿宋_GB2312" w:hAnsi="仿宋_GB2312" w:eastAsia="仿宋_GB2312" w:cs="仿宋_GB2312"/>
          <w:sz w:val="32"/>
          <w:szCs w:val="32"/>
        </w:rPr>
        <w:t>　国家对医疗卫生机构实行分类管理。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医疗卫生服务体系坚持以非营利性医疗卫生机构为主体、营利性医疗卫生机构为补充。政府举办非营利性医疗卫生机构，在基本医疗卫生事业中发挥主导作用，保障基本医疗卫生服务公平可及。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以政府资金、捐赠资产举办或者参与举办的医疗卫生机构不得设立为营利性医疗卫生机构。</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医疗卫生机构不得对外出租、承包医疗科室。非营利性医疗卫生机构不得向出资人、举办者分配或者变相分配收益。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第四十条</w:t>
      </w:r>
      <w:r>
        <w:rPr>
          <w:rFonts w:hint="eastAsia" w:ascii="仿宋_GB2312" w:hAnsi="仿宋_GB2312" w:eastAsia="仿宋_GB2312" w:cs="仿宋_GB2312"/>
          <w:sz w:val="32"/>
          <w:szCs w:val="32"/>
        </w:rPr>
        <w:t>　政府举办的医疗卫生机构应当坚持公益性质，所有收支均纳入预算管理，按照医疗卫生服务体系规划合理设置并控制规模。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国家鼓励政府举办的医疗卫生机构与社会力量合作举办非营利性医疗卫生机构。</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政府举办的医疗卫生机构不得与其他组织投资设立非独立法人资格的医疗卫生机构，不得与社会资本合作举办营利性医疗卫生机构。</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第四十一条</w:t>
      </w:r>
      <w:r>
        <w:rPr>
          <w:rFonts w:hint="eastAsia" w:ascii="仿宋_GB2312" w:hAnsi="仿宋_GB2312" w:eastAsia="仿宋_GB2312" w:cs="仿宋_GB2312"/>
          <w:sz w:val="32"/>
          <w:szCs w:val="32"/>
        </w:rPr>
        <w:t>　国家采取多种措施，鼓励和引导社会力量依法举办医疗卫生机构，支持和规范社会力量举办的医疗卫生机构与政府举办的医疗卫生机构开展多种类型的医疗业务、学科建设、人才培养等合作。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社会力量举办的医疗卫生机构在基本医疗保险定点、重点专科建设、科研教学、等级评审、特定医疗技术准入、医疗卫生人员职称评定等方面享有与政府举办的医疗卫生机构同等的权利。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力量可以选择设立非营利性或者营利性医疗卫生机构。社会力量举办的非营利性医疗卫生机构按照规定享受与政府举办的医疗卫生机构同等的税收、财政补助、用地、用水、用电、用气、用热等政策，并依法接受监督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第四十二条</w:t>
      </w:r>
      <w:r>
        <w:rPr>
          <w:rFonts w:hint="eastAsia" w:ascii="仿宋_GB2312" w:hAnsi="仿宋_GB2312" w:eastAsia="仿宋_GB2312" w:cs="仿宋_GB2312"/>
          <w:sz w:val="32"/>
          <w:szCs w:val="32"/>
        </w:rPr>
        <w:t>　国家以建成的医疗卫生机构为基础，合理规划与设置国家医学中心和国家、省级区域性医疗中心，诊治疑难重症，研究攻克重大医学难题，培养高层次医疗卫生人才。</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第四十三条</w:t>
      </w:r>
      <w:r>
        <w:rPr>
          <w:rFonts w:hint="eastAsia" w:ascii="仿宋_GB2312" w:hAnsi="仿宋_GB2312" w:eastAsia="仿宋_GB2312" w:cs="仿宋_GB2312"/>
          <w:sz w:val="32"/>
          <w:szCs w:val="32"/>
        </w:rPr>
        <w:t>　医疗卫生机构应当遵守法律、法规、规章，建立健全内部质量管理和控制制度，对医疗卫生服务质量负责。</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医疗卫生机构应当按照临床诊疗指南、临床技术操作规范和行业标准以及医学伦理规范等有关要求，合理进行检查、用药、诊疗，加强医疗卫生安全风险防范，优化服务流程，持续改进医疗卫生服务质量。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第四十四条</w:t>
      </w:r>
      <w:r>
        <w:rPr>
          <w:rFonts w:hint="eastAsia" w:ascii="仿宋_GB2312" w:hAnsi="仿宋_GB2312" w:eastAsia="仿宋_GB2312" w:cs="仿宋_GB2312"/>
          <w:sz w:val="32"/>
          <w:szCs w:val="32"/>
        </w:rPr>
        <w:t>　国家对医疗卫生技术的临床应用进行分类管理，对技术难度大、医疗风险高，服务能力、人员专业技术水平要求较高的医疗卫生技术实行严格管理。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医疗卫生机构开展医疗卫生技术临床应用，应当与其功能任务相适应，遵循科学、安全、规范、有效、经济的原则，并符合伦理。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第四十五条</w:t>
      </w:r>
      <w:r>
        <w:rPr>
          <w:rFonts w:hint="eastAsia" w:ascii="仿宋_GB2312" w:hAnsi="仿宋_GB2312" w:eastAsia="仿宋_GB2312" w:cs="仿宋_GB2312"/>
          <w:sz w:val="32"/>
          <w:szCs w:val="32"/>
        </w:rPr>
        <w:t>　国家建立权责清晰、管理科学、治理完善、运行高效、监督有力的现代医院管理制度。</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医院应当制定章程，建立和完善法人治理结构，提高医疗卫生服务能力和运行效率。</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第四十六条</w:t>
      </w:r>
      <w:r>
        <w:rPr>
          <w:rFonts w:hint="eastAsia" w:ascii="仿宋_GB2312" w:hAnsi="仿宋_GB2312" w:eastAsia="仿宋_GB2312" w:cs="仿宋_GB2312"/>
          <w:sz w:val="32"/>
          <w:szCs w:val="32"/>
        </w:rPr>
        <w:t>　医疗卫生机构执业场所是提供医疗卫生服务的公共场所，任何组织或者个人不得扰乱其秩序。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第四十七条</w:t>
      </w:r>
      <w:r>
        <w:rPr>
          <w:rFonts w:hint="eastAsia" w:ascii="仿宋_GB2312" w:hAnsi="仿宋_GB2312" w:eastAsia="仿宋_GB2312" w:cs="仿宋_GB2312"/>
          <w:sz w:val="32"/>
          <w:szCs w:val="32"/>
        </w:rPr>
        <w:t>　国家完善医疗风险分担机制，鼓励医疗机构参加医疗责任保险或者建立医疗风险基金，鼓励患者参加医疗意外保险。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第四十八条</w:t>
      </w:r>
      <w:r>
        <w:rPr>
          <w:rFonts w:hint="eastAsia" w:ascii="仿宋_GB2312" w:hAnsi="仿宋_GB2312" w:eastAsia="仿宋_GB2312" w:cs="仿宋_GB2312"/>
          <w:sz w:val="32"/>
          <w:szCs w:val="32"/>
        </w:rPr>
        <w:t>　国家鼓励医疗卫生机构不断改进预防、保健、诊断、治疗、护理和康复的技术、设备与服务，支持开发适合基层和边远地区应用的医疗卫生技术。</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第四十九条</w:t>
      </w:r>
      <w:r>
        <w:rPr>
          <w:rFonts w:hint="eastAsia" w:ascii="仿宋_GB2312" w:hAnsi="仿宋_GB2312" w:eastAsia="仿宋_GB2312" w:cs="仿宋_GB2312"/>
          <w:sz w:val="32"/>
          <w:szCs w:val="32"/>
        </w:rPr>
        <w:t>　国家推进全民健康信息化，推动健康医疗大数据、人工智能等的应用发展，加快医疗卫生信息基础设施建设，制定健康医疗数据采集、存储、分析和应用的技术标准，运用信息技术促进优质医疗卫生资源的普及与共享。</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县级以上人民政府及其有关部门应当采取措施，推进信息技术在医疗卫生领域和医学教育中的应用，支持探索发展医疗卫生服务新模式、新业态。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国家采取措施，推进医疗卫生机构建立健全医疗卫生信息交流和信息安全制度，应用信息技术开展远程医疗服务，构建线上线下一体化医疗服务模式。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第五十条　</w:t>
      </w:r>
      <w:r>
        <w:rPr>
          <w:rFonts w:hint="eastAsia" w:ascii="仿宋_GB2312" w:hAnsi="仿宋_GB2312" w:eastAsia="仿宋_GB2312" w:cs="仿宋_GB2312"/>
          <w:sz w:val="32"/>
          <w:szCs w:val="32"/>
        </w:rPr>
        <w:t>发生自然灾害、事故灾难、公共卫生事件和社会安全事件等严重威胁人民群众生命健康的突发事件时，医疗卫生机构、医疗卫生人员应当服从政府部门的调遣，参与卫生应急处置和医疗救治。对致病、致残、死亡的参与人员，按照规定给予工伤或者抚恤、烈士褒扬等相关待遇。</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医疗卫生人员</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第五十一条</w:t>
      </w:r>
      <w:r>
        <w:rPr>
          <w:rFonts w:hint="eastAsia" w:ascii="仿宋_GB2312" w:hAnsi="仿宋_GB2312" w:eastAsia="仿宋_GB2312" w:cs="仿宋_GB2312"/>
          <w:sz w:val="32"/>
          <w:szCs w:val="32"/>
        </w:rPr>
        <w:t>　医疗卫生人员应当弘扬敬佑生命、救死扶伤、甘于奉献、大爱无疆的崇高职业精神，遵守行业规范，恪守医德，努力提高专业水平和服务质量。</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医疗卫生行业组织、医疗卫生机构、医学院校应当加强对医疗卫生人员的医德医风教育。</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第五十二条</w:t>
      </w:r>
      <w:r>
        <w:rPr>
          <w:rFonts w:hint="eastAsia" w:ascii="仿宋_GB2312" w:hAnsi="仿宋_GB2312" w:eastAsia="仿宋_GB2312" w:cs="仿宋_GB2312"/>
          <w:sz w:val="32"/>
          <w:szCs w:val="32"/>
        </w:rPr>
        <w:t>　国家制定医疗卫生人员培养规划，建立适应行业特点和社会需求的医疗卫生人员培养机制和供需平衡机制，完善医学院校教育、毕业后教育和继续教育体系，建立健全住院医师、专科医师规范化培训制度，建立规模适宜、结构合理、分布均衡的医疗卫生队伍。</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国家加强全科医生的培养和使用。全科医生主要提供常见病、多发病的诊疗和转诊、预防、保健、康复，以及慢性病管理、健康管理等服务。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第五十三条</w:t>
      </w:r>
      <w:r>
        <w:rPr>
          <w:rFonts w:hint="eastAsia" w:ascii="仿宋_GB2312" w:hAnsi="仿宋_GB2312" w:eastAsia="仿宋_GB2312" w:cs="仿宋_GB2312"/>
          <w:sz w:val="32"/>
          <w:szCs w:val="32"/>
        </w:rPr>
        <w:t>　国家对医师、护士等医疗卫生人员依法实行执业注册制度。医疗卫生人员应当依法取得相应的职业资格。</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第五十四条</w:t>
      </w:r>
      <w:r>
        <w:rPr>
          <w:rFonts w:hint="eastAsia" w:ascii="仿宋_GB2312" w:hAnsi="仿宋_GB2312" w:eastAsia="仿宋_GB2312" w:cs="仿宋_GB2312"/>
          <w:sz w:val="32"/>
          <w:szCs w:val="32"/>
        </w:rPr>
        <w:t>　医疗卫生人员应当遵循医学科学规律，遵守有关临床诊疗技术规范和各项操作规范以及医学伦理规范，使用适宜技术和药物，合理诊疗，因病施治，不得对患者实施过度医疗。</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医疗卫生人员不得利用职务之便索要、非法收受财物或者牟取其他不正当利益。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第五十五条</w:t>
      </w:r>
      <w:r>
        <w:rPr>
          <w:rFonts w:hint="eastAsia" w:ascii="仿宋_GB2312" w:hAnsi="仿宋_GB2312" w:eastAsia="仿宋_GB2312" w:cs="仿宋_GB2312"/>
          <w:sz w:val="32"/>
          <w:szCs w:val="32"/>
        </w:rPr>
        <w:t>　国家建立健全符合医疗卫生行业特点的人事、薪酬、奖励制度，体现医疗卫生人员职业特点和技术劳动价值。</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对从事传染病防治、放射医学和精神卫生工作以及其他在特殊岗位工作的医疗卫生人员，应当按照国家规定给予适当的津贴。津贴标准应当定期调整。</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第五十六条</w:t>
      </w:r>
      <w:r>
        <w:rPr>
          <w:rFonts w:hint="eastAsia" w:ascii="仿宋_GB2312" w:hAnsi="仿宋_GB2312" w:eastAsia="仿宋_GB2312" w:cs="仿宋_GB2312"/>
          <w:sz w:val="32"/>
          <w:szCs w:val="32"/>
        </w:rPr>
        <w:t>　国家建立医疗卫生人员定期到基层和艰苦边远地区从事医疗卫生工作制度。</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国家采取定向免费培养、对口支援、退休返聘等措施，加强基层和艰苦边远地区医疗卫生队伍建设。</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执业医师晋升为副高级技术职称的，应当有累计一年以上在县级以下或者对口支援的医疗卫生机构提供医疗卫生服务的经历。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对在基层和艰苦边远地区工作的医疗卫生人员，在薪酬津贴、职称评定、职业发展、教育培训和表彰奖励等方面实行优惠待遇。</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国家加强乡村医疗卫生队伍建设，建立县乡村上下贯通的职业发展机制，完善对乡村医疗卫生人员的服务收入多渠道补助机制和养老政策。</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第五十七条</w:t>
      </w:r>
      <w:r>
        <w:rPr>
          <w:rFonts w:hint="eastAsia" w:ascii="仿宋_GB2312" w:hAnsi="仿宋_GB2312" w:eastAsia="仿宋_GB2312" w:cs="仿宋_GB2312"/>
          <w:sz w:val="32"/>
          <w:szCs w:val="32"/>
        </w:rPr>
        <w:t>　全社会应当关心、尊重医疗卫生人员，维护良好安全的医疗卫生服务秩序，共同构建和谐医患关系。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医疗卫生人员的人身安全、人格尊严不受侵犯，其合法权益受法律保护。禁止任何组织或者个人威胁、危害医疗卫生人员人身安全，侵犯医疗卫生人员人格尊严。</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国家采取措施，保障医疗卫生人员执业环境。</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药品供应保障</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第五十八条</w:t>
      </w:r>
      <w:r>
        <w:rPr>
          <w:rFonts w:hint="eastAsia" w:ascii="仿宋_GB2312" w:hAnsi="仿宋_GB2312" w:eastAsia="仿宋_GB2312" w:cs="仿宋_GB2312"/>
          <w:sz w:val="32"/>
          <w:szCs w:val="32"/>
        </w:rPr>
        <w:t>　国家完善药品供应保障制度，建立工作协调机制，保障药品的安全、有效、可及。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第五十九条</w:t>
      </w:r>
      <w:r>
        <w:rPr>
          <w:rFonts w:hint="eastAsia" w:ascii="仿宋_GB2312" w:hAnsi="仿宋_GB2312" w:eastAsia="仿宋_GB2312" w:cs="仿宋_GB2312"/>
          <w:sz w:val="32"/>
          <w:szCs w:val="32"/>
        </w:rPr>
        <w:t>　国家实施基本药物制度，遴选适当数量的基本药物品种，满足疾病防治基本用药需求。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国家公布基本药物目录，根据药品临床应用实践、药品标准变化、药品新上市情况等，对基本药物目录进行动态调整。</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基本药物按照规定优先纳入基本医疗保险药品目录。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国家提高基本药物的供给能力，强化基本药物质量监管，确保基本药物公平可及、合理使用。</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第六十条</w:t>
      </w:r>
      <w:r>
        <w:rPr>
          <w:rFonts w:hint="eastAsia" w:ascii="仿宋_GB2312" w:hAnsi="仿宋_GB2312" w:eastAsia="仿宋_GB2312" w:cs="仿宋_GB2312"/>
          <w:sz w:val="32"/>
          <w:szCs w:val="32"/>
        </w:rPr>
        <w:t>　国家建立健全以临床需求为导向的药品审评审批制度，支持临床急需药品、儿童用药品和防治罕见病、重大疾病等药品的研制、生产，满足疾病防治需求。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第六十一条</w:t>
      </w:r>
      <w:r>
        <w:rPr>
          <w:rFonts w:hint="eastAsia" w:ascii="仿宋_GB2312" w:hAnsi="仿宋_GB2312" w:eastAsia="仿宋_GB2312" w:cs="仿宋_GB2312"/>
          <w:sz w:val="32"/>
          <w:szCs w:val="32"/>
        </w:rPr>
        <w:t>　国家建立健全药品研制、生产、流通、使用全过程追溯制度，加强药品管理，保证药品质量。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第六十二条</w:t>
      </w:r>
      <w:r>
        <w:rPr>
          <w:rFonts w:hint="eastAsia" w:ascii="仿宋_GB2312" w:hAnsi="仿宋_GB2312" w:eastAsia="仿宋_GB2312" w:cs="仿宋_GB2312"/>
          <w:sz w:val="32"/>
          <w:szCs w:val="32"/>
        </w:rPr>
        <w:t>　国家建立健全药品价格监测体系，开展成本价格调查，加强药品价格监督检查，依法查处价格垄断、价格欺诈、不正当竞争等违法行为，维护药品价格秩序。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国家加强药品分类采购管理和指导。参加药品采购投标的投标人不得以低于成本的报价竞标，不得以欺诈、串通投标、滥用市场支配地位等方式竞标。</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第六十三条</w:t>
      </w:r>
      <w:r>
        <w:rPr>
          <w:rFonts w:hint="eastAsia" w:ascii="仿宋_GB2312" w:hAnsi="仿宋_GB2312" w:eastAsia="仿宋_GB2312" w:cs="仿宋_GB2312"/>
          <w:sz w:val="32"/>
          <w:szCs w:val="32"/>
        </w:rPr>
        <w:t>　国家建立中央与地方两级医药储备，用于保障重大灾情、疫情及其他突发事件等应急需要。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第六十四条</w:t>
      </w:r>
      <w:r>
        <w:rPr>
          <w:rFonts w:hint="eastAsia" w:ascii="仿宋_GB2312" w:hAnsi="仿宋_GB2312" w:eastAsia="仿宋_GB2312" w:cs="仿宋_GB2312"/>
          <w:sz w:val="32"/>
          <w:szCs w:val="32"/>
        </w:rPr>
        <w:t>　国家建立健全药品供求监测体系，及时收集和汇总分析药品供求信息，定期公布药品生产、流通、使用等情况。</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第六十五条</w:t>
      </w:r>
      <w:r>
        <w:rPr>
          <w:rFonts w:hint="eastAsia" w:ascii="仿宋_GB2312" w:hAnsi="仿宋_GB2312" w:eastAsia="仿宋_GB2312" w:cs="仿宋_GB2312"/>
          <w:sz w:val="32"/>
          <w:szCs w:val="32"/>
        </w:rPr>
        <w:t>　国家加强对医疗器械的管理，完善医疗器械的标准和规范，提高医疗器械的安全有效水平。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国务院卫生健康主管部门和省、自治区、直辖市人民政府卫生健康主管部门应当根据技术的先进性、适宜性和可及性，编制大型医用设备配置规划，促进区域内医用设备合理配置、充分共享。</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第六十六条</w:t>
      </w:r>
      <w:r>
        <w:rPr>
          <w:rFonts w:hint="eastAsia" w:ascii="仿宋_GB2312" w:hAnsi="仿宋_GB2312" w:eastAsia="仿宋_GB2312" w:cs="仿宋_GB2312"/>
          <w:sz w:val="32"/>
          <w:szCs w:val="32"/>
        </w:rPr>
        <w:t>　国家加强中药的保护与发展，充分体现中药的特色和优势，发挥其在预防、保健、医疗、康复中的作用。</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健康促进</w:t>
      </w:r>
    </w:p>
    <w:p>
      <w:pPr>
        <w:wordWrap/>
        <w:spacing w:line="560" w:lineRule="exact"/>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第六十七条</w:t>
      </w:r>
      <w:r>
        <w:rPr>
          <w:rFonts w:hint="eastAsia" w:ascii="仿宋_GB2312" w:hAnsi="仿宋_GB2312" w:eastAsia="仿宋_GB2312" w:cs="仿宋_GB2312"/>
          <w:sz w:val="32"/>
          <w:szCs w:val="32"/>
        </w:rPr>
        <w:t>　各级人民政府应当加强健康教育工作及其专业人才培养，建立健康知识和技能核心信息发布制度，普及健康科学知识，向公众提供科学、准确的健康信息。</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教育、体育、宣传等机构、基层群众性自治组织和社会组织应当开展健康知识的宣传和普及。医疗卫生人员在提供医疗卫生服务时，应当对患者开展健康教育。新闻媒体应当开展健康知识的公益宣传。健康知识的宣传应当科学、准确。</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第六十八条</w:t>
      </w:r>
      <w:r>
        <w:rPr>
          <w:rFonts w:hint="eastAsia" w:ascii="仿宋_GB2312" w:hAnsi="仿宋_GB2312" w:eastAsia="仿宋_GB2312" w:cs="仿宋_GB2312"/>
          <w:sz w:val="32"/>
          <w:szCs w:val="32"/>
        </w:rPr>
        <w:t>　国家将健康教育纳入国民教育体系。学校应当利用多种形式实施健康教育，普及健康知识、科学健身知识、急救知识和技能，提高学生主动防病的意识，培养学生良好的卫生习惯和健康的行为习惯，减少、改善学生近视、肥胖等不良健康状况。</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学校应当按照规定开设体育与健康课程，组织学生开展广播体操、眼保健操、体能锻炼等活动。</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学校按照规定配备校医，建立和完善卫生室、保健室等。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县级以上人民政府教育主管部门应当按照规定将学生体质健康水平纳入学校考核体系。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第六十九条</w:t>
      </w:r>
      <w:r>
        <w:rPr>
          <w:rFonts w:hint="eastAsia" w:ascii="仿宋_GB2312" w:hAnsi="仿宋_GB2312" w:eastAsia="仿宋_GB2312" w:cs="仿宋_GB2312"/>
          <w:sz w:val="32"/>
          <w:szCs w:val="32"/>
        </w:rPr>
        <w:t>　公民是自己健康的第一责任人，树立和践行对自己健康负责的健康管理理念，主动学习健康知识，提高健康素养，加强健康管理。倡导家庭成员相互关爱，形成符合自身和家庭特点的健康生活方式。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公民应当尊重他人的健康权利和利益，不得损害他人健康和社会公共利益。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第七十条　</w:t>
      </w:r>
      <w:r>
        <w:rPr>
          <w:rFonts w:hint="eastAsia" w:ascii="仿宋_GB2312" w:hAnsi="仿宋_GB2312" w:eastAsia="仿宋_GB2312" w:cs="仿宋_GB2312"/>
          <w:sz w:val="32"/>
          <w:szCs w:val="32"/>
        </w:rPr>
        <w:t>国家组织居民健康状况调查和统计，开展体质监测，对健康绩效进行评估，并根据评估结果制定、完善与健康相关的法律、法规、政策和规划。</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第七十一条</w:t>
      </w:r>
      <w:r>
        <w:rPr>
          <w:rFonts w:hint="eastAsia" w:ascii="仿宋_GB2312" w:hAnsi="仿宋_GB2312" w:eastAsia="仿宋_GB2312" w:cs="仿宋_GB2312"/>
          <w:sz w:val="32"/>
          <w:szCs w:val="32"/>
        </w:rPr>
        <w:t>　国家建立疾病和健康危险因素监测、调查和风险评估制度。县级以上人民政府及其有关部门针对影响健康的主要问题，组织开展健康危险因素研究，制定综合防治措施。</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国家加强影响健康的环境问题预防和治理，组织开展环境质量对健康影响的研究，采取措施预防和控制与环境问题有关的疾病。</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第七十二条　</w:t>
      </w:r>
      <w:r>
        <w:rPr>
          <w:rFonts w:hint="eastAsia" w:ascii="仿宋_GB2312" w:hAnsi="仿宋_GB2312" w:eastAsia="仿宋_GB2312" w:cs="仿宋_GB2312"/>
          <w:sz w:val="32"/>
          <w:szCs w:val="32"/>
        </w:rPr>
        <w:t>国家大力开展爱国卫生运动，鼓励和支持开展爱国卫生月等群众性卫生与健康活动，依靠和动员群众控制和消除健康危险因素，改善环境卫生状况，建设健康城市、健康村镇、健康社区。</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第七十三条</w:t>
      </w:r>
      <w:r>
        <w:rPr>
          <w:rFonts w:hint="eastAsia" w:ascii="仿宋_GB2312" w:hAnsi="仿宋_GB2312" w:eastAsia="仿宋_GB2312" w:cs="仿宋_GB2312"/>
          <w:sz w:val="32"/>
          <w:szCs w:val="32"/>
        </w:rPr>
        <w:t>　国家建立科学、严格的食品、饮用水安全监督管理制度，提高安全水平。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第七十四条</w:t>
      </w:r>
      <w:r>
        <w:rPr>
          <w:rFonts w:hint="eastAsia" w:ascii="仿宋_GB2312" w:hAnsi="仿宋_GB2312" w:eastAsia="仿宋_GB2312" w:cs="仿宋_GB2312"/>
          <w:sz w:val="32"/>
          <w:szCs w:val="32"/>
        </w:rPr>
        <w:t>　国家建立营养状况监测制度，实施经济欠发达地区、重点人群营养干预计划，开展未成年人和老年人营养改善行动，倡导健康饮食习惯，减少不健康饮食引起的疾病风险。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第七十五条</w:t>
      </w:r>
      <w:r>
        <w:rPr>
          <w:rFonts w:hint="eastAsia" w:ascii="仿宋_GB2312" w:hAnsi="仿宋_GB2312" w:eastAsia="仿宋_GB2312" w:cs="仿宋_GB2312"/>
          <w:sz w:val="32"/>
          <w:szCs w:val="32"/>
        </w:rPr>
        <w:t>　国家发展全民健身事业，完善覆盖城乡的全民健身公共服务体系，加强公共体育设施建设，组织开展和支持全民健身活动，加强全民健身指导服务，普及科学健身知识和方法。</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国家鼓励单位的体育场地设施向公众开放。</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第七十六条</w:t>
      </w:r>
      <w:r>
        <w:rPr>
          <w:rFonts w:hint="eastAsia" w:ascii="仿宋_GB2312" w:hAnsi="仿宋_GB2312" w:eastAsia="仿宋_GB2312" w:cs="仿宋_GB2312"/>
          <w:sz w:val="32"/>
          <w:szCs w:val="32"/>
        </w:rPr>
        <w:t>　国家制定并实施未成年人、妇女、老年人、残疾人等的健康工作计划，加强重点人群健康服务。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国家推动长期护理保障工作，鼓励发展长期护理保险。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第七十七条</w:t>
      </w:r>
      <w:r>
        <w:rPr>
          <w:rFonts w:hint="eastAsia" w:ascii="仿宋_GB2312" w:hAnsi="仿宋_GB2312" w:eastAsia="仿宋_GB2312" w:cs="仿宋_GB2312"/>
          <w:sz w:val="32"/>
          <w:szCs w:val="32"/>
        </w:rPr>
        <w:t>　国家完善公共场所卫生管理制度。县级以上人民政府卫生健康等主管部门应当加强对公共场所的卫生监督。公共场所卫生监督信息应当依法向社会公开。</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公共场所经营单位应当建立健全并严格实施卫生管理制度，保证其经营活动持续符合国家对公共场所的卫生要求。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第七十八条</w:t>
      </w:r>
      <w:r>
        <w:rPr>
          <w:rFonts w:hint="eastAsia" w:ascii="仿宋_GB2312" w:hAnsi="仿宋_GB2312" w:eastAsia="仿宋_GB2312" w:cs="仿宋_GB2312"/>
          <w:sz w:val="32"/>
          <w:szCs w:val="32"/>
        </w:rPr>
        <w:t>　国家采取措施，减少吸烟对公民健康的危害。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公共场所控制吸烟，强化监督执法。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烟草制品包装应当印制带有说明吸烟危害的警示。</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禁止向未成年人出售烟酒。</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第七十九条　</w:t>
      </w:r>
      <w:r>
        <w:rPr>
          <w:rFonts w:hint="eastAsia" w:ascii="仿宋_GB2312" w:hAnsi="仿宋_GB2312" w:eastAsia="仿宋_GB2312" w:cs="仿宋_GB2312"/>
          <w:sz w:val="32"/>
          <w:szCs w:val="32"/>
        </w:rPr>
        <w:t>用人单位应当为职工创造有益于健康的环境和条件，严格执行劳动安全卫生等相关规定，积极组织职工开展健身活动，保护职工健康。</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国家鼓励用人单位开展职工健康指导工作。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国家提倡用人单位为职工定期开展健康检查。法律、法规对健康检查有规定的，依照其规定。</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资金保障</w:t>
      </w:r>
    </w:p>
    <w:p>
      <w:pPr>
        <w:wordWrap/>
        <w:spacing w:line="560" w:lineRule="exact"/>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第八十条</w:t>
      </w:r>
      <w:r>
        <w:rPr>
          <w:rFonts w:hint="eastAsia" w:ascii="仿宋_GB2312" w:hAnsi="仿宋_GB2312" w:eastAsia="仿宋_GB2312" w:cs="仿宋_GB2312"/>
          <w:sz w:val="32"/>
          <w:szCs w:val="32"/>
        </w:rPr>
        <w:t>　各级人民政府应当切实履行发展医疗卫生与健康事业的职责，建立与经济社会发展、财政状况和健康指标相适应的医疗卫生与健康事业投入机制，将医疗卫生与健康促进经费纳入本级政府预算，按照规定主要用于保障基本医疗服务、公共卫生服务、基本医疗保障和政府举办的医疗卫生机构建设和运行发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第八十一条</w:t>
      </w:r>
      <w:r>
        <w:rPr>
          <w:rFonts w:hint="eastAsia" w:ascii="仿宋_GB2312" w:hAnsi="仿宋_GB2312" w:eastAsia="仿宋_GB2312" w:cs="仿宋_GB2312"/>
          <w:sz w:val="32"/>
          <w:szCs w:val="32"/>
        </w:rPr>
        <w:t>　县级以上人民政府通过预算、审计、监督执法、社会监督等方式，加强资金的监督管理。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第八十二条</w:t>
      </w:r>
      <w:r>
        <w:rPr>
          <w:rFonts w:hint="eastAsia" w:ascii="仿宋_GB2312" w:hAnsi="仿宋_GB2312" w:eastAsia="仿宋_GB2312" w:cs="仿宋_GB2312"/>
          <w:sz w:val="32"/>
          <w:szCs w:val="32"/>
        </w:rPr>
        <w:t>　基本医疗服务费用主要由基本医疗保险基金和个人支付。国家依法多渠道筹集基本医疗保险基金，逐步完善基本医疗保险可持续筹资和保障水平调整机制。</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公民有依法参加基本医疗保险的权利和义务。用人单位和职工按照国家规定缴纳职工基本医疗保险费。城乡居民按照规定缴纳城乡居民基本医疗保险费。</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第八十三条</w:t>
      </w:r>
      <w:r>
        <w:rPr>
          <w:rFonts w:hint="eastAsia" w:ascii="仿宋_GB2312" w:hAnsi="仿宋_GB2312" w:eastAsia="仿宋_GB2312" w:cs="仿宋_GB2312"/>
          <w:sz w:val="32"/>
          <w:szCs w:val="32"/>
        </w:rPr>
        <w:t>　国家建立以基本医疗保险为主体，商业健康保险、医疗救助、职工互助医疗和医疗慈善服务等为补充的、多层次的医疗保障体系。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国家鼓励发展商业健康保险，满足人民群众多样化健康保障需求。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国家完善医疗救助制度，保障符合条件的困难群众获得基本医疗服务。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第八十四条</w:t>
      </w:r>
      <w:r>
        <w:rPr>
          <w:rFonts w:hint="eastAsia" w:ascii="仿宋_GB2312" w:hAnsi="仿宋_GB2312" w:eastAsia="仿宋_GB2312" w:cs="仿宋_GB2312"/>
          <w:sz w:val="32"/>
          <w:szCs w:val="32"/>
        </w:rPr>
        <w:t>　国家建立健全基本医疗保险经办机构与协议定点医疗卫生机构之间的协商谈判机制，科学合理确定基本医疗保险基金支付标准和支付方式，引导医疗卫生机构合理诊疗，促进患者有序流动，提高基本医疗保险基金使用效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第八十五条</w:t>
      </w:r>
      <w:r>
        <w:rPr>
          <w:rFonts w:hint="eastAsia" w:ascii="仿宋_GB2312" w:hAnsi="仿宋_GB2312" w:eastAsia="仿宋_GB2312" w:cs="仿宋_GB2312"/>
          <w:sz w:val="32"/>
          <w:szCs w:val="32"/>
        </w:rPr>
        <w:t>　基本医疗保险基金支付范围由国务院医疗保障主管部门组织制定，并应当听取国务院卫生健康主管部门、中医药主管部门、药品监督管理部门、财政部门等的意见。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省、自治区、直辖市人民政府可以按照国家有关规定，补充确定本行政区域基本医疗保险基金支付的具体项目和标准，并报国务院医疗保障主管部门备案。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医疗保障主管部门应当对纳入支付范围的基本医疗保险药品目录、诊疗项目、医疗服务设施标准等组织开展循证医学和经济性评价，并应当听取国务院卫生健康主管部门、中医药主管部门、药品监督管理部门、财政部门等有关方面的意见。评价结果应当作为调整基本医疗保险基金支付范围的依据。</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监督管理</w:t>
      </w:r>
    </w:p>
    <w:p>
      <w:pPr>
        <w:wordWrap/>
        <w:spacing w:line="560" w:lineRule="exact"/>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第八十六条</w:t>
      </w:r>
      <w:r>
        <w:rPr>
          <w:rFonts w:hint="eastAsia" w:ascii="仿宋_GB2312" w:hAnsi="仿宋_GB2312" w:eastAsia="仿宋_GB2312" w:cs="仿宋_GB2312"/>
          <w:sz w:val="32"/>
          <w:szCs w:val="32"/>
        </w:rPr>
        <w:t>　国家建立健全机构自治、行业自律、政府监管、社会监督相结合的医疗卫生综合监督管理体系。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县级以上人民政府卫生健康主管部门对医疗卫生行业实行属地化、全行业监督管理。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第八十七条</w:t>
      </w:r>
      <w:r>
        <w:rPr>
          <w:rFonts w:hint="eastAsia" w:ascii="仿宋_GB2312" w:hAnsi="仿宋_GB2312" w:eastAsia="仿宋_GB2312" w:cs="仿宋_GB2312"/>
          <w:sz w:val="32"/>
          <w:szCs w:val="32"/>
        </w:rPr>
        <w:t>　县级以上人民政府医疗保障主管部门应当提高医疗保障监管能力和水平，对纳入基本医疗保险基金支付范围的医疗服务行为和医疗费用加强监督管理，确保基本医疗保险基金合理使用、安全可控。</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第八十八条</w:t>
      </w:r>
      <w:r>
        <w:rPr>
          <w:rFonts w:hint="eastAsia" w:ascii="仿宋_GB2312" w:hAnsi="仿宋_GB2312" w:eastAsia="仿宋_GB2312" w:cs="仿宋_GB2312"/>
          <w:sz w:val="32"/>
          <w:szCs w:val="32"/>
        </w:rPr>
        <w:t>　县级以上人民政府应当组织卫生健康、医疗保障、药品监督管理、发展改革、财政等部门建立沟通协商机制，加强制度衔接和工作配合，提高医疗卫生资源使用效率和保障水平。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第八十九条</w:t>
      </w:r>
      <w:r>
        <w:rPr>
          <w:rFonts w:hint="eastAsia" w:ascii="仿宋_GB2312" w:hAnsi="仿宋_GB2312" w:eastAsia="仿宋_GB2312" w:cs="仿宋_GB2312"/>
          <w:sz w:val="32"/>
          <w:szCs w:val="32"/>
        </w:rPr>
        <w:t>　县级以上人民政府应当定期向本级人民代表大会或者其常务委员会报告基本医疗卫生与健康促进工作，依法接受监督。</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第九十条</w:t>
      </w:r>
      <w:r>
        <w:rPr>
          <w:rFonts w:hint="eastAsia" w:ascii="仿宋_GB2312" w:hAnsi="仿宋_GB2312" w:eastAsia="仿宋_GB2312" w:cs="仿宋_GB2312"/>
          <w:sz w:val="32"/>
          <w:szCs w:val="32"/>
        </w:rPr>
        <w:t>　县级以上人民政府有关部门未履行医疗卫生与健康促进工作相关职责的，本级人民政府或者上级人民政府有关部门应当对其主要负责人进行约谈。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地方人民政府未履行医疗卫生与健康促进工作相关职责的，上级人民政府应当对其主要负责人进行约谈。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被约谈的部门和地方人民政府应当立即采取措施，进行整改。</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约谈情况和整改情况应当纳入有关部门和地方人民政府工作评议、考核记录。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第九十一条</w:t>
      </w:r>
      <w:r>
        <w:rPr>
          <w:rFonts w:hint="eastAsia" w:ascii="仿宋_GB2312" w:hAnsi="仿宋_GB2312" w:eastAsia="仿宋_GB2312" w:cs="仿宋_GB2312"/>
          <w:sz w:val="32"/>
          <w:szCs w:val="32"/>
        </w:rPr>
        <w:t>　县级以上地方人民政府卫生健康主管部门应当建立医疗卫生机构绩效评估制度，组织对医疗卫生机构的服务质量、医疗技术、药品和医用设备使用等情况进行评估。评估应当吸收行业组织和公众参与。评估结果应当以适当方式向社会公开，作为评价医疗卫生机构和卫生监管的重要依据。</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第九十二条</w:t>
      </w:r>
      <w:r>
        <w:rPr>
          <w:rFonts w:hint="eastAsia" w:ascii="仿宋_GB2312" w:hAnsi="仿宋_GB2312" w:eastAsia="仿宋_GB2312" w:cs="仿宋_GB2312"/>
          <w:sz w:val="32"/>
          <w:szCs w:val="32"/>
        </w:rPr>
        <w:t>　国家保护公民个人健康信息，确保公民个人健康信息安全。任何组织或者个人不得非法收集、使用、加工、传输公民个人健康信息，不得非法买卖、提供或者公开公民个人健康信息。</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第九十三条</w:t>
      </w:r>
      <w:r>
        <w:rPr>
          <w:rFonts w:hint="eastAsia" w:ascii="仿宋_GB2312" w:hAnsi="仿宋_GB2312" w:eastAsia="仿宋_GB2312" w:cs="仿宋_GB2312"/>
          <w:sz w:val="32"/>
          <w:szCs w:val="32"/>
        </w:rPr>
        <w:t>　县级以上人民政府卫生健康主管部门、医疗保障主管部门应当建立医疗卫生机构、人员等信用记录制度，纳入全国信用信息共享平台，按照国家规定实施联合惩戒。</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第九十四条</w:t>
      </w:r>
      <w:r>
        <w:rPr>
          <w:rFonts w:hint="eastAsia" w:ascii="仿宋_GB2312" w:hAnsi="仿宋_GB2312" w:eastAsia="仿宋_GB2312" w:cs="仿宋_GB2312"/>
          <w:sz w:val="32"/>
          <w:szCs w:val="32"/>
        </w:rPr>
        <w:t>　县级以上地方人民政府卫生健康主管部门及其委托的卫生健康监督机构，依法开展本行政区域医疗卫生等行政执法工作。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第九十五条　</w:t>
      </w:r>
      <w:r>
        <w:rPr>
          <w:rFonts w:hint="eastAsia" w:ascii="仿宋_GB2312" w:hAnsi="仿宋_GB2312" w:eastAsia="仿宋_GB2312" w:cs="仿宋_GB2312"/>
          <w:sz w:val="32"/>
          <w:szCs w:val="32"/>
        </w:rPr>
        <w:t>县级以上人民政府卫生健康主管部门应当积极培育医疗卫生行业组织，发挥其在医疗卫生与健康促进工作中的作用，支持其参与行业管理规范、技术标准制定和医疗卫生评价、评估、评审等工作。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第九十六条</w:t>
      </w:r>
      <w:r>
        <w:rPr>
          <w:rFonts w:hint="eastAsia" w:ascii="仿宋_GB2312" w:hAnsi="仿宋_GB2312" w:eastAsia="仿宋_GB2312" w:cs="仿宋_GB2312"/>
          <w:sz w:val="32"/>
          <w:szCs w:val="32"/>
        </w:rPr>
        <w:t>　国家建立医疗纠纷预防和处理机制，妥善处理医疗纠纷，维护医疗秩序。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第九十七条</w:t>
      </w:r>
      <w:r>
        <w:rPr>
          <w:rFonts w:hint="eastAsia" w:ascii="仿宋_GB2312" w:hAnsi="仿宋_GB2312" w:eastAsia="仿宋_GB2312" w:cs="仿宋_GB2312"/>
          <w:sz w:val="32"/>
          <w:szCs w:val="32"/>
        </w:rPr>
        <w:t>　国家鼓励公民、法人和其他组织对医疗卫生与健康促进工作进行社会监督。</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任何组织和个人对违反本法规定的行为，有权向县级以上人民政府卫生健康主管部门和其他有关部门投诉、举报。</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第九章　法律责任</w:t>
      </w:r>
    </w:p>
    <w:p>
      <w:pPr>
        <w:wordWrap/>
        <w:spacing w:line="560" w:lineRule="exact"/>
        <w:ind w:firstLine="640" w:firstLineChars="200"/>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第九十八条</w:t>
      </w:r>
      <w:r>
        <w:rPr>
          <w:rFonts w:hint="eastAsia" w:ascii="仿宋_GB2312" w:hAnsi="仿宋_GB2312" w:eastAsia="仿宋_GB2312" w:cs="仿宋_GB2312"/>
          <w:sz w:val="32"/>
          <w:szCs w:val="32"/>
        </w:rPr>
        <w:t>　违反本法规定，地方各级人民政府、县级以上人民政府卫生健康主管部门和其他有关部门，滥用职权、玩忽职守、徇私舞弊的，对直接负责的主管人员和其他直接责任人员依法给予处分。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第九十九条</w:t>
      </w:r>
      <w:r>
        <w:rPr>
          <w:rFonts w:hint="eastAsia" w:ascii="仿宋_GB2312" w:hAnsi="仿宋_GB2312" w:eastAsia="仿宋_GB2312" w:cs="仿宋_GB2312"/>
          <w:sz w:val="32"/>
          <w:szCs w:val="32"/>
        </w:rPr>
        <w:t>　违反本法规定，未取得医疗机构执业许可证擅自执业的，由县级以上人民政府卫生健康主管部门责令停止执业活动，没收违法所得和药品、医疗器械，并处违法所得五倍以上二十倍以下的罚款，违法所得不足一万元的，按一万元计算。</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违反本法规定，伪造、变造、买卖、出租、出借医疗机构执业许可证的，由县级以上人民政府卫生健康主管部门责令改正，没收违法所得，并处违法所得五倍以上十五倍以下的罚款，违法所得不足一万元的，按一万元计算；情节严重的，吊销医疗机构执业许可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第一百条</w:t>
      </w:r>
      <w:r>
        <w:rPr>
          <w:rFonts w:hint="eastAsia" w:ascii="仿宋_GB2312" w:hAnsi="仿宋_GB2312" w:eastAsia="仿宋_GB2312" w:cs="仿宋_GB2312"/>
          <w:sz w:val="32"/>
          <w:szCs w:val="32"/>
        </w:rPr>
        <w:t>　违反本法规定，有下列行为之一的，由县级以上人民政府卫生健康主管部门责令改正，没收违法所得，并处违法所得二倍以上十倍以下的罚款，违法所得不足一万元的，按一万元计算；对直接负责的主管人员和其他直接责任人员依法给予处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（一）政府举办的医疗卫生机构与其他组织投资设立非独立法人资格的医疗卫生机构；</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（二）医疗卫生机构对外出租、承包医疗科室；</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（三）非营利性医疗卫生机构向出资人、举办者分配或者变相分配收益。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第一百零一条</w:t>
      </w:r>
      <w:r>
        <w:rPr>
          <w:rFonts w:hint="eastAsia" w:ascii="仿宋_GB2312" w:hAnsi="仿宋_GB2312" w:eastAsia="仿宋_GB2312" w:cs="仿宋_GB2312"/>
          <w:sz w:val="32"/>
          <w:szCs w:val="32"/>
        </w:rPr>
        <w:t>　违反本法规定，医疗卫生机构等的医疗信息安全制度、保障措施不健全，导致医疗信息泄露，或者医疗质量管理和医疗技术管理制度、安全措施不健全的，由县级以上人民政府卫生健康等主管部门责令改正，给予警告，并处一万元以上五万元以下的罚款；情节严重的，可以责令停止相应执业活动，对直接负责的主管人员和其他直接责任人员依法追究法律责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第一百零二条</w:t>
      </w:r>
      <w:r>
        <w:rPr>
          <w:rFonts w:hint="eastAsia" w:ascii="仿宋_GB2312" w:hAnsi="仿宋_GB2312" w:eastAsia="仿宋_GB2312" w:cs="仿宋_GB2312"/>
          <w:sz w:val="32"/>
          <w:szCs w:val="32"/>
        </w:rPr>
        <w:t>　违反本法规定，医疗卫生人员有下列行为之一的，由县级以上人民政府卫生健康主管部门依照有关执业医师、护士管理和医疗纠纷预防处理等法律、行政法规的规定给予行政处罚：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（一）利用职务之便索要、非法收受财物或者牟取其他不正当利益；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（二）泄露公民个人健康信息；</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（三）在开展医学研究或提供医疗卫生服务过程中未按照规定履行告知义务或者违反医学伦理规范。</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前款规定的人员属于政府举办的医疗卫生机构中的人员的，依法给予处分。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第一百零三条</w:t>
      </w:r>
      <w:r>
        <w:rPr>
          <w:rFonts w:hint="eastAsia" w:ascii="仿宋_GB2312" w:hAnsi="仿宋_GB2312" w:eastAsia="仿宋_GB2312" w:cs="仿宋_GB2312"/>
          <w:sz w:val="32"/>
          <w:szCs w:val="32"/>
        </w:rPr>
        <w:t>　违反本法规定，参加药品采购投标的投标人以低于成本的报价竞标，或者以欺诈、串通投标、滥用市场支配地位等方式竞标的，由县级以上人民政府医疗保障主管部门责令改正，没收违法所得；中标的，中标无效，处中标项目金额千分之五以上千分之十以下的罚款，对法定代表人、主要负责人、直接负责的主管人员和其他责任人员处对单位罚款数额百分之五以上百分之十以下的罚款；情节严重的，取消其二年至五年内参加药品采购投标的资格并予以公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第一百零四条</w:t>
      </w:r>
      <w:r>
        <w:rPr>
          <w:rFonts w:hint="eastAsia" w:ascii="仿宋_GB2312" w:hAnsi="仿宋_GB2312" w:eastAsia="仿宋_GB2312" w:cs="仿宋_GB2312"/>
          <w:sz w:val="32"/>
          <w:szCs w:val="32"/>
        </w:rPr>
        <w:t>　违反本法规定，以欺诈、伪造证明材料或者其他手段骗取基本医疗保险待遇，或者基本医疗保险经办机构以及医疗机构、药品经营单位等以欺诈、伪造证明材料或者其他手段骗取基本医疗保险基金支出的，由县级以上人民政府医疗保障主管部门依照有关社会保险的法律、行政法规规定给予行政处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第一百零五条</w:t>
      </w:r>
      <w:r>
        <w:rPr>
          <w:rFonts w:hint="eastAsia" w:ascii="仿宋_GB2312" w:hAnsi="仿宋_GB2312" w:eastAsia="仿宋_GB2312" w:cs="仿宋_GB2312"/>
          <w:sz w:val="32"/>
          <w:szCs w:val="32"/>
        </w:rPr>
        <w:t>　违反本法规定，扰乱医疗卫生机构执业场所秩序，威胁、危害医疗卫生人员人身安全，侵犯医疗卫生人员人格尊严，非法收集、使用、加工、传输公民个人健康信息，非法买卖、提供或者公开公民个人健康信息等，构成违反治安管理行为的，依法给予治安管理处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第一百零六条</w:t>
      </w:r>
      <w:r>
        <w:rPr>
          <w:rFonts w:hint="eastAsia" w:ascii="仿宋_GB2312" w:hAnsi="仿宋_GB2312" w:eastAsia="仿宋_GB2312" w:cs="仿宋_GB2312"/>
          <w:sz w:val="32"/>
          <w:szCs w:val="32"/>
        </w:rPr>
        <w:t>　违反本法规定，构成犯罪的，依法追究刑事责任；造成人身、财产损害的，依法承担民事责任。</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第十章　附　　则</w:t>
      </w:r>
    </w:p>
    <w:p>
      <w:pPr>
        <w:wordWrap/>
        <w:spacing w:line="560" w:lineRule="exact"/>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第一百零七条　</w:t>
      </w:r>
      <w:r>
        <w:rPr>
          <w:rFonts w:hint="eastAsia" w:ascii="仿宋_GB2312" w:hAnsi="仿宋_GB2312" w:eastAsia="仿宋_GB2312" w:cs="仿宋_GB2312"/>
          <w:sz w:val="32"/>
          <w:szCs w:val="32"/>
        </w:rPr>
        <w:t>本法中下列用语的含义：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（一）主要健康指标，是指人均预期寿命、孕产妇死亡率、婴儿死亡率、五岁以下儿童死亡率等。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（二）医疗卫生机构，是指基层医疗卫生机构、医院和专业公共卫生机构等。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（三）基层医疗卫生机构，是指乡镇卫生院、社区卫生服务中心（站）、村卫生室、医务室、门诊部和诊所等。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（四）专业公共卫生机构，是指疾病预防控制中心、专科疾病防治机构、健康教育机构、急救中心（站）和血站等。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（五）医疗卫生人员，是指执业医师、执业助理医师、注册护士、药师（士）、检验技师（士）、影像技师（士）和乡村医生等卫生专业人员。</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（六）基本药物，是指满足疾病防治基本用药需求，适应现阶段基本国情和保障能力，剂型适宜，价格合理，能够保障供应，可公平获得的药品。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第一百零八条</w:t>
      </w:r>
      <w:r>
        <w:rPr>
          <w:rFonts w:hint="eastAsia" w:ascii="仿宋_GB2312" w:hAnsi="仿宋_GB2312" w:eastAsia="仿宋_GB2312" w:cs="仿宋_GB2312"/>
          <w:sz w:val="32"/>
          <w:szCs w:val="32"/>
        </w:rPr>
        <w:t>　省、自治区、直辖市和设区的市、自治州可以结合实际，制定本地方发展医疗卫生与健康事业的具体办法。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第一百零九条</w:t>
      </w:r>
      <w:r>
        <w:rPr>
          <w:rFonts w:hint="eastAsia" w:ascii="仿宋_GB2312" w:hAnsi="仿宋_GB2312" w:eastAsia="仿宋_GB2312" w:cs="仿宋_GB2312"/>
          <w:sz w:val="32"/>
          <w:szCs w:val="32"/>
        </w:rPr>
        <w:t>　中国人民解放军和中国人民武装警察部队的医疗卫生与健康促进工作，由国务院和中央军事委员会依照本法制定管理办法。</w:t>
      </w:r>
    </w:p>
    <w:p>
      <w:pPr>
        <w:wordWrap/>
        <w:spacing w:line="560" w:lineRule="exact"/>
        <w:textAlignment w:val="auto"/>
        <w:rPr>
          <w:rFonts w:hint="eastAsia" w:ascii="宋体" w:hAnsi="宋体" w:eastAsia="宋体" w:cs="宋体"/>
          <w:kern w:val="0"/>
          <w:sz w:val="44"/>
          <w:szCs w:val="44"/>
          <w:lang w:eastAsia="zh-CN"/>
        </w:rPr>
      </w:pPr>
      <w:r>
        <w:rPr>
          <w:rFonts w:hint="eastAsia" w:ascii="黑体" w:hAnsi="黑体" w:eastAsia="黑体" w:cs="黑体"/>
          <w:sz w:val="32"/>
          <w:szCs w:val="32"/>
        </w:rPr>
        <w:t>第一百一十条</w:t>
      </w:r>
      <w:r>
        <w:rPr>
          <w:rFonts w:hint="eastAsia" w:ascii="仿宋_GB2312" w:hAnsi="仿宋_GB2312" w:eastAsia="仿宋_GB2312" w:cs="仿宋_GB2312"/>
          <w:sz w:val="32"/>
          <w:szCs w:val="32"/>
        </w:rPr>
        <w:t>　本法自2020年6月1日起施行。</w:t>
      </w:r>
    </w:p>
    <w:p>
      <w:pPr>
        <w:wordWrap/>
        <w:spacing w:line="560" w:lineRule="exact"/>
        <w:textAlignment w:val="auto"/>
        <w:rPr>
          <w:rFonts w:hint="eastAsia" w:ascii="宋体" w:hAnsi="宋体" w:eastAsia="宋体" w:cs="宋体"/>
          <w:kern w:val="0"/>
          <w:sz w:val="44"/>
          <w:szCs w:val="44"/>
          <w:lang w:eastAsia="zh-CN"/>
        </w:rPr>
      </w:pPr>
      <w:r>
        <w:rPr>
          <w:rFonts w:hint="eastAsia" w:ascii="宋体" w:hAnsi="宋体" w:eastAsia="宋体" w:cs="宋体"/>
          <w:kern w:val="0"/>
          <w:sz w:val="44"/>
          <w:szCs w:val="44"/>
          <w:lang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eastAsia="zh-CN"/>
        </w:rPr>
      </w:pPr>
      <w:bookmarkStart w:id="12" w:name="_Toc20378"/>
      <w:r>
        <w:rPr>
          <w:rFonts w:hint="eastAsia" w:ascii="宋体" w:hAnsi="宋体" w:eastAsia="宋体" w:cs="宋体"/>
          <w:kern w:val="0"/>
          <w:sz w:val="44"/>
          <w:szCs w:val="44"/>
          <w:lang w:eastAsia="zh-CN"/>
        </w:rPr>
        <w:t>中华人民共和国执业医师法</w:t>
      </w:r>
      <w:bookmarkEnd w:id="12"/>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宋体" w:cs="宋体"/>
          <w:sz w:val="32"/>
          <w:szCs w:val="32"/>
          <w:lang w:eastAsia="zh-CN"/>
        </w:rPr>
      </w:pPr>
      <w:r>
        <w:rPr>
          <w:rFonts w:hint="eastAsia" w:ascii="宋体" w:hAnsi="宋体" w:eastAsia="楷体_GB2312" w:cs="楷体_GB2312"/>
          <w:sz w:val="32"/>
          <w:szCs w:val="32"/>
          <w:lang w:eastAsia="zh-CN"/>
        </w:rPr>
        <w:t>（1998年6月26日第九届全国人民代表大会常务委员会第三次会议通过　根据2009年8月27日第十一届全国人民代表大会常务委员会第十次会议《关于修改部分法律的决定》修正）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第二章　考试和注册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第三章　执业规则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第四章　考核和培训</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第五章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r>
        <w:rPr>
          <w:rFonts w:hint="eastAsia" w:ascii="宋体" w:hAnsi="宋体" w:eastAsia="楷体_GB2312" w:cs="楷体_GB2312"/>
          <w:sz w:val="32"/>
          <w:szCs w:val="32"/>
          <w:lang w:eastAsia="zh-CN"/>
        </w:rPr>
        <w:t>　　第六章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eastAsia="宋体" w:cs="宋体"/>
          <w:sz w:val="32"/>
          <w:szCs w:val="32"/>
          <w:lang w:eastAsia="zh-CN"/>
        </w:rPr>
        <w:t>　　</w:t>
      </w:r>
      <w:r>
        <w:rPr>
          <w:rFonts w:hint="eastAsia" w:ascii="宋体" w:hAnsi="宋体" w:eastAsia="黑体" w:cs="黑体"/>
          <w:sz w:val="32"/>
          <w:szCs w:val="32"/>
          <w:lang w:eastAsia="zh-CN"/>
        </w:rPr>
        <w:t>第一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为了加强医师队伍的建设，提高医师的职业道德和业务素质，保障医师的合法权益，保护人民健康，制定本法。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依法取得执业医师资格或者执业助理医师资格，经注册在医疗、预防、保健机构中执业的专业医务人员，适用本法。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本法所称医师，包括执业医师和执业助理医师。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医师应当具备良好的职业道德和医疗执业水平，发扬人道主义精神，履行防病治病、救死扶伤、保护人民健康的神圣职责。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全社会应当尊重医师。医师依法履行职责，受法律保护。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国务院卫生行政部门主管全国的医师工作。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县级以上地方人民政府卫生行政部门负责管理本行政区域内的医师工作。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国家对在医疗、预防、保健工作中作出贡献的医师，给予奖励。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医师的医学专业技术职称和医学专业技术职务的评定、聘任，按照国家有关规定办理。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医师可以依法组织和参加医师协会。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第二章　考试和注册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国家实行医师资格考试制度。医师资格考试分为执业医师资格考试和执业助理医师资格考试。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医师资格统一考试的办法，由国务院卫生行政部门制定。医师资格考试由省级以上人民政府卫生行政部门组织实施。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第九</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具有下列条件之一的，可以参加执业医师资格考试: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（一）具有高等学校医学专业本科以上学历，在执业医师指导下，在医疗、预防、保健机构中试用期满一年的；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（二）取得执业助理医师执业证书后，具有高等学校医学专科学历，在医疗、预防、保健机构中工作满二年的；具有中等专业学校医学专业学历，在医疗、预防、保健机构中工作满五年的。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具有高等学校医学专科学历或者中等专业学校医学专业学历，在执业医师指导下，在医疗、预防、保健机构中试用期满一年的，可以参加执业助理医师资格考试。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以师承方式学习传统医学满三年或者经多年实践医术确有专长的，经县级以上人民政府卫生行政部门确定的传统医学专业组织或者医疗、预防、保健机构考核合格并推荐，可以参加执业医师资格或者执业助理医师资格考试。考试的内容和办法由国务院卫生行政部门另行制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医师资格考试成绩合格，取得执业医师资格或者执业助理医师资格。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国家实行医师执业注册制度。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取得医师资格的，可以向所在地县级以上人民政府卫生行政部门申请注册。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除有本法第十五条规定的情形外，受理申请的卫生行政部门应当自收到申请之日起三十日内准予注册，并发给由国务院卫生行政部门统一印制的医师执业证书。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医疗、预防、保健机构可以为本机构中的医师集体办理注册手续。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医师经注册后，可以在医疗、预防、保健机构中按照注册的执业地点、执业类别、执业范围执业，从事相应的医疗、预防、保健业务。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未经医师注册取得执业证书，不得从事医师执业活动。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有下列情形之一的，不予注册: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（一）不具有完全民事行为能力的；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（二）因受刑事处罚，自刑罚执行完毕之日起至申请注册之日止不满二年的；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（三）受吊销医师执业证书行政处罚，自处罚决定之日起至申请注册之日止不满二年的；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（四）有国务院卫生行政部门规定不宜从事医疗、预防、保健业务的其他情形的。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eastAsia="仿宋_GB2312" w:cs="仿宋_GB2312"/>
          <w:sz w:val="32"/>
          <w:szCs w:val="32"/>
          <w:lang w:eastAsia="zh-CN"/>
        </w:rPr>
        <w:t>　　受理申请的卫生行政部门对不符合条件不予注册的，应当自收到申请之日起三十日内书面通知申请人，并说明理由。申请人有异议的，可以自收到通知之日起十五日内，依法申请复议或者向人民法院提起诉讼。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医师注册后有下列情形之一的，其所在的医疗、预防、保健机构应当在三十日内报告准予注册的卫生行政部门，卫生行政部门应当注销注册，收回医师执业证书: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（一）死亡或者被宣告失踪的；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（二）受刑事处罚的；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（三）受吊销医师执业证书行政处罚的；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（四）依照本法第三十一条规定暂停执业活动期满，再次考核仍不合格的；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（五）中止医师执业活动满二年的；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（六）有国务院卫生行政部门规定不宜从事医疗、预防、保健业务的其他情形的。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被注销注册的当事人有异议的，可以自收到注销注册通知之日起十五日内，依法申请复议或者向人民法院提起诉讼。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医师变更执业地点、执业类别、执业范围等注册事项的，应当到准予注册的卫生行政部门依照本法第十三条的规定办理变更注册手续。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中止医师执业活动二年以上以及有本法第十五条规定情形消失的，申请重新执业，应当由本法第三十一条规定的机构考核合格，并依照本法第十三条的规定重新注册。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第十九</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申请个体行医的执业医师，须经注册后在医疗、预防、保健机构中执业满五年，并按照国家有关规定办理审批手续；未经批准，不得行医。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县级以上地方人民政府卫生行政部门对个体行医的医师，应当按照国务院卫生行政部门的规定，经常监督检查，凡发现有本法第十六条规定的情形的，应当及时注销注册，收回医师执业证书。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县级以上地方人民政府卫生行政部门应当将准予注册和注销注册的人员名单予以公告，并由省级人民政府卫生行政部门汇总，报国务院卫生行政部门备案。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第三章　执业规则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医师在执业活动中享有下列权利: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（一）在注册的执业范围内，进行医学诊查、疾病调查、医学处置、出具相应的医学证明文件，选择合理的医疗、预防、保健方案；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（二）按照国务院卫生行政部门规定的标准，获得与本人执业活动相当的医疗设备基本条件；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（三）从事医学研究、学术交流，参加专业学术团体；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（四）参加专业培训，接受继续医学教育；</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（五）在执业活动中，人格尊严、人身安全不受侵犯；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（六）获取工资报酬和津贴，享受国家规定的福利待遇；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（七）对所在机构的医疗、预防、保健工作和卫生行政部门的工作提出意见和建议，依法参与所在机构的民主管理。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医师在执业活动中履行下列义务: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（一）遵守法律、法规，遵守技术操作规范；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（二）树立敬业精神，遵守职业道德，履行医师职责，尽职尽责为患者服务；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（三）关心、爱护、尊重患者，保护患者的隐私；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（四）努力钻研业务，更新知识，提高专业技术水平；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（五）宣传卫生保健知识，对患者进行健康教育。</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医师实施医疗、预防、保健措施，签署有关医学证明文件，必须亲自诊查、调查，并按照规定及时填写医学文书，不得隐匿、伪造或者销毁医学文书及有关资料。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医师不得出具与自己执业范围无关或者与执业类别不相符的医学证明文件。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对急危患者，医师应当采取紧急措施进行诊治；不得拒绝急救处置。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医师应当使用经国家有关部门批准使用的药品、消毒药剂和医疗器械。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除正当诊断治疗外，不得使用麻醉药品、医疗用毒性药品、精神药品和放射性药品。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医师应当如实向患者或者其家属介绍病情，但应注意避免对患者产生不利后果。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医师进行实验性临床医疗，应当经医院批准并征得患者本人或者其家属同意。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医师不得利用职务之便，索取、非法收受患者财物或者牟取其他不正当利益。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遇有自然灾害、传染病流行、突发重大伤亡事故及其他严重威胁人民生命健康的紧急情况时，医师应当服从县级以上人民政府卫生行政部门的调遣。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第二十九</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医师发生医疗事故或者发现传染病疫情时，应当按照有关规定及时向所在机构或者卫生行政部门报告。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医师发现患者涉嫌伤害事件或者非正常死亡时，应当按照有关规定向有关部门报告。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执业助理医师应当在执业医师的指导下，在医疗、预防、保健机构中按照其执业类别执业。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在乡、民族乡、镇的医疗、预防、保健机构中工作的执业助理医师，可以根据医疗诊治的情况和需要，独立从事一般的执业活动。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第四章　考核和培训</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受县级以上人民政府卫生行政部门委托的机构或者组织应当按照医师执业标准，对医师的业务水平、工作成绩和职业道德状况进行定期考核。</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对医师的考核结果，考核机构应当报告准予注册的卫生行政部门备案。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对考核不合格的医师，县级以上人民政府卫生行政部门可以责令其暂停执业活动三个月至六个月，并接受培训和继续医学教育。暂停执业活动期满，再次进行考核，对考核合格的，允许其继续执业；对考核不合格的，由县级以上人民政府卫生行政部门注销注册，收回医师执业证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县级以上人民政府卫生行政部门负责指导、检查和监督医师考核工作。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医师有下列情形之一的，县级以上人民政府卫生行政部门应当给予表彰或者奖励: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（一）在执业活动中，医德高尚，事迹突出的；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（二）对医学专业技术有重大突破，作出显著贡献的；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（三）遇有自然灾害、传染病流行、突发重大伤亡事故及其他严重威胁人民生命健康的紧急情况时，救死扶伤、抢救诊疗表现突出的；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（四）长期在边远贫困地区、少数民族地区条件艰苦的基层单位努力工作的；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（五）国务院卫生行政部门规定应当予以表彰或者奖励的其他情形的。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县级以上人民政府卫生行政部门应当制定医师培训计划，对医师进行多种形式的培训，为医师接受继续医学教育提供条件。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县级以上人民政府卫生行政部门应当采取有力措施，对在农村和少数民族地区从事医疗、预防、保健业务的医务人员实施培训。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医疗、预防、保健机构应当按照规定和计划保证本机构医师的培训和继续医学教育。</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县级以上人民政府卫生行政部门委托的承担医师考核任务的医疗卫生机构，应当为医师的培训和接受继续医学教育提供和创造条件。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第五章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以不正当手段取得医师执业证书的，由发给证书的卫生行政部门予以吊销；对负有直接责任的主管人员和其他直接责任人员，依法给予行政处分。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医师在执业活动中，违反本法规定，有下列行为之一的，由县级以上人民政府卫生行政部门给予警告或者责令暂停六个月以上一年以下执业活动；情节严重的，吊销其执业证书；构成犯罪的，依法追究刑事责任: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（一）违反卫生行政规章制度或者技术操作规范，造成严重后果的；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（二）由于不负责任延误急危患者的抢救和诊治，造成严重后果的；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（三）造成医疗责任事故的；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（四）未经亲自诊查、调查，签署诊断、治疗、流行病学等证明文件或者有关出生、死亡等证明文件的；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（五）隐匿、伪造或者擅自销毁医学文书及有关资料的；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（六）使用未经批准使用的药品、消毒药剂和医疗器械的；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（七）不按照规定使用麻醉药品、医疗用毒性药品、精神药品和放射性药品的；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（八）未经患者或者其家属同意，对患者进行实验性临床医疗的；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（九）泄露患者隐私，造成严重后果的；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（十）利用职务之便，索取、非法收受患者财物或者牟取其他不正当利益的；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（十一）发生自然灾害、传染病流行、突发重大伤亡事故以及其他严重威胁人民生命健康的紧急情况时，不服从卫生行政部门调遣的；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（十二）发生医疗事故或者发现传染病疫情，患者涉嫌伤害事件或者非正常死亡，不按照规定报告的。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医师在医疗、预防、保健工作中造成事故的，依照法律或者国家有关规定处理。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第三十九</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未经批准擅自开办医疗机构行医或者非医师行医的，由县级以上人民政府卫生行政部门予以取缔，没收其违法所得及其药品、器械，并处十万元以下的罚款；对医师吊销其执业证书；给患者造成损害的，依法承担赔偿责任；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阻碍医师依法执业，侮辱、诽谤、威胁、殴打医师或者侵犯医师人身自由、干扰医师正常工作、生活的，依照治安管理处罚法的规定处罚；构成犯罪的，依法追究刑事责任。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医疗、预防、保健机构未依照本法第十六条的规定履行报告职责，导致严重后果的，由县级以上人民政府卫生行政部门给予警告；并对该机构的行政负责人依法给予行政处分。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卫生行政部门工作人员或者医疗、预防、保健机构工作人员违反本法有关规定，弄虚作假、玩忽职守、滥用职权、徇私舞弊，尚不构成犯罪的，依法给予行政处分；构成犯罪的，依法追究刑事责任。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第六章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本法颁布之日前按照国家有关规定取得医学专业技术职称和医学专业技术职务的人员，由所在机构报请县级以上人民政府卫生行政部门认定，取得相应的医师资格。其中在医疗、预防、保健机构中从事医疗、预防、保健业务的医务人员，依照本法规定的条件，由所在机构集体核报县级以上人民政府卫生行政部门，予以注册并发给医师执业证书。具体办法由国务院卫生行政部门会同国务院人事行政部门制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计划生育技术服务机构中的医师，适用本法。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在乡村医疗卫生机构中向村民提供预防、保健和一般医疗服务的乡村医生，符合本法有关规定的，可以依法取得执业医师资格或者执业助理医师资格；不具备本法规定的执业医师资格或者执业助理医师资格的乡村医生，由国务院另行制定管理办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军队医师执行本法的实施办法，由国务院、中央军事委员会依据本法的原则制定。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境外人员在中国境内申请医师考试、注册、执业或者从事临床示教、临床研究等活动的，按照国家有关规定办理。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本法自1999年5月1日起施行。</w:t>
      </w:r>
    </w:p>
    <w:p>
      <w:pPr>
        <w:widowControl w:val="0"/>
        <w:wordWrap/>
        <w:overflowPunct w:val="0"/>
        <w:spacing w:beforeAutospacing="0" w:afterAutospacing="0" w:line="560" w:lineRule="exact"/>
        <w:ind w:firstLine="640"/>
        <w:jc w:val="left"/>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sz w:val="44"/>
          <w:szCs w:val="44"/>
          <w:lang w:eastAsia="zh-CN"/>
        </w:rPr>
      </w:pPr>
      <w:r>
        <w:rPr>
          <w:rFonts w:hint="eastAsia" w:ascii="宋体" w:hAnsi="宋体" w:eastAsia="宋体" w:cs="宋体"/>
          <w:sz w:val="44"/>
          <w:szCs w:val="44"/>
          <w:lang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eastAsia="zh-CN"/>
        </w:rPr>
      </w:pPr>
      <w:bookmarkStart w:id="13" w:name="_Toc6850"/>
      <w:r>
        <w:rPr>
          <w:rFonts w:hint="eastAsia" w:ascii="宋体" w:hAnsi="宋体" w:eastAsia="宋体" w:cs="宋体"/>
          <w:kern w:val="0"/>
          <w:sz w:val="44"/>
          <w:szCs w:val="44"/>
          <w:lang w:eastAsia="zh-CN"/>
        </w:rPr>
        <w:t>中华人民共和国食品安全法</w:t>
      </w:r>
      <w:bookmarkEnd w:id="13"/>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cs="仿宋_GB2312"/>
          <w:sz w:val="32"/>
          <w:szCs w:val="32"/>
          <w:lang w:eastAsia="zh-CN"/>
        </w:rPr>
      </w:pPr>
      <w:r>
        <w:rPr>
          <w:rFonts w:hint="eastAsia" w:ascii="宋体" w:hAnsi="宋体" w:cs="仿宋_GB2312"/>
          <w:sz w:val="32"/>
          <w:szCs w:val="32"/>
          <w:lang w:eastAsia="zh-CN"/>
        </w:rPr>
        <w:br w:type="textWrapping"/>
      </w:r>
      <w:r>
        <w:rPr>
          <w:rFonts w:hint="eastAsia" w:ascii="宋体" w:hAnsi="宋体" w:cs="仿宋_GB2312"/>
          <w:sz w:val="32"/>
          <w:szCs w:val="32"/>
          <w:lang w:eastAsia="zh-CN"/>
        </w:rPr>
        <w:t>（2009年2月28日第十一届全国人民代表大会常务委员会第七次会议通过　2015年4月24日第十二届全国人民代表大会常务委员会第十四次会议修订　根据2018年12月29日第十三届全国人民代表大会常务委员会第七次会议《关于修改〈中华人民共和国产品质量法〉等五部法律的决定》修正）</w:t>
      </w: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cs="仿宋_GB2312"/>
          <w:sz w:val="32"/>
          <w:szCs w:val="32"/>
          <w:lang w:eastAsia="zh-CN"/>
        </w:rPr>
      </w:pPr>
      <w:r>
        <w:rPr>
          <w:rFonts w:hint="eastAsia" w:ascii="宋体" w:hAnsi="宋体" w:cs="仿宋_GB2312"/>
          <w:sz w:val="32"/>
          <w:szCs w:val="32"/>
          <w:lang w:val="en-US" w:eastAsia="zh-CN"/>
        </w:rPr>
        <w:t>目　　录</w:t>
      </w: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r>
        <w:rPr>
          <w:rFonts w:hint="eastAsia" w:ascii="宋体" w:hAnsi="宋体" w:cs="仿宋_GB2312"/>
          <w:sz w:val="32"/>
          <w:szCs w:val="32"/>
          <w:lang w:val="en-US" w:eastAsia="zh-CN"/>
        </w:rPr>
        <w:t>　　第一章　总 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第二章　食品安全风险监测和评估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第三章　食品安全标准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第四章　食品生产经营</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仿宋_GB2312"/>
          <w:sz w:val="32"/>
          <w:szCs w:val="32"/>
          <w:lang w:val="en-US" w:eastAsia="zh-CN"/>
        </w:rPr>
      </w:pPr>
      <w:r>
        <w:rPr>
          <w:rFonts w:hint="eastAsia" w:ascii="宋体" w:hAnsi="宋体" w:cs="仿宋_GB2312"/>
          <w:sz w:val="32"/>
          <w:szCs w:val="32"/>
          <w:lang w:val="en-US" w:eastAsia="zh-CN"/>
        </w:rPr>
        <w:t>　　第一节　一般规定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仿宋_GB2312"/>
          <w:sz w:val="32"/>
          <w:szCs w:val="32"/>
          <w:lang w:val="en-US" w:eastAsia="zh-CN"/>
        </w:rPr>
      </w:pPr>
      <w:r>
        <w:rPr>
          <w:rFonts w:hint="eastAsia" w:ascii="宋体" w:hAnsi="宋体" w:cs="仿宋_GB2312"/>
          <w:sz w:val="32"/>
          <w:szCs w:val="32"/>
          <w:lang w:val="en-US" w:eastAsia="zh-CN"/>
        </w:rPr>
        <w:t>　　第二节　生产经营过程控制</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仿宋_GB2312"/>
          <w:sz w:val="32"/>
          <w:szCs w:val="32"/>
          <w:lang w:val="en-US" w:eastAsia="zh-CN"/>
        </w:rPr>
      </w:pPr>
      <w:r>
        <w:rPr>
          <w:rFonts w:hint="eastAsia" w:ascii="宋体" w:hAnsi="宋体" w:cs="仿宋_GB2312"/>
          <w:sz w:val="32"/>
          <w:szCs w:val="32"/>
          <w:lang w:val="en-US" w:eastAsia="zh-CN"/>
        </w:rPr>
        <w:t>　　第三节　标签、说明书和广告</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仿宋_GB2312"/>
          <w:sz w:val="32"/>
          <w:szCs w:val="32"/>
          <w:lang w:eastAsia="zh-CN"/>
        </w:rPr>
      </w:pPr>
      <w:r>
        <w:rPr>
          <w:rFonts w:hint="eastAsia" w:ascii="宋体" w:hAnsi="宋体" w:cs="仿宋_GB2312"/>
          <w:sz w:val="32"/>
          <w:szCs w:val="32"/>
          <w:lang w:val="en-US" w:eastAsia="zh-CN"/>
        </w:rPr>
        <w:t>　　第四节　特殊食品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第五章　食品检验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第六章　食品进出口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第七章　食品安全事故处置</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第八章　监督管理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第九章　法律责任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第十章　附　　则</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第一章　总　　则</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14" w:name="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第一条</w:t>
      </w:r>
      <w:bookmarkEnd w:id="14"/>
      <w:r>
        <w:rPr>
          <w:rFonts w:hint="eastAsia" w:ascii="宋体" w:hAnsi="宋体" w:cs="仿宋_GB2312"/>
          <w:sz w:val="32"/>
          <w:szCs w:val="32"/>
          <w:lang w:val="en-US" w:eastAsia="zh-CN"/>
        </w:rPr>
        <w:t>　为了保证食品安全，保障公众身体健康和生命安全，制定本法。</w:t>
      </w:r>
      <w:r>
        <w:rPr>
          <w:rFonts w:hint="eastAsia" w:ascii="宋体" w:hAnsi="宋体" w:cs="仿宋_GB2312"/>
          <w:sz w:val="32"/>
          <w:szCs w:val="32"/>
          <w:lang w:val="en-US" w:eastAsia="zh-CN"/>
        </w:rPr>
        <w:br w:type="textWrapping"/>
      </w:r>
      <w:bookmarkStart w:id="15" w:name="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第二条</w:t>
      </w:r>
      <w:bookmarkEnd w:id="1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在中华人民共和国境内从事下列活动，应当遵守本法：</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（一）食品生产和加工（以下称食品生产），食品销售和餐饮服务（以下称食品经营）；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（二）食品添加剂的生产经营；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（三）用于食品的包装材料、容器、洗涤剂、消毒剂和用于食品生产经营的工具、设备（以下称食品相关产品）的生产经营；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（四）食品生产经营者使用食品添加剂、食品相关产品；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（五）食品的贮存和运输；</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（六）对食品、食品添加剂、食品相关产品的安全管理。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供食用的源于农业的初级产品（以下称食用农产品）的质量安全管理，遵守《</w:t>
      </w:r>
      <w:r>
        <w:rPr>
          <w:rFonts w:hint="eastAsia" w:ascii="宋体" w:hAnsi="宋体" w:cs="仿宋_GB2312"/>
          <w:sz w:val="32"/>
          <w:szCs w:val="32"/>
          <w:lang w:val="en-US" w:eastAsia="zh-CN"/>
        </w:rPr>
        <w:fldChar w:fldCharType="begin"/>
      </w:r>
      <w:r>
        <w:rPr>
          <w:rFonts w:hint="eastAsia" w:ascii="宋体" w:hAnsi="宋体" w:cs="仿宋_GB2312"/>
          <w:sz w:val="32"/>
          <w:szCs w:val="32"/>
          <w:lang w:val="en-US" w:eastAsia="zh-CN"/>
        </w:rPr>
        <w:instrText xml:space="preserve"> HYPERLINK "http://172.17.252.5/FullText/fulltext_form.aspx?db=chl&amp;gid=328289&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6aOf5ZOB5a6J5YWo5rOVJScpIAYFAAAADS3lj5HluIPml6XmnJ8GBgAAAA/po5/lk4Hlronlhajms5UAAAsBAAD//javascript:SLC(324966,0)" </w:instrText>
      </w:r>
      <w:r>
        <w:rPr>
          <w:rFonts w:hint="eastAsia" w:ascii="宋体" w:hAnsi="宋体" w:cs="仿宋_GB2312"/>
          <w:sz w:val="32"/>
          <w:szCs w:val="32"/>
          <w:lang w:val="en-US" w:eastAsia="zh-CN"/>
        </w:rPr>
        <w:fldChar w:fldCharType="separate"/>
      </w:r>
      <w:r>
        <w:rPr>
          <w:rFonts w:hint="eastAsia" w:ascii="宋体" w:hAnsi="宋体" w:cs="仿宋_GB2312"/>
          <w:sz w:val="32"/>
          <w:szCs w:val="32"/>
          <w:lang w:eastAsia="zh-CN"/>
        </w:rPr>
        <w:t>中华人民共和国农产品质量安全法</w:t>
      </w:r>
      <w:r>
        <w:rPr>
          <w:rFonts w:hint="eastAsia" w:ascii="宋体" w:hAnsi="宋体" w:cs="仿宋_GB2312"/>
          <w:sz w:val="32"/>
          <w:szCs w:val="32"/>
          <w:lang w:val="en-US" w:eastAsia="zh-CN"/>
        </w:rPr>
        <w:fldChar w:fldCharType="end"/>
      </w:r>
      <w:r>
        <w:rPr>
          <w:rFonts w:hint="eastAsia" w:ascii="宋体" w:hAnsi="宋体" w:cs="仿宋_GB2312"/>
          <w:sz w:val="32"/>
          <w:szCs w:val="32"/>
          <w:lang w:val="en-US" w:eastAsia="zh-CN"/>
        </w:rPr>
        <w:t>》的规定。但是，食用农产品的市场销售、有关质量安全标准的制定、有关安全信息的公布和本法对农业投入品作出规定的，应当遵守本法的规定。</w:t>
      </w:r>
      <w:r>
        <w:rPr>
          <w:rFonts w:hint="eastAsia" w:ascii="宋体" w:hAnsi="宋体" w:cs="仿宋_GB2312"/>
          <w:sz w:val="32"/>
          <w:szCs w:val="32"/>
          <w:lang w:val="en-US" w:eastAsia="zh-CN"/>
        </w:rPr>
        <w:br w:type="textWrapping"/>
      </w:r>
      <w:bookmarkStart w:id="16" w:name="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第三条</w:t>
      </w:r>
      <w:bookmarkEnd w:id="16"/>
      <w:r>
        <w:rPr>
          <w:rFonts w:hint="eastAsia" w:ascii="宋体" w:hAnsi="宋体" w:cs="仿宋_GB2312"/>
          <w:sz w:val="32"/>
          <w:szCs w:val="32"/>
          <w:lang w:val="en-US" w:eastAsia="zh-CN"/>
        </w:rPr>
        <w:t>　食品安全工作实行预防为主、风险管理、全程控制、社会共治，建立科学、严格的监督管理制度。</w:t>
      </w:r>
      <w:r>
        <w:rPr>
          <w:rFonts w:hint="eastAsia" w:ascii="宋体" w:hAnsi="宋体" w:cs="仿宋_GB2312"/>
          <w:sz w:val="32"/>
          <w:szCs w:val="32"/>
          <w:lang w:val="en-US" w:eastAsia="zh-CN"/>
        </w:rPr>
        <w:br w:type="textWrapping"/>
      </w:r>
      <w:bookmarkStart w:id="17" w:name="4"/>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第四条</w:t>
      </w:r>
      <w:bookmarkEnd w:id="17"/>
      <w:r>
        <w:rPr>
          <w:rFonts w:hint="eastAsia" w:ascii="宋体" w:hAnsi="宋体" w:cs="仿宋_GB2312"/>
          <w:sz w:val="32"/>
          <w:szCs w:val="32"/>
          <w:lang w:val="en-US" w:eastAsia="zh-CN"/>
        </w:rPr>
        <w:t>　食品生产经营者对其生产经营食品的安全负责。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食品生产经营者应当依照法律、法规和食品安全标准从事生产经营活动，保证食品安全，诚信自律，对社会和公众负责，接受社会监督，承担社会责任。</w:t>
      </w:r>
      <w:r>
        <w:rPr>
          <w:rFonts w:hint="eastAsia" w:ascii="宋体" w:hAnsi="宋体" w:cs="仿宋_GB2312"/>
          <w:sz w:val="32"/>
          <w:szCs w:val="32"/>
          <w:lang w:val="en-US" w:eastAsia="zh-CN"/>
        </w:rPr>
        <w:br w:type="textWrapping"/>
      </w:r>
      <w:bookmarkStart w:id="18" w:name="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第五条</w:t>
      </w:r>
      <w:bookmarkEnd w:id="18"/>
      <w:r>
        <w:rPr>
          <w:rFonts w:hint="eastAsia" w:ascii="宋体" w:hAnsi="宋体" w:cs="仿宋_GB2312"/>
          <w:sz w:val="32"/>
          <w:szCs w:val="32"/>
          <w:lang w:val="en-US" w:eastAsia="zh-CN"/>
        </w:rPr>
        <w:t>　国务院设立食品安全委员会，其职责由国务院规定。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国务院食品安全监督管理部门依照本法和国务院规定的职责，对食品生产经营活动实施监督管理。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国务院卫生行政部门依照本法和国务院规定的职责，组织开展食品安全风险监测和风险评估，会同国务院食品安全监督管理部门制定并公布食品安全国家标准。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国务院其他有关部门依照本法和国务院规定的职责，承担有关食品安全工作。</w:t>
      </w:r>
      <w:r>
        <w:rPr>
          <w:rFonts w:hint="eastAsia" w:ascii="宋体" w:hAnsi="宋体" w:cs="仿宋_GB2312"/>
          <w:sz w:val="32"/>
          <w:szCs w:val="32"/>
          <w:lang w:val="en-US" w:eastAsia="zh-CN"/>
        </w:rPr>
        <w:br w:type="textWrapping"/>
      </w:r>
      <w:bookmarkStart w:id="19" w:name="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第六条</w:t>
      </w:r>
      <w:bookmarkEnd w:id="19"/>
      <w:r>
        <w:rPr>
          <w:rFonts w:hint="eastAsia" w:ascii="宋体" w:hAnsi="宋体" w:cs="仿宋_GB2312"/>
          <w:sz w:val="32"/>
          <w:szCs w:val="32"/>
          <w:lang w:val="en-US" w:eastAsia="zh-CN"/>
        </w:rPr>
        <w:t>　县级以上地方人民政府对本行政区域的食品安全监督管理工作负责，统一领导、组织、协调本行政区域的食品安全监督管理工作以及食品安全突发事件应对工作，建立健全食品安全全程监督管理工作机制和信息共享机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县级以上地方人民政府依照本法和国务院的规定，确定本级食品安全监督管理、卫生行政部门和其他有关部门的职责。有关部门在各自职责范围内负责本行政区域的食品安全监督管理工作。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县级人民政府食品安全监督管理部门可以在乡镇或者特定区域设立派出机构。</w:t>
      </w:r>
      <w:r>
        <w:rPr>
          <w:rFonts w:hint="eastAsia" w:ascii="宋体" w:hAnsi="宋体" w:cs="仿宋_GB2312"/>
          <w:sz w:val="32"/>
          <w:szCs w:val="32"/>
          <w:lang w:val="en-US" w:eastAsia="zh-CN"/>
        </w:rPr>
        <w:br w:type="textWrapping"/>
      </w:r>
      <w:bookmarkStart w:id="20" w:name="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第七条</w:t>
      </w:r>
      <w:bookmarkEnd w:id="20"/>
      <w:r>
        <w:rPr>
          <w:rFonts w:hint="eastAsia" w:ascii="宋体" w:hAnsi="宋体" w:cs="仿宋_GB2312"/>
          <w:sz w:val="32"/>
          <w:szCs w:val="32"/>
          <w:lang w:val="en-US" w:eastAsia="zh-CN"/>
        </w:rPr>
        <w:t>　县级以上地方人民政府实行食品安全监督管理责任制。上级人民政府负责对下一级人民政府的食品安全监督管理工作进行评议、考核。县级以上地方人民政府负责对本级食品安全监督管理部门和其他有关部门的食品安全监督管理工作进行评议、考核。</w:t>
      </w:r>
      <w:r>
        <w:rPr>
          <w:rFonts w:hint="eastAsia" w:ascii="宋体" w:hAnsi="宋体" w:cs="仿宋_GB2312"/>
          <w:sz w:val="32"/>
          <w:szCs w:val="32"/>
          <w:lang w:val="en-US" w:eastAsia="zh-CN"/>
        </w:rPr>
        <w:br w:type="textWrapping"/>
      </w:r>
      <w:bookmarkStart w:id="21" w:name="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第八条</w:t>
      </w:r>
      <w:bookmarkEnd w:id="21"/>
      <w:r>
        <w:rPr>
          <w:rFonts w:hint="eastAsia" w:ascii="宋体" w:hAnsi="宋体" w:cs="仿宋_GB2312"/>
          <w:sz w:val="32"/>
          <w:szCs w:val="32"/>
          <w:lang w:val="en-US" w:eastAsia="zh-CN"/>
        </w:rPr>
        <w:t>　县级以上人民政府应当将食品安全工作纳入本级国民经济和社会发展规划，将食品安全工作经费列入本级政府财政预算，加强食品安全监督管理能力建设，为食品安全工作提供保障。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县级以上人民政府食品安全监督管理部门和其他有关部门应当加强沟通、密切配合，按照各自职责分工，依法行使职权，承担责任。</w:t>
      </w:r>
      <w:r>
        <w:rPr>
          <w:rFonts w:hint="eastAsia" w:ascii="宋体" w:hAnsi="宋体" w:cs="仿宋_GB2312"/>
          <w:sz w:val="32"/>
          <w:szCs w:val="32"/>
          <w:lang w:val="en-US" w:eastAsia="zh-CN"/>
        </w:rPr>
        <w:br w:type="textWrapping"/>
      </w:r>
      <w:bookmarkStart w:id="22" w:name="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第九条</w:t>
      </w:r>
      <w:bookmarkEnd w:id="2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食品行业协会应当加强行业自律，按照章程建立健全行业规范和奖惩机制，提供食品安全信息、技术等服务，引导和督促食品生产经营者依法生产经营，推动行业诚信建设，宣传、普及食品安全知识。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消费者协会和其他消费者组织对违反本法规定，损害消费者合法权益的行为，依法进行社会监督。</w:t>
      </w:r>
      <w:r>
        <w:rPr>
          <w:rFonts w:hint="eastAsia" w:ascii="宋体" w:hAnsi="宋体" w:cs="仿宋_GB2312"/>
          <w:sz w:val="32"/>
          <w:szCs w:val="32"/>
          <w:lang w:val="en-US" w:eastAsia="zh-CN"/>
        </w:rPr>
        <w:br w:type="textWrapping"/>
      </w:r>
      <w:bookmarkStart w:id="23" w:name="1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第十条</w:t>
      </w:r>
      <w:bookmarkEnd w:id="23"/>
      <w:r>
        <w:rPr>
          <w:rFonts w:hint="eastAsia" w:ascii="宋体" w:hAnsi="宋体" w:cs="仿宋_GB2312"/>
          <w:sz w:val="32"/>
          <w:szCs w:val="32"/>
          <w:lang w:val="en-US" w:eastAsia="zh-CN"/>
        </w:rPr>
        <w:t>　各级人民政府应当加强食品安全的宣传教育，普及食品安全知识，鼓励社会组织、基层群众性自治组织、食品生产经营者开展食品安全法律、法规以及食品安全标准和知识的普及工作，倡导健康的饮食方式，增强消费者食品安全意识和自我保护能力。</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新闻媒体应当开展食品安全法律、法规以及食品安全标准和知识的公益宣传，并对食品安全违法行为进行舆论监督。有关食品安全的宣传报道应当真实、公正。</w:t>
      </w:r>
      <w:r>
        <w:rPr>
          <w:rFonts w:hint="eastAsia" w:ascii="宋体" w:hAnsi="宋体" w:cs="仿宋_GB2312"/>
          <w:sz w:val="32"/>
          <w:szCs w:val="32"/>
          <w:lang w:val="en-US" w:eastAsia="zh-CN"/>
        </w:rPr>
        <w:br w:type="textWrapping"/>
      </w:r>
      <w:bookmarkStart w:id="24" w:name="11"/>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第十一条</w:t>
      </w:r>
      <w:bookmarkEnd w:id="24"/>
      <w:r>
        <w:rPr>
          <w:rFonts w:hint="eastAsia" w:ascii="宋体" w:hAnsi="宋体" w:cs="仿宋_GB2312"/>
          <w:sz w:val="32"/>
          <w:szCs w:val="32"/>
          <w:lang w:val="en-US" w:eastAsia="zh-CN"/>
        </w:rPr>
        <w:t>　国家鼓励和支持开展与食品安全有关的基础研究、应用研究，鼓励和支持食品生产经营者为提高食品安全水平采用先进技术和先进管理规范。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国家对农药的使用实行严格的管理制度，加快淘汰剧毒、高毒、高残留农药，推动替代产品的研发和应用，鼓励使用高效低毒低残留农药。</w:t>
      </w:r>
      <w:r>
        <w:rPr>
          <w:rFonts w:hint="eastAsia" w:ascii="宋体" w:hAnsi="宋体" w:cs="仿宋_GB2312"/>
          <w:sz w:val="32"/>
          <w:szCs w:val="32"/>
          <w:lang w:val="en-US" w:eastAsia="zh-CN"/>
        </w:rPr>
        <w:br w:type="textWrapping"/>
      </w:r>
      <w:bookmarkStart w:id="25" w:name="12"/>
      <w:r>
        <w:rPr>
          <w:rFonts w:hint="eastAsia" w:ascii="宋体" w:hAnsi="宋体" w:eastAsia="黑体" w:cs="黑体"/>
          <w:sz w:val="32"/>
          <w:szCs w:val="32"/>
          <w:lang w:val="en-US" w:eastAsia="zh-CN"/>
        </w:rPr>
        <w:t>　  第十二条</w:t>
      </w:r>
      <w:bookmarkEnd w:id="25"/>
      <w:r>
        <w:rPr>
          <w:rFonts w:hint="eastAsia" w:ascii="宋体" w:hAnsi="宋体" w:cs="仿宋_GB2312"/>
          <w:sz w:val="32"/>
          <w:szCs w:val="32"/>
          <w:lang w:val="en-US" w:eastAsia="zh-CN"/>
        </w:rPr>
        <w:t>　任何组织或者个人有权举报食品安全违法行为，依法向有关部门了解食品安全信息，对食品安全监督管理工作提出意见和建议。</w:t>
      </w:r>
      <w:r>
        <w:rPr>
          <w:rFonts w:hint="eastAsia" w:ascii="宋体" w:hAnsi="宋体" w:cs="仿宋_GB2312"/>
          <w:sz w:val="32"/>
          <w:szCs w:val="32"/>
          <w:lang w:val="en-US" w:eastAsia="zh-CN"/>
        </w:rPr>
        <w:br w:type="textWrapping"/>
      </w:r>
      <w:bookmarkStart w:id="26" w:name="13"/>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第十三条</w:t>
      </w:r>
      <w:bookmarkEnd w:id="26"/>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对在食品安全工作中做出突出贡献的单位和个人，按照国家有关规定给予表彰、奖励。</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第二章　食品安全风险监测和评估</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27" w:name="14"/>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第十四条</w:t>
      </w:r>
      <w:bookmarkEnd w:id="27"/>
      <w:r>
        <w:rPr>
          <w:rFonts w:hint="eastAsia" w:ascii="宋体" w:hAnsi="宋体" w:cs="仿宋_GB2312"/>
          <w:sz w:val="32"/>
          <w:szCs w:val="32"/>
          <w:lang w:val="en-US" w:eastAsia="zh-CN"/>
        </w:rPr>
        <w:t>　国家建立食品安全风险监测制度，对食源性疾病、食品污染以及食品中的有害因素进行监测。</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国务院卫生行政部门会同国务院食品安全监督管理等部门，制定、实施国家食品安全风险监测计划。</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食品安全监督管理部门和其他有关部门获知有关食品安全风险信息后，应当立即核实并向国务院卫生行政部门通报。对有关部门通报的食品安全风险信息以及医疗机构报告的食源性疾病等有关疾病信息，国务院卫生行政部门应当会同国务院有关部门分析研究，认为必要的，及时调整国家食品安全风险监测计划。</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省、自治区、直辖市人民政府卫生行政部门会同同级食品安全监督管理等部门，根据国家食品安全风险监测计划，结合本行政区域的具体情况，制定、调整本行政区域的食品安全风险监测方案，报国务院卫生行政部门备案并实施。</w:t>
      </w:r>
      <w:r>
        <w:rPr>
          <w:rFonts w:hint="eastAsia" w:ascii="宋体" w:hAnsi="宋体" w:cs="仿宋_GB2312"/>
          <w:sz w:val="32"/>
          <w:szCs w:val="32"/>
          <w:lang w:val="en-US" w:eastAsia="zh-CN"/>
        </w:rPr>
        <w:br w:type="textWrapping"/>
      </w:r>
      <w:bookmarkStart w:id="28" w:name="1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第十五条</w:t>
      </w:r>
      <w:bookmarkEnd w:id="28"/>
      <w:r>
        <w:rPr>
          <w:rFonts w:hint="eastAsia" w:ascii="宋体" w:hAnsi="宋体" w:cs="仿宋_GB2312"/>
          <w:sz w:val="32"/>
          <w:szCs w:val="32"/>
          <w:lang w:val="en-US" w:eastAsia="zh-CN"/>
        </w:rPr>
        <w:t>　承担食品安全风险监测工作的技术机构应当根据食品安全风险监测计划和监测方案开展监测工作，保证监测数据真实、准确，并按照食品安全风险监测计划和监测方案的要求报送监测数据和分析结果。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食品安全风险监测工作人员有权进入相关食用农产品种植养殖、食品生产经营场所采集样品、收集相关数据。采集样品应当按照市场价格支付费用。</w:t>
      </w:r>
      <w:r>
        <w:rPr>
          <w:rFonts w:hint="eastAsia" w:ascii="宋体" w:hAnsi="宋体" w:cs="仿宋_GB2312"/>
          <w:sz w:val="32"/>
          <w:szCs w:val="32"/>
          <w:lang w:val="en-US" w:eastAsia="zh-CN"/>
        </w:rPr>
        <w:br w:type="textWrapping"/>
      </w:r>
      <w:bookmarkStart w:id="29" w:name="1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第十六条</w:t>
      </w:r>
      <w:bookmarkEnd w:id="29"/>
      <w:r>
        <w:rPr>
          <w:rFonts w:hint="eastAsia" w:ascii="宋体" w:hAnsi="宋体" w:cs="仿宋_GB2312"/>
          <w:sz w:val="32"/>
          <w:szCs w:val="32"/>
          <w:lang w:val="en-US" w:eastAsia="zh-CN"/>
        </w:rPr>
        <w:t>　食品安全风险监测结果表明可能存在食品安全隐患的，县级以上人民政府卫生行政部门应当及时将相关信息通报同级食品安全监督管理等部门，并报告本级人民政府和上级人民政府卫生行政部门。食品安全监督管理等部门应当组织开展进一步调查。</w:t>
      </w:r>
      <w:r>
        <w:rPr>
          <w:rFonts w:hint="eastAsia" w:ascii="宋体" w:hAnsi="宋体" w:cs="仿宋_GB2312"/>
          <w:sz w:val="32"/>
          <w:szCs w:val="32"/>
          <w:lang w:val="en-US" w:eastAsia="zh-CN"/>
        </w:rPr>
        <w:br w:type="textWrapping"/>
      </w:r>
      <w:bookmarkStart w:id="30" w:name="1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第十七条</w:t>
      </w:r>
      <w:bookmarkEnd w:id="30"/>
      <w:r>
        <w:rPr>
          <w:rFonts w:hint="eastAsia" w:ascii="宋体" w:hAnsi="宋体" w:cs="仿宋_GB2312"/>
          <w:sz w:val="32"/>
          <w:szCs w:val="32"/>
          <w:lang w:val="en-US" w:eastAsia="zh-CN"/>
        </w:rPr>
        <w:t>　国家建立食品安全风险评估制度，运用科学方法，根据食品安全风险监测信息、科学数据以及有关信息，对食品、食品添加剂、食品相关产品中生物性、化学性和物理性危害因素进行风险评估。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卫生行政部门负责组织食品安全风险评估工作，成立由医学、农业、食品、营养、生物、环境等方面的专家组成的食品安全风险评估专家委员会进行食品安全风险评估。食品安全风险评估结果由国务院卫生行政部门公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对农药、肥料、兽药、饲料和饲料添加剂等的安全性评估，应当有食品安全风险评估专家委员会的专家参加。</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食品安全风险评估不得向生产经营者收取费用，采集样品应当按照市场价格支付费用。</w:t>
      </w:r>
      <w:r>
        <w:rPr>
          <w:rFonts w:hint="eastAsia" w:ascii="宋体" w:hAnsi="宋体" w:cs="仿宋_GB2312"/>
          <w:sz w:val="32"/>
          <w:szCs w:val="32"/>
          <w:lang w:val="en-US" w:eastAsia="zh-CN"/>
        </w:rPr>
        <w:br w:type="textWrapping"/>
      </w:r>
      <w:bookmarkStart w:id="31" w:name="1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第十八条</w:t>
      </w:r>
      <w:bookmarkEnd w:id="31"/>
      <w:r>
        <w:rPr>
          <w:rFonts w:hint="eastAsia" w:ascii="宋体" w:hAnsi="宋体" w:cs="仿宋_GB2312"/>
          <w:sz w:val="32"/>
          <w:szCs w:val="32"/>
          <w:lang w:val="en-US" w:eastAsia="zh-CN"/>
        </w:rPr>
        <w:t>　有下列情形之一的，应当进行食品安全风险评估：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（一）通过食品安全风险监测或者接到举报发现食品、食品添加剂、食品相关产品可能存在安全隐患的；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（二）为制定或者修订食品安全国家标准提供科学依据需要进行风险评估的；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（三）为确定监督管理的重点领域、重点品种需要进行风险评估的；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（四）发现新的可能危害食品安全因素的；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（五）需要判断某一因素是否构成食品安全隐患的；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（六）国务院卫生行政部门认为需要进行风险评估的其他情形。</w:t>
      </w:r>
      <w:r>
        <w:rPr>
          <w:rFonts w:hint="eastAsia" w:ascii="宋体" w:hAnsi="宋体" w:cs="仿宋_GB2312"/>
          <w:sz w:val="32"/>
          <w:szCs w:val="32"/>
          <w:lang w:val="en-US" w:eastAsia="zh-CN"/>
        </w:rPr>
        <w:br w:type="textWrapping"/>
      </w:r>
      <w:bookmarkStart w:id="32" w:name="1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第十九条</w:t>
      </w:r>
      <w:bookmarkEnd w:id="32"/>
      <w:r>
        <w:rPr>
          <w:rFonts w:hint="eastAsia" w:ascii="宋体" w:hAnsi="宋体" w:cs="仿宋_GB2312"/>
          <w:sz w:val="32"/>
          <w:szCs w:val="32"/>
          <w:lang w:val="en-US" w:eastAsia="zh-CN"/>
        </w:rPr>
        <w:t>　国务院食品安全监督管理、农业行政等部门在监督管理工作中发现需要进行食品安全风险评估的，应当向国务院卫生行政部门提出食品安全风险评估的建议，并提供风险来源、相关检验数据和结论等信息、资料。属于本法第十八条规定情形的，国务院卫生行政部门应当及时进行食品安全风险评估，并向国务院有关部门通报评估结果。</w:t>
      </w:r>
      <w:r>
        <w:rPr>
          <w:rFonts w:hint="eastAsia" w:ascii="宋体" w:hAnsi="宋体" w:cs="仿宋_GB2312"/>
          <w:sz w:val="32"/>
          <w:szCs w:val="32"/>
          <w:lang w:val="en-US" w:eastAsia="zh-CN"/>
        </w:rPr>
        <w:br w:type="textWrapping"/>
      </w:r>
      <w:bookmarkStart w:id="33" w:name="2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第二十条</w:t>
      </w:r>
      <w:bookmarkEnd w:id="3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省级以上人民政府卫生行政、农业行政部门应当及时相互通报食品、食用农产品安全风险监测信息。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国务院卫生行政、农业行政部门应当及时相互通报食品、食用农产品安全风险评估结果等信息。</w:t>
      </w:r>
      <w:r>
        <w:rPr>
          <w:rFonts w:hint="eastAsia" w:ascii="宋体" w:hAnsi="宋体" w:cs="仿宋_GB2312"/>
          <w:sz w:val="32"/>
          <w:szCs w:val="32"/>
          <w:lang w:val="en-US" w:eastAsia="zh-CN"/>
        </w:rPr>
        <w:br w:type="textWrapping"/>
      </w:r>
      <w:bookmarkStart w:id="34" w:name="2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第二十一条</w:t>
      </w:r>
      <w:bookmarkEnd w:id="34"/>
      <w:r>
        <w:rPr>
          <w:rFonts w:hint="eastAsia" w:ascii="宋体" w:hAnsi="宋体" w:cs="仿宋_GB2312"/>
          <w:sz w:val="32"/>
          <w:szCs w:val="32"/>
          <w:lang w:val="en-US" w:eastAsia="zh-CN"/>
        </w:rPr>
        <w:t>　食品安全风险评估结果是制定、修订食品安全标准和实施食品安全监督管理的科学依据。</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经食品安全风险评估，得出食品、食品添加剂、食品相关产品不安全结论的，国务院食品安全监督管理等部门应当依据各自职责立即向社会公告，告知消费者停止食用或者使用，并采取相应措施，确保该食品、食品添加剂、食品相关产品停止生产经营；需要制定、修订相关食品安全国家标准的，国务院卫生行政部门应当会同国务院食品安全监督管理部门立即制定、修订。</w:t>
      </w:r>
      <w:r>
        <w:rPr>
          <w:rFonts w:hint="eastAsia" w:ascii="宋体" w:hAnsi="宋体" w:cs="仿宋_GB2312"/>
          <w:sz w:val="32"/>
          <w:szCs w:val="32"/>
          <w:lang w:val="en-US" w:eastAsia="zh-CN"/>
        </w:rPr>
        <w:br w:type="textWrapping"/>
      </w:r>
      <w:bookmarkStart w:id="35" w:name="2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第二十二条</w:t>
      </w:r>
      <w:bookmarkEnd w:id="35"/>
      <w:r>
        <w:rPr>
          <w:rFonts w:hint="eastAsia" w:ascii="宋体" w:hAnsi="宋体" w:cs="仿宋_GB2312"/>
          <w:sz w:val="32"/>
          <w:szCs w:val="32"/>
          <w:lang w:val="en-US" w:eastAsia="zh-CN"/>
        </w:rPr>
        <w:t>　国务院食品安全监督管理部门应当会同国务院有关部门，根据食品安全风险评估结果、食品安全监督管理信息，对食品安全状况进行综合分析。对经综合分析表明可能具有较高程度安全风险的食品，国务院食品安全监督管理部门应当及时提出食品安全风险警示，并向社会公布。</w:t>
      </w:r>
      <w:r>
        <w:rPr>
          <w:rFonts w:hint="eastAsia" w:ascii="宋体" w:hAnsi="宋体" w:cs="仿宋_GB2312"/>
          <w:sz w:val="32"/>
          <w:szCs w:val="32"/>
          <w:lang w:val="en-US" w:eastAsia="zh-CN"/>
        </w:rPr>
        <w:br w:type="textWrapping"/>
      </w:r>
      <w:bookmarkStart w:id="36" w:name="2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第二十三条</w:t>
      </w:r>
      <w:bookmarkEnd w:id="36"/>
      <w:r>
        <w:rPr>
          <w:rFonts w:hint="eastAsia" w:ascii="宋体" w:hAnsi="宋体" w:cs="仿宋_GB2312"/>
          <w:sz w:val="32"/>
          <w:szCs w:val="32"/>
          <w:lang w:val="en-US" w:eastAsia="zh-CN"/>
        </w:rPr>
        <w:t>　县级以上人民政府食品安全监督管理部门和其他有关部门、食品安全风险评估专家委员会及其技术机构，应当按照科学、客观、及时、公开的原则，组织食品生产经营者、食品检验机构、认证机构、食品行业协会、消费者协会以及新闻媒体等，就食品安全风险评估信息和食品安全监督管理信息进行交流沟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第三章　食品安全标准</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37" w:name="24"/>
      <w:r>
        <w:rPr>
          <w:rFonts w:hint="eastAsia" w:ascii="宋体" w:hAnsi="宋体" w:eastAsia="黑体" w:cs="黑体"/>
          <w:sz w:val="32"/>
          <w:szCs w:val="32"/>
          <w:lang w:val="en-US" w:eastAsia="zh-CN"/>
        </w:rPr>
        <w:t xml:space="preserve">    第二十四条</w:t>
      </w:r>
      <w:bookmarkEnd w:id="37"/>
      <w:r>
        <w:rPr>
          <w:rFonts w:hint="eastAsia" w:ascii="宋体" w:hAnsi="宋体" w:cs="仿宋_GB2312"/>
          <w:sz w:val="32"/>
          <w:szCs w:val="32"/>
          <w:lang w:val="en-US" w:eastAsia="zh-CN"/>
        </w:rPr>
        <w:t>　制定食品安全标准，应当以保障公众身体健康为宗旨，做到科学合理、安全可靠。</w:t>
      </w:r>
      <w:r>
        <w:rPr>
          <w:rFonts w:hint="eastAsia" w:ascii="宋体" w:hAnsi="宋体" w:cs="仿宋_GB2312"/>
          <w:sz w:val="32"/>
          <w:szCs w:val="32"/>
          <w:lang w:val="en-US" w:eastAsia="zh-CN"/>
        </w:rPr>
        <w:br w:type="textWrapping"/>
      </w:r>
      <w:bookmarkStart w:id="38" w:name="2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第二十五条</w:t>
      </w:r>
      <w:bookmarkEnd w:id="3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食品安全标准是强制执行的标准。除食品安全标准外，不得制定其他食品强制性标准。</w:t>
      </w:r>
      <w:r>
        <w:rPr>
          <w:rFonts w:hint="eastAsia" w:ascii="宋体" w:hAnsi="宋体" w:cs="仿宋_GB2312"/>
          <w:sz w:val="32"/>
          <w:szCs w:val="32"/>
          <w:lang w:val="en-US" w:eastAsia="zh-CN"/>
        </w:rPr>
        <w:br w:type="textWrapping"/>
      </w:r>
      <w:bookmarkStart w:id="39" w:name="2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第二十六条</w:t>
      </w:r>
      <w:bookmarkEnd w:id="39"/>
      <w:r>
        <w:rPr>
          <w:rFonts w:hint="eastAsia" w:ascii="宋体" w:hAnsi="宋体" w:cs="仿宋_GB2312"/>
          <w:sz w:val="32"/>
          <w:szCs w:val="32"/>
          <w:lang w:val="en-US" w:eastAsia="zh-CN"/>
        </w:rPr>
        <w:t>　食品安全标准应当包括下列内容：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（一）食品、食品添加剂、食品相关产品中的致病性微生物，农药残留、兽药残留、生物毒素、重金属等污染物质以及其他危害人体健康物质的限量规定；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（二）食品添加剂的品种、使用范围、用量；</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（三）专供婴幼儿和其他特定人群的主辅食品的营养成分要求；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（四）对与卫生、营养等食品安全要求有关的标签、标志、说明书的要求；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（五）食品生产经营过程的卫生要求；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（六）与食品安全有关的质量要求；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（七）与食品安全有关的食品检验方法与规程；</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（八）其他需要制定为食品安全标准的内容。</w:t>
      </w:r>
      <w:r>
        <w:rPr>
          <w:rFonts w:hint="eastAsia" w:ascii="宋体" w:hAnsi="宋体" w:cs="仿宋_GB2312"/>
          <w:sz w:val="32"/>
          <w:szCs w:val="32"/>
          <w:lang w:val="en-US" w:eastAsia="zh-CN"/>
        </w:rPr>
        <w:br w:type="textWrapping"/>
      </w:r>
      <w:bookmarkStart w:id="40" w:name="2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第二十七条</w:t>
      </w:r>
      <w:bookmarkEnd w:id="40"/>
      <w:r>
        <w:rPr>
          <w:rFonts w:hint="eastAsia" w:ascii="宋体" w:hAnsi="宋体" w:cs="仿宋_GB2312"/>
          <w:sz w:val="32"/>
          <w:szCs w:val="32"/>
          <w:lang w:val="en-US" w:eastAsia="zh-CN"/>
        </w:rPr>
        <w:t>　食品安全国家标准由国务院卫生行政部门会同国务院食品安全监督管理部门制定、公布，国务院标准化行政部门提供国家标准编号。</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食品中农药残留、兽药残留的限量规定及其检验方法与规程由国务院卫生行政部门、国务院农业行政部门会同国务院食品安全监督管理部门制定。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屠宰畜、禽的检验规程由国务院农业行政部门会同国务院卫生行政部门制定。</w:t>
      </w:r>
      <w:r>
        <w:rPr>
          <w:rFonts w:hint="eastAsia" w:ascii="宋体" w:hAnsi="宋体" w:cs="仿宋_GB2312"/>
          <w:sz w:val="32"/>
          <w:szCs w:val="32"/>
          <w:lang w:val="en-US" w:eastAsia="zh-CN"/>
        </w:rPr>
        <w:br w:type="textWrapping"/>
      </w:r>
      <w:bookmarkStart w:id="41" w:name="2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第二十八条</w:t>
      </w:r>
      <w:bookmarkEnd w:id="41"/>
      <w:r>
        <w:rPr>
          <w:rFonts w:hint="eastAsia" w:ascii="宋体" w:hAnsi="宋体" w:cs="仿宋_GB2312"/>
          <w:sz w:val="32"/>
          <w:szCs w:val="32"/>
          <w:lang w:val="en-US" w:eastAsia="zh-CN"/>
        </w:rPr>
        <w:t>　制定食品安全国家标准，应当依据食品安全风险评估结果并充分考虑食用农产品安全风险评估结果，参照相关的国际标准和国际食品安全风险评估结果，并将食品安全国家标准草案向社会公布，广泛听取食品生产经营者、消费者、有关部门等方面的意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国家标准应当经国务院卫生行政部门组织的食品安全国家标准审评委员会审查通过。食品安全国家标准审评委员会由医学、农业、食品、营养、生物、环境等方面的专家以及国务院有关部门、食品行业协会、消费者协会的代表组成，对食品安全国家标准草案的科学性和实用性等进行审查。</w:t>
      </w:r>
      <w:r>
        <w:rPr>
          <w:rFonts w:hint="eastAsia" w:ascii="宋体" w:hAnsi="宋体" w:cs="仿宋_GB2312"/>
          <w:sz w:val="32"/>
          <w:szCs w:val="32"/>
          <w:lang w:val="en-US" w:eastAsia="zh-CN"/>
        </w:rPr>
        <w:br w:type="textWrapping"/>
      </w:r>
      <w:bookmarkStart w:id="42" w:name="2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第二十九条</w:t>
      </w:r>
      <w:bookmarkEnd w:id="42"/>
      <w:r>
        <w:rPr>
          <w:rFonts w:hint="eastAsia" w:ascii="宋体" w:hAnsi="宋体" w:cs="仿宋_GB2312"/>
          <w:sz w:val="32"/>
          <w:szCs w:val="32"/>
          <w:lang w:val="en-US" w:eastAsia="zh-CN"/>
        </w:rPr>
        <w:t>　对地方特色食品，没有食品安全国家标准的，省、自治区、直辖市人民政府卫生行政部门可以制定并公布食品安全地方标准，报国务院卫生行政部门备案。食品安全国家标准制定后，该地方标准即行废止。</w:t>
      </w:r>
      <w:r>
        <w:rPr>
          <w:rFonts w:hint="eastAsia" w:ascii="宋体" w:hAnsi="宋体" w:cs="仿宋_GB2312"/>
          <w:sz w:val="32"/>
          <w:szCs w:val="32"/>
          <w:lang w:val="en-US" w:eastAsia="zh-CN"/>
        </w:rPr>
        <w:br w:type="textWrapping"/>
      </w:r>
      <w:bookmarkStart w:id="43" w:name="3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第三十条</w:t>
      </w:r>
      <w:bookmarkEnd w:id="43"/>
      <w:r>
        <w:rPr>
          <w:rFonts w:hint="eastAsia" w:ascii="宋体" w:hAnsi="宋体" w:cs="仿宋_GB2312"/>
          <w:sz w:val="32"/>
          <w:szCs w:val="32"/>
          <w:lang w:val="en-US" w:eastAsia="zh-CN"/>
        </w:rPr>
        <w:t>　国家鼓励食品生产企业制定严于食品安全国家标准或者地方标准的企业标准，在本企业适用，并报省、自治区、直辖市人民政府卫生行政部门备案。</w:t>
      </w:r>
      <w:r>
        <w:rPr>
          <w:rFonts w:hint="eastAsia" w:ascii="宋体" w:hAnsi="宋体" w:cs="仿宋_GB2312"/>
          <w:sz w:val="32"/>
          <w:szCs w:val="32"/>
          <w:lang w:val="en-US" w:eastAsia="zh-CN"/>
        </w:rPr>
        <w:br w:type="textWrapping"/>
      </w:r>
      <w:bookmarkStart w:id="44" w:name="3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第三十一条</w:t>
      </w:r>
      <w:bookmarkEnd w:id="4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省级以上人民政府卫生行政部门应当在其网站上公布制定和备案的食品安全国家标准、地方标准和企业标准，供公众免费查阅、下载。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对食品安全标准执行过程中的问题，县级以上人民政府卫生行政部门应当会同有关部门及时给予指导、解答。</w:t>
      </w:r>
      <w:r>
        <w:rPr>
          <w:rFonts w:hint="eastAsia" w:ascii="宋体" w:hAnsi="宋体" w:cs="仿宋_GB2312"/>
          <w:sz w:val="32"/>
          <w:szCs w:val="32"/>
          <w:lang w:val="en-US" w:eastAsia="zh-CN"/>
        </w:rPr>
        <w:br w:type="textWrapping"/>
      </w:r>
      <w:bookmarkStart w:id="45" w:name="3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第三十二条</w:t>
      </w:r>
      <w:bookmarkEnd w:id="45"/>
      <w:r>
        <w:rPr>
          <w:rFonts w:hint="eastAsia" w:ascii="宋体" w:hAnsi="宋体" w:cs="仿宋_GB2312"/>
          <w:sz w:val="32"/>
          <w:szCs w:val="32"/>
          <w:lang w:val="en-US" w:eastAsia="zh-CN"/>
        </w:rPr>
        <w:t>　省级以上人民政府卫生行政部门应当会同同级食品安全监督管理、农业行政等部门，分别对食品安全国家标准和地方标准的执行情况进行跟踪评价，并根据评价结果及时修订食品安全标准。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省级以上人民政府食品安全监督管理、农业行政等部门应当对食品安全标准执行中存在的问题进行收集、汇总，并及时向同级卫生行政部门通报。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食品生产经营者、食品行业协会发现食品安全标准在执行中存在问题的，应当立即向卫生行政部门报告。</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第四章　食品生产经营</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第一节　一般规定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46" w:name="33"/>
      <w:r>
        <w:rPr>
          <w:rFonts w:hint="eastAsia" w:ascii="宋体" w:hAnsi="宋体" w:eastAsia="黑体" w:cs="黑体"/>
          <w:sz w:val="32"/>
          <w:szCs w:val="32"/>
          <w:lang w:val="en-US" w:eastAsia="zh-CN"/>
        </w:rPr>
        <w:t xml:space="preserve">    第三十三条</w:t>
      </w:r>
      <w:bookmarkEnd w:id="46"/>
      <w:r>
        <w:rPr>
          <w:rFonts w:hint="eastAsia" w:ascii="宋体" w:hAnsi="宋体" w:cs="仿宋_GB2312"/>
          <w:sz w:val="32"/>
          <w:szCs w:val="32"/>
          <w:lang w:val="en-US" w:eastAsia="zh-CN"/>
        </w:rPr>
        <w:t>　食品生产经营应当符合食品安全标准，并符合下列要求：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（一）具有与生产经营的食品品种、数量相适应的食品原料处理和食品加工、包装、贮存等场所，保持该场所环境整洁，并与有毒、有害场所以及其他污染源保持规定的距离；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具有与生产经营的食品品种、数量相适应的生产经营设备或者设施，有相应的消毒、更衣、盥洗、采光、照明、通风、防腐、防尘、防蝇、防鼠、防虫、洗涤以及处理废水、存放垃圾和废弃物的设备或者设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（三）有专职或者兼职的食品安全专业技术人员、食品安全管理人员和保证食品安全的规章制度；</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（四）具有合理的设备布局和工艺流程，防止待加工食品与直接入口食品、原料与成品交叉污染，避免食品接触有毒物、不洁物；</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（五）餐具、饮具和盛放直接入口食品的容器，使用前应当洗净、消毒，炊具、用具用后应当洗净，保持清洁；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（六）贮存、运输和装卸食品的容器、工具和设备应当安全、无害，保持清洁，防止食品污染，并符合保证食品安全所需的温度、湿度等特殊要求，不得将食品与有毒、有害物品一同贮存、运输；</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（七）直接入口的食品应当使用无毒、清洁的包装材料、餐具、饮具和容器；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（八）食品生产经营人员应当保持个人卫生，生产经营食品时，应当将手洗净，穿戴清洁的工作衣、帽等；销售无包装的直接入口食品时，应当使用无毒、清洁的容器、售货工具和设备；</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（九）用水应当符合国家规定的生活饮用水卫生标准；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（十）使用的洗涤剂、消毒剂应当对人体安全、无害；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（十一）法律、法规规定的其他要求。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非食品生产经营者从事食品贮存、运输和装卸的，应当符合前款第六项的规定。</w:t>
      </w:r>
      <w:r>
        <w:rPr>
          <w:rFonts w:hint="eastAsia" w:ascii="宋体" w:hAnsi="宋体" w:cs="仿宋_GB2312"/>
          <w:sz w:val="32"/>
          <w:szCs w:val="32"/>
          <w:lang w:val="en-US" w:eastAsia="zh-CN"/>
        </w:rPr>
        <w:br w:type="textWrapping"/>
      </w:r>
      <w:bookmarkStart w:id="47" w:name="3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第三十四条</w:t>
      </w:r>
      <w:bookmarkEnd w:id="47"/>
      <w:r>
        <w:rPr>
          <w:rFonts w:hint="eastAsia" w:ascii="宋体" w:hAnsi="宋体" w:cs="仿宋_GB2312"/>
          <w:sz w:val="32"/>
          <w:szCs w:val="32"/>
          <w:lang w:val="en-US" w:eastAsia="zh-CN"/>
        </w:rPr>
        <w:t>　禁止生产经营下列食品、食品添加剂、食品相关产品：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（一）用非食品原料生产的食品或者添加食品添加剂以外的化学物质和其他可能危害人体健康物质的食品，或者用回收食品作为原料生产的食品；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（二）致病性微生物，农药残留、兽药残留、生物毒素、重金属等污染物质以及其他危害人体健康的物质含量超过食品安全标准限量的食品、食品添加剂、食品相关产品；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（三）用超过保质期的食品原料、食品添加剂生产的食品、食品添加剂；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（四）超范围、超限量使用食品添加剂的食品；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（五）营养成分不符合食品安全标准的专供婴幼儿和其他特定人群的主辅食品；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（六）腐败变质、油脂酸败、霉变生虫、污秽不洁、混有异物、掺假掺杂或者感官性状异常的食品、食品添加剂；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（七）病死、毒死或者死因不明的禽、畜、兽、水产动物肉类及其制品；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（八）未按规定进行检疫或者检疫不合格的肉类，或者未经检验或者检验不合格的肉类制品；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（九）被包装材料、容器、运输工具等污染的食品、食品添加剂；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（十）标注虚假生产日期、保质期或者超过保质期的食品、食品添加剂；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（十一）无标签的预包装食品、食品添加剂；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（十二）国家为防病等特殊需要明令禁止生产经营的食品；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（十三）其他不符合法律、法规或者食品安全标准的食品、食品添加剂、食品相关产品。</w:t>
      </w:r>
      <w:r>
        <w:rPr>
          <w:rFonts w:hint="eastAsia" w:ascii="宋体" w:hAnsi="宋体" w:cs="仿宋_GB2312"/>
          <w:sz w:val="32"/>
          <w:szCs w:val="32"/>
          <w:lang w:val="en-US" w:eastAsia="zh-CN"/>
        </w:rPr>
        <w:br w:type="textWrapping"/>
      </w:r>
      <w:bookmarkStart w:id="48" w:name="3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第三十五条</w:t>
      </w:r>
      <w:bookmarkEnd w:id="48"/>
      <w:r>
        <w:rPr>
          <w:rFonts w:hint="eastAsia" w:ascii="宋体" w:hAnsi="宋体" w:cs="仿宋_GB2312"/>
          <w:sz w:val="32"/>
          <w:szCs w:val="32"/>
          <w:lang w:val="en-US" w:eastAsia="zh-CN"/>
        </w:rPr>
        <w:t>　国家对食品生产经营实行许可制度。从事食品生产、食品销售、餐饮服务，应当依法取得许可。但是，销售食用农产品，不需要取得许可。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县级以上地方人民政府食品安全监督管理部门应当依照《</w:t>
      </w:r>
      <w:r>
        <w:rPr>
          <w:rFonts w:hint="eastAsia" w:ascii="宋体" w:hAnsi="宋体" w:cs="仿宋_GB2312"/>
          <w:sz w:val="32"/>
          <w:szCs w:val="32"/>
          <w:lang w:val="en-US" w:eastAsia="zh-CN"/>
        </w:rPr>
        <w:fldChar w:fldCharType="begin"/>
      </w:r>
      <w:r>
        <w:rPr>
          <w:rFonts w:hint="eastAsia" w:ascii="宋体" w:hAnsi="宋体" w:cs="仿宋_GB2312"/>
          <w:sz w:val="32"/>
          <w:szCs w:val="32"/>
          <w:lang w:val="en-US" w:eastAsia="zh-CN"/>
        </w:rPr>
        <w:instrText xml:space="preserve"> HYPERLINK "http://172.17.252.5/FullText/fulltext_form.aspx?db=chl&amp;gid=328289&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6aOf5ZOB5a6J5YWo5rOVJScpIAYFAAAADS3lj5HluIPml6XmnJ8GBgAAAA/po5/lk4Hlronlhajms5UAAAsBAAD//javascript:SLC(49280,0)" </w:instrText>
      </w:r>
      <w:r>
        <w:rPr>
          <w:rFonts w:hint="eastAsia" w:ascii="宋体" w:hAnsi="宋体" w:cs="仿宋_GB2312"/>
          <w:sz w:val="32"/>
          <w:szCs w:val="32"/>
          <w:lang w:val="en-US" w:eastAsia="zh-CN"/>
        </w:rPr>
        <w:fldChar w:fldCharType="separate"/>
      </w:r>
      <w:r>
        <w:rPr>
          <w:rFonts w:hint="eastAsia" w:ascii="宋体" w:hAnsi="宋体" w:cs="仿宋_GB2312"/>
          <w:sz w:val="32"/>
          <w:szCs w:val="32"/>
          <w:lang w:eastAsia="zh-CN"/>
        </w:rPr>
        <w:t>中华人民共和国行政许可法</w:t>
      </w:r>
      <w:r>
        <w:rPr>
          <w:rFonts w:hint="eastAsia" w:ascii="宋体" w:hAnsi="宋体" w:cs="仿宋_GB2312"/>
          <w:sz w:val="32"/>
          <w:szCs w:val="32"/>
          <w:lang w:val="en-US" w:eastAsia="zh-CN"/>
        </w:rPr>
        <w:fldChar w:fldCharType="end"/>
      </w:r>
      <w:r>
        <w:rPr>
          <w:rFonts w:hint="eastAsia" w:ascii="宋体" w:hAnsi="宋体" w:cs="仿宋_GB2312"/>
          <w:sz w:val="32"/>
          <w:szCs w:val="32"/>
          <w:lang w:val="en-US" w:eastAsia="zh-CN"/>
        </w:rPr>
        <w:t>》的规定，审核申请人提交的本法第三十三条第一款第一项至第四项规定要求的相关资料，必要时对申请人的生产经营场所进行现场核查；对符合规定条件的，准予许可；对不符合规定条件的，不予许可并书面说明理由。</w:t>
      </w:r>
      <w:r>
        <w:rPr>
          <w:rFonts w:hint="eastAsia" w:ascii="宋体" w:hAnsi="宋体" w:cs="仿宋_GB2312"/>
          <w:sz w:val="32"/>
          <w:szCs w:val="32"/>
          <w:lang w:val="en-US" w:eastAsia="zh-CN"/>
        </w:rPr>
        <w:br w:type="textWrapping"/>
      </w:r>
      <w:bookmarkStart w:id="49" w:name="3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第三十六条</w:t>
      </w:r>
      <w:bookmarkEnd w:id="49"/>
      <w:r>
        <w:rPr>
          <w:rFonts w:hint="eastAsia" w:ascii="宋体" w:hAnsi="宋体" w:cs="仿宋_GB2312"/>
          <w:sz w:val="32"/>
          <w:szCs w:val="32"/>
          <w:lang w:val="en-US" w:eastAsia="zh-CN"/>
        </w:rPr>
        <w:t>　食品生产加工小作坊和食品摊贩等从事食品生产经营活动，应当符合本法规定的与其生产经营规模、条件相适应的食品安全要求，保证所生产经营的食品卫生、无毒、无害，食品安全监督管理部门应当对其加强监督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应当对食品生产加工小作坊、食品摊贩等进行综合治理，加强服务和统一规划，改善其生产经营环境，鼓励和支持其改进生产经营条件，进入集中交易市场、店铺等固定场所经营，或者在指定的临时经营区域、时段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食品生产加工小作坊和食品摊贩等的具体管理办法由省、自治区、直辖市制定。</w:t>
      </w:r>
      <w:r>
        <w:rPr>
          <w:rFonts w:hint="eastAsia" w:ascii="宋体" w:hAnsi="宋体" w:cs="仿宋_GB2312"/>
          <w:sz w:val="32"/>
          <w:szCs w:val="32"/>
          <w:lang w:val="en-US" w:eastAsia="zh-CN"/>
        </w:rPr>
        <w:br w:type="textWrapping"/>
      </w:r>
      <w:bookmarkStart w:id="50" w:name="3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第三十七条</w:t>
      </w:r>
      <w:bookmarkEnd w:id="50"/>
      <w:r>
        <w:rPr>
          <w:rFonts w:hint="eastAsia" w:ascii="宋体" w:hAnsi="宋体" w:cs="仿宋_GB2312"/>
          <w:sz w:val="32"/>
          <w:szCs w:val="32"/>
          <w:lang w:val="en-US" w:eastAsia="zh-CN"/>
        </w:rPr>
        <w:t>　利用新的食品原料生产食品，或者生产食品添加剂新品种、食品相关产品新品种，应当向国务院卫生行政部门提交相关产品的安全性评估材料。国务院卫生行政部门应当自收到申请之日起六十日内组织审查；对符合食品安全要求的，准予许可并公布；对不符合食品安全要求的，不予许可并书面说明理由。</w:t>
      </w:r>
      <w:r>
        <w:rPr>
          <w:rFonts w:hint="eastAsia" w:ascii="宋体" w:hAnsi="宋体" w:cs="仿宋_GB2312"/>
          <w:sz w:val="32"/>
          <w:szCs w:val="32"/>
          <w:lang w:val="en-US" w:eastAsia="zh-CN"/>
        </w:rPr>
        <w:br w:type="textWrapping"/>
      </w:r>
      <w:bookmarkStart w:id="51" w:name="3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第三十八条</w:t>
      </w:r>
      <w:bookmarkEnd w:id="51"/>
      <w:r>
        <w:rPr>
          <w:rFonts w:hint="eastAsia" w:ascii="宋体" w:hAnsi="宋体" w:cs="仿宋_GB2312"/>
          <w:sz w:val="32"/>
          <w:szCs w:val="32"/>
          <w:lang w:val="en-US" w:eastAsia="zh-CN"/>
        </w:rPr>
        <w:t>　生产经营的食品中不得添加药品，但是可以添加按照传统既是食品又是中药材的物质。按照传统既是食品又是中药材的物质目录由国务院卫生行政部门会同国务院食品安全监督管理部门制定、公布。</w:t>
      </w:r>
      <w:r>
        <w:rPr>
          <w:rFonts w:hint="eastAsia" w:ascii="宋体" w:hAnsi="宋体" w:cs="仿宋_GB2312"/>
          <w:sz w:val="32"/>
          <w:szCs w:val="32"/>
          <w:lang w:val="en-US" w:eastAsia="zh-CN"/>
        </w:rPr>
        <w:br w:type="textWrapping"/>
      </w:r>
      <w:bookmarkStart w:id="52" w:name="3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第三十九条</w:t>
      </w:r>
      <w:bookmarkEnd w:id="52"/>
      <w:r>
        <w:rPr>
          <w:rFonts w:hint="eastAsia" w:ascii="宋体" w:hAnsi="宋体" w:cs="仿宋_GB2312"/>
          <w:sz w:val="32"/>
          <w:szCs w:val="32"/>
          <w:lang w:val="en-US" w:eastAsia="zh-CN"/>
        </w:rPr>
        <w:t>　国家对食品添加剂生产实行许可制度。从事食品添加剂生产，应当具有与所生产食品添加剂品种相适应的场所、生产设备或者设施、专业技术人员和管理制度，并依照本法第三十五条第二款规定的程序，取得食品添加剂生产许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生产食品添加剂应当符合法律、法规和食品安全国家标准。</w:t>
      </w:r>
      <w:r>
        <w:rPr>
          <w:rFonts w:hint="eastAsia" w:ascii="宋体" w:hAnsi="宋体" w:cs="仿宋_GB2312"/>
          <w:sz w:val="32"/>
          <w:szCs w:val="32"/>
          <w:lang w:val="en-US" w:eastAsia="zh-CN"/>
        </w:rPr>
        <w:br w:type="textWrapping"/>
      </w:r>
      <w:bookmarkStart w:id="53" w:name="40"/>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第四十条</w:t>
      </w:r>
      <w:bookmarkEnd w:id="5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食品添加剂应当在技术上确有必要且经过风险评估证明安全可靠，方可列入允许使用的范围；有关食品安全国家标准应当根据技术必要性和食品安全风险评估结果及时修订。</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食品生产经营者应当按照食品安全国家标准使用食品添加剂。</w:t>
      </w:r>
      <w:r>
        <w:rPr>
          <w:rFonts w:hint="eastAsia" w:ascii="宋体" w:hAnsi="宋体" w:cs="仿宋_GB2312"/>
          <w:sz w:val="32"/>
          <w:szCs w:val="32"/>
          <w:lang w:val="en-US" w:eastAsia="zh-CN"/>
        </w:rPr>
        <w:br w:type="textWrapping"/>
      </w:r>
      <w:bookmarkStart w:id="54" w:name="4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第四十一条</w:t>
      </w:r>
      <w:bookmarkEnd w:id="5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r>
        <w:rPr>
          <w:rFonts w:hint="eastAsia" w:ascii="宋体" w:hAnsi="宋体" w:cs="仿宋_GB2312"/>
          <w:sz w:val="32"/>
          <w:szCs w:val="32"/>
          <w:lang w:val="en-US" w:eastAsia="zh-CN"/>
        </w:rPr>
        <w:br w:type="textWrapping"/>
      </w:r>
      <w:bookmarkStart w:id="55" w:name="4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第四十二条</w:t>
      </w:r>
      <w:bookmarkEnd w:id="5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国家建立食品安全全程追溯制度。</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食品生产经营者应当依照本法的规定，建立食品安全追溯体系，保证食品可追溯。国家鼓励食品生产经营者采用信息化手段采集、留存生产经营信息，建立食品安全追溯体系。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国务院食品安全监督管理部门会同国务院农业行政等有关部门建立食品安全全程追溯协作机制。</w:t>
      </w:r>
      <w:r>
        <w:rPr>
          <w:rFonts w:hint="eastAsia" w:ascii="宋体" w:hAnsi="宋体" w:cs="仿宋_GB2312"/>
          <w:sz w:val="32"/>
          <w:szCs w:val="32"/>
          <w:lang w:val="en-US" w:eastAsia="zh-CN"/>
        </w:rPr>
        <w:br w:type="textWrapping"/>
      </w:r>
      <w:bookmarkStart w:id="56" w:name="4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第四十三条</w:t>
      </w:r>
      <w:bookmarkEnd w:id="56"/>
      <w:r>
        <w:rPr>
          <w:rFonts w:hint="eastAsia" w:ascii="宋体" w:hAnsi="宋体" w:cs="仿宋_GB2312"/>
          <w:sz w:val="32"/>
          <w:szCs w:val="32"/>
          <w:lang w:val="en-US" w:eastAsia="zh-CN"/>
        </w:rPr>
        <w:t>　地方各级人民政府应当采取措施鼓励食品规模化生产和连锁经营、配送。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国家鼓励食品生产经营企业参加食品安全责任保险。</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第二节　生产经营过程控制</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57" w:name="44"/>
      <w:r>
        <w:rPr>
          <w:rFonts w:hint="eastAsia" w:ascii="宋体" w:hAnsi="宋体" w:eastAsia="黑体" w:cs="黑体"/>
          <w:sz w:val="32"/>
          <w:szCs w:val="32"/>
          <w:lang w:val="en-US" w:eastAsia="zh-CN"/>
        </w:rPr>
        <w:t xml:space="preserve">    第四十四条</w:t>
      </w:r>
      <w:bookmarkEnd w:id="5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食品生产经营企业应当建立健全食品安全管理制度，对职工进行食品安全知识培训，加强食品检验工作，依法从事生产经营活动。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食品生产经营企业的主要负责人应当落实企业食品安全管理制度，对本企业的食品安全工作全面负责。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企业应当配备食品安全管理人员，加强对其培训和考核。经考核不具备食品安全管理能力的，不得上岗。食品安全监督管理部门应当对企业食品安全管理人员随机进行监督抽查考核并公布考核情况。监督抽查考核不得收取费用。</w:t>
      </w:r>
      <w:r>
        <w:rPr>
          <w:rFonts w:hint="eastAsia" w:ascii="宋体" w:hAnsi="宋体" w:cs="仿宋_GB2312"/>
          <w:sz w:val="32"/>
          <w:szCs w:val="32"/>
          <w:lang w:val="en-US" w:eastAsia="zh-CN"/>
        </w:rPr>
        <w:br w:type="textWrapping"/>
      </w:r>
      <w:bookmarkStart w:id="58" w:name="45"/>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第四十五条</w:t>
      </w:r>
      <w:bookmarkEnd w:id="58"/>
      <w:r>
        <w:rPr>
          <w:rFonts w:hint="eastAsia" w:ascii="宋体" w:hAnsi="宋体" w:cs="仿宋_GB2312"/>
          <w:sz w:val="32"/>
          <w:szCs w:val="32"/>
          <w:lang w:val="en-US" w:eastAsia="zh-CN"/>
        </w:rPr>
        <w:t>　食品生产经营者应当建立并执行从业人员健康管理制度。患有国务院卫生行政部门规定的有碍食品安全疾病的人员，不得从事接触直接入口食品的工作。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从事接触直接入口食品工作的食品生产经营人员应当每年进行健康检查，取得健康证明后方可上岗工作。</w:t>
      </w:r>
      <w:r>
        <w:rPr>
          <w:rFonts w:hint="eastAsia" w:ascii="宋体" w:hAnsi="宋体" w:cs="仿宋_GB2312"/>
          <w:sz w:val="32"/>
          <w:szCs w:val="32"/>
          <w:lang w:val="en-US" w:eastAsia="zh-CN"/>
        </w:rPr>
        <w:br w:type="textWrapping"/>
      </w:r>
      <w:bookmarkStart w:id="59" w:name="46"/>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第四十六条</w:t>
      </w:r>
      <w:bookmarkEnd w:id="5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食品生产企业应当就下列事项制定并实施控制要求，保证所生产的食品符合食品安全标准：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（一）原料采购、原料验收、投料等原料控制；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（二）生产工序、设备、贮存、包装等生产关键环节控制；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（三）原料检验、半成品检验、成品出厂检验等检验控制；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（四）运输和交付控制。</w:t>
      </w:r>
      <w:r>
        <w:rPr>
          <w:rFonts w:hint="eastAsia" w:ascii="宋体" w:hAnsi="宋体" w:cs="仿宋_GB2312"/>
          <w:sz w:val="32"/>
          <w:szCs w:val="32"/>
          <w:lang w:val="en-US" w:eastAsia="zh-CN"/>
        </w:rPr>
        <w:br w:type="textWrapping"/>
      </w:r>
      <w:bookmarkStart w:id="60" w:name="4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第四十七条</w:t>
      </w:r>
      <w:bookmarkEnd w:id="6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经营者应当建立食品安全自查制度，定期对食品安全状况进行检查评价。生产经营条件发生变化，不再符合食品安全要求的，食品生产经营者应当立即采取整改措施；有发生食品安全事故潜在风险的，应当立即停止食品生产经营活动，并向所在地县级人民政府食品安全监督管理部门报告。</w:t>
      </w:r>
      <w:r>
        <w:rPr>
          <w:rFonts w:hint="eastAsia" w:ascii="宋体" w:hAnsi="宋体" w:cs="仿宋_GB2312"/>
          <w:sz w:val="32"/>
          <w:szCs w:val="32"/>
          <w:lang w:val="en-US" w:eastAsia="zh-CN"/>
        </w:rPr>
        <w:br w:type="textWrapping"/>
      </w:r>
      <w:bookmarkStart w:id="61" w:name="4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第四十八条</w:t>
      </w:r>
      <w:bookmarkEnd w:id="6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国家鼓励食品生产经营企业符合良好生产规范要求，实施危害分析与关键控制点体系，提高食品安全管理水平。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通过良好生产规范、危害分析与关键控制点体系认证的食品生产经营企业，认证机构应当依法实施跟踪调查；对不再符合认证要求的企业，应当依法撤销认证，及时向县级以上人民政府食品安全监督管理部门通报，并向社会公布。认证机构实施跟踪调查不得收取费用。</w:t>
      </w:r>
      <w:r>
        <w:rPr>
          <w:rFonts w:hint="eastAsia" w:ascii="宋体" w:hAnsi="宋体" w:cs="仿宋_GB2312"/>
          <w:sz w:val="32"/>
          <w:szCs w:val="32"/>
          <w:lang w:val="en-US" w:eastAsia="zh-CN"/>
        </w:rPr>
        <w:br w:type="textWrapping"/>
      </w:r>
      <w:bookmarkStart w:id="62" w:name="4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第四十九条</w:t>
      </w:r>
      <w:bookmarkEnd w:id="62"/>
      <w:r>
        <w:rPr>
          <w:rFonts w:hint="eastAsia" w:ascii="宋体" w:hAnsi="宋体" w:cs="仿宋_GB2312"/>
          <w:sz w:val="32"/>
          <w:szCs w:val="32"/>
          <w:lang w:val="en-US" w:eastAsia="zh-CN"/>
        </w:rPr>
        <w:t>　食用农产品生产者应当按照食品安全标准和国家有关规定使用农药、肥料、兽药、饲料和饲料添加剂等农业投入品，严格执行农业投入品使用安全间隔期或者休药期的规定，不得使用国家明令禁止的农业投入品。禁止将剧毒、高毒农药用于蔬菜、瓜果、茶叶和中草药材等国家规定的农作物。</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食用农产品的生产企业和农民专业合作经济组织应当建立农业投入品使用记录制度。</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县级以上人民政府农业行政部门应当加强对农业投入品使用的监督管理和指导，建立健全农业投入品安全使用制度。</w:t>
      </w:r>
      <w:r>
        <w:rPr>
          <w:rFonts w:hint="eastAsia" w:ascii="宋体" w:hAnsi="宋体" w:cs="仿宋_GB2312"/>
          <w:sz w:val="32"/>
          <w:szCs w:val="32"/>
          <w:lang w:val="en-US" w:eastAsia="zh-CN"/>
        </w:rPr>
        <w:br w:type="textWrapping"/>
      </w:r>
      <w:bookmarkStart w:id="63" w:name="50"/>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第五十条</w:t>
      </w:r>
      <w:bookmarkEnd w:id="6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者采购食品原料、食品添加剂、食品相关产品，应当查验供货者的许可证和产品合格证明；对无法提供合格证明的食品原料，应当按照食品安全标准进行检验；不得采购或者使用不符合食品安全标准的食品原料、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企业应当建立食品原料、食品添加剂、食品相关产品进货查验记录制度，如实记录食品原料、食品添加剂、食品相关产品的名称、规格、数量、生产日期或者生产批号、保质期、进货日期以及供货者名称、地址、联系方式等内容，并保存相关凭证。记录和凭证保存期限不得少于产品保质期满后六个月；没有明确保质期的，保存期限不得少于二年。</w:t>
      </w:r>
      <w:r>
        <w:rPr>
          <w:rFonts w:hint="eastAsia" w:ascii="宋体" w:hAnsi="宋体" w:cs="仿宋_GB2312"/>
          <w:sz w:val="32"/>
          <w:szCs w:val="32"/>
          <w:lang w:val="en-US" w:eastAsia="zh-CN"/>
        </w:rPr>
        <w:br w:type="textWrapping"/>
      </w:r>
      <w:bookmarkStart w:id="64" w:name="51"/>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第五十一条</w:t>
      </w:r>
      <w:bookmarkEnd w:id="6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企业应当建立食品出厂检验记录制度，查验出厂食品的检验合格证和安全状况，如实记录食品的名称、规格、数量、生产日期或者生产批号、保质期、检验合格证号、销售日期以及购货者名称、地址、联系方式等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65" w:name="5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第五十二条</w:t>
      </w:r>
      <w:bookmarkEnd w:id="6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食品、食品添加剂、食品相关产品的生产者，应当按照食品安全标准对所生产的食品、食品添加剂、食品相关产品进行检验，检验合格后方可出厂或者销售。</w:t>
      </w:r>
      <w:r>
        <w:rPr>
          <w:rFonts w:hint="eastAsia" w:ascii="宋体" w:hAnsi="宋体" w:cs="仿宋_GB2312"/>
          <w:sz w:val="32"/>
          <w:szCs w:val="32"/>
          <w:lang w:val="en-US" w:eastAsia="zh-CN"/>
        </w:rPr>
        <w:br w:type="textWrapping"/>
      </w:r>
      <w:bookmarkStart w:id="66" w:name="5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第五十三条</w:t>
      </w:r>
      <w:bookmarkEnd w:id="66"/>
      <w:r>
        <w:rPr>
          <w:rFonts w:hint="eastAsia" w:ascii="宋体" w:hAnsi="宋体" w:cs="仿宋_GB2312"/>
          <w:sz w:val="32"/>
          <w:szCs w:val="32"/>
          <w:lang w:val="en-US" w:eastAsia="zh-CN"/>
        </w:rPr>
        <w:t>　食品经营者采购食品，应当查验供货者的许可证和食品出厂检验合格证或者其他合格证明（以下称合格证明文件）。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经营企业应当建立食品进货查验记录制度，如实记录食品的名称、规格、数量、生产日期或者生产批号、保质期、进货日期以及供货者名称、地址、联系方式等内容，并保存相关凭证。记录和凭证保存期限应当符合本法第五十条第二款的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实行统一配送经营方式的食品经营企业，可以由企业总部统一查验供货者的许可证和食品合格证明文件，进行食品进货查验记录。</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从事食品批发业务的经营企业应当建立食品销售记录制度，如实记录批发食品的名称、规格、数量、生产日期或者生产批号、保质期、销售日期以及购货者名称、地址、联系方式等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67" w:name="5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第五十四条</w:t>
      </w:r>
      <w:bookmarkEnd w:id="6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食品经营者应当按照保证食品安全的要求贮存食品，定期检查库存食品，及时清理变质或者超过保质期的食品。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食品经营者贮存散装食品，应当在贮存位置标明食品的名称、生产日期或者生产批号、保质期、生产者名称及联系方式等内容。</w:t>
      </w:r>
      <w:r>
        <w:rPr>
          <w:rFonts w:hint="eastAsia" w:ascii="宋体" w:hAnsi="宋体" w:cs="仿宋_GB2312"/>
          <w:sz w:val="32"/>
          <w:szCs w:val="32"/>
          <w:lang w:val="en-US" w:eastAsia="zh-CN"/>
        </w:rPr>
        <w:br w:type="textWrapping"/>
      </w:r>
      <w:bookmarkStart w:id="68" w:name="5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第五十五条</w:t>
      </w:r>
      <w:bookmarkEnd w:id="6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餐饮服务提供者应当制定并实施原料控制要求，不得采购不符合食品安全标准的食品原料。倡导餐饮服务提供者公开加工过程，公示食品原料及其来源等信息。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餐饮服务提供者在加工过程中应当检查待加工的食品及原料，发现有本法第三十四条第六项规定情形的，不得加工或者使用。</w:t>
      </w:r>
      <w:r>
        <w:rPr>
          <w:rFonts w:hint="eastAsia" w:ascii="宋体" w:hAnsi="宋体" w:cs="仿宋_GB2312"/>
          <w:sz w:val="32"/>
          <w:szCs w:val="32"/>
          <w:lang w:val="en-US" w:eastAsia="zh-CN"/>
        </w:rPr>
        <w:br w:type="textWrapping"/>
      </w:r>
      <w:bookmarkStart w:id="69" w:name="5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第五十六条</w:t>
      </w:r>
      <w:bookmarkEnd w:id="69"/>
      <w:r>
        <w:rPr>
          <w:rFonts w:hint="eastAsia" w:ascii="宋体" w:hAnsi="宋体" w:cs="仿宋_GB2312"/>
          <w:sz w:val="32"/>
          <w:szCs w:val="32"/>
          <w:lang w:val="en-US" w:eastAsia="zh-CN"/>
        </w:rPr>
        <w:t>　餐饮服务提供者应当定期维护食品加工、贮存、陈列等设施、设备；定期清洗、校验保温设施及冷藏、冷冻设施。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餐饮服务提供者应当按照要求对餐具、饮具进行清洗消毒，不得使用未经清洗消毒的餐具、饮具；餐饮服务提供者委托清洗消毒餐具、饮具的，应当委托符合本法规定条件的餐具、饮具集中消毒服务单位。</w:t>
      </w:r>
      <w:r>
        <w:rPr>
          <w:rFonts w:hint="eastAsia" w:ascii="宋体" w:hAnsi="宋体" w:cs="仿宋_GB2312"/>
          <w:sz w:val="32"/>
          <w:szCs w:val="32"/>
          <w:lang w:val="en-US" w:eastAsia="zh-CN"/>
        </w:rPr>
        <w:br w:type="textWrapping"/>
      </w:r>
      <w:bookmarkStart w:id="70" w:name="5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第五十七条</w:t>
      </w:r>
      <w:bookmarkEnd w:id="7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学校、托幼机构、养老机构、建筑工地等集中用餐单位的食堂应当严格遵守法律、法规和食品安全标准；从供餐单位订餐的，应当从取得食品生产经营许可的企业订购，并按照要求对订购的食品进行查验。供餐单位应当严格遵守法律、法规和食品安全标准，当餐加工，确保食品安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学校、托幼机构、养老机构、建筑工地等集中用餐单位的主管部门应当加强对集中用餐单位的食品安全教育和日常管理，降低食品安全风险，及时消除食品安全隐患。</w:t>
      </w:r>
      <w:r>
        <w:rPr>
          <w:rFonts w:hint="eastAsia" w:ascii="宋体" w:hAnsi="宋体" w:cs="仿宋_GB2312"/>
          <w:sz w:val="32"/>
          <w:szCs w:val="32"/>
          <w:lang w:val="en-US" w:eastAsia="zh-CN"/>
        </w:rPr>
        <w:br w:type="textWrapping"/>
      </w:r>
      <w:bookmarkStart w:id="71" w:name="5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第五十八条</w:t>
      </w:r>
      <w:bookmarkEnd w:id="7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餐具、饮具集中消毒服务单位应当具备相应的作业场所、清洗消毒设备或者设施，用水和使用的洗涤剂、消毒剂应当符合相关食品安全国家标准和其他国家标准、卫生规范。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餐具、饮具集中消毒服务单位应当对消毒餐具、饮具进行逐批检验，检验合格后方可出厂，并应当随附消毒合格证明。消毒后的餐具、饮具应当在独立包装上标注单位名称、地址、联系方式、消毒日期以及使用期限等内容。</w:t>
      </w:r>
      <w:r>
        <w:rPr>
          <w:rFonts w:hint="eastAsia" w:ascii="宋体" w:hAnsi="宋体" w:cs="仿宋_GB2312"/>
          <w:sz w:val="32"/>
          <w:szCs w:val="32"/>
          <w:lang w:val="en-US" w:eastAsia="zh-CN"/>
        </w:rPr>
        <w:br w:type="textWrapping"/>
      </w:r>
      <w:bookmarkStart w:id="72" w:name="5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第五十九条</w:t>
      </w:r>
      <w:bookmarkEnd w:id="72"/>
      <w:r>
        <w:rPr>
          <w:rFonts w:hint="eastAsia" w:ascii="宋体" w:hAnsi="宋体" w:cs="仿宋_GB2312"/>
          <w:sz w:val="32"/>
          <w:szCs w:val="32"/>
          <w:lang w:val="en-US" w:eastAsia="zh-CN"/>
        </w:rPr>
        <w:t>　食品添加剂生产者应当建立食品添加剂出厂检验记录制度，查验出厂产品的检验合格证和安全状况，如实记录食品添加剂的名称、规格、数量、生产日期或者生产批号、保质期、检验合格证号、销售日期以及购货者名称、地址、联系方式等相关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73" w:name="6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第六十条</w:t>
      </w:r>
      <w:bookmarkEnd w:id="73"/>
      <w:r>
        <w:rPr>
          <w:rFonts w:hint="eastAsia" w:ascii="宋体" w:hAnsi="宋体" w:cs="仿宋_GB2312"/>
          <w:sz w:val="32"/>
          <w:szCs w:val="32"/>
          <w:lang w:val="en-US" w:eastAsia="zh-CN"/>
        </w:rPr>
        <w:t>　食品添加剂经营者采购食品添加剂，应当依法查验供货者的许可证和产品合格证明文件，如实记录食品添加剂的名称、规格、数量、生产日期或者生产批号、保质期、进货日期以及供货者名称、地址、联系方式等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74" w:name="6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第六十一条</w:t>
      </w:r>
      <w:bookmarkEnd w:id="7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集中交易市场的开办者、柜台出租者和展销会举办者，应当依法审查入场食品经营者的许可证，明确其食品安全管理责任，定期对其经营环境和条件进行检查，发现其有违反本法规定行为的，应当及时制止并立即报告所在地县级人民政府食品安全监督管理部门。</w:t>
      </w:r>
      <w:r>
        <w:rPr>
          <w:rFonts w:hint="eastAsia" w:ascii="宋体" w:hAnsi="宋体" w:cs="仿宋_GB2312"/>
          <w:sz w:val="32"/>
          <w:szCs w:val="32"/>
          <w:lang w:val="en-US" w:eastAsia="zh-CN"/>
        </w:rPr>
        <w:br w:type="textWrapping"/>
      </w:r>
      <w:bookmarkStart w:id="75" w:name="6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第六十二条</w:t>
      </w:r>
      <w:bookmarkEnd w:id="7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网络食品交易第三方平台提供者应当对入网食品经营者进行实名登记，明确其食品安全管理责任；依法应当取得许可证的，还应当审查其许可证。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网络食品交易第三方平台提供者发现入网食品经营者有违反本法规定行为的，应当及时制止并立即报告所在地县级人民政府食品安全监督管理部门；发现严重违法行为的，应当立即停止提供网络交易平台服务。</w:t>
      </w:r>
      <w:r>
        <w:rPr>
          <w:rFonts w:hint="eastAsia" w:ascii="宋体" w:hAnsi="宋体" w:cs="仿宋_GB2312"/>
          <w:sz w:val="32"/>
          <w:szCs w:val="32"/>
          <w:lang w:val="en-US" w:eastAsia="zh-CN"/>
        </w:rPr>
        <w:br w:type="textWrapping"/>
      </w:r>
      <w:bookmarkStart w:id="76" w:name="6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第六十三条</w:t>
      </w:r>
      <w:bookmarkEnd w:id="76"/>
      <w:r>
        <w:rPr>
          <w:rFonts w:hint="eastAsia" w:ascii="宋体" w:hAnsi="宋体" w:cs="仿宋_GB2312"/>
          <w:sz w:val="32"/>
          <w:szCs w:val="32"/>
          <w:lang w:val="en-US" w:eastAsia="zh-CN"/>
        </w:rPr>
        <w:t>　国家建立食品召回制度。食品生产者发现其生产的食品不符合食品安全标准或者有证据证明可能危害人体健康的，应当立即停止生产，召回已经上市销售的食品，通知相关生产经营者和消费者，并记录召回和通知情况。</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经营者发现其经营的食品有前款规定情形的，应当立即停止经营，通知相关生产经营者和消费者，并记录停止经营和通知情况。食品生产者认为应当召回的，应当立即召回。由于食品经营者的原因造成其经营的食品有前款规定情形的，食品经营者应当召回。</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对召回的食品采取无害化处理、销毁等措施，防止其再次流入市场。但是，对因标签、标志或者说明书不符合食品安全标准而被召回的食品，食品生产者在采取补救措施且能保证食品安全的情况下可以继续销售；销售时应当向消费者明示补救措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将食品召回和处理情况向所在地县级人民政府食品安全监督管理部门报告；需要对召回的食品进行无害化处理、销毁的，应当提前报告时间、地点。食品安全监督管理部门认为必要的，可以实施现场监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食品生产经营者未依照本条规定召回或者停止经营的，县级以上人民政府食品安全监督管理部门可以责令其召回或者停止经营。</w:t>
      </w:r>
      <w:r>
        <w:rPr>
          <w:rFonts w:hint="eastAsia" w:ascii="宋体" w:hAnsi="宋体" w:cs="仿宋_GB2312"/>
          <w:sz w:val="32"/>
          <w:szCs w:val="32"/>
          <w:lang w:val="en-US" w:eastAsia="zh-CN"/>
        </w:rPr>
        <w:br w:type="textWrapping"/>
      </w:r>
      <w:bookmarkStart w:id="77" w:name="6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第六十四条</w:t>
      </w:r>
      <w:bookmarkEnd w:id="77"/>
      <w:r>
        <w:rPr>
          <w:rFonts w:hint="eastAsia" w:ascii="宋体" w:hAnsi="宋体" w:cs="仿宋_GB2312"/>
          <w:sz w:val="32"/>
          <w:szCs w:val="32"/>
          <w:lang w:val="en-US" w:eastAsia="zh-CN"/>
        </w:rPr>
        <w:t>　食用农产品批发市场应当配备检验设备和检验人员或者委托符合本法规定的食品检验机构，对进入该批发市场销售的食用农产品进行抽样检验；发现不符合食品安全标准的，应当要求销售者立即停止销售，并向食品安全监督管理部门报告。</w:t>
      </w:r>
      <w:r>
        <w:rPr>
          <w:rFonts w:hint="eastAsia" w:ascii="宋体" w:hAnsi="宋体" w:cs="仿宋_GB2312"/>
          <w:sz w:val="32"/>
          <w:szCs w:val="32"/>
          <w:lang w:val="en-US" w:eastAsia="zh-CN"/>
        </w:rPr>
        <w:br w:type="textWrapping"/>
      </w:r>
      <w:bookmarkStart w:id="78" w:name="65"/>
      <w:r>
        <w:rPr>
          <w:rFonts w:hint="eastAsia" w:ascii="宋体" w:hAnsi="宋体" w:eastAsia="黑体" w:cs="黑体"/>
          <w:sz w:val="32"/>
          <w:szCs w:val="32"/>
          <w:lang w:val="en-US" w:eastAsia="zh-CN"/>
        </w:rPr>
        <w:t>　  第六十五条</w:t>
      </w:r>
      <w:bookmarkEnd w:id="7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食用农产品销售者应当建立食用农产品进货查验记录制度，如实记录食用农产品的名称、数量、进货日期以及供货者名称、地址、联系方式等内容，并保存相关凭证。记录和凭证保存期限不得少于六个月。</w:t>
      </w:r>
      <w:r>
        <w:rPr>
          <w:rFonts w:hint="eastAsia" w:ascii="宋体" w:hAnsi="宋体" w:cs="仿宋_GB2312"/>
          <w:sz w:val="32"/>
          <w:szCs w:val="32"/>
          <w:lang w:val="en-US" w:eastAsia="zh-CN"/>
        </w:rPr>
        <w:br w:type="textWrapping"/>
      </w:r>
      <w:bookmarkStart w:id="79" w:name="6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第六十六条</w:t>
      </w:r>
      <w:bookmarkEnd w:id="7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进入市场销售的食用农产品在包装、保鲜、贮存、运输中使用保鲜剂、防腐剂等食品添加剂和包装材料等食品相关产品，应当符合食品安全国家标准。</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第三节　标签、说明书和广告</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80" w:name="67"/>
      <w:r>
        <w:rPr>
          <w:rFonts w:hint="eastAsia" w:ascii="宋体" w:hAnsi="宋体" w:eastAsia="黑体" w:cs="黑体"/>
          <w:sz w:val="32"/>
          <w:szCs w:val="32"/>
          <w:lang w:val="en-US" w:eastAsia="zh-CN"/>
        </w:rPr>
        <w:t xml:space="preserve">    第六十七条</w:t>
      </w:r>
      <w:bookmarkEnd w:id="8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预包装食品的包装上应当有标签。标签应当标明下列事项：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（一）名称、规格、净含量、生产日期；</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（二）成分或者配料表；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（三）生产者的名称、地址、联系方式；</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（四）保质期；</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（五）产品标准代号；</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（六）贮存条件；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（七）所使用的食品添加剂在国家标准中的通用名称；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（八）生产许可证编号；</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（九）法律、法规或者食品安全标准规定应当标明的其他事项。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专供婴幼儿和其他特定人群的主辅食品，其标签还应当标明主要营养成分及其含量。</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食品安全国家标准对标签标注事项另有规定的，从其规定。</w:t>
      </w:r>
      <w:r>
        <w:rPr>
          <w:rFonts w:hint="eastAsia" w:ascii="宋体" w:hAnsi="宋体" w:cs="仿宋_GB2312"/>
          <w:sz w:val="32"/>
          <w:szCs w:val="32"/>
          <w:lang w:val="en-US" w:eastAsia="zh-CN"/>
        </w:rPr>
        <w:br w:type="textWrapping"/>
      </w:r>
      <w:bookmarkStart w:id="81" w:name="68"/>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第六十八条</w:t>
      </w:r>
      <w:bookmarkEnd w:id="81"/>
      <w:r>
        <w:rPr>
          <w:rFonts w:hint="eastAsia" w:ascii="宋体" w:hAnsi="宋体" w:cs="仿宋_GB2312"/>
          <w:sz w:val="32"/>
          <w:szCs w:val="32"/>
          <w:lang w:val="en-US" w:eastAsia="zh-CN"/>
        </w:rPr>
        <w:t>　食品经营者销售散装食品，应当在散装食品的容器、外包装上标明食品的名称、生产日期或者生产批号、保质期以及生产经营者名称、地址、联系方式等内容。</w:t>
      </w:r>
      <w:r>
        <w:rPr>
          <w:rFonts w:hint="eastAsia" w:ascii="宋体" w:hAnsi="宋体" w:cs="仿宋_GB2312"/>
          <w:sz w:val="32"/>
          <w:szCs w:val="32"/>
          <w:lang w:val="en-US" w:eastAsia="zh-CN"/>
        </w:rPr>
        <w:br w:type="textWrapping"/>
      </w:r>
      <w:bookmarkStart w:id="82" w:name="69"/>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第六十九条</w:t>
      </w:r>
      <w:bookmarkEnd w:id="8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生产经营转基因食品应当按照规定显著标示。</w:t>
      </w:r>
      <w:r>
        <w:rPr>
          <w:rFonts w:hint="eastAsia" w:ascii="宋体" w:hAnsi="宋体" w:cs="仿宋_GB2312"/>
          <w:sz w:val="32"/>
          <w:szCs w:val="32"/>
          <w:lang w:val="en-US" w:eastAsia="zh-CN"/>
        </w:rPr>
        <w:br w:type="textWrapping"/>
      </w:r>
      <w:bookmarkStart w:id="83" w:name="7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第七十条</w:t>
      </w:r>
      <w:bookmarkEnd w:id="83"/>
      <w:r>
        <w:rPr>
          <w:rFonts w:hint="eastAsia" w:ascii="宋体" w:hAnsi="宋体" w:cs="仿宋_GB2312"/>
          <w:sz w:val="32"/>
          <w:szCs w:val="32"/>
          <w:lang w:val="en-US" w:eastAsia="zh-CN"/>
        </w:rPr>
        <w:t>　食品添加剂应当有标签、说明书和包装。标签、说明书应当载明本法第六十七条第一款第一项至第六项、第八项、第九项规定的事项，以及食品添加剂的使用范围、用量、使用方法，并在标签上载明“食品添加剂”字样。</w:t>
      </w:r>
      <w:r>
        <w:rPr>
          <w:rFonts w:hint="eastAsia" w:ascii="宋体" w:hAnsi="宋体" w:cs="仿宋_GB2312"/>
          <w:sz w:val="32"/>
          <w:szCs w:val="32"/>
          <w:lang w:val="en-US" w:eastAsia="zh-CN"/>
        </w:rPr>
        <w:br w:type="textWrapping"/>
      </w:r>
      <w:bookmarkStart w:id="84" w:name="7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第七十一条</w:t>
      </w:r>
      <w:bookmarkEnd w:id="8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食品和食品添加剂的标签、说明书，不得含有虚假内容，不得涉及疾病预防、治疗功能。生产经营者对其提供的标签、说明书的内容负责。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食品和食品添加剂的标签、说明书应当清楚、明显，生产日期、保质期等事项应当显著标注，容易辨识。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食品和食品添加剂与其标签、说明书的内容不符的，不得上市销售。</w:t>
      </w:r>
      <w:r>
        <w:rPr>
          <w:rFonts w:hint="eastAsia" w:ascii="宋体" w:hAnsi="宋体" w:cs="仿宋_GB2312"/>
          <w:sz w:val="32"/>
          <w:szCs w:val="32"/>
          <w:lang w:val="en-US" w:eastAsia="zh-CN"/>
        </w:rPr>
        <w:br w:type="textWrapping"/>
      </w:r>
      <w:bookmarkStart w:id="85" w:name="7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第七十二条</w:t>
      </w:r>
      <w:bookmarkEnd w:id="8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食品经营者应当按照食品标签标示的警示标志、警示说明或者注意事项的要求销售食品。</w:t>
      </w:r>
      <w:r>
        <w:rPr>
          <w:rFonts w:hint="eastAsia" w:ascii="宋体" w:hAnsi="宋体" w:cs="仿宋_GB2312"/>
          <w:sz w:val="32"/>
          <w:szCs w:val="32"/>
          <w:lang w:val="en-US" w:eastAsia="zh-CN"/>
        </w:rPr>
        <w:br w:type="textWrapping"/>
      </w:r>
      <w:bookmarkStart w:id="86" w:name="7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第七十三条</w:t>
      </w:r>
      <w:bookmarkEnd w:id="86"/>
      <w:r>
        <w:rPr>
          <w:rFonts w:hint="eastAsia" w:ascii="宋体" w:hAnsi="宋体" w:cs="仿宋_GB2312"/>
          <w:sz w:val="32"/>
          <w:szCs w:val="32"/>
          <w:lang w:val="en-US" w:eastAsia="zh-CN"/>
        </w:rPr>
        <w:t>　食品广告的内容应当真实合法，不得含有虚假内容，不得涉及疾病预防、治疗功能。食品生产经营者对食品广告内容的真实性、合法性负责。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县级以上人民政府食品安全监督管理部门和其他有关部门以及食品检验机构、食品行业协会不得以广告或者其他形式向消费者推荐食品。消费者组织不得以收取费用或者其他牟取利益的方式向消费者推荐食品。</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val="en-US" w:eastAsia="zh-CN"/>
        </w:rPr>
      </w:pPr>
      <w:r>
        <w:rPr>
          <w:rFonts w:hint="eastAsia" w:ascii="宋体" w:hAnsi="宋体" w:eastAsia="黑体" w:cs="黑体"/>
          <w:sz w:val="32"/>
          <w:szCs w:val="32"/>
          <w:lang w:val="en-US" w:eastAsia="zh-CN"/>
        </w:rPr>
        <w:t>第四节　特殊食品</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bookmarkStart w:id="87" w:name="7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第七十四条</w:t>
      </w:r>
      <w:bookmarkEnd w:id="8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国家对保健食品、特殊医学用途配方食品和婴幼儿配方食品等特殊食品实行严格监督管理。</w:t>
      </w:r>
      <w:r>
        <w:rPr>
          <w:rFonts w:hint="eastAsia" w:ascii="宋体" w:hAnsi="宋体" w:cs="仿宋_GB2312"/>
          <w:sz w:val="32"/>
          <w:szCs w:val="32"/>
          <w:lang w:val="en-US" w:eastAsia="zh-CN"/>
        </w:rPr>
        <w:br w:type="textWrapping"/>
      </w:r>
      <w:bookmarkStart w:id="88" w:name="7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第七十五条</w:t>
      </w:r>
      <w:bookmarkEnd w:id="8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保健食品声称保健功能，应当具有科学依据，不得对人体产生急性、亚急性或者慢性危害。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保健食品原料目录和允许保健食品声称的保健功能目录，由国务院食品安全监督管理部门会同国务院卫生行政部门、国家中医药管理部门制定、调整并公布。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保健食品原料目录应当包括原料名称、用量及其对应的功效；列入保健食品原料目录的原料只能用于保健食品生产，不得用于其他食品生产。</w:t>
      </w:r>
      <w:r>
        <w:rPr>
          <w:rFonts w:hint="eastAsia" w:ascii="宋体" w:hAnsi="宋体" w:cs="仿宋_GB2312"/>
          <w:sz w:val="32"/>
          <w:szCs w:val="32"/>
          <w:lang w:val="en-US" w:eastAsia="zh-CN"/>
        </w:rPr>
        <w:br w:type="textWrapping"/>
      </w:r>
      <w:bookmarkStart w:id="89" w:name="7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第七十六条</w:t>
      </w:r>
      <w:bookmarkEnd w:id="8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使用保健食品原料目录以外原料的保健食品和首次进口的保健食品应当经国务院食品安全监督管理部门注册。但是，首次进口的保健食品中属于补充维生素、矿物质等营养物质的，应当报国务院食品安全监督管理部门备案。其他保健食品应当报省、自治区、直辖市人民政府食品安全监督管理部门备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进口的保健食品应当是出口国（地区）主管部门准许上市销售的产品。</w:t>
      </w:r>
      <w:r>
        <w:rPr>
          <w:rFonts w:hint="eastAsia" w:ascii="宋体" w:hAnsi="宋体" w:cs="仿宋_GB2312"/>
          <w:sz w:val="32"/>
          <w:szCs w:val="32"/>
          <w:lang w:val="en-US" w:eastAsia="zh-CN"/>
        </w:rPr>
        <w:br w:type="textWrapping"/>
      </w:r>
      <w:bookmarkStart w:id="90" w:name="7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第七十七条</w:t>
      </w:r>
      <w:bookmarkEnd w:id="90"/>
      <w:r>
        <w:rPr>
          <w:rFonts w:hint="eastAsia" w:ascii="宋体" w:hAnsi="宋体" w:cs="仿宋_GB2312"/>
          <w:sz w:val="32"/>
          <w:szCs w:val="32"/>
          <w:lang w:val="en-US" w:eastAsia="zh-CN"/>
        </w:rPr>
        <w:t>　依法应当注册的保健食品，注册时应当提交保健食品的研发报告、产品配方、生产工艺、安全性和保健功能评价、标签、说明书等材料及样品，并提供相关证明文件。国务院食品安全监督管理部门经组织技术审评，对符合安全和功能声称要求的，准予注册；对不符合要求的，不予注册并书面说明理由。对使用保健食品原料目录以外原料的保健食品作出准予注册决定的，应当及时将该原料纳入保健食品原料目录。</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依法应当备案的保健食品，备案时应当提交产品配方、生产工艺、标签、说明书以及表明产品安全性和保健功能的材料。</w:t>
      </w:r>
      <w:r>
        <w:rPr>
          <w:rFonts w:hint="eastAsia" w:ascii="宋体" w:hAnsi="宋体" w:cs="仿宋_GB2312"/>
          <w:sz w:val="32"/>
          <w:szCs w:val="32"/>
          <w:lang w:val="en-US" w:eastAsia="zh-CN"/>
        </w:rPr>
        <w:br w:type="textWrapping"/>
      </w:r>
      <w:bookmarkStart w:id="91" w:name="7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第七十八条</w:t>
      </w:r>
      <w:bookmarkEnd w:id="9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保健食品的标签、说明书不得涉及疾病预防、治疗功能，内容应当真实，与注册或者备案的内容相一致，载明适宜人群、不适宜人群、功效成分或者标志性成分及其含量等，并声明“本品不能代替药物”。保健食品的功能和成分应当与标签、说明书相一致。</w:t>
      </w:r>
      <w:r>
        <w:rPr>
          <w:rFonts w:hint="eastAsia" w:ascii="宋体" w:hAnsi="宋体" w:cs="仿宋_GB2312"/>
          <w:sz w:val="32"/>
          <w:szCs w:val="32"/>
          <w:lang w:val="en-US" w:eastAsia="zh-CN"/>
        </w:rPr>
        <w:br w:type="textWrapping"/>
      </w:r>
      <w:bookmarkStart w:id="92" w:name="7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第七十九条</w:t>
      </w:r>
      <w:bookmarkEnd w:id="9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保健食品广告除应当符合本法第七十三条第一款的规定外，还应当声明“本品不能代替药物”；其内容应当经生产企业所在地省、自治区、直辖市人民政府食品安全监督管理部门审查批准，取得保健食品广告批准文件。省、自治区、直辖市人民政府食品安全监督管理部门应当公布并及时更新已经批准的保健食品广告目录以及批准的广告内容。</w:t>
      </w:r>
      <w:r>
        <w:rPr>
          <w:rFonts w:hint="eastAsia" w:ascii="宋体" w:hAnsi="宋体" w:cs="仿宋_GB2312"/>
          <w:sz w:val="32"/>
          <w:szCs w:val="32"/>
          <w:lang w:val="en-US" w:eastAsia="zh-CN"/>
        </w:rPr>
        <w:br w:type="textWrapping"/>
      </w:r>
      <w:bookmarkStart w:id="93" w:name="8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第八十条</w:t>
      </w:r>
      <w:bookmarkEnd w:id="9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特殊医学用途配方食品应当经国务院食品安全监督管理部门注册。注册时，应当提交产品配方、生产工艺、标签、说明书以及表明产品安全性、营养充足性和特殊医学用途临床效果的材料。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特殊医学用途配方食品广告适用《</w:t>
      </w:r>
      <w:r>
        <w:rPr>
          <w:rFonts w:hint="eastAsia" w:ascii="宋体" w:hAnsi="宋体" w:cs="仿宋_GB2312"/>
          <w:sz w:val="32"/>
          <w:szCs w:val="32"/>
          <w:lang w:val="en-US" w:eastAsia="zh-CN"/>
        </w:rPr>
        <w:fldChar w:fldCharType="begin"/>
      </w:r>
      <w:r>
        <w:rPr>
          <w:rFonts w:hint="eastAsia" w:ascii="宋体" w:hAnsi="宋体" w:cs="仿宋_GB2312"/>
          <w:sz w:val="32"/>
          <w:szCs w:val="32"/>
          <w:lang w:val="en-US" w:eastAsia="zh-CN"/>
        </w:rPr>
        <w:instrText xml:space="preserve"> HYPERLINK "http://172.17.252.5/FullText/fulltext_form.aspx?db=chl&amp;gid=328289&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6aOf5ZOB5a6J5YWo5rOVJScpIAYFAAAADS3lj5HluIPml6XmnJ8GBgAAAA/po5/lk4Hlronlhajms5UAAAsBAAD//javascript:SLC(325018,0)" </w:instrText>
      </w:r>
      <w:r>
        <w:rPr>
          <w:rFonts w:hint="eastAsia" w:ascii="宋体" w:hAnsi="宋体" w:cs="仿宋_GB2312"/>
          <w:sz w:val="32"/>
          <w:szCs w:val="32"/>
          <w:lang w:val="en-US" w:eastAsia="zh-CN"/>
        </w:rPr>
        <w:fldChar w:fldCharType="separate"/>
      </w:r>
      <w:r>
        <w:rPr>
          <w:rFonts w:hint="eastAsia" w:ascii="宋体" w:hAnsi="宋体" w:cs="仿宋_GB2312"/>
          <w:sz w:val="32"/>
          <w:szCs w:val="32"/>
          <w:lang w:eastAsia="zh-CN"/>
        </w:rPr>
        <w:t>中华人民共和国广告法</w:t>
      </w:r>
      <w:r>
        <w:rPr>
          <w:rFonts w:hint="eastAsia" w:ascii="宋体" w:hAnsi="宋体" w:cs="仿宋_GB2312"/>
          <w:sz w:val="32"/>
          <w:szCs w:val="32"/>
          <w:lang w:val="en-US" w:eastAsia="zh-CN"/>
        </w:rPr>
        <w:fldChar w:fldCharType="end"/>
      </w:r>
      <w:r>
        <w:rPr>
          <w:rFonts w:hint="eastAsia" w:ascii="宋体" w:hAnsi="宋体" w:cs="仿宋_GB2312"/>
          <w:sz w:val="32"/>
          <w:szCs w:val="32"/>
          <w:lang w:val="en-US" w:eastAsia="zh-CN"/>
        </w:rPr>
        <w:t>》和其他法律、行政法规关于药品广告管理的规定。</w:t>
      </w:r>
      <w:r>
        <w:rPr>
          <w:rFonts w:hint="eastAsia" w:ascii="宋体" w:hAnsi="宋体" w:cs="仿宋_GB2312"/>
          <w:sz w:val="32"/>
          <w:szCs w:val="32"/>
          <w:lang w:val="en-US" w:eastAsia="zh-CN"/>
        </w:rPr>
        <w:br w:type="textWrapping"/>
      </w:r>
      <w:bookmarkStart w:id="94" w:name="8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第八十一条</w:t>
      </w:r>
      <w:bookmarkEnd w:id="94"/>
      <w:r>
        <w:rPr>
          <w:rFonts w:hint="eastAsia" w:ascii="宋体" w:hAnsi="宋体" w:cs="仿宋_GB2312"/>
          <w:sz w:val="32"/>
          <w:szCs w:val="32"/>
          <w:lang w:val="en-US" w:eastAsia="zh-CN"/>
        </w:rPr>
        <w:t>　婴幼儿配方食品生产企业应当实施从原料进厂到成品出厂的全过程质量控制，对出厂的婴幼儿配方食品实施逐批检验，保证食品安全。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生产婴幼儿配方食品使用的生鲜乳、辅料等食品原料、食品添加剂等，应当符合法律、行政法规的规定和食品安全国家标准，保证婴幼儿生长发育所需的营养成分。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婴幼儿配方食品生产企业应当将食品原料、食品添加剂、产品配方及标签等事项向省、自治区、直辖市人民政府食品安全监督管理部门备案。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婴幼儿配方乳粉的产品配方应当经国务院食品安全监督管理部门注册。注册时，应当提交配方研发报告和其他表明配方科学性、安全性的材料。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不得以分装方式生产婴幼儿配方乳粉，同一企业不得用同一配方生产不同品牌的婴幼儿配方乳粉。</w:t>
      </w:r>
      <w:r>
        <w:rPr>
          <w:rFonts w:hint="eastAsia" w:ascii="宋体" w:hAnsi="宋体" w:cs="仿宋_GB2312"/>
          <w:sz w:val="32"/>
          <w:szCs w:val="32"/>
          <w:lang w:val="en-US" w:eastAsia="zh-CN"/>
        </w:rPr>
        <w:br w:type="textWrapping"/>
      </w:r>
      <w:bookmarkStart w:id="95" w:name="8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第八十二条</w:t>
      </w:r>
      <w:bookmarkEnd w:id="9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保健食品、特殊医学用途配方食品、婴幼儿配方乳粉的注册人或者备案人应当对其提交材料的真实性负责。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省级以上人民政府食品安全监督管理部门应当及时公布注册或者备案的保健食品、特殊医学用途配方食品、婴幼儿配方乳粉目录，并对注册或者备案中获知的企业商业秘密予以保密。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保健食品、特殊医学用途配方食品、婴幼儿配方乳粉生产企业应当按照注册或者备案的产品配方、生产工艺等技术要求组织生产。</w:t>
      </w:r>
      <w:r>
        <w:rPr>
          <w:rFonts w:hint="eastAsia" w:ascii="宋体" w:hAnsi="宋体" w:cs="仿宋_GB2312"/>
          <w:sz w:val="32"/>
          <w:szCs w:val="32"/>
          <w:lang w:val="en-US" w:eastAsia="zh-CN"/>
        </w:rPr>
        <w:br w:type="textWrapping"/>
      </w:r>
      <w:bookmarkStart w:id="96" w:name="83"/>
      <w:r>
        <w:rPr>
          <w:rFonts w:hint="eastAsia" w:ascii="宋体" w:hAnsi="宋体" w:eastAsia="黑体" w:cs="黑体"/>
          <w:sz w:val="32"/>
          <w:szCs w:val="32"/>
          <w:lang w:val="en-US" w:eastAsia="zh-CN"/>
        </w:rPr>
        <w:t>　  第八十三条</w:t>
      </w:r>
      <w:bookmarkEnd w:id="96"/>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生产保健食品，特殊医学用途配方食品、婴幼儿配方食品和其他专供特定人群的主辅食品的企业，应当按照良好生产规范的要求建立与所生产食品相适应的生产质量管理体系，定期对该体系的运行情况进行自查，保证其有效运行，并向所在地县级人民政府食品安全监督管理部门提交自查报告。</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sz w:val="32"/>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val="en-US" w:eastAsia="zh-CN"/>
        </w:rPr>
      </w:pPr>
      <w:r>
        <w:rPr>
          <w:rFonts w:hint="eastAsia" w:ascii="宋体" w:hAnsi="宋体" w:eastAsia="黑体" w:cs="黑体"/>
          <w:sz w:val="32"/>
          <w:szCs w:val="32"/>
          <w:lang w:val="en-US" w:eastAsia="zh-CN"/>
        </w:rPr>
        <w:t>第五章　食品检验</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bookmarkStart w:id="97" w:name="8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第八十四条</w:t>
      </w:r>
      <w:bookmarkEnd w:id="9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食品检验机构按照国家有关认证认可的规定取得资质认定后，方可从事食品检验活动。但是，法律另有规定的除外。</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食品检验机构的资质认定条件和检验规范，由国务院食品安全监督管理部门规定。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符合本法规定的食品检验机构出具的检验报告具有同等效力。</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县级以上人民政府应当整合食品检验资源，实现资源共享。</w:t>
      </w:r>
      <w:r>
        <w:rPr>
          <w:rFonts w:hint="eastAsia" w:ascii="宋体" w:hAnsi="宋体" w:cs="仿宋_GB2312"/>
          <w:sz w:val="32"/>
          <w:szCs w:val="32"/>
          <w:lang w:val="en-US" w:eastAsia="zh-CN"/>
        </w:rPr>
        <w:br w:type="textWrapping"/>
      </w:r>
      <w:bookmarkStart w:id="98" w:name="8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第八十五条</w:t>
      </w:r>
      <w:bookmarkEnd w:id="9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食品检验由食品检验机构指定的检验人独立进行。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检验人应当依照有关法律、法规的规定，并按照食品安全标准和检验规范对食品进行检验，尊重科学，恪守职业道德，保证出具的检验数据和结论客观、公正，不得出具虚假检验报告。</w:t>
      </w:r>
      <w:r>
        <w:rPr>
          <w:rFonts w:hint="eastAsia" w:ascii="宋体" w:hAnsi="宋体" w:cs="仿宋_GB2312"/>
          <w:sz w:val="32"/>
          <w:szCs w:val="32"/>
          <w:lang w:val="en-US" w:eastAsia="zh-CN"/>
        </w:rPr>
        <w:br w:type="textWrapping"/>
      </w:r>
      <w:bookmarkStart w:id="99" w:name="86"/>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第八十六条</w:t>
      </w:r>
      <w:bookmarkEnd w:id="9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食品检验实行食品检验机构与检验人负责制。食品检验报告应当加盖食品检验机构公章，并有检验人的签名或者盖章。食品检验机构和检验人对出具的食品检验报告负责。</w:t>
      </w:r>
      <w:r>
        <w:rPr>
          <w:rFonts w:hint="eastAsia" w:ascii="宋体" w:hAnsi="宋体" w:cs="仿宋_GB2312"/>
          <w:sz w:val="32"/>
          <w:szCs w:val="32"/>
          <w:lang w:val="en-US" w:eastAsia="zh-CN"/>
        </w:rPr>
        <w:br w:type="textWrapping"/>
      </w:r>
      <w:bookmarkStart w:id="100" w:name="8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第八十七条</w:t>
      </w:r>
      <w:bookmarkEnd w:id="10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县级以上人民政府食品安全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r>
        <w:rPr>
          <w:rFonts w:hint="eastAsia" w:ascii="宋体" w:hAnsi="宋体" w:cs="仿宋_GB2312"/>
          <w:sz w:val="32"/>
          <w:szCs w:val="32"/>
          <w:lang w:val="en-US" w:eastAsia="zh-CN"/>
        </w:rPr>
        <w:br w:type="textWrapping"/>
      </w:r>
      <w:bookmarkStart w:id="101" w:name="88"/>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第八十八条</w:t>
      </w:r>
      <w:bookmarkEnd w:id="10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对依照本法规定实施的检验结论有异议的，食品生产经营者可以自收到检验结论之日起七个工作日内向实施抽样检验的食品安全监督管理部门或者其上一级食品安全监督管理部门提出复检申请，由受理复检申请的食品安全监督管理部门在公布的复检机构名录中随机确定复检机构进行复检。复检机构出具的复检结论为最终检验结论。复检机构与初检机构不得为同一机构。复检机构名录由国务院认证认可监督管理、食品安全监督管理、卫生行政、农业行政等部门共同公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采用国家规定的快速检测方法对食用农产品进行抽查检测，被抽查人对检测结果有异议的，可以自收到检测结果时起四小时内申请复检。复检不得采用快速检测方法。</w:t>
      </w:r>
      <w:r>
        <w:rPr>
          <w:rFonts w:hint="eastAsia" w:ascii="宋体" w:hAnsi="宋体" w:cs="仿宋_GB2312"/>
          <w:sz w:val="32"/>
          <w:szCs w:val="32"/>
          <w:lang w:val="en-US" w:eastAsia="zh-CN"/>
        </w:rPr>
        <w:br w:type="textWrapping"/>
      </w:r>
      <w:bookmarkStart w:id="102" w:name="8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第八十九条</w:t>
      </w:r>
      <w:bookmarkEnd w:id="10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食品生产企业可以自行对所生产的食品进行检验，也可以委托符合本法规定的食品检验机构进行检验。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食品行业协会和消费者协会等组织、消费者需要委托食品检验机构对食品进行检验的，应当委托符合本法规定的食品检验机构进行。</w:t>
      </w:r>
      <w:r>
        <w:rPr>
          <w:rFonts w:hint="eastAsia" w:ascii="宋体" w:hAnsi="宋体" w:cs="仿宋_GB2312"/>
          <w:sz w:val="32"/>
          <w:szCs w:val="32"/>
          <w:lang w:val="en-US" w:eastAsia="zh-CN"/>
        </w:rPr>
        <w:br w:type="textWrapping"/>
      </w:r>
      <w:bookmarkStart w:id="103" w:name="9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第九十条</w:t>
      </w:r>
      <w:bookmarkEnd w:id="103"/>
      <w:r>
        <w:rPr>
          <w:rFonts w:hint="eastAsia" w:ascii="宋体" w:hAnsi="宋体" w:cs="仿宋_GB2312"/>
          <w:sz w:val="32"/>
          <w:szCs w:val="32"/>
          <w:lang w:val="en-US" w:eastAsia="zh-CN"/>
        </w:rPr>
        <w:t>　食品添加剂的检验，适用本法有关食品检验的规定。</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第六章　食品进出口</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104" w:name="91"/>
      <w:r>
        <w:rPr>
          <w:rFonts w:hint="eastAsia" w:ascii="宋体" w:hAnsi="宋体" w:eastAsia="黑体" w:cs="黑体"/>
          <w:sz w:val="32"/>
          <w:szCs w:val="32"/>
          <w:lang w:val="en-US" w:eastAsia="zh-CN"/>
        </w:rPr>
        <w:t xml:space="preserve">    第九十一条</w:t>
      </w:r>
      <w:bookmarkEnd w:id="104"/>
      <w:r>
        <w:rPr>
          <w:rFonts w:hint="eastAsia" w:ascii="宋体" w:hAnsi="宋体" w:cs="仿宋_GB2312"/>
          <w:sz w:val="32"/>
          <w:szCs w:val="32"/>
          <w:lang w:val="en-US" w:eastAsia="zh-CN"/>
        </w:rPr>
        <w:t>　国家出入境检验检疫部门对进出口食品安全实施监督管理。</w:t>
      </w:r>
      <w:r>
        <w:rPr>
          <w:rFonts w:hint="eastAsia" w:ascii="宋体" w:hAnsi="宋体" w:cs="仿宋_GB2312"/>
          <w:sz w:val="32"/>
          <w:szCs w:val="32"/>
          <w:lang w:val="en-US" w:eastAsia="zh-CN"/>
        </w:rPr>
        <w:br w:type="textWrapping"/>
      </w:r>
      <w:bookmarkStart w:id="105" w:name="9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第九十二条</w:t>
      </w:r>
      <w:bookmarkEnd w:id="10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进口的食品、食品添加剂、食品相关产品应当符合我国食品安全国家标准。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进口的食品、食品添加剂应当经出入境检验检疫机构依照进出口商品检验相关法律、行政法规的规定检验合格。</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进口的食品、食品添加剂应当按照国家出入境检验检疫部门的要求随附合格证明材料。</w:t>
      </w:r>
      <w:r>
        <w:rPr>
          <w:rFonts w:hint="eastAsia" w:ascii="宋体" w:hAnsi="宋体" w:cs="仿宋_GB2312"/>
          <w:sz w:val="32"/>
          <w:szCs w:val="32"/>
          <w:lang w:val="en-US" w:eastAsia="zh-CN"/>
        </w:rPr>
        <w:br w:type="textWrapping"/>
      </w:r>
      <w:bookmarkStart w:id="106" w:name="9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第九十三条</w:t>
      </w:r>
      <w:bookmarkEnd w:id="106"/>
      <w:r>
        <w:rPr>
          <w:rFonts w:hint="eastAsia" w:ascii="宋体" w:hAnsi="宋体" w:cs="仿宋_GB2312"/>
          <w:sz w:val="32"/>
          <w:szCs w:val="32"/>
          <w:lang w:val="en-US" w:eastAsia="zh-CN"/>
        </w:rPr>
        <w:t>　进口尚无食品安全国家标准的食品，由境外出口商、境外生产企业或者其委托的进口商向国务院卫生行政部门提交所执行的相关国家（地区）标准或者国际标准。国务院卫生行政部门对相关标准进行审查，认为符合食品安全要求的，决定暂予适用，并及时制定相应的食品安全国家标准。进口利用新的食品原料生产的食品或者进口食品添加剂新品种、食品相关产品新品种，依照本法第三十七条的规定办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出入境检验检疫机构按照国务院卫生行政部门的要求，对前款规定的食品、食品添加剂、食品相关产品进行检验。检验结果应当公开。</w:t>
      </w:r>
      <w:r>
        <w:rPr>
          <w:rFonts w:hint="eastAsia" w:ascii="宋体" w:hAnsi="宋体" w:cs="仿宋_GB2312"/>
          <w:sz w:val="32"/>
          <w:szCs w:val="32"/>
          <w:lang w:val="en-US" w:eastAsia="zh-CN"/>
        </w:rPr>
        <w:br w:type="textWrapping"/>
      </w:r>
      <w:bookmarkStart w:id="107" w:name="9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第九十四条</w:t>
      </w:r>
      <w:bookmarkEnd w:id="107"/>
      <w:r>
        <w:rPr>
          <w:rFonts w:hint="eastAsia" w:ascii="宋体" w:hAnsi="宋体" w:cs="仿宋_GB2312"/>
          <w:sz w:val="32"/>
          <w:szCs w:val="32"/>
          <w:lang w:val="en-US" w:eastAsia="zh-CN"/>
        </w:rPr>
        <w:t>　境外出口商、境外生产企业应当保证向我国出口的食品、食品添加剂、食品相关产品符合本法以及我国其他有关法律、行政法规的规定和食品安全国家标准的要求，并对标签、说明书的内容负责。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进口商应当建立境外出口商、境外生产企业审核制度，重点审核前款规定的内容；审核不合格的，不得进口。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发现进口食品不符合我国食品安全国家标准或者有证据证明可能危害人体健康的，进口商应当立即停止进口，并依照本法第六十三条的规定召回。</w:t>
      </w:r>
      <w:r>
        <w:rPr>
          <w:rFonts w:hint="eastAsia" w:ascii="宋体" w:hAnsi="宋体" w:cs="仿宋_GB2312"/>
          <w:sz w:val="32"/>
          <w:szCs w:val="32"/>
          <w:lang w:val="en-US" w:eastAsia="zh-CN"/>
        </w:rPr>
        <w:br w:type="textWrapping"/>
      </w:r>
      <w:bookmarkStart w:id="108" w:name="9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第九十五条</w:t>
      </w:r>
      <w:bookmarkEnd w:id="108"/>
      <w:r>
        <w:rPr>
          <w:rFonts w:hint="eastAsia" w:ascii="宋体" w:hAnsi="宋体" w:cs="仿宋_GB2312"/>
          <w:sz w:val="32"/>
          <w:szCs w:val="32"/>
          <w:lang w:val="en-US" w:eastAsia="zh-CN"/>
        </w:rPr>
        <w:t>　境外发生的食品安全事件可能对我国境内造成影响，或者在进口食品、食品添加剂、食品相关产品中发现严重食品安全问题的，国家出入境检验检疫部门应当及时采取风险预警或者控制措施，并向国务院食品安全监督管理、卫生行政、农业行政部门通报。接到通报的部门应当及时采取相应措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部门对国内市场上销售的进口食品、食品添加剂实施监督管理。发现存在严重食品安全问题的，国务院食品安全监督管理部门应当及时向国家出入境检验检疫部门通报。国家出入境检验检疫部门应当及时采取相应措施。</w:t>
      </w:r>
      <w:r>
        <w:rPr>
          <w:rFonts w:hint="eastAsia" w:ascii="宋体" w:hAnsi="宋体" w:cs="仿宋_GB2312"/>
          <w:sz w:val="32"/>
          <w:szCs w:val="32"/>
          <w:lang w:val="en-US" w:eastAsia="zh-CN"/>
        </w:rPr>
        <w:br w:type="textWrapping"/>
      </w:r>
      <w:bookmarkStart w:id="109" w:name="9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第九十六条</w:t>
      </w:r>
      <w:bookmarkEnd w:id="10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向我国境内出口食品的境外出口商或者代理商、进口食品的进口商应当向国家出入境检验检疫部门备案。向我国境内出口食品的境外食品生产企业应当经国家出入境检验检疫部门注册。已经注册的境外食品生产企业提供虚假材料，或者因其自身的原因致使进口食品发生重大食品安全事故的，国家出入境检验检疫部门应当撤销注册并公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国家出入境检验检疫部门应当定期公布已经备案的境外出口商、代理商、进口商和已经注册的境外食品生产企业名单。</w:t>
      </w:r>
      <w:r>
        <w:rPr>
          <w:rFonts w:hint="eastAsia" w:ascii="宋体" w:hAnsi="宋体" w:cs="仿宋_GB2312"/>
          <w:sz w:val="32"/>
          <w:szCs w:val="32"/>
          <w:lang w:val="en-US" w:eastAsia="zh-CN"/>
        </w:rPr>
        <w:br w:type="textWrapping"/>
      </w:r>
      <w:bookmarkStart w:id="110" w:name="9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第九十七条</w:t>
      </w:r>
      <w:bookmarkEnd w:id="110"/>
      <w:r>
        <w:rPr>
          <w:rFonts w:hint="eastAsia" w:ascii="宋体" w:hAnsi="宋体" w:cs="仿宋_GB2312"/>
          <w:sz w:val="32"/>
          <w:szCs w:val="32"/>
          <w:lang w:val="en-US" w:eastAsia="zh-CN"/>
        </w:rPr>
        <w:t>　进口的预包装食品、食品添加剂应当有中文标签；依法应当有说明书的，还应当有中文说明书。标签、说明书应当符合本法以及我国其他有关法律、行政法规的规定和食品安全国家标准的要求，并载明食品的原产地以及境内代理商的名称、地址、联系方式。预包装食品没有中文标签、中文说明书或者标签、说明书不符合本条规定的，不得进口。</w:t>
      </w:r>
      <w:r>
        <w:rPr>
          <w:rFonts w:hint="eastAsia" w:ascii="宋体" w:hAnsi="宋体" w:cs="仿宋_GB2312"/>
          <w:sz w:val="32"/>
          <w:szCs w:val="32"/>
          <w:lang w:val="en-US" w:eastAsia="zh-CN"/>
        </w:rPr>
        <w:br w:type="textWrapping"/>
      </w:r>
      <w:bookmarkStart w:id="111" w:name="9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第九十八条</w:t>
      </w:r>
      <w:bookmarkEnd w:id="111"/>
      <w:r>
        <w:rPr>
          <w:rFonts w:hint="eastAsia" w:ascii="宋体" w:hAnsi="宋体" w:cs="仿宋_GB2312"/>
          <w:sz w:val="32"/>
          <w:szCs w:val="32"/>
          <w:lang w:val="en-US" w:eastAsia="zh-CN"/>
        </w:rPr>
        <w:t>　进口商应当建立食品、食品添加剂进口和销售记录制度，如实记录食品、食品添加剂的名称、规格、数量、生产日期、生产或者进口批号、保质期、境外出口商和购货者名称、地址及联系方式、交货日期等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112" w:name="9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第九十九条</w:t>
      </w:r>
      <w:bookmarkEnd w:id="112"/>
      <w:r>
        <w:rPr>
          <w:rFonts w:hint="eastAsia" w:ascii="宋体" w:hAnsi="宋体" w:cs="仿宋_GB2312"/>
          <w:sz w:val="32"/>
          <w:szCs w:val="32"/>
          <w:lang w:val="en-US" w:eastAsia="zh-CN"/>
        </w:rPr>
        <w:t>　出口食品生产企业应当保证其出口食品符合进口国（地区）的标准或者合同要求。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出口食品生产企业和出口食品原料种植、养殖场应当向国家出入境检验检疫部门备案。</w:t>
      </w:r>
      <w:r>
        <w:rPr>
          <w:rFonts w:hint="eastAsia" w:ascii="宋体" w:hAnsi="宋体" w:cs="仿宋_GB2312"/>
          <w:sz w:val="32"/>
          <w:szCs w:val="32"/>
          <w:lang w:val="en-US" w:eastAsia="zh-CN"/>
        </w:rPr>
        <w:br w:type="textWrapping"/>
      </w:r>
      <w:bookmarkStart w:id="113" w:name="10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第一百条</w:t>
      </w:r>
      <w:bookmarkEnd w:id="11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国家出入境检验检疫部门应当收集、汇总下列进出口食品安全信息，并及时通报相关部门、机构和企业：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（一）出入境检验检疫机构对进出口食品实施检验检疫发现的食品安全信息；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（二）食品行业协会和消费者协会等组织、消费者反映的进口食品安全信息；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（三）国际组织、境外政府机构发布的风险预警信息及其他食品安全信息，以及境外食品行业协会等组织、消费者反映的食品安全信息；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（四）其他食品安全信息。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家出入境检验检疫部门应当对进出口食品的进口商、出口商和出口食品生产企业实施信用管理，建立信用记录，并依法向社会公布。对有不良记录的进口商、出口商和出口食品生产企业，应当加强对其进出口食品的检验检疫。</w:t>
      </w:r>
      <w:r>
        <w:rPr>
          <w:rFonts w:hint="eastAsia" w:ascii="宋体" w:hAnsi="宋体" w:cs="仿宋_GB2312"/>
          <w:sz w:val="32"/>
          <w:szCs w:val="32"/>
          <w:lang w:val="en-US" w:eastAsia="zh-CN"/>
        </w:rPr>
        <w:br w:type="textWrapping"/>
      </w:r>
      <w:bookmarkStart w:id="114" w:name="10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第一百零一条</w:t>
      </w:r>
      <w:bookmarkEnd w:id="114"/>
      <w:r>
        <w:rPr>
          <w:rFonts w:hint="eastAsia" w:ascii="宋体" w:hAnsi="宋体" w:cs="仿宋_GB2312"/>
          <w:sz w:val="32"/>
          <w:szCs w:val="32"/>
          <w:lang w:val="en-US" w:eastAsia="zh-CN"/>
        </w:rPr>
        <w:t>　国家出入境检验检疫部门可以对向我国境内出口食品的国家（地区）的食品安全管理体系和食品安全状况进行评估和审查，并根据评估和审查结果，确定相应检验检疫要求。</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val="en-US" w:eastAsia="zh-CN"/>
        </w:rPr>
      </w:pPr>
      <w:r>
        <w:rPr>
          <w:rFonts w:hint="eastAsia" w:ascii="宋体" w:hAnsi="宋体" w:eastAsia="黑体" w:cs="黑体"/>
          <w:sz w:val="32"/>
          <w:szCs w:val="32"/>
          <w:lang w:val="en-US" w:eastAsia="zh-CN"/>
        </w:rPr>
        <w:t>第七章　食品安全事故处置</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115" w:name="102"/>
      <w:r>
        <w:rPr>
          <w:rFonts w:hint="eastAsia" w:ascii="宋体" w:hAnsi="宋体" w:eastAsia="黑体" w:cs="黑体"/>
          <w:sz w:val="32"/>
          <w:szCs w:val="32"/>
          <w:lang w:val="en-US" w:eastAsia="zh-CN"/>
        </w:rPr>
        <w:t xml:space="preserve">    第一百零二条</w:t>
      </w:r>
      <w:bookmarkEnd w:id="115"/>
      <w:r>
        <w:rPr>
          <w:rFonts w:hint="eastAsia" w:ascii="宋体" w:hAnsi="宋体" w:cs="仿宋_GB2312"/>
          <w:sz w:val="32"/>
          <w:szCs w:val="32"/>
          <w:lang w:val="en-US" w:eastAsia="zh-CN"/>
        </w:rPr>
        <w:t>　国务院组织制定国家食品安全事故应急预案。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县级以上地方人民政府应当根据有关法律、法规的规定和上级人民政府的食品安全事故应急预案以及本行政区域的实际情况，制定本行政区域的食品安全事故应急预案，并报上一级人民政府备案。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食品安全事故应急预案应当对食品安全事故分级、事故处置组织指挥体系与职责、预防预警机制、处置程序、应急保障措施等作出规定。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食品生产经营企业应当制定食品安全事故处置方案，定期检查本企业各项食品安全防范措施的落实情况，及时消除事故隐患。</w:t>
      </w:r>
      <w:r>
        <w:rPr>
          <w:rFonts w:hint="eastAsia" w:ascii="宋体" w:hAnsi="宋体" w:cs="仿宋_GB2312"/>
          <w:sz w:val="32"/>
          <w:szCs w:val="32"/>
          <w:lang w:val="en-US" w:eastAsia="zh-CN"/>
        </w:rPr>
        <w:br w:type="textWrapping"/>
      </w:r>
      <w:bookmarkStart w:id="116" w:name="10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第一百零三条</w:t>
      </w:r>
      <w:bookmarkEnd w:id="116"/>
      <w:r>
        <w:rPr>
          <w:rFonts w:hint="eastAsia" w:ascii="宋体" w:hAnsi="宋体" w:cs="仿宋_GB2312"/>
          <w:sz w:val="32"/>
          <w:szCs w:val="32"/>
          <w:lang w:val="en-US" w:eastAsia="zh-CN"/>
        </w:rPr>
        <w:t>　发生食品安全事故的单位应当立即采取措施，防止事故扩大。事故单位和接收病人进行治疗的单位应当及时向事故发生地县级人民政府食品安全监督管理、卫生行政部门报告。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县级以上人民政府农业行政等部门在日常监督管理中发现食品安全事故或者接到事故举报，应当立即向同级食品安全监督管理部门通报。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发生食品安全事故，接到报告的县级人民政府食品安全监督管理部门应当按照应急预案的规定向本级人民政府和上级人民政府食品安全监督管理部门报告。县级人民政府和上级人民政府食品安全监督管理部门应当按照应急预案的规定上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任何单位和个人不得对食品安全事故隐瞒、谎报、缓报，不得隐匿、伪造、毁灭有关证据。</w:t>
      </w:r>
      <w:r>
        <w:rPr>
          <w:rFonts w:hint="eastAsia" w:ascii="宋体" w:hAnsi="宋体" w:cs="仿宋_GB2312"/>
          <w:sz w:val="32"/>
          <w:szCs w:val="32"/>
          <w:lang w:val="en-US" w:eastAsia="zh-CN"/>
        </w:rPr>
        <w:br w:type="textWrapping"/>
      </w:r>
      <w:bookmarkStart w:id="117" w:name="10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第一百零四条</w:t>
      </w:r>
      <w:bookmarkEnd w:id="117"/>
      <w:r>
        <w:rPr>
          <w:rFonts w:hint="eastAsia" w:ascii="宋体" w:hAnsi="宋体" w:cs="仿宋_GB2312"/>
          <w:sz w:val="32"/>
          <w:szCs w:val="32"/>
          <w:lang w:val="en-US" w:eastAsia="zh-CN"/>
        </w:rPr>
        <w:t>　医疗机构发现其接收的病人属于食源性疾病病人或者疑似病人的，应当按照规定及时将相关信息向所在地县级人民政府卫生行政部门报告。县级人民政府卫生行政部门认为与食品安全有关的，应当及时通报同级食品安全监督管理部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县级以上人民政府卫生行政部门在调查处理传染病或者其他突发公共卫生事件中发现与食品安全相关的信息，应当及时通报同级食品安全监督管理部门。</w:t>
      </w:r>
      <w:r>
        <w:rPr>
          <w:rFonts w:hint="eastAsia" w:ascii="宋体" w:hAnsi="宋体" w:cs="仿宋_GB2312"/>
          <w:sz w:val="32"/>
          <w:szCs w:val="32"/>
          <w:lang w:val="en-US" w:eastAsia="zh-CN"/>
        </w:rPr>
        <w:br w:type="textWrapping"/>
      </w:r>
      <w:bookmarkStart w:id="118" w:name="10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第一百零五条</w:t>
      </w:r>
      <w:bookmarkEnd w:id="118"/>
      <w:r>
        <w:rPr>
          <w:rFonts w:hint="eastAsia" w:ascii="宋体" w:hAnsi="宋体" w:cs="仿宋_GB2312"/>
          <w:sz w:val="32"/>
          <w:szCs w:val="32"/>
          <w:lang w:val="en-US" w:eastAsia="zh-CN"/>
        </w:rPr>
        <w:t>　县级以上人民政府食品安全监督管理部门接到食品安全事故的报告后，应当立即会同同级卫生行政、农业行政等部门进行调查处理，并采取下列措施，防止或者减轻社会危害：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（一）开展应急救援工作，组织救治因食品安全事故导致人身伤害的人员；</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（二）封存可能导致食品安全事故的食品及其原料，并立即进行检验；对确认属于被污染的食品及其原料，责令食品生产经营者依照本法第六十三条的规定召回或者停止经营；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（三）封存被污染的食品相关产品，并责令进行清洗消毒；</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（四）做好信息发布工作，依法对食品安全事故及其处理情况进行发布，并对可能产生的危害加以解释、说明。</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发生食品安全事故需要启动应急预案的，县级以上人民政府应当立即成立事故处置指挥机构，启动应急预案，依照前款和应急预案的规定进行处置。</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发生食品安全事故，县级以上疾病预防控制机构应当对事故现场进行卫生处理，并对与事故有关的因素开展流行病学调查，有关部门应当予以协助。县级以上疾病预防控制机构应当向同级食品安全监督管理、卫生行政部门提交流行病学调查报告。</w:t>
      </w:r>
      <w:r>
        <w:rPr>
          <w:rFonts w:hint="eastAsia" w:ascii="宋体" w:hAnsi="宋体" w:cs="仿宋_GB2312"/>
          <w:sz w:val="32"/>
          <w:szCs w:val="32"/>
          <w:lang w:val="en-US" w:eastAsia="zh-CN"/>
        </w:rPr>
        <w:br w:type="textWrapping"/>
      </w:r>
      <w:bookmarkStart w:id="119" w:name="106"/>
      <w:r>
        <w:rPr>
          <w:rFonts w:hint="eastAsia" w:ascii="宋体" w:hAnsi="宋体" w:eastAsia="黑体" w:cs="黑体"/>
          <w:sz w:val="32"/>
          <w:szCs w:val="32"/>
          <w:lang w:val="en-US" w:eastAsia="zh-CN"/>
        </w:rPr>
        <w:t>　  第一百零六条</w:t>
      </w:r>
      <w:bookmarkEnd w:id="119"/>
      <w:r>
        <w:rPr>
          <w:rFonts w:hint="eastAsia" w:ascii="宋体" w:hAnsi="宋体" w:cs="仿宋_GB2312"/>
          <w:sz w:val="32"/>
          <w:szCs w:val="32"/>
          <w:lang w:val="en-US" w:eastAsia="zh-CN"/>
        </w:rPr>
        <w:t>　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涉及两个以上省、自治区、直辖市的重大食品安全事故由国务院食品安全监督管理部门依照前款规定组织事故责任调查。</w:t>
      </w:r>
      <w:r>
        <w:rPr>
          <w:rFonts w:hint="eastAsia" w:ascii="宋体" w:hAnsi="宋体" w:cs="仿宋_GB2312"/>
          <w:sz w:val="32"/>
          <w:szCs w:val="32"/>
          <w:lang w:val="en-US" w:eastAsia="zh-CN"/>
        </w:rPr>
        <w:br w:type="textWrapping"/>
      </w:r>
      <w:bookmarkStart w:id="120" w:name="10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第一百零七条</w:t>
      </w:r>
      <w:bookmarkEnd w:id="120"/>
      <w:r>
        <w:rPr>
          <w:rFonts w:hint="eastAsia" w:ascii="宋体" w:hAnsi="宋体" w:cs="仿宋_GB2312"/>
          <w:sz w:val="32"/>
          <w:szCs w:val="32"/>
          <w:lang w:val="en-US" w:eastAsia="zh-CN"/>
        </w:rPr>
        <w:t>　调查食品安全事故，应当坚持实事求是、尊重科学的原则，及时、准确查清事故性质和原因，认定事故责任，提出整改措施。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调查食品安全事故，除了查明事故单位的责任，还应当查明有关监督管理部门、食品检验机构、认证机构及其工作人员的责任。</w:t>
      </w:r>
      <w:r>
        <w:rPr>
          <w:rFonts w:hint="eastAsia" w:ascii="宋体" w:hAnsi="宋体" w:cs="仿宋_GB2312"/>
          <w:sz w:val="32"/>
          <w:szCs w:val="32"/>
          <w:lang w:val="en-US" w:eastAsia="zh-CN"/>
        </w:rPr>
        <w:br w:type="textWrapping"/>
      </w:r>
      <w:bookmarkStart w:id="121" w:name="10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第一百零八条</w:t>
      </w:r>
      <w:bookmarkEnd w:id="121"/>
      <w:r>
        <w:rPr>
          <w:rFonts w:hint="eastAsia" w:ascii="宋体" w:hAnsi="宋体" w:cs="仿宋_GB2312"/>
          <w:sz w:val="32"/>
          <w:szCs w:val="32"/>
          <w:lang w:val="en-US" w:eastAsia="zh-CN"/>
        </w:rPr>
        <w:t>　食品安全事故调查部门有权向有关单位和个人了解与事故有关的情况，并要求提供相关资料和样品。有关单位和个人应当予以配合，按照要求提供相关资料和样品，不得拒绝。</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任何单位和个人不得阻挠、干涉食品安全事故的调查处理。</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第八章　监督管理</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ind w:firstLine="320" w:firstLineChars="100"/>
        <w:textAlignment w:val="auto"/>
        <w:outlineLvl w:val="9"/>
        <w:rPr>
          <w:rFonts w:hint="eastAsia" w:ascii="宋体" w:hAnsi="宋体" w:cs="仿宋_GB2312"/>
          <w:sz w:val="32"/>
          <w:szCs w:val="32"/>
          <w:lang w:val="en-US" w:eastAsia="zh-CN"/>
        </w:rPr>
      </w:pPr>
      <w:bookmarkStart w:id="122" w:name="109"/>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第一百零九条</w:t>
      </w:r>
      <w:bookmarkEnd w:id="122"/>
      <w:r>
        <w:rPr>
          <w:rFonts w:hint="eastAsia" w:ascii="宋体" w:hAnsi="宋体" w:cs="仿宋_GB2312"/>
          <w:sz w:val="32"/>
          <w:szCs w:val="32"/>
          <w:lang w:val="en-US" w:eastAsia="zh-CN"/>
        </w:rPr>
        <w:t>　县级以上人民政府食品安全监督管理部门根据食品安全风险监测、风险评估结果和食品安全状况等，确定监督管理的重点、方式和频次，实施风险分级管理。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县级以上地方人民政府组织本级食品安全监督管理、农业行政等部门制定本行政区域的食品安全年度监督管理计划，向社会公布并组织实施。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食品安全年度监督管理计划应当将下列事项作为监督管理的重点：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（一）专供婴幼儿和其他特定人群的主辅食品；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（二）保健食品生产过程中的添加行为和按照注册或者备案的技术要求组织生产的情况，保健食品标签、说明书以及宣传材料中有关功能宣传的情况；</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（三）发生食品安全事故风险较高的食品生产经营者；</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（四）食品安全风险监测结果表明可能存在食品安全隐患的事项。</w:t>
      </w:r>
      <w:r>
        <w:rPr>
          <w:rFonts w:hint="eastAsia" w:ascii="宋体" w:hAnsi="宋体" w:cs="仿宋_GB2312"/>
          <w:sz w:val="32"/>
          <w:szCs w:val="32"/>
          <w:lang w:val="en-US" w:eastAsia="zh-CN"/>
        </w:rPr>
        <w:br w:type="textWrapping"/>
      </w:r>
      <w:bookmarkStart w:id="123" w:name="11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第一百一十条</w:t>
      </w:r>
      <w:bookmarkEnd w:id="123"/>
      <w:r>
        <w:rPr>
          <w:rFonts w:hint="eastAsia" w:ascii="宋体" w:hAnsi="宋体" w:cs="仿宋_GB2312"/>
          <w:sz w:val="32"/>
          <w:szCs w:val="32"/>
          <w:lang w:val="en-US" w:eastAsia="zh-CN"/>
        </w:rPr>
        <w:t>　县级以上人民政府食品安全监督管理部门履行食品安全监督管理职责，有权采取下列措施，对生产经营者遵守本法的情况进行监督检查：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（一）进入生产经营场所实施现场检查；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（二）对生产经营的食品、食品添加剂、食品相关产品进行抽样检验；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（三）查阅、复制有关合同、票据、账簿以及其他有关资料；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（四）查封、扣押有证据证明不符合食品安全标准或者有证据证明存在安全隐患以及用于违法生产经营的食品、食品添加剂、食品相关产品；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（五）查封违法从事生产经营活动的场所。</w:t>
      </w:r>
      <w:r>
        <w:rPr>
          <w:rFonts w:hint="eastAsia" w:ascii="宋体" w:hAnsi="宋体" w:cs="仿宋_GB2312"/>
          <w:sz w:val="32"/>
          <w:szCs w:val="32"/>
          <w:lang w:val="en-US" w:eastAsia="zh-CN"/>
        </w:rPr>
        <w:br w:type="textWrapping"/>
      </w:r>
      <w:bookmarkStart w:id="124" w:name="11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第一百一十一条</w:t>
      </w:r>
      <w:bookmarkEnd w:id="12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对食品安全风险评估结果证明食品存在安全隐患，需要制定、修订食品安全标准的，在制定、修订食品安全标准前，国务院卫生行政部门应当及时会同国务院有关部门规定食品中有害物质的临时限量值和临时检验方法，作为生产经营和监督管理的依据。</w:t>
      </w:r>
      <w:r>
        <w:rPr>
          <w:rFonts w:hint="eastAsia" w:ascii="宋体" w:hAnsi="宋体" w:cs="仿宋_GB2312"/>
          <w:sz w:val="32"/>
          <w:szCs w:val="32"/>
          <w:lang w:val="en-US" w:eastAsia="zh-CN"/>
        </w:rPr>
        <w:br w:type="textWrapping"/>
      </w:r>
      <w:bookmarkStart w:id="125" w:name="11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第一百一十二条</w:t>
      </w:r>
      <w:bookmarkEnd w:id="12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县级以上人民政府食品安全监督管理部门在食品安全监督管理工作中可以采用国家规定的快速检测方法对食品进行抽查检测。</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对抽查检测结果表明可能不符合食品安全标准的食品，应当依照本法第八十七条的规定进行检验。抽查检测结果确定有关食品不符合食品安全标准的，可以作为行政处罚的依据。</w:t>
      </w:r>
      <w:r>
        <w:rPr>
          <w:rFonts w:hint="eastAsia" w:ascii="宋体" w:hAnsi="宋体" w:cs="仿宋_GB2312"/>
          <w:sz w:val="32"/>
          <w:szCs w:val="32"/>
          <w:lang w:val="en-US" w:eastAsia="zh-CN"/>
        </w:rPr>
        <w:br w:type="textWrapping"/>
      </w:r>
      <w:bookmarkStart w:id="126" w:name="11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第一百一十三条</w:t>
      </w:r>
      <w:bookmarkEnd w:id="126"/>
      <w:r>
        <w:rPr>
          <w:rFonts w:hint="eastAsia" w:ascii="宋体" w:hAnsi="宋体" w:cs="仿宋_GB2312"/>
          <w:sz w:val="32"/>
          <w:szCs w:val="32"/>
          <w:lang w:val="en-US" w:eastAsia="zh-CN"/>
        </w:rPr>
        <w:t>　县级以上人民政府食品安全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r>
        <w:rPr>
          <w:rFonts w:hint="eastAsia" w:ascii="宋体" w:hAnsi="宋体" w:cs="仿宋_GB2312"/>
          <w:sz w:val="32"/>
          <w:szCs w:val="32"/>
          <w:lang w:val="en-US" w:eastAsia="zh-CN"/>
        </w:rPr>
        <w:br w:type="textWrapping"/>
      </w:r>
      <w:bookmarkStart w:id="127" w:name="114"/>
      <w:r>
        <w:rPr>
          <w:rFonts w:hint="eastAsia" w:ascii="宋体" w:hAnsi="宋体" w:eastAsia="黑体" w:cs="黑体"/>
          <w:sz w:val="32"/>
          <w:szCs w:val="32"/>
          <w:lang w:val="en-US" w:eastAsia="zh-CN"/>
        </w:rPr>
        <w:t>　  第一百一十四条</w:t>
      </w:r>
      <w:bookmarkEnd w:id="12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经营过程中存在食品安全隐患，未及时采取措施消除的，县级以上人民政府食品安全监督管理部门可以对食品生产经营者的法定代表人或者主要负责人进行责任约谈。食品生产经营者应当立即采取措施，进行整改，消除隐患。责任约谈情况和整改情况应当纳入食品生产经营者食品安全信用档案。</w:t>
      </w:r>
      <w:r>
        <w:rPr>
          <w:rFonts w:hint="eastAsia" w:ascii="宋体" w:hAnsi="宋体" w:cs="仿宋_GB2312"/>
          <w:sz w:val="32"/>
          <w:szCs w:val="32"/>
          <w:lang w:val="en-US" w:eastAsia="zh-CN"/>
        </w:rPr>
        <w:br w:type="textWrapping"/>
      </w:r>
      <w:bookmarkStart w:id="128" w:name="11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第一百一十五条</w:t>
      </w:r>
      <w:bookmarkEnd w:id="128"/>
      <w:r>
        <w:rPr>
          <w:rFonts w:hint="eastAsia" w:ascii="宋体" w:hAnsi="宋体" w:cs="仿宋_GB2312"/>
          <w:sz w:val="32"/>
          <w:szCs w:val="32"/>
          <w:lang w:val="en-US" w:eastAsia="zh-CN"/>
        </w:rPr>
        <w:t>　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有关部门应当对举报人的信息予以保密，保护举报人的合法权益。举报人举报所在企业的，该企业不得以解除、变更劳动合同或者其他方式对举报人进行打击报复。</w:t>
      </w:r>
      <w:r>
        <w:rPr>
          <w:rFonts w:hint="eastAsia" w:ascii="宋体" w:hAnsi="宋体" w:cs="仿宋_GB2312"/>
          <w:sz w:val="32"/>
          <w:szCs w:val="32"/>
          <w:lang w:val="en-US" w:eastAsia="zh-CN"/>
        </w:rPr>
        <w:br w:type="textWrapping"/>
      </w:r>
      <w:bookmarkStart w:id="129" w:name="11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第一百一十六条</w:t>
      </w:r>
      <w:bookmarkEnd w:id="129"/>
      <w:r>
        <w:rPr>
          <w:rFonts w:hint="eastAsia" w:ascii="宋体" w:hAnsi="宋体" w:cs="仿宋_GB2312"/>
          <w:sz w:val="32"/>
          <w:szCs w:val="32"/>
          <w:lang w:val="en-US" w:eastAsia="zh-CN"/>
        </w:rPr>
        <w:t>　县级以上人民政府食品安全监督管理等部门应当加强对执法人员食品安全法律、法规、标准和专业知识与执法能力等的培训，并组织考核。不具备相应知识和能力的，不得从事食品安全执法工作。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食品行业协会、消费者协会等发现食品安全执法人员在执法过程中有违反法律、法规规定的行为以及不规范执法行为的，可以向本级或者上级人民政府食品安全监督管理等部门或者监察机关投诉、举报。接到投诉、举报的部门或者机关应当进行核实，并将经核实的情况向食品安全执法人员所在部门通报；涉嫌违法违纪的，按照本法和有关规定处理。</w:t>
      </w:r>
      <w:r>
        <w:rPr>
          <w:rFonts w:hint="eastAsia" w:ascii="宋体" w:hAnsi="宋体" w:cs="仿宋_GB2312"/>
          <w:sz w:val="32"/>
          <w:szCs w:val="32"/>
          <w:lang w:val="en-US" w:eastAsia="zh-CN"/>
        </w:rPr>
        <w:br w:type="textWrapping"/>
      </w:r>
      <w:bookmarkStart w:id="130" w:name="11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第一百一十七条</w:t>
      </w:r>
      <w:bookmarkEnd w:id="130"/>
      <w:r>
        <w:rPr>
          <w:rFonts w:hint="eastAsia" w:ascii="宋体" w:hAnsi="宋体" w:cs="仿宋_GB2312"/>
          <w:sz w:val="32"/>
          <w:szCs w:val="32"/>
          <w:lang w:val="en-US" w:eastAsia="zh-CN"/>
        </w:rPr>
        <w:t>　县级以上人民政府食品安全监督管理等部门未及时发现食品安全系统性风险，未及时消除监督管理区域内的食品安全隐患的，本级人民政府可以对其主要负责人进行责任约谈。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地方人民政府未履行食品安全职责，未及时消除区域性重大食品安全隐患的，上级人民政府可以对其主要负责人进行责任约谈。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被约谈的食品安全监督管理等部门、地方人民政府应当立即采取措施，对食品安全监督管理工作进行整改。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责任约谈情况和整改情况应当纳入地方人民政府和有关部门食品安全监督管理工作评议、考核记录。</w:t>
      </w:r>
      <w:r>
        <w:rPr>
          <w:rFonts w:hint="eastAsia" w:ascii="宋体" w:hAnsi="宋体" w:cs="仿宋_GB2312"/>
          <w:sz w:val="32"/>
          <w:szCs w:val="32"/>
          <w:lang w:val="en-US" w:eastAsia="zh-CN"/>
        </w:rPr>
        <w:br w:type="textWrapping"/>
      </w:r>
      <w:bookmarkStart w:id="131" w:name="11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第一百一十八条</w:t>
      </w:r>
      <w:bookmarkEnd w:id="131"/>
      <w:r>
        <w:rPr>
          <w:rFonts w:hint="eastAsia" w:ascii="宋体" w:hAnsi="宋体" w:cs="仿宋_GB2312"/>
          <w:sz w:val="32"/>
          <w:szCs w:val="32"/>
          <w:lang w:val="en-US" w:eastAsia="zh-CN"/>
        </w:rPr>
        <w:t>　国家建立统一的食品安全信息平台，实行食品安全信息统一公布制度。国家食品安全总体情况、食品安全风险警示信息、重大食品安全事故及其调查处理信息和国务院确定需要统一公布的其他信息由国务院食品安全监督管理部门统一公布。食品安全风险警示信息和重大食品安全事故及其调查处理信息的影响限于特定区域的，也可以由有关省、自治区、直辖市人民政府食品安全监督管理部门公布。未经授权不得发布上述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县级以上人民政府食品安全监督管理、农业行政部门依据各自职责公布食品安全日常监督管理信息。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公布食品安全信息，应当做到准确、及时，并进行必要的解释说明，避免误导消费者和社会舆论。</w:t>
      </w:r>
      <w:r>
        <w:rPr>
          <w:rFonts w:hint="eastAsia" w:ascii="宋体" w:hAnsi="宋体" w:cs="仿宋_GB2312"/>
          <w:sz w:val="32"/>
          <w:szCs w:val="32"/>
          <w:lang w:val="en-US" w:eastAsia="zh-CN"/>
        </w:rPr>
        <w:br w:type="textWrapping"/>
      </w:r>
      <w:bookmarkStart w:id="132" w:name="11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第一百一十九条</w:t>
      </w:r>
      <w:bookmarkEnd w:id="13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县级以上地方人民政府食品安全监督管理、卫生行政、农业行政部门获知本法规定需要统一公布的信息，应当向上级主管部门报告，由上级主管部门立即报告国务院食品安全监督管理部门；必要时，可以直接向国务院食品安全监督管理部门报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县级以上人民政府食品安全监督管理、卫生行政、农业行政部门应当相互通报获知的食品安全信息。</w:t>
      </w:r>
      <w:r>
        <w:rPr>
          <w:rFonts w:hint="eastAsia" w:ascii="宋体" w:hAnsi="宋体" w:cs="仿宋_GB2312"/>
          <w:sz w:val="32"/>
          <w:szCs w:val="32"/>
          <w:lang w:val="en-US" w:eastAsia="zh-CN"/>
        </w:rPr>
        <w:br w:type="textWrapping"/>
      </w:r>
      <w:bookmarkStart w:id="133" w:name="12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第一百二十条</w:t>
      </w:r>
      <w:bookmarkEnd w:id="133"/>
      <w:r>
        <w:rPr>
          <w:rFonts w:hint="eastAsia" w:ascii="宋体" w:hAnsi="宋体" w:cs="仿宋_GB2312"/>
          <w:sz w:val="32"/>
          <w:szCs w:val="32"/>
          <w:lang w:val="en-US" w:eastAsia="zh-CN"/>
        </w:rPr>
        <w:t>　任何单位和个人不得编造、散布虚假食品安全信息。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县级以上人民政府食品安全监督管理部门发现可能误导消费者和社会舆论的食品安全信息，应当立即组织有关部门、专业机构、相关食品生产经营者等进行核实、分析，并及时公布结果。</w:t>
      </w:r>
      <w:r>
        <w:rPr>
          <w:rFonts w:hint="eastAsia" w:ascii="宋体" w:hAnsi="宋体" w:cs="仿宋_GB2312"/>
          <w:sz w:val="32"/>
          <w:szCs w:val="32"/>
          <w:lang w:val="en-US" w:eastAsia="zh-CN"/>
        </w:rPr>
        <w:br w:type="textWrapping"/>
      </w:r>
      <w:bookmarkStart w:id="134" w:name="121"/>
      <w:r>
        <w:rPr>
          <w:rFonts w:hint="eastAsia" w:ascii="宋体" w:hAnsi="宋体" w:eastAsia="黑体" w:cs="黑体"/>
          <w:sz w:val="32"/>
          <w:szCs w:val="32"/>
          <w:lang w:val="en-US" w:eastAsia="zh-CN"/>
        </w:rPr>
        <w:t>　  第一百二十一条</w:t>
      </w:r>
      <w:bookmarkEnd w:id="13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县级以上人民政府食品安全监督管理等部门发现涉嫌食品安全犯罪的，应当按照有关规定及时将案件移送公安机关。对移送的案件，公安机关应当及时审查；认为有犯罪事实需要追究刑事责任的，应当立案侦查。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公安机关在食品安全犯罪案件侦查过程中认为没有犯罪事实，或者犯罪事实显著轻微，不需要追究刑事责任，但依法应当追究行政责任的，应当及时将案件移送食品安全监督管理等部门和监察机关，有关部门应当依法处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公安机关商请食品安全监督管理、生态环境等部门提供检验结论、认定意见以及对涉案物品进行无害化处理等协助的，有关部门应当及时提供，予以协助。</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第九章　法律责任</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135" w:name="122"/>
      <w:r>
        <w:rPr>
          <w:rFonts w:hint="eastAsia" w:ascii="宋体" w:hAnsi="宋体" w:eastAsia="黑体" w:cs="黑体"/>
          <w:sz w:val="32"/>
          <w:szCs w:val="32"/>
          <w:lang w:val="en-US" w:eastAsia="zh-CN"/>
        </w:rPr>
        <w:t xml:space="preserve">    第一百二十二条</w:t>
      </w:r>
      <w:bookmarkEnd w:id="13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r>
        <w:rPr>
          <w:rFonts w:hint="eastAsia" w:ascii="宋体" w:hAnsi="宋体" w:cs="仿宋_GB2312"/>
          <w:sz w:val="32"/>
          <w:szCs w:val="32"/>
          <w:lang w:val="en-US" w:eastAsia="zh-CN"/>
        </w:rPr>
        <w:br w:type="textWrapping"/>
      </w:r>
      <w:bookmarkStart w:id="136" w:name="123"/>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第一百二十三条</w:t>
      </w:r>
      <w:bookmarkEnd w:id="136"/>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（一）用非食品原料生产食品、在食品中添加食品添加剂以外的化学物质和其他可能危害人体健康的物质，或者用回收食品作为原料生产食品，或者经营上述食品；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（二）生产经营营养成分不符合食品安全标准的专供婴幼儿和其他特定人群的主辅食品；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（三）经营病死、毒死或者死因不明的禽、畜、兽、水产动物肉类，或者生产经营其制品；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（四）经营未按规定进行检疫或者检疫不合格的肉类，或者生产经营未经检验或者检验不合格的肉类制品；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（五）生产经营国家为防病等特殊需要明令禁止生产经营的食品；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（六）生产经营添加药品的食品。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违法使用剧毒、高毒农药的，除依照有关法律、法规规定给予处罚外，可以由公安机关依照第一款规定给予拘留。</w:t>
      </w:r>
      <w:r>
        <w:rPr>
          <w:rFonts w:hint="eastAsia" w:ascii="宋体" w:hAnsi="宋体" w:cs="仿宋_GB2312"/>
          <w:sz w:val="32"/>
          <w:szCs w:val="32"/>
          <w:lang w:val="en-US" w:eastAsia="zh-CN"/>
        </w:rPr>
        <w:br w:type="textWrapping"/>
      </w:r>
      <w:bookmarkStart w:id="137" w:name="12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第一百二十四条</w:t>
      </w:r>
      <w:bookmarkEnd w:id="137"/>
      <w:r>
        <w:rPr>
          <w:rFonts w:hint="eastAsia" w:ascii="宋体" w:hAnsi="宋体" w:cs="仿宋_GB2312"/>
          <w:sz w:val="32"/>
          <w:szCs w:val="32"/>
          <w:lang w:val="en-US" w:eastAsia="zh-CN"/>
        </w:rPr>
        <w:t>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（一）生产经营致病性微生物，农药残留、兽药残留、生物毒素、重金属等污染物质以及其他危害人体健康的物质含量超过食品安全标准限量的食品、食品添加剂；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（二）用超过保质期的食品原料、食品添加剂生产食品、食品添加剂，或者经营上述食品、食品添加剂；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（三）生产经营超范围、超限量使用食品添加剂的食品；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（四）生产经营腐败变质、油脂酸败、霉变生虫、污秽不洁、混有异物、掺假掺杂或者感官性状异常的食品、食品添加剂；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（五）生产经营标注虚假生产日期、保质期或者超过保质期的食品、食品添加剂；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（六）生产经营未按规定注册的保健食品、特殊医学用途配方食品、婴幼儿配方乳粉，或者未按注册的产品配方、生产工艺等技术要求组织生产；</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（七）以分装方式生产婴幼儿配方乳粉，或者同一企业以同一配方生产不同品牌的婴幼儿配方乳粉；</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（八）利用新的食品原料生产食品，或者生产食品添加剂新品种，未通过安全性评估；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（九）食品生产经营者在食品安全监督管理部门责令其召回或者停止经营后，仍拒不召回或者停止经营。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除前款和本法第一百二十三条、第一百二十五条规定的情形外，生产经营不符合法律、法规或者食品安全标准的食品、食品添加剂的，依照前款规定给予处罚。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生产食品相关产品新品种，未通过安全性评估，或者生产不符合食品安全标准的食品相关产品的，由县级以上人民政府食品安全监督管理部门依照第一款规定给予处罚。</w:t>
      </w:r>
      <w:r>
        <w:rPr>
          <w:rFonts w:hint="eastAsia" w:ascii="宋体" w:hAnsi="宋体" w:cs="仿宋_GB2312"/>
          <w:sz w:val="32"/>
          <w:szCs w:val="32"/>
          <w:lang w:val="en-US" w:eastAsia="zh-CN"/>
        </w:rPr>
        <w:br w:type="textWrapping"/>
      </w:r>
      <w:bookmarkStart w:id="138" w:name="12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第一百二十五条</w:t>
      </w:r>
      <w:bookmarkEnd w:id="138"/>
      <w:r>
        <w:rPr>
          <w:rFonts w:hint="eastAsia" w:ascii="宋体" w:hAnsi="宋体" w:cs="仿宋_GB2312"/>
          <w:sz w:val="32"/>
          <w:szCs w:val="32"/>
          <w:lang w:val="en-US" w:eastAsia="zh-CN"/>
        </w:rPr>
        <w:t>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（一）生产经营被包装材料、容器、运输工具等污染的食品、食品添加剂；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（二）生产经营无标签的预包装食品、食品添加剂或者标签、说明书不符合本法规定的食品、食品添加剂；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（三）生产经营转基因食品未按规定进行标示；</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（四）食品生产经营者采购或者使用不符合食品安全标准的食品原料、食品添加剂、食品相关产品。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生产经营的食品、食品添加剂的标签、说明书存在瑕疵但不影响食品安全且不会对消费者造成误导的，由县级以上人民政府食品安全监督管理部门责令改正；拒不改正的，处二千元以下罚款。</w:t>
      </w:r>
      <w:r>
        <w:rPr>
          <w:rFonts w:hint="eastAsia" w:ascii="宋体" w:hAnsi="宋体" w:cs="仿宋_GB2312"/>
          <w:sz w:val="32"/>
          <w:szCs w:val="32"/>
          <w:lang w:val="en-US" w:eastAsia="zh-CN"/>
        </w:rPr>
        <w:br w:type="textWrapping"/>
      </w:r>
      <w:bookmarkStart w:id="139" w:name="126"/>
      <w:r>
        <w:rPr>
          <w:rFonts w:hint="eastAsia" w:ascii="宋体" w:hAnsi="宋体" w:eastAsia="黑体" w:cs="黑体"/>
          <w:sz w:val="32"/>
          <w:szCs w:val="32"/>
          <w:lang w:val="en-US" w:eastAsia="zh-CN"/>
        </w:rPr>
        <w:t>　  第一百二十六条</w:t>
      </w:r>
      <w:bookmarkEnd w:id="139"/>
      <w:r>
        <w:rPr>
          <w:rFonts w:hint="eastAsia" w:ascii="宋体" w:hAnsi="宋体" w:cs="仿宋_GB2312"/>
          <w:sz w:val="32"/>
          <w:szCs w:val="32"/>
          <w:lang w:val="en-US" w:eastAsia="zh-CN"/>
        </w:rPr>
        <w:t>　违反本法规定，有下列情形之一的，由县级以上人民政府食品安全监督管理部门责令改正，给予警告；拒不改正的，处五千元以上五万元以下罚款；情节严重的，责令停产停业，直至吊销许可证：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（一）食品、食品添加剂生产者未按规定对采购的食品原料和生产的食品、食品添加剂进行检验；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（二）食品生产经营企业未按规定建立食品安全管理制度，或者未按规定配备或者培训、考核食品安全管理人员；</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（三）食品、食品添加剂生产经营者进货时未查验许可证和相关证明文件，或者未按规定建立并遵守进货查验记录、出厂检验记录和销售记录制度；</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（四）食品生产经营企业未制定食品安全事故处置方案；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（五）餐具、饮具和盛放直接入口食品的容器，使用前未经洗净、消毒或者清洗消毒不合格，或者餐饮服务设施、设备未按规定定期维护、清洗、校验；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（六）食品生产经营者安排未取得健康证明或者患有国务院卫生行政部门规定的有碍食品安全疾病的人员从事接触直接入口食品的工作；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（七）食品经营者未按规定要求销售食品；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（八）保健食品生产企业未按规定向食品安全监督管理部门备案，或者未按备案的产品配方、生产工艺等技术要求组织生产；</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（九）婴幼儿配方食品生产企业未将食品原料、食品添加剂、产品配方、标签等向食品安全监督管理部门备案；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（十）特殊食品生产企业未按规定建立生产质量管理体系并有效运行，或者未定期提交自查报告；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（十一）食品生产经营者未定期对食品安全状况进行检查评价，或者生产经营条件发生变化，未按规定处理；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（十二）学校、托幼机构、养老机构、建筑工地等集中用餐单位未按规定履行食品安全管理责任；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（十三）食品生产企业、餐饮服务提供者未按规定制定、实施生产经营过程控制要求。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食品相关产品生产者未按规定对生产的食品相关产品进行检验的，由县级以上人民政府食品安全监督管理部门依照第一款规定给予处罚。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食用农产品销售者违反本法第六十五条规定的，由县级以上人民政府食品安全监督管理部门依照第一款规定给予处罚。</w:t>
      </w:r>
      <w:r>
        <w:rPr>
          <w:rFonts w:hint="eastAsia" w:ascii="宋体" w:hAnsi="宋体" w:cs="仿宋_GB2312"/>
          <w:sz w:val="32"/>
          <w:szCs w:val="32"/>
          <w:lang w:val="en-US" w:eastAsia="zh-CN"/>
        </w:rPr>
        <w:br w:type="textWrapping"/>
      </w:r>
      <w:bookmarkStart w:id="140" w:name="127"/>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第一百二十七条</w:t>
      </w:r>
      <w:bookmarkEnd w:id="14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对食品生产加工小作坊、食品摊贩等的违法行为的处罚，依照省、自治区、直辖市制定的具体管理办法执行。</w:t>
      </w:r>
      <w:r>
        <w:rPr>
          <w:rFonts w:hint="eastAsia" w:ascii="宋体" w:hAnsi="宋体" w:cs="仿宋_GB2312"/>
          <w:sz w:val="32"/>
          <w:szCs w:val="32"/>
          <w:lang w:val="en-US" w:eastAsia="zh-CN"/>
        </w:rPr>
        <w:br w:type="textWrapping"/>
      </w:r>
      <w:bookmarkStart w:id="141" w:name="12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第一百二十八条</w:t>
      </w:r>
      <w:bookmarkEnd w:id="141"/>
      <w:r>
        <w:rPr>
          <w:rFonts w:hint="eastAsia" w:ascii="宋体" w:hAnsi="宋体" w:cs="仿宋_GB2312"/>
          <w:sz w:val="32"/>
          <w:szCs w:val="32"/>
          <w:lang w:val="en-US" w:eastAsia="zh-CN"/>
        </w:rPr>
        <w:t>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r>
        <w:rPr>
          <w:rFonts w:hint="eastAsia" w:ascii="宋体" w:hAnsi="宋体" w:cs="仿宋_GB2312"/>
          <w:sz w:val="32"/>
          <w:szCs w:val="32"/>
          <w:lang w:val="en-US" w:eastAsia="zh-CN"/>
        </w:rPr>
        <w:br w:type="textWrapping"/>
      </w:r>
      <w:bookmarkStart w:id="142" w:name="12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第一百二十九条</w:t>
      </w:r>
      <w:bookmarkEnd w:id="142"/>
      <w:r>
        <w:rPr>
          <w:rFonts w:hint="eastAsia" w:ascii="宋体" w:hAnsi="宋体" w:cs="仿宋_GB2312"/>
          <w:sz w:val="32"/>
          <w:szCs w:val="32"/>
          <w:lang w:val="en-US" w:eastAsia="zh-CN"/>
        </w:rPr>
        <w:t>　违反本法规定，有下列情形之一的，由出入境检验检疫机构依照本法第一百二十四条的规定给予处罚：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（一）提供虚假材料，进口不符合我国食品安全国家标准的食品、食品添加剂、食品相关产品；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（二）进口尚无食品安全国家标准的食品，未提交所执行的标准并经国务院卫生行政部门审查，或者进口利用新的食品原料生产的食品或者进口食品添加剂新品种、食品相关产品新品种，未通过安全性评估；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（三）未遵守本法的规定出口食品；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（四）进口商在有关主管部门责令其依照本法规定召回进口的食品后，仍拒不召回。</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违反本法规定，进口商未建立并遵守食品、食品添加剂进口和销售记录制度、境外出口商或者生产企业审核制度的，由出入境检验检疫机构依照本法第一百二十六条的规定给予处罚。</w:t>
      </w:r>
      <w:r>
        <w:rPr>
          <w:rFonts w:hint="eastAsia" w:ascii="宋体" w:hAnsi="宋体" w:cs="仿宋_GB2312"/>
          <w:sz w:val="32"/>
          <w:szCs w:val="32"/>
          <w:lang w:val="en-US" w:eastAsia="zh-CN"/>
        </w:rPr>
        <w:br w:type="textWrapping"/>
      </w:r>
      <w:bookmarkStart w:id="143" w:name="130"/>
      <w:r>
        <w:rPr>
          <w:rFonts w:hint="eastAsia" w:ascii="宋体" w:hAnsi="宋体" w:eastAsia="黑体" w:cs="黑体"/>
          <w:sz w:val="32"/>
          <w:szCs w:val="32"/>
          <w:lang w:val="en-US" w:eastAsia="zh-CN"/>
        </w:rPr>
        <w:t>　  第一百三十条</w:t>
      </w:r>
      <w:bookmarkEnd w:id="143"/>
      <w:r>
        <w:rPr>
          <w:rFonts w:hint="eastAsia" w:ascii="宋体" w:hAnsi="宋体" w:cs="仿宋_GB2312"/>
          <w:sz w:val="32"/>
          <w:szCs w:val="32"/>
          <w:lang w:val="en-US" w:eastAsia="zh-CN"/>
        </w:rPr>
        <w:t>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食用农产品批发市场违反本法第六十四条规定的，依照前款规定承担责任。</w:t>
      </w:r>
      <w:r>
        <w:rPr>
          <w:rFonts w:hint="eastAsia" w:ascii="宋体" w:hAnsi="宋体" w:cs="仿宋_GB2312"/>
          <w:sz w:val="32"/>
          <w:szCs w:val="32"/>
          <w:lang w:val="en-US" w:eastAsia="zh-CN"/>
        </w:rPr>
        <w:br w:type="textWrapping"/>
      </w:r>
      <w:bookmarkStart w:id="144" w:name="131"/>
      <w:r>
        <w:rPr>
          <w:rFonts w:hint="eastAsia" w:ascii="宋体" w:hAnsi="宋体" w:eastAsia="黑体" w:cs="黑体"/>
          <w:sz w:val="32"/>
          <w:szCs w:val="32"/>
          <w:lang w:val="en-US" w:eastAsia="zh-CN"/>
        </w:rPr>
        <w:t>　  第一百三十一条</w:t>
      </w:r>
      <w:bookmarkEnd w:id="144"/>
      <w:r>
        <w:rPr>
          <w:rFonts w:hint="eastAsia" w:ascii="宋体" w:hAnsi="宋体" w:cs="仿宋_GB2312"/>
          <w:sz w:val="32"/>
          <w:szCs w:val="32"/>
          <w:lang w:val="en-US" w:eastAsia="zh-CN"/>
        </w:rPr>
        <w:t>　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r>
        <w:rPr>
          <w:rFonts w:hint="eastAsia" w:ascii="宋体" w:hAnsi="宋体" w:cs="仿宋_GB2312"/>
          <w:sz w:val="32"/>
          <w:szCs w:val="32"/>
          <w:lang w:val="en-US" w:eastAsia="zh-CN"/>
        </w:rPr>
        <w:br w:type="textWrapping"/>
      </w:r>
      <w:bookmarkStart w:id="145" w:name="13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第一百三十二条</w:t>
      </w:r>
      <w:bookmarkEnd w:id="145"/>
      <w:r>
        <w:rPr>
          <w:rFonts w:hint="eastAsia" w:ascii="宋体" w:hAnsi="宋体" w:cs="仿宋_GB2312"/>
          <w:sz w:val="32"/>
          <w:szCs w:val="32"/>
          <w:lang w:val="en-US" w:eastAsia="zh-CN"/>
        </w:rPr>
        <w:t>　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r>
        <w:rPr>
          <w:rFonts w:hint="eastAsia" w:ascii="宋体" w:hAnsi="宋体" w:cs="仿宋_GB2312"/>
          <w:sz w:val="32"/>
          <w:szCs w:val="32"/>
          <w:lang w:val="en-US" w:eastAsia="zh-CN"/>
        </w:rPr>
        <w:br w:type="textWrapping"/>
      </w:r>
      <w:bookmarkStart w:id="146" w:name="13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第一百三十三条</w:t>
      </w:r>
      <w:bookmarkEnd w:id="146"/>
      <w:r>
        <w:rPr>
          <w:rFonts w:hint="eastAsia" w:ascii="宋体" w:hAnsi="宋体" w:cs="仿宋_GB2312"/>
          <w:sz w:val="32"/>
          <w:szCs w:val="32"/>
          <w:lang w:val="en-US" w:eastAsia="zh-CN"/>
        </w:rPr>
        <w:t>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违反本法规定，对举报人以解除、变更劳动合同或者其他方式打击报复的，应当依照有关法律的规定承担责任。</w:t>
      </w:r>
      <w:r>
        <w:rPr>
          <w:rFonts w:hint="eastAsia" w:ascii="宋体" w:hAnsi="宋体" w:cs="仿宋_GB2312"/>
          <w:sz w:val="32"/>
          <w:szCs w:val="32"/>
          <w:lang w:val="en-US" w:eastAsia="zh-CN"/>
        </w:rPr>
        <w:br w:type="textWrapping"/>
      </w:r>
      <w:bookmarkStart w:id="147" w:name="13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第一百三十四条</w:t>
      </w:r>
      <w:bookmarkEnd w:id="147"/>
      <w:r>
        <w:rPr>
          <w:rFonts w:hint="eastAsia" w:ascii="宋体" w:hAnsi="宋体" w:cs="仿宋_GB2312"/>
          <w:sz w:val="32"/>
          <w:szCs w:val="32"/>
          <w:lang w:val="en-US" w:eastAsia="zh-CN"/>
        </w:rPr>
        <w:t>　食品生产经营者在一年内累计三次因违反本法规定受到责令停产停业、吊销许可证以外处罚的，由食品安全监督管理部门责令停产停业，直至吊销许可证。</w:t>
      </w:r>
      <w:r>
        <w:rPr>
          <w:rFonts w:hint="eastAsia" w:ascii="宋体" w:hAnsi="宋体" w:cs="仿宋_GB2312"/>
          <w:sz w:val="32"/>
          <w:szCs w:val="32"/>
          <w:lang w:val="en-US" w:eastAsia="zh-CN"/>
        </w:rPr>
        <w:br w:type="textWrapping"/>
      </w:r>
      <w:bookmarkStart w:id="148" w:name="13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第一百三十五条</w:t>
      </w:r>
      <w:bookmarkEnd w:id="148"/>
      <w:r>
        <w:rPr>
          <w:rFonts w:hint="eastAsia" w:ascii="宋体" w:hAnsi="宋体" w:cs="仿宋_GB2312"/>
          <w:sz w:val="32"/>
          <w:szCs w:val="32"/>
          <w:lang w:val="en-US" w:eastAsia="zh-CN"/>
        </w:rPr>
        <w:t>　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因食品安全犯罪被判处有期徒刑以上刑罚的，终身不得从事食品生产经营管理工作，也不得担任食品生产经营企业食品安全管理人员。</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食品生产经营者聘用人员违反前两款规定的，由县级以上人民政府食品安全监督管理部门吊销许可证。</w:t>
      </w:r>
      <w:r>
        <w:rPr>
          <w:rFonts w:hint="eastAsia" w:ascii="宋体" w:hAnsi="宋体" w:cs="仿宋_GB2312"/>
          <w:sz w:val="32"/>
          <w:szCs w:val="32"/>
          <w:lang w:val="en-US" w:eastAsia="zh-CN"/>
        </w:rPr>
        <w:br w:type="textWrapping"/>
      </w:r>
      <w:bookmarkStart w:id="149" w:name="13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第一百三十六条</w:t>
      </w:r>
      <w:bookmarkEnd w:id="149"/>
      <w:r>
        <w:rPr>
          <w:rFonts w:hint="eastAsia" w:ascii="宋体" w:hAnsi="宋体" w:cs="仿宋_GB2312"/>
          <w:sz w:val="32"/>
          <w:szCs w:val="32"/>
          <w:lang w:val="en-US" w:eastAsia="zh-CN"/>
        </w:rPr>
        <w:t>　食品经营者履行了本法规定的进货查验等义务，有充分证据证明其不知道所采购的食品不符合食品安全标准，并能如实说明其进货来源的，可以免予处罚，但应当依法没收其不符合食品安全标准的食品；造成人身、财产或者其他损害的，依法承担赔偿责任。</w:t>
      </w:r>
      <w:r>
        <w:rPr>
          <w:rFonts w:hint="eastAsia" w:ascii="宋体" w:hAnsi="宋体" w:cs="仿宋_GB2312"/>
          <w:sz w:val="32"/>
          <w:szCs w:val="32"/>
          <w:lang w:val="en-US" w:eastAsia="zh-CN"/>
        </w:rPr>
        <w:br w:type="textWrapping"/>
      </w:r>
      <w:bookmarkStart w:id="150" w:name="13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第一百三十七条</w:t>
      </w:r>
      <w:bookmarkEnd w:id="150"/>
      <w:r>
        <w:rPr>
          <w:rFonts w:hint="eastAsia" w:ascii="宋体" w:hAnsi="宋体" w:cs="仿宋_GB2312"/>
          <w:sz w:val="32"/>
          <w:szCs w:val="32"/>
          <w:lang w:val="en-US" w:eastAsia="zh-CN"/>
        </w:rPr>
        <w:t>　违反本法规定，承担食品安全风险监测、风险评估工作的技术机构、技术人员提供虚假监测、评估信息的，依法对技术机构直接负责的主管人员和技术人员给予撤职、开除处分；有执业资格的，由授予其资格的主管部门吊销执业证书。</w:t>
      </w:r>
      <w:r>
        <w:rPr>
          <w:rFonts w:hint="eastAsia" w:ascii="宋体" w:hAnsi="宋体" w:cs="仿宋_GB2312"/>
          <w:sz w:val="32"/>
          <w:szCs w:val="32"/>
          <w:lang w:val="en-US" w:eastAsia="zh-CN"/>
        </w:rPr>
        <w:br w:type="textWrapping"/>
      </w:r>
      <w:bookmarkStart w:id="151" w:name="13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第一百三十八条</w:t>
      </w:r>
      <w:bookmarkEnd w:id="15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反本法规定，受到开除处分的食品检验机构人员，自处分决定作出之日起十年内不得从事食品检验工作；因食品安全违法行为受到刑事处罚或者因出具虚假检验报告导致发生重大食品安全事故受到开除处分的食品检验机构人员，终身不得从事食品检验工作。食品检验机构聘用不得从事食品检验工作的人员的，由授予其资质的主管部门或者机构撤销该食品检验机构的检验资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食品检验机构出具虚假检验报告，使消费者的合法权益受到损害的，应当与食品生产经营者承担连带责任。</w:t>
      </w:r>
      <w:r>
        <w:rPr>
          <w:rFonts w:hint="eastAsia" w:ascii="宋体" w:hAnsi="宋体" w:cs="仿宋_GB2312"/>
          <w:sz w:val="32"/>
          <w:szCs w:val="32"/>
          <w:lang w:val="en-US" w:eastAsia="zh-CN"/>
        </w:rPr>
        <w:br w:type="textWrapping"/>
      </w:r>
      <w:bookmarkStart w:id="152" w:name="139"/>
      <w:r>
        <w:rPr>
          <w:rFonts w:hint="eastAsia" w:ascii="宋体" w:hAnsi="宋体" w:eastAsia="黑体" w:cs="黑体"/>
          <w:sz w:val="32"/>
          <w:szCs w:val="32"/>
          <w:lang w:val="en-US" w:eastAsia="zh-CN"/>
        </w:rPr>
        <w:t>　  第一百三十九条</w:t>
      </w:r>
      <w:bookmarkEnd w:id="152"/>
      <w:r>
        <w:rPr>
          <w:rFonts w:hint="eastAsia" w:ascii="宋体" w:hAnsi="宋体" w:cs="仿宋_GB2312"/>
          <w:sz w:val="32"/>
          <w:szCs w:val="32"/>
          <w:lang w:val="en-US" w:eastAsia="zh-CN"/>
        </w:rPr>
        <w:t>　违反本法规定，认证机构出具虚假认证结论，由认证认可监督管理部门没收所收取的认证费用，并处认证费用五倍以上十倍以下罚款，认证费用不足一万元的，并处五万元以上十万元以下罚款；情节严重的，责令停业，直至撤销认证机构批准文件，并向社会公布；对直接负责的主管人员和负有直接责任的认证人员，撤销其执业资格。</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认证机构出具虚假认证结论，使消费者的合法权益受到损害的，应当与食品生产经营者承担连带责任。</w:t>
      </w:r>
      <w:r>
        <w:rPr>
          <w:rFonts w:hint="eastAsia" w:ascii="宋体" w:hAnsi="宋体" w:cs="仿宋_GB2312"/>
          <w:sz w:val="32"/>
          <w:szCs w:val="32"/>
          <w:lang w:val="en-US" w:eastAsia="zh-CN"/>
        </w:rPr>
        <w:br w:type="textWrapping"/>
      </w:r>
      <w:bookmarkStart w:id="153" w:name="140"/>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第一百四十条</w:t>
      </w:r>
      <w:bookmarkEnd w:id="153"/>
      <w:r>
        <w:rPr>
          <w:rFonts w:hint="eastAsia" w:ascii="宋体" w:hAnsi="宋体" w:cs="仿宋_GB2312"/>
          <w:sz w:val="32"/>
          <w:szCs w:val="32"/>
          <w:lang w:val="en-US" w:eastAsia="zh-CN"/>
        </w:rPr>
        <w:t>　违反本法规定，在广告中对食品作虚假宣传，欺骗消费者，或者发布未取得批准文件、广告内容与批准文件不一致的保健食品广告的，依照《</w:t>
      </w:r>
      <w:r>
        <w:rPr>
          <w:rFonts w:hint="eastAsia" w:ascii="宋体" w:hAnsi="宋体" w:cs="仿宋_GB2312"/>
          <w:sz w:val="32"/>
          <w:szCs w:val="32"/>
          <w:lang w:val="en-US" w:eastAsia="zh-CN"/>
        </w:rPr>
        <w:fldChar w:fldCharType="begin"/>
      </w:r>
      <w:r>
        <w:rPr>
          <w:rFonts w:hint="eastAsia" w:ascii="宋体" w:hAnsi="宋体" w:cs="仿宋_GB2312"/>
          <w:sz w:val="32"/>
          <w:szCs w:val="32"/>
          <w:lang w:val="en-US" w:eastAsia="zh-CN"/>
        </w:rPr>
        <w:instrText xml:space="preserve"> HYPERLINK "http://172.17.252.5/FullText/fulltext_form.aspx?db=chl&amp;gid=328289&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6aOf5ZOB5a6J5YWo5rOVJScpIAYFAAAADS3lj5HluIPml6XmnJ8GBgAAAA/po5/lk4Hlronlhajms5UAAAsBAAD//javascript:SLC(325018,0)" </w:instrText>
      </w:r>
      <w:r>
        <w:rPr>
          <w:rFonts w:hint="eastAsia" w:ascii="宋体" w:hAnsi="宋体" w:cs="仿宋_GB2312"/>
          <w:sz w:val="32"/>
          <w:szCs w:val="32"/>
          <w:lang w:val="en-US" w:eastAsia="zh-CN"/>
        </w:rPr>
        <w:fldChar w:fldCharType="separate"/>
      </w:r>
      <w:r>
        <w:rPr>
          <w:rFonts w:hint="eastAsia" w:ascii="宋体" w:hAnsi="宋体" w:cs="仿宋_GB2312"/>
          <w:sz w:val="32"/>
          <w:szCs w:val="32"/>
          <w:lang w:eastAsia="zh-CN"/>
        </w:rPr>
        <w:t>中华人民共和国广告法</w:t>
      </w:r>
      <w:r>
        <w:rPr>
          <w:rFonts w:hint="eastAsia" w:ascii="宋体" w:hAnsi="宋体" w:cs="仿宋_GB2312"/>
          <w:sz w:val="32"/>
          <w:szCs w:val="32"/>
          <w:lang w:val="en-US" w:eastAsia="zh-CN"/>
        </w:rPr>
        <w:fldChar w:fldCharType="end"/>
      </w:r>
      <w:r>
        <w:rPr>
          <w:rFonts w:hint="eastAsia" w:ascii="宋体" w:hAnsi="宋体" w:cs="仿宋_GB2312"/>
          <w:sz w:val="32"/>
          <w:szCs w:val="32"/>
          <w:lang w:val="en-US" w:eastAsia="zh-CN"/>
        </w:rPr>
        <w:t>》的规定给予处罚。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广告经营者、发布者设计、制作、发布虚假食品广告，使消费者的合法权益受到损害的，应当与食品生产经营者承担连带责任。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社会团体或者其他组织、个人在虚假广告或者其他虚假宣传中向消费者推荐食品，使消费者的合法权益受到损害的，应当与食品生产经营者承担连带责任。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反本法规定，食品安全监督管理等部门、食品检验机构、食品行业协会以广告或者其他形式向消费者推荐食品，消费者组织以收取费用或者其他牟取利益的方式向消费者推荐食品的，由有关主管部门没收违法所得，依法对直接负责的主管人员和其他直接责任人员给予记大过、降级或者撤职处分；情节严重的，给予开除处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r>
        <w:rPr>
          <w:rFonts w:hint="eastAsia" w:ascii="宋体" w:hAnsi="宋体" w:cs="仿宋_GB2312"/>
          <w:sz w:val="32"/>
          <w:szCs w:val="32"/>
          <w:lang w:val="en-US" w:eastAsia="zh-CN"/>
        </w:rPr>
        <w:br w:type="textWrapping"/>
      </w:r>
      <w:bookmarkStart w:id="154" w:name="14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第一百四十一条</w:t>
      </w:r>
      <w:bookmarkEnd w:id="15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违反本法规定，编造、散布虚假食品安全信息，构成违反治安管理行为的，由公安机关依法给予治安管理处罚。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媒体编造、散布虚假食品安全信息的，由有关主管部门依法给予处罚，并对直接负责的主管人员和其他直接责任人员给予处分；使公民、法人或者其他组织的合法权益受到损害的，依法承担消除影响、恢复名誉、赔偿损失、赔礼道歉等民事责任。</w:t>
      </w:r>
      <w:r>
        <w:rPr>
          <w:rFonts w:hint="eastAsia" w:ascii="宋体" w:hAnsi="宋体" w:cs="仿宋_GB2312"/>
          <w:sz w:val="32"/>
          <w:szCs w:val="32"/>
          <w:lang w:val="en-US" w:eastAsia="zh-CN"/>
        </w:rPr>
        <w:br w:type="textWrapping"/>
      </w:r>
      <w:bookmarkStart w:id="155" w:name="14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第一百四十二条</w:t>
      </w:r>
      <w:bookmarkEnd w:id="15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县级以上地方人民政府有下列行为之一的，对直接负责的主管人员和其他直接责任人员给予记大过处分；情节较重的，给予降级或者撤职处分；情节严重的，给予开除处分；造成严重后果的，其主要负责人还应当引咎辞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（一）对发生在本行政区域内的食品安全事故，未及时组织协调有关部门开展有效处置，造成不良影响或者损失；</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（二）对本行政区域内涉及多环节的区域性食品安全问题，未及时组织整治，造成不良影响或者损失；</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（三）隐瞒、谎报、缓报食品安全事故；</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（四）本行政区域内发生特别重大食品安全事故，或者连续发生重大食品安全事故。</w:t>
      </w:r>
      <w:r>
        <w:rPr>
          <w:rFonts w:hint="eastAsia" w:ascii="宋体" w:hAnsi="宋体" w:cs="仿宋_GB2312"/>
          <w:sz w:val="32"/>
          <w:szCs w:val="32"/>
          <w:lang w:val="en-US" w:eastAsia="zh-CN"/>
        </w:rPr>
        <w:br w:type="textWrapping"/>
      </w:r>
      <w:bookmarkStart w:id="156" w:name="14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第一百四十三条</w:t>
      </w:r>
      <w:bookmarkEnd w:id="156"/>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违反本法规定，县级以上地方人民政府有下列行为之一的，对直接负责的主管人员和其他直接责任人员给予警告、记过或者记大过处分；造成严重后果的，给予降级或者撤职处分: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（一）未确定有关部门的食品安全监督管理职责，未建立健全食品安全全程监督管理工作机制和信息共享机制，未落实食品安全监督管理责任制；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（二）未制定本行政区域的食品安全事故应急预案，或者发生食品安全事故后未按规定立即成立事故处置指挥机构、启动应急预案。</w:t>
      </w:r>
      <w:r>
        <w:rPr>
          <w:rFonts w:hint="eastAsia" w:ascii="宋体" w:hAnsi="宋体" w:cs="仿宋_GB2312"/>
          <w:sz w:val="32"/>
          <w:szCs w:val="32"/>
          <w:lang w:val="en-US" w:eastAsia="zh-CN"/>
        </w:rPr>
        <w:br w:type="textWrapping"/>
      </w:r>
      <w:bookmarkStart w:id="157" w:name="144"/>
      <w:r>
        <w:rPr>
          <w:rFonts w:hint="eastAsia" w:ascii="宋体" w:hAnsi="宋体" w:eastAsia="黑体" w:cs="黑体"/>
          <w:sz w:val="32"/>
          <w:szCs w:val="32"/>
          <w:lang w:val="en-US" w:eastAsia="zh-CN"/>
        </w:rPr>
        <w:t>　  第一百四十四条</w:t>
      </w:r>
      <w:bookmarkEnd w:id="157"/>
      <w:r>
        <w:rPr>
          <w:rFonts w:hint="eastAsia" w:ascii="宋体" w:hAnsi="宋体" w:cs="仿宋_GB2312"/>
          <w:sz w:val="32"/>
          <w:szCs w:val="32"/>
          <w:lang w:val="en-US" w:eastAsia="zh-CN"/>
        </w:rPr>
        <w:t>　违反本法规定，县级以上人民政府食品安全监督管理、卫生行政、农业行政等部门有下列行为之一的，对直接负责的主管人员和其他直接责任人员给予记大过处分；情节较重的，给予降级或者撤职处分；情节严重的，给予开除处分；造成严重后果的，其主要负责人还应当引咎辞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（一）隐瞒、谎报、缓报食品安全事故；</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（二）未按规定查处食品安全事故，或者接到食品安全事故报告未及时处理，造成事故扩大或者蔓延；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（三）经食品安全风险评估得出食品、食品添加剂、食品相关产品不安全结论后，未及时采取相应措施，造成食品安全事故或者不良社会影响；</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（四）对不符合条件的申请人准予许可，或者超越法定职权准予许可；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（五）不履行食品安全监督管理职责，导致发生食品安全事故。</w:t>
      </w:r>
      <w:r>
        <w:rPr>
          <w:rFonts w:hint="eastAsia" w:ascii="宋体" w:hAnsi="宋体" w:cs="仿宋_GB2312"/>
          <w:sz w:val="32"/>
          <w:szCs w:val="32"/>
          <w:lang w:val="en-US" w:eastAsia="zh-CN"/>
        </w:rPr>
        <w:br w:type="textWrapping"/>
      </w:r>
      <w:bookmarkStart w:id="158" w:name="14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第一百四十五条</w:t>
      </w:r>
      <w:bookmarkEnd w:id="15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县级以上人民政府食品安全监督管理、卫生行政、农业行政等部门有下列行为之一，造成不良后果的，对直接负责的主管人员和其他直接责任人员给予警告、记过或者记大过处分；情节较重的，给予降级或者撤职处分；情节严重的，给予开除处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（一）在获知有关食品安全信息后，未按规定向上级主管部门和本级人民政府报告，或者未按规定相互通报；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（二）未按规定公布食品安全信息；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（三）不履行法定职责，对查处食品安全违法行为不配合，或者滥用职权、玩忽职守、徇私舞弊。</w:t>
      </w:r>
      <w:r>
        <w:rPr>
          <w:rFonts w:hint="eastAsia" w:ascii="宋体" w:hAnsi="宋体" w:cs="仿宋_GB2312"/>
          <w:sz w:val="32"/>
          <w:szCs w:val="32"/>
          <w:lang w:val="en-US" w:eastAsia="zh-CN"/>
        </w:rPr>
        <w:br w:type="textWrapping"/>
      </w:r>
      <w:bookmarkStart w:id="159" w:name="14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第一百四十六条</w:t>
      </w:r>
      <w:bookmarkEnd w:id="15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食品安全监督管理等部门在履行食品安全监督管理职责过程中，违法实施检查、强制等执法措施，给生产经营者造成损失的，应当依法予以赔偿，对直接负责的主管人员和其他直接责任人员依法给予处分。</w:t>
      </w:r>
      <w:r>
        <w:rPr>
          <w:rFonts w:hint="eastAsia" w:ascii="宋体" w:hAnsi="宋体" w:cs="仿宋_GB2312"/>
          <w:sz w:val="32"/>
          <w:szCs w:val="32"/>
          <w:lang w:val="en-US" w:eastAsia="zh-CN"/>
        </w:rPr>
        <w:br w:type="textWrapping"/>
      </w:r>
      <w:bookmarkStart w:id="160" w:name="147"/>
      <w:r>
        <w:rPr>
          <w:rFonts w:hint="eastAsia" w:ascii="宋体" w:hAnsi="宋体" w:cs="仿宋_GB2312"/>
          <w:sz w:val="32"/>
          <w:szCs w:val="32"/>
          <w:lang w:val="en-US" w:eastAsia="zh-CN"/>
        </w:rPr>
        <w:t xml:space="preserve">　 </w:t>
      </w:r>
      <w:r>
        <w:rPr>
          <w:rFonts w:hint="eastAsia" w:ascii="黑体" w:hAnsi="黑体" w:eastAsia="黑体" w:cs="黑体"/>
          <w:sz w:val="32"/>
          <w:szCs w:val="32"/>
          <w:lang w:val="en-US" w:eastAsia="zh-CN"/>
        </w:rPr>
        <w:t>第一百四十七条</w:t>
      </w:r>
      <w:bookmarkEnd w:id="160"/>
      <w:r>
        <w:rPr>
          <w:rFonts w:hint="eastAsia" w:ascii="宋体" w:hAnsi="宋体" w:cs="仿宋_GB2312"/>
          <w:sz w:val="32"/>
          <w:szCs w:val="32"/>
          <w:lang w:val="en-US" w:eastAsia="zh-CN"/>
        </w:rPr>
        <w:t>　违反本法规定，造成人身、财产或者其他损害的，依法承担赔偿责任。生产经营者财产不足以同时承担民事赔偿责任和缴纳罚款、罚金时，先承担民事赔偿责任。</w:t>
      </w:r>
      <w:r>
        <w:rPr>
          <w:rFonts w:hint="eastAsia" w:ascii="宋体" w:hAnsi="宋体" w:cs="仿宋_GB2312"/>
          <w:sz w:val="32"/>
          <w:szCs w:val="32"/>
          <w:lang w:val="en-US" w:eastAsia="zh-CN"/>
        </w:rPr>
        <w:br w:type="textWrapping"/>
      </w:r>
      <w:bookmarkStart w:id="161" w:name="148"/>
      <w:r>
        <w:rPr>
          <w:rFonts w:hint="eastAsia" w:ascii="宋体" w:hAnsi="宋体" w:cs="仿宋_GB2312"/>
          <w:sz w:val="32"/>
          <w:szCs w:val="32"/>
          <w:lang w:val="en-US" w:eastAsia="zh-CN"/>
        </w:rPr>
        <w:t>　</w:t>
      </w:r>
      <w:r>
        <w:rPr>
          <w:rFonts w:hint="eastAsia" w:ascii="黑体" w:hAnsi="黑体" w:eastAsia="黑体" w:cs="黑体"/>
          <w:sz w:val="32"/>
          <w:szCs w:val="32"/>
          <w:lang w:val="en-US" w:eastAsia="zh-CN"/>
        </w:rPr>
        <w:t xml:space="preserve"> 第一百四十八条</w:t>
      </w:r>
      <w:bookmarkEnd w:id="161"/>
      <w:r>
        <w:rPr>
          <w:rFonts w:hint="eastAsia" w:ascii="宋体" w:hAnsi="宋体" w:cs="仿宋_GB2312"/>
          <w:sz w:val="32"/>
          <w:szCs w:val="32"/>
          <w:lang w:val="en-US" w:eastAsia="zh-CN"/>
        </w:rPr>
        <w:t>　消费者因不符合食品安全标准的食品受到损害的，可以向经营者要求赔偿损失，也可以向生产者要求赔偿损失。接到消费者赔偿要求的生产经营者，应当实行首负责任制，先行赔付，不得推诿；属于生产者责任的，经营者赔偿后有权向生产者追偿；属于经营者责任的，生产者赔偿后有权向经营者追偿。</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不符合食品安全标准的食品或者经营明知是不符合食品安全标准的食品，消费者除要求赔偿损失外，还可以向生产者或者经营者要求支付价款十倍或者损失三倍的赔偿金；增加赔偿的金额不足一千元的，为一千元。但是，食品的标签、说明书存在不影响食品安全且不会对消费者造成误导的瑕疵的除外。</w:t>
      </w:r>
      <w:r>
        <w:rPr>
          <w:rFonts w:hint="eastAsia" w:ascii="宋体" w:hAnsi="宋体" w:cs="仿宋_GB2312"/>
          <w:sz w:val="32"/>
          <w:szCs w:val="32"/>
          <w:lang w:val="en-US" w:eastAsia="zh-CN"/>
        </w:rPr>
        <w:br w:type="textWrapping"/>
      </w:r>
      <w:bookmarkStart w:id="162" w:name="14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第一百四十九条</w:t>
      </w:r>
      <w:bookmarkEnd w:id="162"/>
      <w:r>
        <w:rPr>
          <w:rFonts w:hint="eastAsia" w:ascii="宋体" w:hAnsi="宋体" w:cs="仿宋_GB2312"/>
          <w:sz w:val="32"/>
          <w:szCs w:val="32"/>
          <w:lang w:val="en-US" w:eastAsia="zh-CN"/>
        </w:rPr>
        <w:t>　违反本法规定，构成犯罪的，依法追究刑事责任。</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第十章　附　　则</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bookmarkStart w:id="163" w:name="15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第一百五十条</w:t>
      </w:r>
      <w:bookmarkEnd w:id="163"/>
      <w:r>
        <w:rPr>
          <w:rFonts w:hint="eastAsia" w:ascii="宋体" w:hAnsi="宋体" w:cs="仿宋_GB2312"/>
          <w:sz w:val="32"/>
          <w:szCs w:val="32"/>
          <w:lang w:val="en-US" w:eastAsia="zh-CN"/>
        </w:rPr>
        <w:t>　本法下列用语的含义：</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食品，指各种供人食用或者饮用的成品和原料以及按照传统既是食品又是中药材的物品，但是不包括以治疗为目的的物品。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食品安全，指食品无毒、无害，符合应当有的营养要求，对人体健康不造成任何急性、亚急性或者慢性危害。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预包装食品，指预先定量包装或者制作在包装材料、容器中的食品。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食品添加剂，指为改善食品品质和色、香、味以及为防腐、保鲜和加工工艺的需要而加入食品中的人工合成或者天然物质，包括营养强化剂。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用于食品的包装材料和容器，指包装、盛放食品或者食品添加剂用的纸、竹、木、金属、搪瓷、陶瓷、塑料、橡胶、天然纤维、化学纤维、玻璃等制品和直接接触食品或者食品添加剂的涂料。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用于食品生产经营的工具、设备，指在食品或者食品添加剂生产、销售、使用过程中直接接触食品或者食品添加剂的机械、管道、传送带、容器、用具、餐具等。</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用于食品的洗涤剂、消毒剂，指直接用于洗涤或者消毒食品、餐具、饮具以及直接接触食品的工具、设备或者食品包装材料和容器的物质。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食品保质期，指食品在标明的贮存条件下保持品质的期限。</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食源性疾病，指食品中致病因素进入人体引起的感染性、中毒性等疾病，包括食物中毒。</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食品安全事故，指食源性疾病、食品污染等源于食品，对人体健康有危害或者可能有危害的事故。</w:t>
      </w:r>
      <w:r>
        <w:rPr>
          <w:rFonts w:hint="eastAsia" w:ascii="宋体" w:hAnsi="宋体" w:cs="仿宋_GB2312"/>
          <w:sz w:val="32"/>
          <w:szCs w:val="32"/>
          <w:lang w:val="en-US" w:eastAsia="zh-CN"/>
        </w:rPr>
        <w:br w:type="textWrapping"/>
      </w:r>
      <w:bookmarkStart w:id="164" w:name="15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第一百五十一条</w:t>
      </w:r>
      <w:bookmarkEnd w:id="164"/>
      <w:r>
        <w:rPr>
          <w:rFonts w:hint="eastAsia" w:ascii="宋体" w:hAnsi="宋体" w:cs="仿宋_GB2312"/>
          <w:sz w:val="32"/>
          <w:szCs w:val="32"/>
          <w:lang w:val="en-US" w:eastAsia="zh-CN"/>
        </w:rPr>
        <w:t>　转基因食品和食盐的食品安全管理，本法未作规定的，适用其他法律、行政法规的规定。</w:t>
      </w:r>
      <w:r>
        <w:rPr>
          <w:rFonts w:hint="eastAsia" w:ascii="宋体" w:hAnsi="宋体" w:eastAsia="黑体" w:cs="黑体"/>
          <w:sz w:val="32"/>
          <w:szCs w:val="32"/>
          <w:lang w:val="en-US" w:eastAsia="zh-CN"/>
        </w:rPr>
        <w:br w:type="textWrapping"/>
      </w:r>
      <w:bookmarkStart w:id="165" w:name="152"/>
      <w:r>
        <w:rPr>
          <w:rFonts w:hint="eastAsia" w:ascii="宋体" w:hAnsi="宋体" w:eastAsia="黑体" w:cs="黑体"/>
          <w:sz w:val="32"/>
          <w:szCs w:val="32"/>
          <w:lang w:val="en-US" w:eastAsia="zh-CN"/>
        </w:rPr>
        <w:t>　  第一百五十二条</w:t>
      </w:r>
      <w:bookmarkEnd w:id="165"/>
      <w:r>
        <w:rPr>
          <w:rFonts w:hint="eastAsia" w:ascii="宋体" w:hAnsi="宋体" w:cs="仿宋_GB2312"/>
          <w:sz w:val="32"/>
          <w:szCs w:val="32"/>
          <w:lang w:val="en-US" w:eastAsia="zh-CN"/>
        </w:rPr>
        <w:t>　铁路、民航运营中食品安全的管理办法由国务院食品安全监督管理部门会同国务院有关部门依照本法制定。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保健食品的具体管理办法由国务院食品安全监督管理部门依照本法制定。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食品相关产品生产活动的具体管理办法由国务院食品安全监督管理部门依照本法制定。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国境口岸食品的监督管理由出入境检验检疫机构依照本法以及有关法律、行政法规的规定实施。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军队专用食品和自供食品的食品安全管理办法由中央军事委员会依照本法制定。</w:t>
      </w:r>
      <w:r>
        <w:rPr>
          <w:rFonts w:hint="eastAsia" w:ascii="宋体" w:hAnsi="宋体" w:cs="仿宋_GB2312"/>
          <w:sz w:val="32"/>
          <w:szCs w:val="32"/>
          <w:lang w:val="en-US" w:eastAsia="zh-CN"/>
        </w:rPr>
        <w:br w:type="textWrapping"/>
      </w:r>
      <w:bookmarkStart w:id="166" w:name="15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第一百五十三条</w:t>
      </w:r>
      <w:bookmarkEnd w:id="166"/>
      <w:r>
        <w:rPr>
          <w:rFonts w:hint="eastAsia" w:ascii="宋体" w:hAnsi="宋体" w:cs="仿宋_GB2312"/>
          <w:sz w:val="32"/>
          <w:szCs w:val="32"/>
          <w:lang w:val="en-US" w:eastAsia="zh-CN"/>
        </w:rPr>
        <w:t>　国务院根据实际需要，可以对食品安全监督管理体制作出调整。</w:t>
      </w:r>
      <w:r>
        <w:rPr>
          <w:rFonts w:hint="eastAsia" w:ascii="宋体" w:hAnsi="宋体" w:cs="仿宋_GB2312"/>
          <w:sz w:val="32"/>
          <w:szCs w:val="32"/>
          <w:lang w:val="en-US" w:eastAsia="zh-CN"/>
        </w:rPr>
        <w:br w:type="textWrapping"/>
      </w:r>
      <w:bookmarkStart w:id="167" w:name="154"/>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第一百五十四条</w:t>
      </w:r>
      <w:bookmarkEnd w:id="167"/>
      <w:r>
        <w:rPr>
          <w:rFonts w:hint="eastAsia" w:ascii="宋体" w:hAnsi="宋体" w:cs="仿宋_GB2312"/>
          <w:sz w:val="32"/>
          <w:szCs w:val="32"/>
          <w:lang w:val="en-US" w:eastAsia="zh-CN"/>
        </w:rPr>
        <w:t>　本法自2015年10月1日起施行。</w:t>
      </w:r>
    </w:p>
    <w:p>
      <w:pPr>
        <w:wordWrap/>
        <w:spacing w:line="560" w:lineRule="exact"/>
        <w:textAlignment w:val="auto"/>
        <w:rPr>
          <w:rFonts w:hint="eastAsia" w:ascii="宋体" w:hAnsi="宋体" w:eastAsia="宋体" w:cs="宋体"/>
          <w:kern w:val="0"/>
          <w:sz w:val="44"/>
          <w:szCs w:val="44"/>
          <w:lang w:val="en-US" w:eastAsia="zh-CN"/>
        </w:rPr>
      </w:pPr>
      <w:r>
        <w:rPr>
          <w:rFonts w:hint="eastAsia" w:ascii="宋体" w:hAnsi="宋体" w:eastAsia="宋体" w:cs="宋体"/>
          <w:kern w:val="0"/>
          <w:sz w:val="44"/>
          <w:szCs w:val="44"/>
          <w:lang w:val="en-US"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rPr>
      </w:pPr>
      <w:bookmarkStart w:id="168" w:name="_Toc31765"/>
      <w:r>
        <w:rPr>
          <w:rFonts w:hint="eastAsia" w:ascii="宋体" w:hAnsi="宋体" w:eastAsia="宋体" w:cs="宋体"/>
          <w:kern w:val="0"/>
          <w:sz w:val="44"/>
          <w:szCs w:val="44"/>
          <w:lang w:val="en-US" w:eastAsia="zh-CN"/>
        </w:rPr>
        <w:t>中华人民共和国</w:t>
      </w:r>
      <w:r>
        <w:rPr>
          <w:rFonts w:hint="eastAsia" w:ascii="宋体" w:hAnsi="宋体" w:eastAsia="宋体" w:cs="宋体"/>
          <w:kern w:val="0"/>
          <w:sz w:val="44"/>
          <w:szCs w:val="44"/>
        </w:rPr>
        <w:t>药品管理法</w:t>
      </w:r>
      <w:bookmarkEnd w:id="168"/>
    </w:p>
    <w:p>
      <w:pPr>
        <w:widowControl/>
        <w:wordWrap/>
        <w:overflowPunct w:val="0"/>
        <w:adjustRightInd w:val="0"/>
        <w:snapToGrid/>
        <w:spacing w:after="0" w:line="560" w:lineRule="exact"/>
        <w:ind w:left="640" w:leftChars="200" w:right="640" w:rightChars="200" w:firstLine="0" w:firstLineChars="0"/>
        <w:jc w:val="center"/>
        <w:textAlignment w:val="auto"/>
        <w:outlineLvl w:val="9"/>
        <w:rPr>
          <w:rFonts w:hint="eastAsia" w:ascii="宋体" w:hAnsi="宋体" w:eastAsia="楷体_GB2312" w:cs="楷体_GB2312"/>
          <w:color w:val="000000"/>
          <w:kern w:val="0"/>
          <w:sz w:val="32"/>
          <w:szCs w:val="32"/>
        </w:rPr>
      </w:pPr>
    </w:p>
    <w:p>
      <w:pPr>
        <w:widowControl/>
        <w:wordWrap/>
        <w:overflowPunct w:val="0"/>
        <w:adjustRightInd w:val="0"/>
        <w:snapToGrid/>
        <w:spacing w:after="0" w:line="560" w:lineRule="exact"/>
        <w:ind w:left="640" w:leftChars="200" w:right="640" w:rightChars="200" w:firstLine="0" w:firstLineChars="0"/>
        <w:jc w:val="both"/>
        <w:textAlignment w:val="auto"/>
        <w:outlineLvl w:val="9"/>
        <w:rPr>
          <w:rFonts w:hint="eastAsia" w:ascii="宋体" w:hAnsi="宋体" w:eastAsia="楷体_GB2312" w:cs="楷体_GB2312"/>
          <w:color w:val="000000"/>
          <w:kern w:val="0"/>
          <w:sz w:val="32"/>
          <w:szCs w:val="32"/>
        </w:rPr>
      </w:pPr>
      <w:r>
        <w:rPr>
          <w:rFonts w:hint="eastAsia" w:ascii="宋体" w:hAnsi="宋体" w:eastAsia="楷体_GB2312" w:cs="楷体_GB2312"/>
          <w:color w:val="000000"/>
          <w:kern w:val="0"/>
          <w:sz w:val="32"/>
          <w:szCs w:val="32"/>
        </w:rPr>
        <w:t>（1984年9月20日第六届全国人民代表大会常务委员会第七次会议通过 2001年2月28日第九届全国人民代表大会常务委员会第二十次会议第一次修订 根据2013年12月28日第十二届全国人民代表大会常务委员会第六次会议《关于修改〈中华人民共和国海洋环境保护法〉等七部法律的决定》第一次修正 根据2015年4月24日第十二届全国人民代表大会常务委员会第十四次会议《关于修改〈中华人民共和国药品管理法〉的决定》第二次修正 2019年8月26日第十三届全国人民代表大会常务委员会第十二次会议第二次修订）</w:t>
      </w:r>
    </w:p>
    <w:p>
      <w:pPr>
        <w:pStyle w:val="33"/>
        <w:widowControl/>
        <w:wordWrap/>
        <w:snapToGrid/>
        <w:spacing w:after="0" w:line="560" w:lineRule="exact"/>
        <w:textAlignment w:val="auto"/>
        <w:rPr>
          <w:rFonts w:hint="eastAsia" w:ascii="宋体" w:hAnsi="宋体"/>
        </w:rPr>
      </w:pPr>
    </w:p>
    <w:p>
      <w:pPr>
        <w:widowControl/>
        <w:wordWrap/>
        <w:overflowPunct w:val="0"/>
        <w:adjustRightInd w:val="0"/>
        <w:snapToGrid/>
        <w:spacing w:after="0" w:line="560" w:lineRule="exact"/>
        <w:ind w:left="0" w:leftChars="0" w:right="0"/>
        <w:jc w:val="center"/>
        <w:textAlignment w:val="auto"/>
        <w:rPr>
          <w:rFonts w:hint="eastAsia" w:ascii="宋体" w:hAnsi="宋体" w:eastAsia="楷体_GB2312" w:cs="楷体_GB2312"/>
          <w:color w:val="000000"/>
          <w:kern w:val="0"/>
          <w:sz w:val="32"/>
          <w:szCs w:val="32"/>
        </w:rPr>
      </w:pPr>
      <w:r>
        <w:rPr>
          <w:rFonts w:hint="eastAsia" w:ascii="宋体" w:hAnsi="宋体" w:eastAsia="楷体_GB2312" w:cs="楷体_GB2312"/>
          <w:color w:val="000000"/>
          <w:kern w:val="0"/>
          <w:sz w:val="32"/>
          <w:szCs w:val="32"/>
        </w:rPr>
        <w:t>目</w:t>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录</w:t>
      </w: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楷体_GB2312" w:cs="楷体_GB2312"/>
          <w:color w:val="000000"/>
          <w:kern w:val="0"/>
          <w:sz w:val="32"/>
          <w:szCs w:val="32"/>
        </w:rPr>
      </w:pPr>
      <w:r>
        <w:rPr>
          <w:rFonts w:hint="eastAsia" w:ascii="宋体" w:hAnsi="宋体" w:eastAsia="楷体_GB2312" w:cs="楷体_GB2312"/>
          <w:color w:val="000000"/>
          <w:kern w:val="0"/>
          <w:sz w:val="32"/>
          <w:szCs w:val="32"/>
        </w:rPr>
        <w:t>第一章 总</w:t>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则</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第二章 药品研制和注册</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第三章 药品上市许可持有人</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第四章 药品生产</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第五章 药品经营</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第六章 医疗机构药事管理</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第七章 药品上市后管理</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第八章 药品价格和广告</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第九章 药品储备和供应</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第十章 监督管理</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第十一章 法律责任</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第十二章 附</w:t>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则</w:t>
      </w:r>
    </w:p>
    <w:p>
      <w:pPr>
        <w:pStyle w:val="33"/>
        <w:widowControl/>
        <w:wordWrap/>
        <w:overflowPunct w:val="0"/>
        <w:adjustRightInd w:val="0"/>
        <w:snapToGrid/>
        <w:spacing w:after="0" w:line="560" w:lineRule="exact"/>
        <w:ind w:left="0" w:leftChars="0" w:right="0"/>
        <w:jc w:val="both"/>
        <w:textAlignment w:val="auto"/>
        <w:rPr>
          <w:rFonts w:hint="eastAsia" w:ascii="宋体" w:hAnsi="宋体" w:eastAsia="宋体" w:cs="Times New Roman"/>
          <w:kern w:val="0"/>
          <w:sz w:val="24"/>
          <w:szCs w:val="24"/>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黑体"/>
          <w:color w:val="000000"/>
          <w:kern w:val="0"/>
          <w:sz w:val="32"/>
          <w:szCs w:val="32"/>
        </w:rPr>
      </w:pPr>
      <w:r>
        <w:rPr>
          <w:rFonts w:hint="eastAsia" w:ascii="宋体" w:hAnsi="宋体" w:eastAsia="黑体" w:cs="黑体"/>
          <w:color w:val="000000"/>
          <w:kern w:val="0"/>
          <w:sz w:val="32"/>
          <w:szCs w:val="32"/>
        </w:rPr>
        <w:t>第一章 总 则</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黑体"/>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第一条</w:t>
      </w:r>
      <w:r>
        <w:rPr>
          <w:rFonts w:hint="eastAsia" w:ascii="宋体" w:hAnsi="宋体" w:eastAsia="仿宋_GB2312" w:cs="仿宋_GB2312"/>
          <w:color w:val="000000"/>
          <w:kern w:val="0"/>
          <w:sz w:val="32"/>
          <w:szCs w:val="32"/>
        </w:rPr>
        <w:t xml:space="preserve"> 为了加强药品管理，保证药品质量，保障公众用药安全和合法权益，保护和促进公众健康，制定本法。</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第二条</w:t>
      </w:r>
      <w:r>
        <w:rPr>
          <w:rFonts w:hint="eastAsia" w:ascii="宋体" w:hAnsi="宋体" w:eastAsia="仿宋_GB2312" w:cs="仿宋_GB2312"/>
          <w:color w:val="000000"/>
          <w:kern w:val="0"/>
          <w:sz w:val="32"/>
          <w:szCs w:val="32"/>
        </w:rPr>
        <w:t xml:space="preserve"> 在中华人民共和国境内从事药品研制、生产、经营、使用和监督管理活动，适用本法。</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本法所称药品，是指用于预防、治疗、诊断人的疾病，有目的地调节人的生理机能并规定有适应症或者功能主治、用法和用量的物质，包括中药、化学药和生物制品等。</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第三条</w:t>
      </w:r>
      <w:r>
        <w:rPr>
          <w:rFonts w:hint="eastAsia" w:ascii="宋体" w:hAnsi="宋体" w:eastAsia="仿宋_GB2312" w:cs="仿宋_GB2312"/>
          <w:color w:val="000000"/>
          <w:kern w:val="0"/>
          <w:sz w:val="32"/>
          <w:szCs w:val="32"/>
        </w:rPr>
        <w:t xml:space="preserve"> 药品管理应当以人民健康为中心，坚持风险管理、全程管控、社会共治的原则，建立科学、严格的监督管理制度，全面提升药品质量，保障药品的安全、有效、可及。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第四条</w:t>
      </w:r>
      <w:r>
        <w:rPr>
          <w:rFonts w:hint="eastAsia" w:ascii="宋体" w:hAnsi="宋体" w:eastAsia="仿宋_GB2312" w:cs="仿宋_GB2312"/>
          <w:color w:val="000000"/>
          <w:kern w:val="0"/>
          <w:sz w:val="32"/>
          <w:szCs w:val="32"/>
        </w:rPr>
        <w:t xml:space="preserve"> 国家发展现代药和传统药，充分发挥其在预防、医疗和保健中的作用。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国家保护野生药材资源和中药品种，鼓励培育道地中药材。</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第五条</w:t>
      </w:r>
      <w:r>
        <w:rPr>
          <w:rFonts w:hint="eastAsia" w:ascii="宋体" w:hAnsi="宋体" w:eastAsia="仿宋_GB2312" w:cs="仿宋_GB2312"/>
          <w:color w:val="000000"/>
          <w:kern w:val="0"/>
          <w:sz w:val="32"/>
          <w:szCs w:val="32"/>
        </w:rPr>
        <w:t xml:space="preserve"> 国家鼓励研究和创制新药，保护公民、法人和其他组织研究、开发新药的合法权益。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第六条</w:t>
      </w:r>
      <w:r>
        <w:rPr>
          <w:rFonts w:hint="eastAsia" w:ascii="宋体" w:hAnsi="宋体" w:eastAsia="仿宋_GB2312" w:cs="仿宋_GB2312"/>
          <w:color w:val="000000"/>
          <w:kern w:val="0"/>
          <w:sz w:val="32"/>
          <w:szCs w:val="32"/>
        </w:rPr>
        <w:t xml:space="preserve"> 国家对药品管理实行药品上市许可持有人制度。药品上市许可持有人依法对药品研制、生产、经营、使用全过程中药品的安全性、有效性和质量可控性负责。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第七条</w:t>
      </w:r>
      <w:r>
        <w:rPr>
          <w:rFonts w:hint="eastAsia" w:ascii="宋体" w:hAnsi="宋体" w:eastAsia="仿宋_GB2312" w:cs="仿宋_GB2312"/>
          <w:color w:val="000000"/>
          <w:kern w:val="0"/>
          <w:sz w:val="32"/>
          <w:szCs w:val="32"/>
        </w:rPr>
        <w:t xml:space="preserve"> 从事药品研制、生产、经营、使用活动，应当遵守法律、法规、规章、标准和规范，保证全过程信息真实、准确、完整和可追溯。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rPr>
        <w:t>　</w:t>
      </w:r>
      <w:r>
        <w:rPr>
          <w:rFonts w:hint="eastAsia" w:ascii="宋体" w:hAnsi="宋体" w:eastAsia="黑体" w:cs="黑体"/>
          <w:color w:val="000000"/>
          <w:kern w:val="0"/>
          <w:sz w:val="32"/>
          <w:szCs w:val="32"/>
        </w:rPr>
        <w:t xml:space="preserve"> </w:t>
      </w:r>
      <w:r>
        <w:rPr>
          <w:rFonts w:hint="eastAsia" w:eastAsia="黑体" w:cs="黑体"/>
          <w:color w:val="000000"/>
          <w:kern w:val="0"/>
          <w:sz w:val="32"/>
          <w:szCs w:val="32"/>
          <w:lang w:val="en-US" w:eastAsia="zh-CN"/>
        </w:rPr>
        <w:t xml:space="preserve"> </w:t>
      </w:r>
      <w:r>
        <w:rPr>
          <w:rFonts w:hint="eastAsia" w:ascii="宋体" w:hAnsi="宋体" w:eastAsia="黑体" w:cs="黑体"/>
          <w:color w:val="000000"/>
          <w:kern w:val="0"/>
          <w:sz w:val="32"/>
          <w:szCs w:val="32"/>
        </w:rPr>
        <w:t>第八条</w:t>
      </w:r>
      <w:r>
        <w:rPr>
          <w:rFonts w:hint="eastAsia" w:ascii="宋体" w:hAnsi="宋体" w:eastAsia="仿宋_GB2312" w:cs="仿宋_GB2312"/>
          <w:color w:val="000000"/>
          <w:kern w:val="0"/>
          <w:sz w:val="32"/>
          <w:szCs w:val="32"/>
        </w:rPr>
        <w:t xml:space="preserve"> 国务院药品监督管理部门主管全国药品监督管理工作。国务院有关部门在各自职责范围内负责与药品有关的监督管理工作。国务院药品监督管理部门配合国务院有关部门，执行国家药品行业发展规划和产业政策。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省、自治区、直辖市人民政府药品监督管理部门负责本行政区域内的药品监督管理工作。设区的市级、县级人民政府承担药品监督管理职责的部门（以下称药品监督管理部门）负责本行政区域内的药品监督管理工作。县级以上地方人民政府有关部门在各自职责范围内负责与药品有关的监督管理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第九条</w:t>
      </w:r>
      <w:r>
        <w:rPr>
          <w:rFonts w:hint="eastAsia" w:ascii="宋体" w:hAnsi="宋体" w:eastAsia="仿宋_GB2312" w:cs="仿宋_GB2312"/>
          <w:color w:val="000000"/>
          <w:kern w:val="0"/>
          <w:sz w:val="32"/>
          <w:szCs w:val="32"/>
        </w:rPr>
        <w:t xml:space="preserve"> 县级以上地方人民政府对本行政区域内的药品监督管理工作负责，统一领导、组织、协调本行政区域内的药品监督管理工作以及药品安全突发事件应对工作，建立健全药品监督管理工作机制和信息共享机制。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第十条</w:t>
      </w:r>
      <w:r>
        <w:rPr>
          <w:rFonts w:hint="eastAsia" w:ascii="宋体" w:hAnsi="宋体" w:eastAsia="仿宋_GB2312" w:cs="仿宋_GB2312"/>
          <w:color w:val="000000"/>
          <w:kern w:val="0"/>
          <w:sz w:val="32"/>
          <w:szCs w:val="32"/>
        </w:rPr>
        <w:t xml:space="preserve"> 县级以上人民政府应当将药品安全工作纳入本级国民经济和社会发展规划，将药品安全工作经费列入本级政府预算，加强药品监督管理能力建设，为药品安全工作提供保障。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第十一条</w:t>
      </w:r>
      <w:r>
        <w:rPr>
          <w:rFonts w:hint="eastAsia" w:ascii="宋体" w:hAnsi="宋体" w:eastAsia="仿宋_GB2312" w:cs="仿宋_GB2312"/>
          <w:color w:val="000000"/>
          <w:kern w:val="0"/>
          <w:sz w:val="32"/>
          <w:szCs w:val="32"/>
        </w:rPr>
        <w:t xml:space="preserve"> 药品监督管理部门设置或者指定的药品专业技术机构，承担依法实施药品监督管理所需的审评、检验、核查、监测与评价等工作。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第十二条</w:t>
      </w:r>
      <w:r>
        <w:rPr>
          <w:rFonts w:hint="eastAsia" w:ascii="宋体" w:hAnsi="宋体" w:eastAsia="仿宋_GB2312" w:cs="仿宋_GB2312"/>
          <w:color w:val="000000"/>
          <w:kern w:val="0"/>
          <w:sz w:val="32"/>
          <w:szCs w:val="32"/>
        </w:rPr>
        <w:t xml:space="preserve"> 国家建立健全药品追溯制度。国务院药品监督管理部门应当制定统一的药品追溯标准和规范，推进药品追溯信息互通互享，实现药品可追溯。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国家建立药物警戒制度，对药品不良反应及其他与用药有关的有害反应进行监测、识别、评估和控制。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第十三条</w:t>
      </w:r>
      <w:r>
        <w:rPr>
          <w:rFonts w:hint="eastAsia" w:ascii="宋体" w:hAnsi="宋体" w:eastAsia="仿宋_GB2312" w:cs="仿宋_GB2312"/>
          <w:color w:val="000000"/>
          <w:kern w:val="0"/>
          <w:sz w:val="32"/>
          <w:szCs w:val="32"/>
        </w:rPr>
        <w:t xml:space="preserve"> 各级人民政府及其有关部门、药品行业协会等应当加强药品安全宣传教育，开展药品安全法律法规等知识的普及工作。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新闻媒体应当开展药品安全法律法规等知识的公益宣传，并对药品违法行为进行舆论监督。有关药品的宣传报道应当全面、科学、客观、公正。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第十四条</w:t>
      </w:r>
      <w:r>
        <w:rPr>
          <w:rFonts w:hint="eastAsia" w:ascii="宋体" w:hAnsi="宋体" w:eastAsia="仿宋_GB2312" w:cs="仿宋_GB2312"/>
          <w:color w:val="000000"/>
          <w:kern w:val="0"/>
          <w:sz w:val="32"/>
          <w:szCs w:val="32"/>
        </w:rPr>
        <w:t xml:space="preserve"> 药品行业协会应当加强行业自律，建立健全行业规范，推动行业诚信体系建设，引导和督促会员依法开展药品生产经营等活动。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第十五条</w:t>
      </w:r>
      <w:r>
        <w:rPr>
          <w:rFonts w:hint="eastAsia" w:ascii="宋体" w:hAnsi="宋体" w:eastAsia="仿宋_GB2312" w:cs="仿宋_GB2312"/>
          <w:color w:val="000000"/>
          <w:kern w:val="0"/>
          <w:sz w:val="32"/>
          <w:szCs w:val="32"/>
        </w:rPr>
        <w:t xml:space="preserve"> 县级以上人民政府及其有关部门对在药品研制、生产、经营、使用和监督管理工作中做出突出贡献的单位和个人，按照国家有关规定给予表彰、奖励。</w:t>
      </w:r>
    </w:p>
    <w:p>
      <w:pPr>
        <w:pStyle w:val="33"/>
        <w:wordWrap/>
        <w:spacing w:line="560" w:lineRule="exact"/>
        <w:textAlignment w:val="auto"/>
        <w:rPr>
          <w:rFonts w:hint="eastAsia"/>
        </w:rPr>
      </w:pPr>
    </w:p>
    <w:p>
      <w:pPr>
        <w:widowControl/>
        <w:numPr>
          <w:ilvl w:val="0"/>
          <w:numId w:val="3"/>
        </w:numPr>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黑体"/>
          <w:color w:val="000000"/>
          <w:kern w:val="0"/>
          <w:sz w:val="32"/>
          <w:szCs w:val="32"/>
        </w:rPr>
      </w:pPr>
      <w:r>
        <w:rPr>
          <w:rFonts w:hint="eastAsia" w:ascii="宋体" w:hAnsi="宋体" w:eastAsia="黑体" w:cs="黑体"/>
          <w:color w:val="000000"/>
          <w:kern w:val="0"/>
          <w:sz w:val="32"/>
          <w:szCs w:val="32"/>
        </w:rPr>
        <w:t>药品研制和注册</w:t>
      </w:r>
    </w:p>
    <w:p>
      <w:pPr>
        <w:widowControl/>
        <w:numPr>
          <w:ilvl w:val="0"/>
          <w:numId w:val="0"/>
        </w:numPr>
        <w:wordWrap/>
        <w:overflowPunct w:val="0"/>
        <w:adjustRightInd w:val="0"/>
        <w:snapToGrid/>
        <w:spacing w:beforeAutospacing="0" w:after="0" w:afterAutospacing="0" w:line="560" w:lineRule="exact"/>
        <w:ind w:leftChars="0" w:right="0"/>
        <w:jc w:val="both"/>
        <w:textAlignment w:val="auto"/>
        <w:rPr>
          <w:rFonts w:hint="eastAsia" w:ascii="宋体" w:hAnsi="宋体" w:eastAsia="黑体" w:cs="黑体"/>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kern w:val="0"/>
          <w:sz w:val="32"/>
          <w:szCs w:val="32"/>
        </w:rPr>
      </w:pP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第十六条</w:t>
      </w:r>
      <w:r>
        <w:rPr>
          <w:rFonts w:hint="eastAsia" w:ascii="宋体" w:hAnsi="宋体" w:eastAsia="仿宋_GB2312" w:cs="仿宋_GB2312"/>
          <w:color w:val="000000"/>
          <w:kern w:val="0"/>
          <w:sz w:val="32"/>
          <w:szCs w:val="32"/>
        </w:rPr>
        <w:t xml:space="preserve"> 国家支持以临床价值为导向、对人的疾病具有明确或者特殊疗效的药物创新，鼓励具有新的治疗机理、治疗严重危及生命的疾病或者罕见病、对人体具有多靶向系统性调节干预功能等的新药研制，推动药品技术进步。</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国家鼓励运用现代科学技术和传统中药研究方法开展中药科学技术研究和药物开发，建立和完善符合中药特点的技术评价体系，促进中药传承创新。</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国家采取有效措施，鼓励儿童用药品的研制和创新，支持开发符合儿童生理特征的儿童用药品新品种、剂型和规格，对儿童用药品予以优先审评审批。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第十七条</w:t>
      </w:r>
      <w:r>
        <w:rPr>
          <w:rFonts w:hint="eastAsia" w:ascii="宋体" w:hAnsi="宋体" w:eastAsia="仿宋_GB2312" w:cs="仿宋_GB2312"/>
          <w:color w:val="000000"/>
          <w:kern w:val="0"/>
          <w:sz w:val="32"/>
          <w:szCs w:val="32"/>
        </w:rPr>
        <w:t xml:space="preserve"> 从事药品研制活动，应当遵守药物非临床研究质量管理规范、药物临床试验质量管理规范，保证药品研制全过程持续符合法定要求。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药物非临床研究质量管理规范、药物临床试验质量管理规范由国务院药品监督管理部门会同国务院有关部门制定。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第十八条</w:t>
      </w:r>
      <w:r>
        <w:rPr>
          <w:rFonts w:hint="eastAsia" w:ascii="宋体" w:hAnsi="宋体" w:eastAsia="仿宋_GB2312" w:cs="仿宋_GB2312"/>
          <w:color w:val="000000"/>
          <w:kern w:val="0"/>
          <w:sz w:val="32"/>
          <w:szCs w:val="32"/>
        </w:rPr>
        <w:t xml:space="preserve"> 开展药物非临床研究，应当符合国家有关规定，有与研究项目相适应的人员、场地、设备、仪器和管理制度，保证有关数据、资料和样品的真实性。</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第十九条</w:t>
      </w:r>
      <w:r>
        <w:rPr>
          <w:rFonts w:hint="eastAsia" w:ascii="宋体" w:hAnsi="宋体" w:eastAsia="仿宋_GB2312" w:cs="仿宋_GB2312"/>
          <w:color w:val="000000"/>
          <w:kern w:val="0"/>
          <w:sz w:val="32"/>
          <w:szCs w:val="32"/>
        </w:rPr>
        <w:t xml:space="preserve"> 开展药物临床试验，应当按照国务院药品监督管理部门的规定如实报送研制方法、质量指标、药理及毒理试验结果等有关数据、资料和样品，经国务院药品监督管理部门批准。国务院药品监督管理部门应当自受理临床试验申请之日起六十个工作日内决定是否同意并通知临床试验申办者，逾期未通知的，视为同意。其中，开展生物等效性试验的，报国务院药品监督管理部门备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开展药物临床试验，应当在具备相应条件的临床试验机构进行。药物临床试验机构实行备案管理，具体办法由国务院药品监督管理部门、国务院卫生健康主管部门共同制定。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第二十条</w:t>
      </w:r>
      <w:r>
        <w:rPr>
          <w:rFonts w:hint="eastAsia" w:ascii="宋体" w:hAnsi="宋体" w:eastAsia="仿宋_GB2312" w:cs="仿宋_GB2312"/>
          <w:color w:val="000000"/>
          <w:kern w:val="0"/>
          <w:sz w:val="32"/>
          <w:szCs w:val="32"/>
        </w:rPr>
        <w:t xml:space="preserve"> 开展药物临床试验，应当符合伦理原则，制定临床试验方案，经伦理委员会审查同意。</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伦理委员会应当建立伦理审查工作制度，保证伦理审查过程独立、客观、公正，监督规范开展药物临床试验，保障受试者合法权益，维护社会公共利益。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第二十一条</w:t>
      </w:r>
      <w:r>
        <w:rPr>
          <w:rFonts w:hint="eastAsia" w:ascii="宋体" w:hAnsi="宋体" w:eastAsia="仿宋_GB2312" w:cs="仿宋_GB2312"/>
          <w:color w:val="000000"/>
          <w:kern w:val="0"/>
          <w:sz w:val="32"/>
          <w:szCs w:val="32"/>
        </w:rPr>
        <w:t xml:space="preserve"> 实施药物临床试验，应当向受试者或者其监护人如实说明和解释临床试验的目的和风险等详细情况，取得受试者或者其监护人自愿签署的知情同意书，并采取有效措施保护受试者合法权益。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第二十二条</w:t>
      </w:r>
      <w:r>
        <w:rPr>
          <w:rFonts w:hint="eastAsia" w:ascii="宋体" w:hAnsi="宋体" w:eastAsia="仿宋_GB2312" w:cs="仿宋_GB2312"/>
          <w:color w:val="000000"/>
          <w:kern w:val="0"/>
          <w:sz w:val="32"/>
          <w:szCs w:val="32"/>
        </w:rPr>
        <w:t xml:space="preserve"> 药物临床试验期间，发现存在安全性问题或者其他风险的，临床试验申办者应当及时调整临床试验方案、暂停或者终止临床试验，并向国务院药品监督管理部门报告。必要时，国务院药品监督管理部门可以责令调整临床试验方案、暂停或者终止临床试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第二十三条</w:t>
      </w:r>
      <w:r>
        <w:rPr>
          <w:rFonts w:hint="eastAsia" w:ascii="宋体" w:hAnsi="宋体" w:eastAsia="仿宋_GB2312" w:cs="仿宋_GB2312"/>
          <w:color w:val="000000"/>
          <w:kern w:val="0"/>
          <w:sz w:val="32"/>
          <w:szCs w:val="32"/>
        </w:rPr>
        <w:t xml:space="preserve"> 对正在开展临床试验的用于治疗严重危及生命且尚无有效治疗手段的疾病的药物，经医学观察可能获益，并且符合伦理原则的，经审查、知情同意后可以在开展临床试验的机构内用于其他病情相同的患者。</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第二十四条</w:t>
      </w:r>
      <w:r>
        <w:rPr>
          <w:rFonts w:hint="eastAsia" w:ascii="宋体" w:hAnsi="宋体" w:eastAsia="仿宋_GB2312" w:cs="仿宋_GB2312"/>
          <w:color w:val="000000"/>
          <w:kern w:val="0"/>
          <w:sz w:val="32"/>
          <w:szCs w:val="32"/>
        </w:rPr>
        <w:t xml:space="preserve"> 在中国境内上市的药品，应当经国务院药品监督管理部门批准，取得药品注册证书；但是，未实施审批管理的中药材和中药饮片除外。实施审批管理的中药材、中药饮片品种目录由国务院药品监督管理部门会同国务院中医药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申请药品注册，应当提供真实、充分、可靠的数据、资料和样品，证明药品的安全性、有效性和质量可控性。</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第二十五条</w:t>
      </w:r>
      <w:r>
        <w:rPr>
          <w:rFonts w:hint="eastAsia" w:ascii="宋体" w:hAnsi="宋体" w:eastAsia="仿宋_GB2312" w:cs="仿宋_GB2312"/>
          <w:color w:val="000000"/>
          <w:kern w:val="0"/>
          <w:sz w:val="32"/>
          <w:szCs w:val="32"/>
        </w:rPr>
        <w:t xml:space="preserve"> 对申请注册的药品，国务院药品监督管理部门应当组织药学、医学和其他技术人员进行审评，对药品的安全性、有效性和质量可控性以及申请人的质量管理、风险防控和责任赔偿等能力进行审查；符合条件的，颁发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国务院药品监督管理部门在审批药品时，对化学原料药一并审评审批，对相关辅料、直接接触药品的包装材料和容器一并审评，对药品的质量标准、生产工艺、标签和说明书一并核准。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本法所称辅料，是指生产药品和调配处方时所用的赋形剂和附加剂。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第二十六条</w:t>
      </w:r>
      <w:r>
        <w:rPr>
          <w:rFonts w:hint="eastAsia" w:ascii="宋体" w:hAnsi="宋体" w:eastAsia="仿宋_GB2312" w:cs="仿宋_GB2312"/>
          <w:color w:val="000000"/>
          <w:kern w:val="0"/>
          <w:sz w:val="32"/>
          <w:szCs w:val="32"/>
        </w:rPr>
        <w:t xml:space="preserve"> 对治疗严重危及生命且尚无有效治疗手段的疾病以及公共卫生方面急需的药品，药物临床试验已有数据显示疗效并能预测其临床价值的，可以附条件批准，并在药品注册证书中载明相关事项。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第二十七条</w:t>
      </w:r>
      <w:r>
        <w:rPr>
          <w:rFonts w:hint="eastAsia" w:ascii="宋体" w:hAnsi="宋体" w:eastAsia="仿宋_GB2312" w:cs="仿宋_GB2312"/>
          <w:color w:val="000000"/>
          <w:kern w:val="0"/>
          <w:sz w:val="32"/>
          <w:szCs w:val="32"/>
        </w:rPr>
        <w:t xml:space="preserve"> 国务院药品监督管理部门应当完善药品审评审批工作制度，加强能力建设，建立健全沟通交流、专家咨询等机制，优化审评审批流程，提高审评审批效率。</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批准上市药品的审评结论和依据应当依法公开，接受社会监督。对审评审批中知悉的商业秘密应当保密。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第二十八条</w:t>
      </w:r>
      <w:r>
        <w:rPr>
          <w:rFonts w:hint="eastAsia" w:ascii="宋体" w:hAnsi="宋体" w:eastAsia="仿宋_GB2312" w:cs="仿宋_GB2312"/>
          <w:color w:val="000000"/>
          <w:kern w:val="0"/>
          <w:sz w:val="32"/>
          <w:szCs w:val="32"/>
        </w:rPr>
        <w:t xml:space="preserve"> 药品应当符合国家药品标准。经国务院药品监督管理部门核准的药品质量标准高于国家药品标准的，按照经核准的药品质量标准执行；没有国家药品标准的，应当符合经核准的药品质量标准。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国务院药品监督管理部门颁布的《中华人民共和国药典》和药品标准为国家药品标准。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国务院药品监督管理部门会同国务院卫生健康主管部门组织药典委员会，负责国家药品标准的制定和修订。</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国务院药品监督管理部门设置或者指定的药品检验机构负责标定国家药品标准品、对照品。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第二十九条</w:t>
      </w:r>
      <w:r>
        <w:rPr>
          <w:rFonts w:hint="eastAsia" w:ascii="宋体" w:hAnsi="宋体" w:eastAsia="仿宋_GB2312" w:cs="仿宋_GB2312"/>
          <w:color w:val="000000"/>
          <w:kern w:val="0"/>
          <w:sz w:val="32"/>
          <w:szCs w:val="32"/>
        </w:rPr>
        <w:t xml:space="preserve"> 列入国家药品标准的药品名称为药品通用名称。已经作为药品通用名称的，该名称不得作为药品商标使用。</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黑体" w:hAnsi="黑体" w:eastAsia="黑体" w:cs="黑体"/>
          <w:color w:val="000000"/>
          <w:kern w:val="0"/>
          <w:sz w:val="32"/>
          <w:szCs w:val="32"/>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第三章 药品上市许可持有人</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黑体" w:hAnsi="黑体" w:eastAsia="黑体" w:cs="黑体"/>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kern w:val="0"/>
          <w:sz w:val="32"/>
          <w:szCs w:val="32"/>
        </w:rPr>
      </w:pPr>
      <w:r>
        <w:rPr>
          <w:rFonts w:hint="eastAsia" w:ascii="宋体" w:hAnsi="宋体" w:eastAsia="仿宋_GB2312" w:cs="仿宋_GB2312"/>
          <w:color w:val="000000"/>
          <w:kern w:val="0"/>
          <w:sz w:val="32"/>
          <w:szCs w:val="32"/>
          <w:lang w:eastAsia="zh-CN"/>
        </w:rPr>
        <w:t xml:space="preserve">    </w:t>
      </w:r>
      <w:r>
        <w:rPr>
          <w:rFonts w:hint="eastAsia" w:ascii="黑体" w:hAnsi="黑体" w:eastAsia="黑体" w:cs="黑体"/>
          <w:color w:val="000000"/>
          <w:kern w:val="0"/>
          <w:sz w:val="32"/>
          <w:szCs w:val="32"/>
        </w:rPr>
        <w:t>第三十条</w:t>
      </w:r>
      <w:r>
        <w:rPr>
          <w:rFonts w:hint="eastAsia" w:ascii="宋体" w:hAnsi="宋体" w:eastAsia="仿宋_GB2312" w:cs="仿宋_GB2312"/>
          <w:color w:val="000000"/>
          <w:kern w:val="0"/>
          <w:sz w:val="32"/>
          <w:szCs w:val="32"/>
        </w:rPr>
        <w:t xml:space="preserve"> 药品上市许可持有人是指取得药品注册证书的企业或者药品研制机构等。</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应当依照本法规定，对药品的非临床研究、临床试验、生产经营、上市后研究、不良反应监测及报告与处理等承担责任。其他从事药品研制、生产、经营、储存、运输、使用等活动的单位和个人依法承担相应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药品上市许可持有人的法定代表人、主要负责人对药品质量全面负责。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第三十一条</w:t>
      </w:r>
      <w:r>
        <w:rPr>
          <w:rFonts w:hint="eastAsia" w:ascii="宋体" w:hAnsi="宋体" w:eastAsia="仿宋_GB2312" w:cs="仿宋_GB2312"/>
          <w:color w:val="000000"/>
          <w:kern w:val="0"/>
          <w:sz w:val="32"/>
          <w:szCs w:val="32"/>
        </w:rPr>
        <w:t xml:space="preserve"> 药品上市许可持有人应当建立药品质量保证体系，配备专门人员独立负责药品质量管理。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药品上市许可持有人应当对受托药品生产企业、药品经营企业的质量管理体系进行定期审核，监督其持续具备质量保证和控制能力。</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第三十二条</w:t>
      </w:r>
      <w:r>
        <w:rPr>
          <w:rFonts w:hint="eastAsia" w:ascii="宋体" w:hAnsi="宋体" w:eastAsia="仿宋_GB2312" w:cs="仿宋_GB2312"/>
          <w:color w:val="000000"/>
          <w:kern w:val="0"/>
          <w:sz w:val="32"/>
          <w:szCs w:val="32"/>
        </w:rPr>
        <w:t xml:space="preserve"> 药品上市许可持有人可以自行生产药品，也可以委托药品生产企业生产。</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自行生产药品的，应当依照本法规定取得药品生产许可证；委托生产的，应当委托符合条件的药品生产企业。药品上市许可持有人和受托生产企业应当签订委托协议和质量协议，并严格履行协议约定的义务。</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国务院药品监督管理部门制定药品委托生产质量协议指南，指导、监督药品上市许可持有人和受托生产企业履行药品质量保证义务。</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血液制品、麻醉药品、精神药品、医疗用毒性药品、药品类易制毒化学品不得委托生产；但是，国务院药品监督管理部门另有规定的除外。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第三十三条</w:t>
      </w:r>
      <w:r>
        <w:rPr>
          <w:rFonts w:hint="eastAsia" w:ascii="宋体" w:hAnsi="宋体" w:eastAsia="仿宋_GB2312" w:cs="仿宋_GB2312"/>
          <w:color w:val="000000"/>
          <w:kern w:val="0"/>
          <w:sz w:val="32"/>
          <w:szCs w:val="32"/>
        </w:rPr>
        <w:t xml:space="preserve"> 药品上市许可持有人应当建立药品上市放行规程，对药品生产企业出厂放行的药品进行审核，经质量受权人签字后方可放行。不符合国家药品标准的，不得放行。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第三十四条</w:t>
      </w:r>
      <w:r>
        <w:rPr>
          <w:rFonts w:hint="eastAsia" w:ascii="宋体" w:hAnsi="宋体" w:eastAsia="仿宋_GB2312" w:cs="仿宋_GB2312"/>
          <w:color w:val="000000"/>
          <w:kern w:val="0"/>
          <w:sz w:val="32"/>
          <w:szCs w:val="32"/>
        </w:rPr>
        <w:t xml:space="preserve"> 药品上市许可持有人可以自行销售其取得药品注册证书的药品，也可以委托药品经营企业销售。药品上市许可持有人从事药品零售活动的，应当取得药品经营许可证。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自行销售药品的，应当具备本法第五十二条规定的条件；委托销售的，应当委托符合条件的药品经营企业。药品上市许可持有人和受托经营企业应当签订委托协议，并严格履行协议约定的义务。</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第三十五条</w:t>
      </w:r>
      <w:r>
        <w:rPr>
          <w:rFonts w:hint="eastAsia" w:ascii="宋体" w:hAnsi="宋体" w:eastAsia="仿宋_GB2312" w:cs="仿宋_GB2312"/>
          <w:color w:val="000000"/>
          <w:kern w:val="0"/>
          <w:sz w:val="32"/>
          <w:szCs w:val="32"/>
        </w:rPr>
        <w:t xml:space="preserve"> 药品上市许可持有人、药品生产企业、药品经营企业委托储存、运输药品的，应当对受托方的质量保证能力和风险管理能力进行评估，与其签订委托协议，约定药品质量责任、操作规程等内容，并对受托方进行监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第三十六条</w:t>
      </w:r>
      <w:r>
        <w:rPr>
          <w:rFonts w:hint="eastAsia" w:ascii="宋体" w:hAnsi="宋体" w:eastAsia="仿宋_GB2312" w:cs="仿宋_GB2312"/>
          <w:color w:val="000000"/>
          <w:kern w:val="0"/>
          <w:sz w:val="32"/>
          <w:szCs w:val="32"/>
        </w:rPr>
        <w:t xml:space="preserve"> 药品上市许可持有人、药品生产企业、药品经营企业和医疗机构应当建立并实施药品追溯制度，按照规定提供追溯信息，保证药品可追溯。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第三十七条</w:t>
      </w:r>
      <w:r>
        <w:rPr>
          <w:rFonts w:hint="eastAsia" w:ascii="宋体" w:hAnsi="宋体" w:eastAsia="仿宋_GB2312" w:cs="仿宋_GB2312"/>
          <w:color w:val="000000"/>
          <w:kern w:val="0"/>
          <w:sz w:val="32"/>
          <w:szCs w:val="32"/>
        </w:rPr>
        <w:t xml:space="preserve"> 药品上市许可持有人应当建立年度报告制度，每年将药品生产销售、上市后研究、风险管理等情况按照规定向省、自治区、直辖市人民政府药品监督管理部门报告。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第三十八条</w:t>
      </w:r>
      <w:r>
        <w:rPr>
          <w:rFonts w:hint="eastAsia" w:ascii="宋体" w:hAnsi="宋体" w:eastAsia="仿宋_GB2312" w:cs="仿宋_GB2312"/>
          <w:color w:val="000000"/>
          <w:kern w:val="0"/>
          <w:sz w:val="32"/>
          <w:szCs w:val="32"/>
        </w:rPr>
        <w:t xml:space="preserve"> 药品上市许可持有人为境外企业的，应当由其指定的在中国境内的企业法人履行药品上市许可持有人义务，与药品上市许可持有人承担连带责任。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第三十九条</w:t>
      </w:r>
      <w:r>
        <w:rPr>
          <w:rFonts w:hint="eastAsia" w:ascii="宋体" w:hAnsi="宋体" w:eastAsia="仿宋_GB2312" w:cs="仿宋_GB2312"/>
          <w:color w:val="000000"/>
          <w:kern w:val="0"/>
          <w:sz w:val="32"/>
          <w:szCs w:val="32"/>
        </w:rPr>
        <w:t xml:space="preserve"> 中药饮片生产企业履行药品上市许可持有人的相关义务，对中药饮片生产、销售实行全过程管理，建立中药饮片追溯体系，保证中药饮片安全、有效、可追溯。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第四十条</w:t>
      </w:r>
      <w:r>
        <w:rPr>
          <w:rFonts w:hint="eastAsia" w:ascii="宋体" w:hAnsi="宋体" w:eastAsia="仿宋_GB2312" w:cs="仿宋_GB2312"/>
          <w:color w:val="000000"/>
          <w:kern w:val="0"/>
          <w:sz w:val="32"/>
          <w:szCs w:val="32"/>
        </w:rPr>
        <w:t xml:space="preserve"> 经国务院药品监督管理部门批准，药品上市许可持有人可以转让药品上市许可。受让方应当具备保障药品安全性、有效性和质量可控性的质量管理、风险防控和责任赔偿等能力，履行药品上市许可持有人义务。</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第四章 药品生产</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第四十一条</w:t>
      </w:r>
      <w:r>
        <w:rPr>
          <w:rFonts w:hint="eastAsia" w:ascii="宋体" w:hAnsi="宋体" w:eastAsia="仿宋_GB2312" w:cs="仿宋_GB2312"/>
          <w:color w:val="000000"/>
          <w:kern w:val="0"/>
          <w:sz w:val="32"/>
          <w:szCs w:val="32"/>
        </w:rPr>
        <w:t xml:space="preserve"> 从事药品生产活动，应当经所在地省、自治区、直辖市人民政府药品监督管理部门批准，取得药品生产许可证。无药品生产许可证的，不得生产药品。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药品生产许可证应当标明有效期和生产范围，到期重新审查发证。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第四十二条</w:t>
      </w:r>
      <w:r>
        <w:rPr>
          <w:rFonts w:hint="eastAsia" w:ascii="宋体" w:hAnsi="宋体" w:eastAsia="仿宋_GB2312" w:cs="仿宋_GB2312"/>
          <w:color w:val="000000"/>
          <w:kern w:val="0"/>
          <w:sz w:val="32"/>
          <w:szCs w:val="32"/>
        </w:rPr>
        <w:t xml:space="preserve"> 从事药品生产活动，应当具备以下条件：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（一）有依法经过资格认定的药学技术人员、工程技术人员及相应的技术工人；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（二）有与药品生产相适应的厂房、设施和卫生环境；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（三）有能对所生产药品进行质量管理和质量检验的机构、人员及必要的仪器设备；</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（四）有保证药品质量的规章制度，并符合国务院药品监督管理部门依据本法制定的药品生产质量管理规范要求。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第四十三条</w:t>
      </w:r>
      <w:r>
        <w:rPr>
          <w:rFonts w:hint="eastAsia" w:ascii="宋体" w:hAnsi="宋体" w:eastAsia="仿宋_GB2312" w:cs="仿宋_GB2312"/>
          <w:color w:val="000000"/>
          <w:kern w:val="0"/>
          <w:sz w:val="32"/>
          <w:szCs w:val="32"/>
        </w:rPr>
        <w:t xml:space="preserve"> 从事药品生产活动，应当遵守药品生产质量管理规范，建立健全药品生产质量管理体系，保证药品生产全过程持续符合法定要求。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药品生产企业的法定代表人、主要负责人对本企业的药品生产活动全面负责。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第四十四条</w:t>
      </w:r>
      <w:r>
        <w:rPr>
          <w:rFonts w:hint="eastAsia" w:ascii="宋体" w:hAnsi="宋体" w:eastAsia="仿宋_GB2312" w:cs="仿宋_GB2312"/>
          <w:color w:val="000000"/>
          <w:kern w:val="0"/>
          <w:sz w:val="32"/>
          <w:szCs w:val="32"/>
        </w:rPr>
        <w:t xml:space="preserve"> 药品应当按照国家药品标准和经药品监督管理部门核准的生产工艺进行生产。生产、检验记录应当完整准确，不得编造。</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中药饮片应当按照国家药品标准炮制；国家药品标准没有规定的，应当按照省、自治区、直辖市人民政府药品监督管理部门制定的炮制规范炮制。省、自治区、直辖市人民政府药品监督管理部门制定的炮制规范应当报国务院药品监督管理部门备案。不符合国家药品标准或者不按照省、自治区、直辖市人民政府药品监督管理部门制定的炮制规范炮制的，不得出厂、销售。</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第四十五条</w:t>
      </w:r>
      <w:r>
        <w:rPr>
          <w:rFonts w:hint="eastAsia" w:ascii="宋体" w:hAnsi="宋体" w:eastAsia="仿宋_GB2312" w:cs="仿宋_GB2312"/>
          <w:color w:val="000000"/>
          <w:kern w:val="0"/>
          <w:sz w:val="32"/>
          <w:szCs w:val="32"/>
        </w:rPr>
        <w:t xml:space="preserve"> 生产药品所需的原料、辅料，应当符合药用要求、药品生产质量管理规范的有关要求。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生产药品，应当按照规定对供应原料、辅料等的供应商进行审核，保证购进、使用的原料、辅料等符合前款规定要求。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第四十六条</w:t>
      </w:r>
      <w:r>
        <w:rPr>
          <w:rFonts w:hint="eastAsia" w:ascii="宋体" w:hAnsi="宋体" w:eastAsia="仿宋_GB2312" w:cs="仿宋_GB2312"/>
          <w:color w:val="000000"/>
          <w:kern w:val="0"/>
          <w:sz w:val="32"/>
          <w:szCs w:val="32"/>
        </w:rPr>
        <w:t xml:space="preserve"> 直接接触药品的包装材料和容器，应当符合药用要求，符合保障人体健康、安全的标准。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对不合格的直接接触药品的包装材料和容器，由药品监督管理部门责令停止使用。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第四十七条</w:t>
      </w:r>
      <w:r>
        <w:rPr>
          <w:rFonts w:hint="eastAsia" w:ascii="宋体" w:hAnsi="宋体" w:eastAsia="仿宋_GB2312" w:cs="仿宋_GB2312"/>
          <w:color w:val="000000"/>
          <w:kern w:val="0"/>
          <w:sz w:val="32"/>
          <w:szCs w:val="32"/>
        </w:rPr>
        <w:t xml:space="preserve"> 药品生产企业应当对药品进行质量检验。不符合国家药品标准的，不得出厂。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药品生产企业应当建立药品出厂放行规程，明确出厂放行的标准、条件。符合标准、条件的，经质量受权人签字后方可放行。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第四十八条</w:t>
      </w:r>
      <w:r>
        <w:rPr>
          <w:rFonts w:hint="eastAsia" w:ascii="宋体" w:hAnsi="宋体" w:eastAsia="仿宋_GB2312" w:cs="仿宋_GB2312"/>
          <w:color w:val="000000"/>
          <w:kern w:val="0"/>
          <w:sz w:val="32"/>
          <w:szCs w:val="32"/>
        </w:rPr>
        <w:t xml:space="preserve"> 药品包装应当适合药品质量的要求，方便储存、运输和医疗使用。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发运中药材应当有包装。在每件包装上，应当注明品名、产地、日期、供货单位，并附有质量合格的标志。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第四十九条</w:t>
      </w:r>
      <w:r>
        <w:rPr>
          <w:rFonts w:hint="eastAsia" w:ascii="宋体" w:hAnsi="宋体" w:eastAsia="仿宋_GB2312" w:cs="仿宋_GB2312"/>
          <w:color w:val="000000"/>
          <w:kern w:val="0"/>
          <w:sz w:val="32"/>
          <w:szCs w:val="32"/>
        </w:rPr>
        <w:t xml:space="preserve"> 药品包装应当按照规定印有或者贴有标签并附有说明书。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标签或者说明书应当注明药品的通用名称、成份、规格、上市许可持有人及其地址、生产企业及其地址、批准文号、产品批号、生产日期、有效期、适应症或者功能主治、用法、用量、禁忌、不良反应和注意事项。标签、说明书中的文字应当清晰，生产日期、有效期等事项应当显著标注，容易辨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麻醉药品、精神药品、医疗用毒性药品、放射性药品、外用药品和非处方药的标签、说明书，应当印有规定的标志。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第五十条</w:t>
      </w:r>
      <w:r>
        <w:rPr>
          <w:rFonts w:hint="eastAsia" w:ascii="宋体" w:hAnsi="宋体" w:eastAsia="仿宋_GB2312" w:cs="仿宋_GB2312"/>
          <w:color w:val="000000"/>
          <w:kern w:val="0"/>
          <w:sz w:val="32"/>
          <w:szCs w:val="32"/>
        </w:rPr>
        <w:t xml:space="preserve"> 药品上市许可持有人、药品生产企业、药品经营企业和医疗机构中直接接触药品的工作人员，应当每年进行健康检查。患有传染病或者其他可能污染药品的疾病的，不得从事直接接触药品的工作。</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第五章 药品经营</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第五十一条</w:t>
      </w:r>
      <w:r>
        <w:rPr>
          <w:rFonts w:hint="eastAsia" w:ascii="宋体" w:hAnsi="宋体" w:eastAsia="仿宋_GB2312" w:cs="仿宋_GB2312"/>
          <w:color w:val="000000"/>
          <w:kern w:val="0"/>
          <w:sz w:val="32"/>
          <w:szCs w:val="32"/>
        </w:rPr>
        <w:t xml:space="preserve"> 从事药品批发活动，应当经所在地省、自治区、直辖市人民政府药品监督管理部门批准，取得药品经营许可证。从事药品零售活动，应当经所在地县级以上地方人民政府药品监督管理部门批准，取得药品经营许可证。无药品经营许可证的，不得经营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药品经营许可证应当标明有效期和经营范围，到期重新审查发证。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药品监督管理部门实施药品经营许可，除依据本法第五十二条规定的条件外，还应当遵循方便群众购药的原则。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第五十二条</w:t>
      </w:r>
      <w:r>
        <w:rPr>
          <w:rFonts w:hint="eastAsia" w:ascii="宋体" w:hAnsi="宋体" w:eastAsia="仿宋_GB2312" w:cs="仿宋_GB2312"/>
          <w:color w:val="000000"/>
          <w:kern w:val="0"/>
          <w:sz w:val="32"/>
          <w:szCs w:val="32"/>
        </w:rPr>
        <w:t xml:space="preserve"> 从事药品经营活动应当具备以下条件：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（一）有依法经过资格认定的药师或者其他药学技术人员；</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（二）有与所经营药品相适应的营业场所、设备、仓储设施和卫生环境；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（三）有与所经营药品相适应的质量管理机构或者人员；</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（四）有保证药品质量的规章制度，并符合国务院药品监督管理部门依据本法制定的药品经营质量管理规范要求。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第五十三条</w:t>
      </w:r>
      <w:r>
        <w:rPr>
          <w:rFonts w:hint="eastAsia" w:ascii="宋体" w:hAnsi="宋体" w:eastAsia="仿宋_GB2312" w:cs="仿宋_GB2312"/>
          <w:color w:val="000000"/>
          <w:kern w:val="0"/>
          <w:sz w:val="32"/>
          <w:szCs w:val="32"/>
        </w:rPr>
        <w:t xml:space="preserve"> 从事药品经营活动，应当遵守药品经营质量管理规范，建立健全药品经营质量管理体系，保证药品经营全过程持续符合法定要求。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国家鼓励、引导药品零售连锁经营。从事药品零售连锁经营活动的企业总部，应当建立统一的质量管理制度，对所属零售企业的经营活动履行管理责任。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药品经营企业的法定代表人、主要负责人对本企业的药品经营活动全面负责。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第五十四条</w:t>
      </w:r>
      <w:r>
        <w:rPr>
          <w:rFonts w:hint="eastAsia" w:ascii="宋体" w:hAnsi="宋体" w:eastAsia="仿宋_GB2312" w:cs="仿宋_GB2312"/>
          <w:color w:val="000000"/>
          <w:kern w:val="0"/>
          <w:sz w:val="32"/>
          <w:szCs w:val="32"/>
        </w:rPr>
        <w:t xml:space="preserve"> 国家对药品实行处方药与非处方药分类管理制度。具体办法由国务院药品监督管理部门会同国务院卫生健康主管部门制定。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第五十五条</w:t>
      </w:r>
      <w:r>
        <w:rPr>
          <w:rFonts w:hint="eastAsia" w:ascii="宋体" w:hAnsi="宋体" w:eastAsia="仿宋_GB2312" w:cs="仿宋_GB2312"/>
          <w:color w:val="000000"/>
          <w:kern w:val="0"/>
          <w:sz w:val="32"/>
          <w:szCs w:val="32"/>
        </w:rPr>
        <w:t xml:space="preserve"> 药品上市许可持有人、药品生产企业、药品经营企业和医疗机构应当从药品上市许可持有人或者具有药品生产、经营资格的企业购进药品；但是，购进未实施审批管理的中药材除外。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第五十六条</w:t>
      </w:r>
      <w:r>
        <w:rPr>
          <w:rFonts w:hint="eastAsia" w:ascii="宋体" w:hAnsi="宋体" w:eastAsia="仿宋_GB2312" w:cs="仿宋_GB2312"/>
          <w:color w:val="000000"/>
          <w:kern w:val="0"/>
          <w:sz w:val="32"/>
          <w:szCs w:val="32"/>
        </w:rPr>
        <w:t xml:space="preserve"> 药品经营企业购进药品，应当建立并执行进货检查验收制度，验明药品合格证明和其他标识；不符合规定要求的，不得购进和销售。</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第五十七条</w:t>
      </w:r>
      <w:r>
        <w:rPr>
          <w:rFonts w:hint="eastAsia" w:ascii="宋体" w:hAnsi="宋体" w:eastAsia="仿宋_GB2312" w:cs="仿宋_GB2312"/>
          <w:color w:val="000000"/>
          <w:kern w:val="0"/>
          <w:sz w:val="32"/>
          <w:szCs w:val="32"/>
        </w:rPr>
        <w:t xml:space="preserve"> 药品经营企业购销药品，应当有真实、完整的购销记录。购销记录应当注明药品的通用名称、剂型、规格、产品批号、有效期、上市许可持有人、生产企业、购销单位、购销数量、购销价格、购销日期及国务院药品监督管理部门规定的其他内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第五十八条</w:t>
      </w:r>
      <w:r>
        <w:rPr>
          <w:rFonts w:hint="eastAsia" w:ascii="宋体" w:hAnsi="宋体" w:eastAsia="仿宋_GB2312" w:cs="仿宋_GB2312"/>
          <w:color w:val="000000"/>
          <w:kern w:val="0"/>
          <w:sz w:val="32"/>
          <w:szCs w:val="32"/>
        </w:rPr>
        <w:t xml:space="preserve"> 药品经营企业零售药品应当准确无误，并正确说明用法、用量和注意事项；调配处方应当经过核对，对处方所列药品不得擅自更改或者代用。对有配伍禁忌或者超剂量的处方，应当拒绝调配；必要时，经处方医师更正或者重新签字，方可调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药品经营企业销售中药材，应当标明产地。</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依法经过资格认定的药师或者其他药学技术人员负责本企业的药品管理、处方审核和调配、合理用药指导等工作。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第五十九条</w:t>
      </w:r>
      <w:r>
        <w:rPr>
          <w:rFonts w:hint="eastAsia" w:ascii="宋体" w:hAnsi="宋体" w:eastAsia="仿宋_GB2312" w:cs="仿宋_GB2312"/>
          <w:color w:val="000000"/>
          <w:kern w:val="0"/>
          <w:sz w:val="32"/>
          <w:szCs w:val="32"/>
        </w:rPr>
        <w:t xml:space="preserve"> 药品经营企业应当制定和执行药品保管制度，采取必要的冷藏、防冻、防潮、防虫、防鼠等措施，保证药品质量。</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药品入库和出库应当执行检查制度。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第六十条</w:t>
      </w:r>
      <w:r>
        <w:rPr>
          <w:rFonts w:hint="eastAsia" w:ascii="宋体" w:hAnsi="宋体" w:eastAsia="仿宋_GB2312" w:cs="仿宋_GB2312"/>
          <w:color w:val="000000"/>
          <w:kern w:val="0"/>
          <w:sz w:val="32"/>
          <w:szCs w:val="32"/>
        </w:rPr>
        <w:t xml:space="preserve"> 城乡集市贸易市场可以出售中药材，国务院另有规定的除外。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第六十一条</w:t>
      </w:r>
      <w:r>
        <w:rPr>
          <w:rFonts w:hint="eastAsia" w:ascii="宋体" w:hAnsi="宋体" w:eastAsia="仿宋_GB2312" w:cs="仿宋_GB2312"/>
          <w:color w:val="000000"/>
          <w:kern w:val="0"/>
          <w:sz w:val="32"/>
          <w:szCs w:val="32"/>
        </w:rPr>
        <w:t xml:space="preserve"> 药品上市许可持有人、药品经营企业通过网络销售药品，应当遵守本法药品经营的有关规定。具体管理办法由国务院药品监督管理部门会同国务院卫生健康主管部门等部门制定。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疫苗、血液制品、麻醉药品、精神药品、医疗用毒性药品、放射性药品、药品类易制毒化学品等国家实行特殊管理的药品不得在网络上销售。</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第六十二条</w:t>
      </w:r>
      <w:r>
        <w:rPr>
          <w:rFonts w:hint="eastAsia" w:ascii="宋体" w:hAnsi="宋体" w:eastAsia="仿宋_GB2312" w:cs="仿宋_GB2312"/>
          <w:color w:val="000000"/>
          <w:kern w:val="0"/>
          <w:sz w:val="32"/>
          <w:szCs w:val="32"/>
        </w:rPr>
        <w:t xml:space="preserve"> 药品网络交易第三方平台提供者应当按照国务院药品监督管理部门的规定，向所在地省、自治区、直辖市人民政府药品监督管理部门备案。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第三方平台提供者应当依法对申请进入平台经营的药品上市许可持有人、药品经营企业的资质等进行审核，保证其符合法定要求，并对发生在平台的药品经营行为进行管理。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第三方平台提供者发现进入平台经营的药品上市许可持有人、药品经营企业有违反本法规定行为的，应当及时制止并立即报告所在地县级人民政府药品监督管理部门；发现严重违法行为的，应当立即停止提供网络交易平台服务。</w:t>
      </w:r>
      <w:r>
        <w:rPr>
          <w:rFonts w:hint="eastAsia" w:ascii="宋体" w:hAnsi="宋体" w:eastAsia="黑体" w:cs="仿宋_GB2312"/>
          <w:color w:val="000000"/>
          <w:kern w:val="0"/>
          <w:sz w:val="32"/>
          <w:szCs w:val="32"/>
        </w:rPr>
        <w:br w:type="textWrapping"/>
      </w: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第六十三条</w:t>
      </w:r>
      <w:r>
        <w:rPr>
          <w:rFonts w:hint="eastAsia" w:ascii="宋体" w:hAnsi="宋体" w:eastAsia="仿宋_GB2312" w:cs="仿宋_GB2312"/>
          <w:color w:val="000000"/>
          <w:kern w:val="0"/>
          <w:sz w:val="32"/>
          <w:szCs w:val="32"/>
        </w:rPr>
        <w:t xml:space="preserve"> 新发现和从境外引种的药材，经国务院药品监督管理部门批准后，方可销售。</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第六十四条</w:t>
      </w:r>
      <w:r>
        <w:rPr>
          <w:rFonts w:hint="eastAsia" w:ascii="宋体" w:hAnsi="宋体" w:eastAsia="仿宋_GB2312" w:cs="仿宋_GB2312"/>
          <w:color w:val="000000"/>
          <w:kern w:val="0"/>
          <w:sz w:val="32"/>
          <w:szCs w:val="32"/>
        </w:rPr>
        <w:t xml:space="preserve"> 药品应当从允许药品进口的口岸进口，并由进口药品的企业向口岸所在地药品监督管理部门备案。海关凭药品监督管理部门出具的进口药品通关单办理通关手续。无进口药品通关单的，海关不得放行。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口岸所在地药品监督管理部门应当通知药品检验机构按照国务院药品监督管理部门的规定对进口药品进行抽查检验。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允许药品进口的口岸由国务院药品监督管理部门会同海关总署提出，报国务院批准。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第六十五条</w:t>
      </w:r>
      <w:r>
        <w:rPr>
          <w:rFonts w:hint="eastAsia" w:ascii="宋体" w:hAnsi="宋体" w:eastAsia="仿宋_GB2312" w:cs="仿宋_GB2312"/>
          <w:color w:val="000000"/>
          <w:kern w:val="0"/>
          <w:sz w:val="32"/>
          <w:szCs w:val="32"/>
        </w:rPr>
        <w:t xml:space="preserve"> 医疗机构因临床急需进口少量药品的，经国务院药品监督管理部门或者国务院授权的省、自治区、直辖市人民政府批准，可以进口。进口的药品应当在指定医疗机构内用于特定医疗目的。</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个人自用携带入境少量药品，按照国家有关规定办理。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第六十六条</w:t>
      </w:r>
      <w:r>
        <w:rPr>
          <w:rFonts w:hint="eastAsia" w:ascii="宋体" w:hAnsi="宋体" w:eastAsia="仿宋_GB2312" w:cs="仿宋_GB2312"/>
          <w:color w:val="000000"/>
          <w:kern w:val="0"/>
          <w:sz w:val="32"/>
          <w:szCs w:val="32"/>
        </w:rPr>
        <w:t xml:space="preserve"> 进口、出口麻醉药品和国家规定范围内的精神药品，应当持有国务院药品监督管理部门颁发的进口准许证、出口准许证。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第六十七条</w:t>
      </w:r>
      <w:r>
        <w:rPr>
          <w:rFonts w:hint="eastAsia" w:ascii="宋体" w:hAnsi="宋体" w:eastAsia="仿宋_GB2312" w:cs="仿宋_GB2312"/>
          <w:color w:val="000000"/>
          <w:kern w:val="0"/>
          <w:sz w:val="32"/>
          <w:szCs w:val="32"/>
        </w:rPr>
        <w:t xml:space="preserve"> 禁止进口疗效不确切、不良反应大或者因其他原因危害人体健康的药品。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第六十八条</w:t>
      </w:r>
      <w:r>
        <w:rPr>
          <w:rFonts w:hint="eastAsia" w:ascii="宋体" w:hAnsi="宋体" w:eastAsia="仿宋_GB2312" w:cs="仿宋_GB2312"/>
          <w:color w:val="000000"/>
          <w:kern w:val="0"/>
          <w:sz w:val="32"/>
          <w:szCs w:val="32"/>
        </w:rPr>
        <w:t xml:space="preserve"> 国务院药品监督管理部门对下列药品在销售前或者进口时，应当指定药品检验机构进行检验；未经检验或者检验不合格的，不得销售或者进口：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（一）首次在中国境内销售的药品；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（二）国务院药品监督管理部门规定的生物制品；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（三）国务院规定的其他药品。</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第六章 医疗机构药事管理</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仿宋_GB2312" w:cs="仿宋_GB2312"/>
          <w:color w:val="000000"/>
          <w:kern w:val="0"/>
          <w:sz w:val="32"/>
          <w:szCs w:val="32"/>
          <w:lang w:val="en-US" w:eastAsia="zh-CN" w:bidi="ar-SA"/>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第六十九条</w:t>
      </w:r>
      <w:r>
        <w:rPr>
          <w:rFonts w:hint="eastAsia" w:ascii="宋体" w:hAnsi="宋体" w:eastAsia="仿宋_GB2312" w:cs="仿宋_GB2312"/>
          <w:color w:val="000000"/>
          <w:kern w:val="0"/>
          <w:sz w:val="32"/>
          <w:szCs w:val="32"/>
        </w:rPr>
        <w:t xml:space="preserve"> 医疗机构应当配备依法经过资格认定的药师或者其他药学技术人员，负责本单位的药品管理、处方审核和调配、合理用药指导等工作。非药学技术人员不得直接从事药剂技术工作。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第七十条</w:t>
      </w:r>
      <w:r>
        <w:rPr>
          <w:rFonts w:hint="eastAsia" w:ascii="宋体" w:hAnsi="宋体" w:eastAsia="仿宋_GB2312" w:cs="仿宋_GB2312"/>
          <w:color w:val="000000"/>
          <w:kern w:val="0"/>
          <w:sz w:val="32"/>
          <w:szCs w:val="32"/>
        </w:rPr>
        <w:t xml:space="preserve"> 医疗机构购进药品，应当建立并执行进货检查验收制度，验明药品合格证明和其他标识；不符合规定要求的，不得购进和使用。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第七十一条</w:t>
      </w:r>
      <w:r>
        <w:rPr>
          <w:rFonts w:hint="eastAsia" w:ascii="宋体" w:hAnsi="宋体" w:eastAsia="仿宋_GB2312" w:cs="仿宋_GB2312"/>
          <w:color w:val="000000"/>
          <w:kern w:val="0"/>
          <w:sz w:val="32"/>
          <w:szCs w:val="32"/>
        </w:rPr>
        <w:t xml:space="preserve"> 医疗机构应当有与所使用药品相适应的场所、设备、仓储设施和卫生环境，制定和执行药品保管制度，采取必要的冷藏、防冻、防潮、防虫、防鼠等措施，保证药品质量。</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第七十二条</w:t>
      </w:r>
      <w:r>
        <w:rPr>
          <w:rFonts w:hint="eastAsia" w:ascii="宋体" w:hAnsi="宋体" w:eastAsia="仿宋_GB2312" w:cs="仿宋_GB2312"/>
          <w:color w:val="000000"/>
          <w:kern w:val="0"/>
          <w:sz w:val="32"/>
          <w:szCs w:val="32"/>
        </w:rPr>
        <w:t xml:space="preserve"> 医疗机构应当坚持安全有效、经济合理的用药原则，遵循药品临床应用指导原则、临床诊疗指南和药品说明书等合理用药，对医师处方、用药医嘱的适宜性进行审核。</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医疗机构以外的其他药品使用单位，应当遵守本法有关医疗机构使用药品的规定。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第七十三条</w:t>
      </w:r>
      <w:r>
        <w:rPr>
          <w:rFonts w:hint="eastAsia" w:ascii="宋体" w:hAnsi="宋体" w:eastAsia="仿宋_GB2312" w:cs="仿宋_GB2312"/>
          <w:color w:val="000000"/>
          <w:kern w:val="0"/>
          <w:sz w:val="32"/>
          <w:szCs w:val="32"/>
        </w:rPr>
        <w:t xml:space="preserve"> 依法经过资格认定的药师或者其他药学技术人员调配处方，应当进行核对，对处方所列药品不得擅自更改或者代用。对有配伍禁忌或者超剂量的处方，应当拒绝调配；必要时，经处方医师更正或者重新签字，方可调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第七十四条</w:t>
      </w:r>
      <w:r>
        <w:rPr>
          <w:rFonts w:hint="eastAsia" w:ascii="宋体" w:hAnsi="宋体" w:eastAsia="仿宋_GB2312" w:cs="仿宋_GB2312"/>
          <w:color w:val="000000"/>
          <w:kern w:val="0"/>
          <w:sz w:val="32"/>
          <w:szCs w:val="32"/>
        </w:rPr>
        <w:t xml:space="preserve"> 医疗机构配制制剂，应当经所在地省、自治区、直辖市人民政府药品监督管理部门批准，取得医疗机构制剂许可证。无医疗机构制剂许可证的，不得配制制剂。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医疗机构制剂许可证应当标明有效期，到期重新审查发证。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第七十五条</w:t>
      </w:r>
      <w:r>
        <w:rPr>
          <w:rFonts w:hint="eastAsia" w:ascii="宋体" w:hAnsi="宋体" w:eastAsia="仿宋_GB2312" w:cs="仿宋_GB2312"/>
          <w:color w:val="000000"/>
          <w:kern w:val="0"/>
          <w:sz w:val="32"/>
          <w:szCs w:val="32"/>
        </w:rPr>
        <w:t xml:space="preserve"> 医疗机构配制制剂，应当有能够保证制剂质量的设施、管理制度、检验仪器和卫生环境。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医疗机构配制制剂，应当按照经核准的工艺进行，所需的原料、辅料和包装材料等应当符合药用要求。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第七十六条</w:t>
      </w:r>
      <w:r>
        <w:rPr>
          <w:rFonts w:hint="eastAsia" w:ascii="宋体" w:hAnsi="宋体" w:eastAsia="仿宋_GB2312" w:cs="仿宋_GB2312"/>
          <w:color w:val="000000"/>
          <w:kern w:val="0"/>
          <w:sz w:val="32"/>
          <w:szCs w:val="32"/>
        </w:rPr>
        <w:t xml:space="preserve"> 医疗机构配制的制剂，应当是本单位临床需要而市场上没有供应的品种，并应当经所在地省、自治区、直辖市人民政府药品监督管理部门批准；但是，法律对配制中药制剂另有规定的除外。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配制的制剂应当按照规定进行质量检验；合格的，凭医师处方在本单位使用。经国务院药品监督管理部门或者省、自治区、直辖市人民政府药品监督管理部门批准，医疗机构配制的制剂可以在指定的医疗机构之间调剂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医疗机构配制的制剂不得在市场上销售。</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第七章 药品上市后管理</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第七十七条</w:t>
      </w:r>
      <w:r>
        <w:rPr>
          <w:rFonts w:hint="eastAsia" w:ascii="宋体" w:hAnsi="宋体" w:eastAsia="仿宋_GB2312" w:cs="仿宋_GB2312"/>
          <w:color w:val="000000"/>
          <w:kern w:val="0"/>
          <w:sz w:val="32"/>
          <w:szCs w:val="32"/>
        </w:rPr>
        <w:t xml:space="preserve"> 药品上市许可持有人应当制定药品上市后风险管理计划，主动开展药品上市后研究，对药品的安全性、有效性和质量可控性进行进一步确证，加强对已上市药品的持续管理。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第七十八条</w:t>
      </w:r>
      <w:r>
        <w:rPr>
          <w:rFonts w:hint="eastAsia" w:ascii="宋体" w:hAnsi="宋体" w:eastAsia="仿宋_GB2312" w:cs="仿宋_GB2312"/>
          <w:color w:val="000000"/>
          <w:kern w:val="0"/>
          <w:sz w:val="32"/>
          <w:szCs w:val="32"/>
        </w:rPr>
        <w:t xml:space="preserve"> 对附条件批准的药品，药品上市许可持有人应当采取相应风险管理措施，并在规定期限内按照要求完成相关研究；逾期未按照要求完成研究或者不能证明其获益大于风险的，国务院药品监督管理部门应当依法处理，直至注销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第七十九条</w:t>
      </w:r>
      <w:r>
        <w:rPr>
          <w:rFonts w:hint="eastAsia" w:ascii="宋体" w:hAnsi="宋体" w:eastAsia="仿宋_GB2312" w:cs="仿宋_GB2312"/>
          <w:color w:val="000000"/>
          <w:kern w:val="0"/>
          <w:sz w:val="32"/>
          <w:szCs w:val="32"/>
        </w:rPr>
        <w:t xml:space="preserve"> 对药品生产过程中的变更，按照其对药品安全性、有效性和质量可控性的风险和产生影响的程度，实行分类管理。属于重大变更的，应当经国务院药品监督管理部门批准，其他变更应当按照国务院药品监督管理部门的规定备案或者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药品上市许可持有人应当按照国务院药品监督管理部门的规定，全面评估、验证变更事项对药品安全性、有效性和质量可控性的影响。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第八十条</w:t>
      </w:r>
      <w:r>
        <w:rPr>
          <w:rFonts w:hint="eastAsia" w:ascii="宋体" w:hAnsi="宋体" w:eastAsia="仿宋_GB2312" w:cs="仿宋_GB2312"/>
          <w:color w:val="000000"/>
          <w:kern w:val="0"/>
          <w:sz w:val="32"/>
          <w:szCs w:val="32"/>
        </w:rPr>
        <w:t xml:space="preserve"> 药品上市许可持有人应当开展药品上市后不良反应监测，主动收集、跟踪分析疑似药品不良反应信息，对已识别风险的药品及时采取风险控制措施。</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第八十一条</w:t>
      </w:r>
      <w:r>
        <w:rPr>
          <w:rFonts w:hint="eastAsia" w:ascii="宋体" w:hAnsi="宋体" w:eastAsia="仿宋_GB2312" w:cs="仿宋_GB2312"/>
          <w:color w:val="000000"/>
          <w:kern w:val="0"/>
          <w:sz w:val="32"/>
          <w:szCs w:val="32"/>
        </w:rPr>
        <w:t xml:space="preserve"> 药品上市许可持有人、药品生产企业、药品经营企业和医疗机构应当经常考察本单位所生产、经营、使用的药品质量、疗效和不良反应。发现疑似不良反应的，应当及时向药品监督管理部门和卫生健康主管部门报告。具体办法由国务院药品监督管理部门会同国务院卫生健康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已确认发生严重不良反应的药品，由国务院药品监督管理部门或者省、自治区、直辖市人民政府药品监督管理部门根据实际情况采取停止生产、销售、使用等紧急控制措施，并应当在五日内组织鉴定，自鉴定结论作出之日起十五日内依法作出行政处理决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第八十二条</w:t>
      </w:r>
      <w:r>
        <w:rPr>
          <w:rFonts w:hint="eastAsia" w:ascii="宋体" w:hAnsi="宋体" w:eastAsia="仿宋_GB2312" w:cs="仿宋_GB2312"/>
          <w:color w:val="000000"/>
          <w:kern w:val="0"/>
          <w:sz w:val="32"/>
          <w:szCs w:val="32"/>
        </w:rPr>
        <w:t xml:space="preserve"> 药品存在质量问题或者其他安全隐患的，药品上市许可持有人应当立即停止销售，告知相关药品经营企业和医疗机构停止销售和使用，召回已销售的药品，及时公开召回信息，必要时应当立即停止生产，并将药品召回和处理情况向省、自治区、直辖市人民政府药品监督管理部门和卫生健康主管部门报告。药品生产企业、药品经营企业和医疗机构应当配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药品上市许可持有人依法应当召回药品而未召回的，省、自治区、直辖市人民政府药品监督管理部门应当责令其召回。</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第八十三条</w:t>
      </w:r>
      <w:r>
        <w:rPr>
          <w:rFonts w:hint="eastAsia" w:ascii="宋体" w:hAnsi="宋体" w:eastAsia="仿宋_GB2312" w:cs="仿宋_GB2312"/>
          <w:color w:val="000000"/>
          <w:kern w:val="0"/>
          <w:sz w:val="32"/>
          <w:szCs w:val="32"/>
        </w:rPr>
        <w:t xml:space="preserve"> 药品上市许可持有人应当对已上市药品的安全性、有效性和质量可控性定期开展上市后评价。必要时，国务院药品监督管理部门可以责令药品上市许可持有人开展上市后评价或者直接组织开展上市后评价。</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经评价，对疗效不确切、不良反应大或者因其他原因危害人体健康的药品，应当注销药品注册证书。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已被注销药品注册证书的药品，不得生产或者进口、销售和使用。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已被注销药品注册证书、超过有效期等的药品，应当由药品监督管理部门监督销毁或者依法采取其他无害化处理等措施。</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第八章 药品价格和广告</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第八十四条</w:t>
      </w:r>
      <w:r>
        <w:rPr>
          <w:rFonts w:hint="eastAsia" w:ascii="宋体" w:hAnsi="宋体" w:eastAsia="仿宋_GB2312" w:cs="仿宋_GB2312"/>
          <w:color w:val="000000"/>
          <w:kern w:val="0"/>
          <w:sz w:val="32"/>
          <w:szCs w:val="32"/>
        </w:rPr>
        <w:t xml:space="preserve"> 国家完善药品采购管理制度，对药品价格进行监测，开展成本价格调查，加强药品价格监督检查，依法查处价格垄断、哄抬价格等药品价格违法行为，维护药品价格秩序。</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第八十五条</w:t>
      </w:r>
      <w:r>
        <w:rPr>
          <w:rFonts w:hint="eastAsia" w:ascii="宋体" w:hAnsi="宋体" w:eastAsia="仿宋_GB2312" w:cs="仿宋_GB2312"/>
          <w:color w:val="000000"/>
          <w:kern w:val="0"/>
          <w:sz w:val="32"/>
          <w:szCs w:val="32"/>
        </w:rPr>
        <w:t xml:space="preserve"> 依法实行市场调节价的药品，药品上市许可持有人、药品生产企业、药品经营企业和医疗机构应当按照公平、合理和诚实信用、质价相符的原则制定价格，为用药者提供价格合理的药品。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药品上市许可持有人、药品生产企业、药品经营企业和医疗机构应当遵守国务院药品价格主管部门关于药品价格管理的规定，制定和标明药品零售价格，禁止暴利、价格垄断和价格欺诈等行为。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第八十六条</w:t>
      </w:r>
      <w:r>
        <w:rPr>
          <w:rFonts w:hint="eastAsia" w:ascii="宋体" w:hAnsi="宋体" w:eastAsia="仿宋_GB2312" w:cs="仿宋_GB2312"/>
          <w:color w:val="000000"/>
          <w:kern w:val="0"/>
          <w:sz w:val="32"/>
          <w:szCs w:val="32"/>
        </w:rPr>
        <w:t xml:space="preserve"> 药品上市许可持有人、药品生产企业、药品经营企业和医疗机构应当依法向药品价格主管部门提供其药品的实际购销价格和购销数量等资料。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第八十七条</w:t>
      </w:r>
      <w:r>
        <w:rPr>
          <w:rFonts w:hint="eastAsia" w:ascii="宋体" w:hAnsi="宋体" w:eastAsia="仿宋_GB2312" w:cs="仿宋_GB2312"/>
          <w:color w:val="000000"/>
          <w:kern w:val="0"/>
          <w:sz w:val="32"/>
          <w:szCs w:val="32"/>
        </w:rPr>
        <w:t xml:space="preserve"> 医疗机构应当向患者提供所用药品的价格清单，按照规定如实公布其常用药品的价格，加强合理用药管理。具体办法由国务院卫生健康主管部门制定。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第八十八条</w:t>
      </w:r>
      <w:r>
        <w:rPr>
          <w:rFonts w:hint="eastAsia" w:ascii="宋体" w:hAnsi="宋体" w:eastAsia="仿宋_GB2312" w:cs="仿宋_GB2312"/>
          <w:color w:val="000000"/>
          <w:kern w:val="0"/>
          <w:sz w:val="32"/>
          <w:szCs w:val="32"/>
        </w:rPr>
        <w:t xml:space="preserve"> 禁止药品上市许可持有人、药品生产企业、药品经营企业和医疗机构在药品购销中给予、收受回扣或者其他不正当利益。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禁止药品上市许可持有人、药品生产企业、药品经营企业或者代理人以任何名义给予使用其药品的医疗机构的负责人、药品采购人员、医师、药师等有关人员财物或者其他不正当利益。禁止医疗机构的负责人、药品采购人员、医师、药师等有关人员以任何名义收受药品上市许可持有人、药品生产企业、药品经营企业或者代理人给予的财物或者其他不正当利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第八十九条</w:t>
      </w:r>
      <w:r>
        <w:rPr>
          <w:rFonts w:hint="eastAsia" w:ascii="宋体" w:hAnsi="宋体" w:eastAsia="仿宋_GB2312" w:cs="仿宋_GB2312"/>
          <w:color w:val="000000"/>
          <w:kern w:val="0"/>
          <w:sz w:val="32"/>
          <w:szCs w:val="32"/>
        </w:rPr>
        <w:t xml:space="preserve"> 药品广告应当经广告主所在地省、自治区、直辖市人民政府确定的广告审查机关批准；未经批准的，不得发布。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第九十条</w:t>
      </w:r>
      <w:r>
        <w:rPr>
          <w:rFonts w:hint="eastAsia" w:ascii="宋体" w:hAnsi="宋体" w:eastAsia="仿宋_GB2312" w:cs="仿宋_GB2312"/>
          <w:color w:val="000000"/>
          <w:kern w:val="0"/>
          <w:sz w:val="32"/>
          <w:szCs w:val="32"/>
        </w:rPr>
        <w:t xml:space="preserve"> 药品广告的内容应当真实、合法，以国务院药品监督管理部门核准的药品说明书为准，不得含有虚假的内容。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药品广告不得含有表示功效、安全性的断言或者保证；不得利用国家机关、科研单位、学术机构、行业协会或者专家、学者、医师、药师、患者等的名义或者形象作推荐、证明。</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非药品广告不得有涉及药品的宣传。</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第九十一条</w:t>
      </w:r>
      <w:r>
        <w:rPr>
          <w:rFonts w:hint="eastAsia" w:ascii="宋体" w:hAnsi="宋体" w:eastAsia="仿宋_GB2312" w:cs="仿宋_GB2312"/>
          <w:color w:val="000000"/>
          <w:kern w:val="0"/>
          <w:sz w:val="32"/>
          <w:szCs w:val="32"/>
        </w:rPr>
        <w:t xml:space="preserve"> 药品价格和广告，本法未作规定的，适用《中华人民共和国价格法》、《中华人民共和国反垄断法》、《中华人民共和国反不正当竞争法》、《中华人民共和国广告法》等的规定。</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第九章 药品储备和供应</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lang w:val="en-US" w:eastAsia="zh-CN"/>
        </w:rPr>
        <w:t xml:space="preserve">    </w:t>
      </w:r>
      <w:r>
        <w:rPr>
          <w:rFonts w:hint="eastAsia" w:ascii="宋体" w:hAnsi="宋体" w:eastAsia="黑体" w:cs="仿宋_GB2312"/>
          <w:color w:val="000000"/>
          <w:kern w:val="0"/>
          <w:sz w:val="32"/>
          <w:szCs w:val="32"/>
        </w:rPr>
        <w:t>第九十二条</w:t>
      </w:r>
      <w:r>
        <w:rPr>
          <w:rFonts w:hint="eastAsia" w:ascii="宋体" w:hAnsi="宋体" w:eastAsia="仿宋_GB2312" w:cs="仿宋_GB2312"/>
          <w:color w:val="000000"/>
          <w:kern w:val="0"/>
          <w:sz w:val="32"/>
          <w:szCs w:val="32"/>
        </w:rPr>
        <w:t xml:space="preserve"> 国家实行药品储备制度，建立中央和地方两级药品储备。</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发生重大灾情、疫情或者其他突发事件时，依照《中华人民共和国突发事件应对法》的规定，可以紧急调用药品。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第九十三条</w:t>
      </w:r>
      <w:r>
        <w:rPr>
          <w:rFonts w:hint="eastAsia" w:ascii="宋体" w:hAnsi="宋体" w:eastAsia="仿宋_GB2312" w:cs="仿宋_GB2312"/>
          <w:color w:val="000000"/>
          <w:kern w:val="0"/>
          <w:sz w:val="32"/>
          <w:szCs w:val="32"/>
        </w:rPr>
        <w:t xml:space="preserve"> 国家实行基本药物制度，遴选适当数量的基本药物品种，加强组织生产和储备，提高基本药物的供给能力，满足疾病防治基本用药需求。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第九十四条</w:t>
      </w:r>
      <w:r>
        <w:rPr>
          <w:rFonts w:hint="eastAsia" w:ascii="宋体" w:hAnsi="宋体" w:eastAsia="仿宋_GB2312" w:cs="仿宋_GB2312"/>
          <w:color w:val="000000"/>
          <w:kern w:val="0"/>
          <w:sz w:val="32"/>
          <w:szCs w:val="32"/>
        </w:rPr>
        <w:t xml:space="preserve"> 国家建立药品供求监测体系，及时收集和汇总分析短缺药品供求信息，对短缺药品实行预警，采取应对措施。</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第九十五条</w:t>
      </w:r>
      <w:r>
        <w:rPr>
          <w:rFonts w:hint="eastAsia" w:ascii="宋体" w:hAnsi="宋体" w:eastAsia="仿宋_GB2312" w:cs="仿宋_GB2312"/>
          <w:color w:val="000000"/>
          <w:kern w:val="0"/>
          <w:sz w:val="32"/>
          <w:szCs w:val="32"/>
        </w:rPr>
        <w:t xml:space="preserve"> 国家实行短缺药品清单管理制度。具体办法由国务院卫生健康主管部门会同国务院药品监督管理部门等部门制定。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药品上市许可持有人停止生产短缺药品的，应当按照规定向国务院药品监督管理部门或者省、自治区、直辖市人民政府药品监督管理部门报告。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第九十六条</w:t>
      </w:r>
      <w:r>
        <w:rPr>
          <w:rFonts w:hint="eastAsia" w:ascii="宋体" w:hAnsi="宋体" w:eastAsia="仿宋_GB2312" w:cs="仿宋_GB2312"/>
          <w:color w:val="000000"/>
          <w:kern w:val="0"/>
          <w:sz w:val="32"/>
          <w:szCs w:val="32"/>
        </w:rPr>
        <w:t xml:space="preserve"> 国家鼓励短缺药品的研制和生产，对临床急需的短缺药品、防治重大传染病和罕见病等疾病的新药予以优先审评审批。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第九十七条</w:t>
      </w:r>
      <w:r>
        <w:rPr>
          <w:rFonts w:hint="eastAsia" w:ascii="宋体" w:hAnsi="宋体" w:eastAsia="仿宋_GB2312" w:cs="仿宋_GB2312"/>
          <w:color w:val="000000"/>
          <w:kern w:val="0"/>
          <w:sz w:val="32"/>
          <w:szCs w:val="32"/>
        </w:rPr>
        <w:t xml:space="preserve"> 对短缺药品，国务院可以限制或者禁止出口。必要时，国务院有关部门可以采取组织生产、价格干预和扩大进口等措施，保障药品供应。</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药品上市许可持有人、药品生产企业、药品经营企业应当按照规定保障药品的生产和供应。</w:t>
      </w:r>
    </w:p>
    <w:p>
      <w:pPr>
        <w:pStyle w:val="33"/>
        <w:wordWrap/>
        <w:spacing w:line="560" w:lineRule="exact"/>
        <w:textAlignment w:val="auto"/>
        <w:rPr>
          <w:rFonts w:hint="eastAsia"/>
        </w:rPr>
      </w:pPr>
    </w:p>
    <w:p>
      <w:pPr>
        <w:widowControl/>
        <w:numPr>
          <w:ilvl w:val="0"/>
          <w:numId w:val="4"/>
        </w:numPr>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监督管理</w:t>
      </w:r>
    </w:p>
    <w:p>
      <w:pPr>
        <w:widowControl/>
        <w:numPr>
          <w:ilvl w:val="0"/>
          <w:numId w:val="0"/>
        </w:numPr>
        <w:wordWrap/>
        <w:overflowPunct w:val="0"/>
        <w:adjustRightInd w:val="0"/>
        <w:snapToGrid/>
        <w:spacing w:beforeAutospacing="0" w:after="0" w:afterAutospacing="0" w:line="560" w:lineRule="exact"/>
        <w:ind w:right="0"/>
        <w:jc w:val="both"/>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lang w:val="en-US" w:eastAsia="zh-CN"/>
        </w:rPr>
        <w:t xml:space="preserve">    </w:t>
      </w:r>
      <w:r>
        <w:rPr>
          <w:rFonts w:hint="eastAsia" w:ascii="宋体" w:hAnsi="宋体" w:eastAsia="黑体" w:cs="仿宋_GB2312"/>
          <w:color w:val="000000"/>
          <w:kern w:val="0"/>
          <w:sz w:val="32"/>
          <w:szCs w:val="32"/>
        </w:rPr>
        <w:t>第九十八条</w:t>
      </w:r>
      <w:r>
        <w:rPr>
          <w:rFonts w:hint="eastAsia" w:ascii="宋体" w:hAnsi="宋体" w:eastAsia="仿宋_GB2312" w:cs="仿宋_GB2312"/>
          <w:color w:val="000000"/>
          <w:kern w:val="0"/>
          <w:sz w:val="32"/>
          <w:szCs w:val="32"/>
        </w:rPr>
        <w:t xml:space="preserve"> 禁止生产（包括配制，下同）、销售、使用假药、劣药。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有下列情形之一的，为假药：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（一）药品所含成份与国家药品标准规定的成份不符；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（二）以非药品冒充药品或者以他种药品冒充此种药品；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（三）变质的药品；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（四）药品所标明的适应症或者功能主治超出规定范围。</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有下列情形之一的，为劣药：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（一）药品成份的含量不符合国家药品标准；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（二）被污染的药品；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（三）未标明或者更改有效期的药品；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（四）未注明或者更改产品批号的药品；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（五）超过有效期的药品；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（六）擅自添加防腐剂、辅料的药品；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（七）其他不符合药品标准的药品。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禁止未取得药品批准证明文件生产、进口药品；禁止使用未按照规定审评、审批的原料药、包装材料和容器生产药品。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第九十九条</w:t>
      </w:r>
      <w:r>
        <w:rPr>
          <w:rFonts w:hint="eastAsia" w:ascii="宋体" w:hAnsi="宋体" w:eastAsia="仿宋_GB2312" w:cs="仿宋_GB2312"/>
          <w:color w:val="000000"/>
          <w:kern w:val="0"/>
          <w:sz w:val="32"/>
          <w:szCs w:val="32"/>
        </w:rPr>
        <w:t xml:space="preserve"> 药品监督管理部门应当依照法律、法规的规定对药品研制、生产、经营和药品使用单位使用药品等活动进行监督检查，必要时可以对为药品研制、生产、经营、使用提供产品或者服务的单位和个人进行延伸检查，有关单位和个人应当予以配合，不得拒绝和隐瞒。</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药品监督管理部门应当对高风险的药品实施重点监督检查。</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对有证据证明可能存在安全隐患的，药品监督管理部门根据监督检查情况，应当采取告诫、约谈、限期整改以及暂停生产、销售、使用、进口等措施，并及时公布检查处理结果。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药品监督管理部门进行监督检查时，应当出示证明文件，对监督检查中知悉的商业秘密应当保密。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第一百条</w:t>
      </w:r>
      <w:r>
        <w:rPr>
          <w:rFonts w:hint="eastAsia" w:ascii="宋体" w:hAnsi="宋体" w:eastAsia="仿宋_GB2312" w:cs="仿宋_GB2312"/>
          <w:color w:val="000000"/>
          <w:kern w:val="0"/>
          <w:sz w:val="32"/>
          <w:szCs w:val="32"/>
        </w:rPr>
        <w:t xml:space="preserve"> 药品监督管理部门根据监督管理的需要，可以对药品质量进行抽查检验。抽查检验应当按照规定抽样，并不得收取任何费用；抽样应当购买样品。所需费用按照国务院规定列支。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对有证据证明可能危害人体健康的药品及其有关材料，药品监督管理部门可以查封、扣押，并在七日内作出行政处理决定；药品需要检验的，应当自检验报告书发出之日起十五日内作出行政处理决定。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第一百零一条</w:t>
      </w:r>
      <w:r>
        <w:rPr>
          <w:rFonts w:hint="eastAsia" w:ascii="宋体" w:hAnsi="宋体" w:eastAsia="仿宋_GB2312" w:cs="仿宋_GB2312"/>
          <w:color w:val="000000"/>
          <w:kern w:val="0"/>
          <w:sz w:val="32"/>
          <w:szCs w:val="32"/>
        </w:rPr>
        <w:t xml:space="preserve"> 国务院和省、自治区、直辖市人民政府的药品监督管理部门应当定期公告药品质量抽查检验结果；公告不当的，应当在原公告范围内予以更正。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第一百零二条</w:t>
      </w:r>
      <w:r>
        <w:rPr>
          <w:rFonts w:hint="eastAsia" w:ascii="宋体" w:hAnsi="宋体" w:eastAsia="仿宋_GB2312" w:cs="仿宋_GB2312"/>
          <w:color w:val="000000"/>
          <w:kern w:val="0"/>
          <w:sz w:val="32"/>
          <w:szCs w:val="32"/>
        </w:rPr>
        <w:t xml:space="preserve"> 当事人对药品检验结果有异议的，可以自收到药品检验结果之日起七日内向原药品检验机构或者上一级药品监督管理部门设置或者指定的药品检验机构申请复验，也可以直接向国务院药品监督管理部门设置或者指定的药品检验机构申请复验。受理复验的药品检验机构应当在国务院药品监督管理部门规定的时间内作出复验结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第一百零三条</w:t>
      </w:r>
      <w:r>
        <w:rPr>
          <w:rFonts w:hint="eastAsia" w:ascii="宋体" w:hAnsi="宋体" w:eastAsia="仿宋_GB2312" w:cs="仿宋_GB2312"/>
          <w:color w:val="000000"/>
          <w:kern w:val="0"/>
          <w:sz w:val="32"/>
          <w:szCs w:val="32"/>
        </w:rPr>
        <w:t xml:space="preserve"> 药品监督管理部门应当对药品上市许可持有人、药品生产企业、药品经营企业和药物非临床安全性评价研究机构、药物临床试验机构等遵守药品生产质量管理规范、药品经营质量管理规范、药物非临床研究质量管理规范、药物临床试验质量管理规范等情况进行检查，监督其持续符合法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第一百零四条</w:t>
      </w:r>
      <w:r>
        <w:rPr>
          <w:rFonts w:hint="eastAsia" w:ascii="宋体" w:hAnsi="宋体" w:eastAsia="仿宋_GB2312" w:cs="仿宋_GB2312"/>
          <w:color w:val="000000"/>
          <w:kern w:val="0"/>
          <w:sz w:val="32"/>
          <w:szCs w:val="32"/>
        </w:rPr>
        <w:t xml:space="preserve"> 国家建立职业化、专业化药品检查员队伍。检查员应当熟悉药品法律法规，具备药品专业知识。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第一百零五条</w:t>
      </w:r>
      <w:r>
        <w:rPr>
          <w:rFonts w:hint="eastAsia" w:ascii="宋体" w:hAnsi="宋体" w:eastAsia="仿宋_GB2312" w:cs="仿宋_GB2312"/>
          <w:color w:val="000000"/>
          <w:kern w:val="0"/>
          <w:sz w:val="32"/>
          <w:szCs w:val="32"/>
        </w:rPr>
        <w:t xml:space="preserve"> 药品监督管理部门建立药品上市许可持有人、药品生产企业、药品经营企业、药物非临床安全性评价研究机构、药物临床试验机构和医疗机构药品安全信用档案，记录许可颁发、日常监督检查结果、违法行为查处等情况，依法向社会公布并及时更新；对有不良信用记录的，增加监督检查频次，并可以按照国家规定实施联合惩戒。</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第一百零六条</w:t>
      </w:r>
      <w:r>
        <w:rPr>
          <w:rFonts w:hint="eastAsia" w:ascii="宋体" w:hAnsi="宋体" w:eastAsia="仿宋_GB2312" w:cs="仿宋_GB2312"/>
          <w:color w:val="000000"/>
          <w:kern w:val="0"/>
          <w:sz w:val="32"/>
          <w:szCs w:val="32"/>
        </w:rPr>
        <w:t xml:space="preserve"> 药品监督管理部门应当公布本部门的电子邮件地址、电话，接受咨询、投诉、举报，并依法及时答复、核实、处理。对查证属实的举报，按照有关规定给予举报人奖励。</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药品监督管理部门应当对举报人的信息予以保密，保护举报人的合法权益。举报人举报所在单位的，该单位不得以解除、变更劳动合同或者其他方式对举报人进行打击报复。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第一百零七条</w:t>
      </w:r>
      <w:r>
        <w:rPr>
          <w:rFonts w:hint="eastAsia" w:ascii="宋体" w:hAnsi="宋体" w:eastAsia="仿宋_GB2312" w:cs="仿宋_GB2312"/>
          <w:color w:val="000000"/>
          <w:kern w:val="0"/>
          <w:sz w:val="32"/>
          <w:szCs w:val="32"/>
        </w:rPr>
        <w:t xml:space="preserve"> 国家实行药品安全信息统一公布制度。国家药品安全总体情况、药品安全风险警示信息、重大药品安全事件及其调查处理信息和国务院确定需要统一公布的其他信息由国务院药品监督管理部门统一公布。药品安全风险警示信息和重大药品安全事件及其调查处理信息的影响限于特定区域的，也可以由有关省、自治区、直辖市人民政府药品监督管理部门公布。未经授权不得发布上述信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公布药品安全信息，应当及时、准确、全面，并进行必要的说明，避免误导。</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任何单位和个人不得编造、散布虚假药品安全信息。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第一百零八条</w:t>
      </w:r>
      <w:r>
        <w:rPr>
          <w:rFonts w:hint="eastAsia" w:ascii="宋体" w:hAnsi="宋体" w:eastAsia="仿宋_GB2312" w:cs="仿宋_GB2312"/>
          <w:color w:val="000000"/>
          <w:kern w:val="0"/>
          <w:sz w:val="32"/>
          <w:szCs w:val="32"/>
        </w:rPr>
        <w:t xml:space="preserve"> 县级以上人民政府应当制定药品安全事件应急预案。药品上市许可持有人、药品生产企业、药品经营企业和医疗机构等应当制定本单位的药品安全事件处置方案，并组织开展培训和应急演练。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发生药品安全事件，县级以上人民政府应当按照应急预案立即组织开展应对工作；有关单位应当立即采取有效措施进行处置，防止危害扩大。</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第一百零九条</w:t>
      </w:r>
      <w:r>
        <w:rPr>
          <w:rFonts w:hint="eastAsia" w:ascii="宋体" w:hAnsi="宋体" w:eastAsia="仿宋_GB2312" w:cs="仿宋_GB2312"/>
          <w:color w:val="000000"/>
          <w:kern w:val="0"/>
          <w:sz w:val="32"/>
          <w:szCs w:val="32"/>
        </w:rPr>
        <w:t xml:space="preserve"> 药品监督管理部门未及时发现药品安全系统性风险，未及时消除监督管理区域内药品安全隐患的，本级人民政府或者上级人民政府药品监督管理部门应当对其主要负责人进行约谈。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地方人民政府未履行药品安全职责，未及时消除区域性重大药品安全隐患的，上级人民政府或者上级人民政府药品监督管理部门应当对其主要负责人进行约谈。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被约谈的部门和地方人民政府应当立即采取措施，对药品监督管理工作进行整改。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约谈情况和整改情况应当纳入有关部门和地方人民政府药品监督管理工作评议、考核记录。</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第一百一十条</w:t>
      </w:r>
      <w:r>
        <w:rPr>
          <w:rFonts w:hint="eastAsia" w:ascii="宋体" w:hAnsi="宋体" w:eastAsia="仿宋_GB2312" w:cs="仿宋_GB2312"/>
          <w:color w:val="000000"/>
          <w:kern w:val="0"/>
          <w:sz w:val="32"/>
          <w:szCs w:val="32"/>
        </w:rPr>
        <w:t xml:space="preserve"> 地方人民政府及其药品监督管理部门不得以要求实施药品检验、审批等手段限制或者排斥非本地区药品上市许可持有人、药品生产企业生产的药品进入本地区。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第一百一十一条</w:t>
      </w:r>
      <w:r>
        <w:rPr>
          <w:rFonts w:hint="eastAsia" w:ascii="宋体" w:hAnsi="宋体" w:eastAsia="仿宋_GB2312" w:cs="仿宋_GB2312"/>
          <w:color w:val="000000"/>
          <w:kern w:val="0"/>
          <w:sz w:val="32"/>
          <w:szCs w:val="32"/>
        </w:rPr>
        <w:t xml:space="preserve"> 药品监督管理部门及其设置或者指定的药品专业技术机构不得参与药品生产经营活动，不得以其名义推荐或者监制、监销药品。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药品监督管理部门及其设置或者指定的药品专业技术机构的工作人员不得参与药品生产经营活动。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第一百一十二条</w:t>
      </w:r>
      <w:r>
        <w:rPr>
          <w:rFonts w:hint="eastAsia" w:ascii="宋体" w:hAnsi="宋体" w:eastAsia="仿宋_GB2312" w:cs="仿宋_GB2312"/>
          <w:color w:val="000000"/>
          <w:kern w:val="0"/>
          <w:sz w:val="32"/>
          <w:szCs w:val="32"/>
        </w:rPr>
        <w:t xml:space="preserve"> 国务院对麻醉药品、精神药品、医疗用毒性药品、放射性药品、药品类易制毒化学品等有其他特殊管理规定的，依照其规定。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第一百一十三条</w:t>
      </w:r>
      <w:r>
        <w:rPr>
          <w:rFonts w:hint="eastAsia" w:ascii="宋体" w:hAnsi="宋体" w:eastAsia="仿宋_GB2312" w:cs="仿宋_GB2312"/>
          <w:color w:val="000000"/>
          <w:kern w:val="0"/>
          <w:sz w:val="32"/>
          <w:szCs w:val="32"/>
        </w:rPr>
        <w:t xml:space="preserve"> 药品监督管理部门发现药品违法行为涉嫌犯罪的，应当及时将案件移送公安机关。</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对依法不需要追究刑事责任或者免予刑事处罚，但应当追究行政责任的，公安机关、人民检察院、人民法院应当及时将案件移送药品监督管理部门。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公安机关、人民检察院、人民法院商请药品监督管理部门、生态环境主管部门等部门提供检验结论、认定意见以及对涉案药品进行无害化处理等协助的，有关部门应当及时提供，予以协助。</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第十一章 法律责任</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kern w:val="0"/>
          <w:sz w:val="32"/>
          <w:szCs w:val="32"/>
        </w:rPr>
      </w:pP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第一百一十四条</w:t>
      </w:r>
      <w:r>
        <w:rPr>
          <w:rFonts w:hint="eastAsia" w:ascii="宋体" w:hAnsi="宋体" w:eastAsia="仿宋_GB2312" w:cs="仿宋_GB2312"/>
          <w:color w:val="000000"/>
          <w:kern w:val="0"/>
          <w:sz w:val="32"/>
          <w:szCs w:val="32"/>
        </w:rPr>
        <w:t xml:space="preserve"> 违反本法规定，构成犯罪的，依法追究刑事责任。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第一百一十五条</w:t>
      </w:r>
      <w:r>
        <w:rPr>
          <w:rFonts w:hint="eastAsia" w:ascii="宋体" w:hAnsi="宋体" w:eastAsia="仿宋_GB2312" w:cs="仿宋_GB2312"/>
          <w:color w:val="000000"/>
          <w:kern w:val="0"/>
          <w:sz w:val="32"/>
          <w:szCs w:val="32"/>
        </w:rPr>
        <w:t xml:space="preserve">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第一百一十六条</w:t>
      </w:r>
      <w:r>
        <w:rPr>
          <w:rFonts w:hint="eastAsia" w:ascii="宋体" w:hAnsi="宋体" w:eastAsia="仿宋_GB2312" w:cs="仿宋_GB2312"/>
          <w:color w:val="000000"/>
          <w:kern w:val="0"/>
          <w:sz w:val="32"/>
          <w:szCs w:val="32"/>
        </w:rPr>
        <w:t xml:space="preserve"> 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第一百一十七条</w:t>
      </w:r>
      <w:r>
        <w:rPr>
          <w:rFonts w:hint="eastAsia" w:ascii="宋体" w:hAnsi="宋体" w:eastAsia="仿宋_GB2312" w:cs="仿宋_GB2312"/>
          <w:color w:val="000000"/>
          <w:kern w:val="0"/>
          <w:sz w:val="32"/>
          <w:szCs w:val="32"/>
        </w:rPr>
        <w:t xml:space="preserve">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生产、销售的中药饮片不符合药品标准，尚不影响安全性、有效性的，责令限期改正，给予警告；可以处十万元以上五十万元以下的罚款。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第一百一十八条</w:t>
      </w:r>
      <w:r>
        <w:rPr>
          <w:rFonts w:hint="eastAsia" w:ascii="宋体" w:hAnsi="宋体" w:eastAsia="仿宋_GB2312" w:cs="仿宋_GB2312"/>
          <w:color w:val="000000"/>
          <w:kern w:val="0"/>
          <w:sz w:val="32"/>
          <w:szCs w:val="32"/>
        </w:rPr>
        <w:t xml:space="preserve"> 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对生产者专门用于生产假药、劣药的原料、辅料、包装材料、生产设备予以没收。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第一百一十九条</w:t>
      </w:r>
      <w:r>
        <w:rPr>
          <w:rFonts w:hint="eastAsia" w:ascii="宋体" w:hAnsi="宋体" w:eastAsia="仿宋_GB2312" w:cs="仿宋_GB2312"/>
          <w:color w:val="000000"/>
          <w:kern w:val="0"/>
          <w:sz w:val="32"/>
          <w:szCs w:val="32"/>
        </w:rPr>
        <w:t xml:space="preserve"> 药品使用单位使用假药、劣药的，按照销售假药、零售劣药的规定处罚；情节严重的，法定代表人、主要负责人、直接负责的主管人员和其他责任人员有医疗卫生人员执业证书的，还应当吊销执业证书。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第一百二十条</w:t>
      </w:r>
      <w:r>
        <w:rPr>
          <w:rFonts w:hint="eastAsia" w:ascii="宋体" w:hAnsi="宋体" w:eastAsia="仿宋_GB2312" w:cs="仿宋_GB2312"/>
          <w:color w:val="000000"/>
          <w:kern w:val="0"/>
          <w:sz w:val="32"/>
          <w:szCs w:val="32"/>
        </w:rPr>
        <w:t xml:space="preserve"> 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第一百二十一条</w:t>
      </w:r>
      <w:r>
        <w:rPr>
          <w:rFonts w:hint="eastAsia" w:ascii="宋体" w:hAnsi="宋体" w:eastAsia="仿宋_GB2312" w:cs="仿宋_GB2312"/>
          <w:color w:val="000000"/>
          <w:kern w:val="0"/>
          <w:sz w:val="32"/>
          <w:szCs w:val="32"/>
        </w:rPr>
        <w:t xml:space="preserve"> 对假药、劣药的处罚决定，应当依法载明药品检验机构的质量检验结论。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第一百二十二条</w:t>
      </w:r>
      <w:r>
        <w:rPr>
          <w:rFonts w:hint="eastAsia" w:ascii="宋体" w:hAnsi="宋体" w:eastAsia="仿宋_GB2312" w:cs="仿宋_GB2312"/>
          <w:color w:val="000000"/>
          <w:kern w:val="0"/>
          <w:sz w:val="32"/>
          <w:szCs w:val="32"/>
        </w:rPr>
        <w:t xml:space="preserve">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第一百二十三条</w:t>
      </w:r>
      <w:r>
        <w:rPr>
          <w:rFonts w:hint="eastAsia" w:ascii="宋体" w:hAnsi="宋体" w:eastAsia="仿宋_GB2312" w:cs="仿宋_GB2312"/>
          <w:color w:val="000000"/>
          <w:kern w:val="0"/>
          <w:sz w:val="32"/>
          <w:szCs w:val="32"/>
        </w:rPr>
        <w:t xml:space="preserve">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第一百二十四条</w:t>
      </w:r>
      <w:r>
        <w:rPr>
          <w:rFonts w:hint="eastAsia" w:ascii="宋体" w:hAnsi="宋体" w:eastAsia="仿宋_GB2312" w:cs="仿宋_GB2312"/>
          <w:color w:val="000000"/>
          <w:kern w:val="0"/>
          <w:sz w:val="32"/>
          <w:szCs w:val="32"/>
        </w:rPr>
        <w:t xml:space="preserve">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（一）未取得药品批准证明文件生产、进口药品；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（二）使用采取欺骗手段取得的药品批准证明文件生产、进口药品；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（三）使用未经审评审批的原料药生产药品；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（四）应当检验而未经检验即销售药品；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（五）生产、销售国务院药品监督管理部门禁止使用的药品；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（六）编造生产、检验记录；</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（七）未经批准在药品生产过程中进行重大变更。</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销售前款第一项至第三项规定的药品，或者药品使用单位使用前款第一项至第五项规定的药品的，依照前款规定处罚；情节严重的，药品使用单位的法定代表人、主要负责人、直接负责的主管人员和其他责任人员有医疗卫生人员执业证书的，还应当吊销执业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未经批准进口少量境外已合法上市的药品，情节较轻的，可以依法减轻或者免予处罚。</w:t>
      </w:r>
      <w:r>
        <w:rPr>
          <w:rFonts w:hint="eastAsia" w:ascii="宋体" w:hAnsi="宋体" w:eastAsia="仿宋_GB2312" w:cs="仿宋_GB2312"/>
          <w:color w:val="000000"/>
          <w:kern w:val="0"/>
          <w:sz w:val="32"/>
          <w:szCs w:val="32"/>
        </w:rPr>
        <w:br w:type="textWrapping"/>
      </w: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第一百二十五条</w:t>
      </w:r>
      <w:r>
        <w:rPr>
          <w:rFonts w:hint="eastAsia" w:ascii="宋体" w:hAnsi="宋体" w:eastAsia="仿宋_GB2312" w:cs="仿宋_GB2312"/>
          <w:color w:val="000000"/>
          <w:kern w:val="0"/>
          <w:sz w:val="32"/>
          <w:szCs w:val="32"/>
        </w:rPr>
        <w:t xml:space="preserve">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（一）未经批准开展药物临床试验；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（二）使用未经审评的直接接触药品的包装材料或者容器生产药品，或者销售该类药品；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（三）使用未经核准的标签、说明书。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第一百二十六条</w:t>
      </w:r>
      <w:r>
        <w:rPr>
          <w:rFonts w:hint="eastAsia" w:ascii="宋体" w:hAnsi="宋体" w:eastAsia="仿宋_GB2312" w:cs="仿宋_GB2312"/>
          <w:color w:val="000000"/>
          <w:kern w:val="0"/>
          <w:sz w:val="32"/>
          <w:szCs w:val="32"/>
        </w:rPr>
        <w:t xml:space="preserve"> 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第一百二十七条</w:t>
      </w:r>
      <w:r>
        <w:rPr>
          <w:rFonts w:hint="eastAsia" w:ascii="宋体" w:hAnsi="宋体" w:eastAsia="仿宋_GB2312" w:cs="仿宋_GB2312"/>
          <w:color w:val="000000"/>
          <w:kern w:val="0"/>
          <w:sz w:val="32"/>
          <w:szCs w:val="32"/>
        </w:rPr>
        <w:t xml:space="preserve"> 违反本法规定，有下列行为之一的，责令限期改正，给予警告；逾期不改正的，处十万元以上五十万元以下的罚款：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（一）开展生物等效性试验未备案；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（二）药物临床试验期间，发现存在安全性问题或者其他风险，临床试验申办者未及时调整临床试验方案、暂停或者终止临床试验，或者未向国务院药品监督管理部门报告；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（三）未按照规定建立并实施药品追溯制度；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（四）未按照规定提交年度报告；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（五）未按照规定对药品生产过程中的变更进行备案或者报告；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（六）未制定药品上市后风险管理计划；</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（七）未按照规定开展药品上市后研究或者上市后评价。</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第一百二十八条</w:t>
      </w:r>
      <w:r>
        <w:rPr>
          <w:rFonts w:hint="eastAsia" w:ascii="宋体" w:hAnsi="宋体" w:eastAsia="仿宋_GB2312" w:cs="仿宋_GB2312"/>
          <w:color w:val="000000"/>
          <w:kern w:val="0"/>
          <w:sz w:val="32"/>
          <w:szCs w:val="32"/>
        </w:rPr>
        <w:t xml:space="preserve"> 除依法应当按照假药、劣药处罚的外，药品包装未按照规定印有、贴有标签或者附有说明书，标签、说明书未按照规定注明相关信息或者印有规定标志的，责令改正，给予警告；情节严重的，吊销药品注册证书。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第一百二十九条</w:t>
      </w:r>
      <w:r>
        <w:rPr>
          <w:rFonts w:hint="eastAsia" w:ascii="宋体" w:hAnsi="宋体" w:eastAsia="仿宋_GB2312" w:cs="仿宋_GB2312"/>
          <w:color w:val="000000"/>
          <w:kern w:val="0"/>
          <w:sz w:val="32"/>
          <w:szCs w:val="32"/>
        </w:rPr>
        <w:t xml:space="preserve"> 违反本法规定，药品上市许可持有人、药品生产企业、药品经营企业或者医疗机构未从药品上市许可持有人或者具有药品生产、经营资格的企业购进药品的，责令改正，没收违法购进的药品和违法所得，并处违法购进药品货值金额二倍以上十倍以下的罚款；情节严重的，并处货值金额十倍以上三十倍以下的罚款，吊销药品批准证明文件、药品生产许可证、药品经营许可证或者医疗机构执业许可证；货值金额不足五万元的，按五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第一百三十条</w:t>
      </w:r>
      <w:r>
        <w:rPr>
          <w:rFonts w:hint="eastAsia" w:ascii="宋体" w:hAnsi="宋体" w:eastAsia="仿宋_GB2312" w:cs="仿宋_GB2312"/>
          <w:color w:val="000000"/>
          <w:kern w:val="0"/>
          <w:sz w:val="32"/>
          <w:szCs w:val="32"/>
        </w:rPr>
        <w:t xml:space="preserve"> 违反本法规定，药品经营企业购销药品未按照规定进行记录，零售药品未正确说明用法、用量等事项，或者未按照规定调配处方的，责令改正，给予警告；情节严重的，吊销药品经营许可证。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第一百三十一条</w:t>
      </w:r>
      <w:r>
        <w:rPr>
          <w:rFonts w:hint="eastAsia" w:ascii="宋体" w:hAnsi="宋体" w:eastAsia="仿宋_GB2312" w:cs="仿宋_GB2312"/>
          <w:color w:val="000000"/>
          <w:kern w:val="0"/>
          <w:sz w:val="32"/>
          <w:szCs w:val="32"/>
        </w:rPr>
        <w:t xml:space="preserve"> 违反本法规定，药品网络交易第三方平台提供者未履行资质审核、报告、停止提供网络交易平台服务等义务的，责令改正，没收违法所得，并处二十万元以上二百万元以下的罚款；情节严重的，责令停业整顿，并处二百万元以上五百万元以下的罚款。</w:t>
      </w:r>
      <w:r>
        <w:rPr>
          <w:rFonts w:hint="eastAsia" w:ascii="宋体" w:hAnsi="宋体" w:eastAsia="仿宋_GB2312" w:cs="仿宋_GB2312"/>
          <w:color w:val="000000"/>
          <w:kern w:val="0"/>
          <w:sz w:val="32"/>
          <w:szCs w:val="32"/>
        </w:rPr>
        <w:br w:type="textWrapping"/>
      </w: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第一百三十二条</w:t>
      </w:r>
      <w:r>
        <w:rPr>
          <w:rFonts w:hint="eastAsia" w:ascii="宋体" w:hAnsi="宋体" w:eastAsia="仿宋_GB2312" w:cs="仿宋_GB2312"/>
          <w:color w:val="000000"/>
          <w:kern w:val="0"/>
          <w:sz w:val="32"/>
          <w:szCs w:val="32"/>
        </w:rPr>
        <w:t xml:space="preserve"> 进口已获得药品注册证书的药品，未按照规定向允许药品进口的口岸所在地药品监督管理部门备案的，责令限期改正，给予警告；逾期不改正的，吊销药品注册证书。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第一百三十三条</w:t>
      </w:r>
      <w:r>
        <w:rPr>
          <w:rFonts w:hint="eastAsia" w:ascii="宋体" w:hAnsi="宋体" w:eastAsia="仿宋_GB2312" w:cs="仿宋_GB2312"/>
          <w:color w:val="000000"/>
          <w:kern w:val="0"/>
          <w:sz w:val="32"/>
          <w:szCs w:val="32"/>
        </w:rPr>
        <w:t xml:space="preserve"> 违反本法规定，医疗机构将其配制的制剂在市场上销售的，责令改正，没收违法销售的制剂和违法所得，并处违法销售制剂货值金额二倍以上五倍以下的罚款；情节严重的，并处货值金额五倍以上十五倍以下的罚款；货值金额不足五万元的，按五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第一百三十四条</w:t>
      </w:r>
      <w:r>
        <w:rPr>
          <w:rFonts w:hint="eastAsia" w:ascii="宋体" w:hAnsi="宋体" w:eastAsia="仿宋_GB2312" w:cs="仿宋_GB2312"/>
          <w:color w:val="000000"/>
          <w:kern w:val="0"/>
          <w:sz w:val="32"/>
          <w:szCs w:val="32"/>
        </w:rPr>
        <w:t xml:space="preserve"> 药品上市许可持有人未按照规定开展药品不良反应监测或者报告疑似药品不良反应的，责令限期改正，给予警告；逾期不改正的，责令停产停业整顿，并处十万元以上一百万元以下的罚款。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药品经营企业未按照规定报告疑似药品不良反应的，责令限期改正，给予警告；逾期不改正的，责令停产停业整顿，并处五万元以上五十万元以下的罚款。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医疗机构未按照规定报告疑似药品不良反应的，责令限期改正，给予警告；逾期不改正的，处五万元以上五十万元以下的罚款。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第一百三十五条</w:t>
      </w:r>
      <w:r>
        <w:rPr>
          <w:rFonts w:hint="eastAsia" w:ascii="宋体" w:hAnsi="宋体" w:eastAsia="仿宋_GB2312" w:cs="仿宋_GB2312"/>
          <w:color w:val="000000"/>
          <w:kern w:val="0"/>
          <w:sz w:val="32"/>
          <w:szCs w:val="32"/>
        </w:rPr>
        <w:t xml:space="preserve"> 药品上市许可持有人在省、自治区、直辖市人民政府药品监督管理部门责令其召回后，拒不召回的，处应召回药品货值金额五倍以上十倍以下的罚款；货值金额不足十万元的，按十万元计算；情节严重的，吊销药品批准证明文件、药品生产许可证、药品经营许可证，对法定代表人、主要负责人、直接负责的主管人员和其他责任人员，处二万元以上二十万元以下的罚款。药品生产企业、药品经营企业、医疗机构拒不配合召回的，处十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第一百三十六条</w:t>
      </w:r>
      <w:r>
        <w:rPr>
          <w:rFonts w:hint="eastAsia" w:ascii="宋体" w:hAnsi="宋体" w:eastAsia="仿宋_GB2312" w:cs="仿宋_GB2312"/>
          <w:color w:val="000000"/>
          <w:kern w:val="0"/>
          <w:sz w:val="32"/>
          <w:szCs w:val="32"/>
        </w:rPr>
        <w:t xml:space="preserve"> 药品上市许可持有人为境外企业的，其指定的在中国境内的企业法人未依照本法规定履行相关义务的，适用本法有关药品上市许可持有人法律责任的规定。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第一百三十七条</w:t>
      </w:r>
      <w:r>
        <w:rPr>
          <w:rFonts w:hint="eastAsia" w:ascii="宋体" w:hAnsi="宋体" w:eastAsia="仿宋_GB2312" w:cs="仿宋_GB2312"/>
          <w:color w:val="000000"/>
          <w:kern w:val="0"/>
          <w:sz w:val="32"/>
          <w:szCs w:val="32"/>
        </w:rPr>
        <w:t xml:space="preserve"> 有下列行为之一的，在本法规定的处罚幅度内从重处罚：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（一）以麻醉药品、精神药品、医疗用毒性药品、放射性药品、药品类易制毒化学品冒充其他药品，或者以其他药品冒充上述药品；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（二）生产、销售以孕产妇、儿童为主要使用对象的假药、劣药；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（三）生产、销售的生物制品属于假药、劣药；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（四）生产、销售假药、劣药，造成人身伤害后果；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（五）生产、销售假药、劣药，经处理后再犯；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（六）拒绝、逃避监督检查，伪造、销毁、隐匿有关证据材料，或者擅自动用查封、扣押物品。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第一百三十八条</w:t>
      </w:r>
      <w:r>
        <w:rPr>
          <w:rFonts w:hint="eastAsia" w:ascii="宋体" w:hAnsi="宋体" w:eastAsia="仿宋_GB2312" w:cs="仿宋_GB2312"/>
          <w:color w:val="000000"/>
          <w:kern w:val="0"/>
          <w:sz w:val="32"/>
          <w:szCs w:val="32"/>
        </w:rPr>
        <w:t xml:space="preserve"> 药品检验机构出具虚假检验报告的，责令改正，给予警告，对单位并处二十万元以上一百万元以下的罚款；对直接负责的主管人员和其他直接责任人员依法给予降级、撤职、开除处分，没收违法所得，并处五万元以下的罚款；情节严重的，撤销其检验资格。药品检验机构出具的检验结果不实，造成损失的，应当承担相应的赔偿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第一百三十九条</w:t>
      </w:r>
      <w:r>
        <w:rPr>
          <w:rFonts w:hint="eastAsia" w:ascii="宋体" w:hAnsi="宋体" w:eastAsia="仿宋_GB2312" w:cs="仿宋_GB2312"/>
          <w:color w:val="000000"/>
          <w:kern w:val="0"/>
          <w:sz w:val="32"/>
          <w:szCs w:val="32"/>
        </w:rPr>
        <w:t xml:space="preserve"> 本法第一百一十五条至第一百三十八条规定的行政处罚，由县级以上人民政府药品监督管理部门按照职责分工决定；撤销许可、吊销许可证件的，由原批准、发证的部门决定。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第一百四十条</w:t>
      </w:r>
      <w:r>
        <w:rPr>
          <w:rFonts w:hint="eastAsia" w:ascii="宋体" w:hAnsi="宋体" w:eastAsia="仿宋_GB2312" w:cs="仿宋_GB2312"/>
          <w:color w:val="000000"/>
          <w:kern w:val="0"/>
          <w:sz w:val="32"/>
          <w:szCs w:val="32"/>
        </w:rPr>
        <w:t xml:space="preserve"> 药品上市许可持有人、药品生产企业、药品经营企业或者医疗机构违反本法规定聘用人员的，由药品监督管理部门或者卫生健康主管部门责令解聘，处五万元以上二十万元以下的罚款。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第一百四十一条</w:t>
      </w:r>
      <w:r>
        <w:rPr>
          <w:rFonts w:hint="eastAsia" w:ascii="宋体" w:hAnsi="宋体" w:eastAsia="仿宋_GB2312" w:cs="仿宋_GB2312"/>
          <w:color w:val="000000"/>
          <w:kern w:val="0"/>
          <w:sz w:val="32"/>
          <w:szCs w:val="32"/>
        </w:rPr>
        <w:t xml:space="preserve"> 药品上市许可持有人、药品生产企业、药品经营企业或者医疗机构在药品购销中给予、收受回扣或者其他不正当利益的，药品上市许可持有人、药品生产企业、药品经营企业或者代理人给予使用其药品的医疗机构的负责人、药品采购人员、医师、药师等有关人员财物或者其他不正当利益的，由市场监督管理部门没收违法所得，并处三十万元以上三百万元以下的罚款；情节严重的，吊销药品上市许可持有人、药品生产企业、药品经营企业营业执照，并由药品监督管理部门吊销药品批准证明文件、药品生产许可证、药品经营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药品上市许可持有人、药品生产企业、药品经营企业在药品研制、生产、经营中向国家工作人员行贿的，对法定代表人、主要负责人、直接负责的主管人员和其他责任人员终身禁止从事药品生产经营活动。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第一百四十二条</w:t>
      </w:r>
      <w:r>
        <w:rPr>
          <w:rFonts w:hint="eastAsia" w:ascii="宋体" w:hAnsi="宋体" w:eastAsia="仿宋_GB2312" w:cs="仿宋_GB2312"/>
          <w:color w:val="000000"/>
          <w:kern w:val="0"/>
          <w:sz w:val="32"/>
          <w:szCs w:val="32"/>
        </w:rPr>
        <w:t xml:space="preserve"> 药品上市许可持有人、药品生产企业、药品经营企业的负责人、采购人员等有关人员在药品购销中收受其他药品上市许可持有人、药品生产企业、药品经营企业或者代理人给予的财物或者其他不正当利益的，没收违法所得，依法给予处罚；情节严重的，五年内禁止从事药品生产经营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的负责人、药品采购人员、医师、药师等有关人员收受药品上市许可持有人、药品生产企业、药品经营企业或者代理人给予的财物或者其他不正当利益的，由卫生健康主管部门或者本单位给予处分，没收违法所得；情节严重的，还应当吊销其执业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第一百四十三条</w:t>
      </w:r>
      <w:r>
        <w:rPr>
          <w:rFonts w:hint="eastAsia" w:ascii="宋体" w:hAnsi="宋体" w:eastAsia="仿宋_GB2312" w:cs="仿宋_GB2312"/>
          <w:color w:val="000000"/>
          <w:kern w:val="0"/>
          <w:sz w:val="32"/>
          <w:szCs w:val="32"/>
        </w:rPr>
        <w:t xml:space="preserve"> 违反本法规定，编造、散布虚假药品安全信息，构成违反治安管理行为的，由公安机关依法给予治安管理处罚。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第一百四十四条</w:t>
      </w:r>
      <w:r>
        <w:rPr>
          <w:rFonts w:hint="eastAsia" w:ascii="宋体" w:hAnsi="宋体" w:eastAsia="仿宋_GB2312" w:cs="仿宋_GB2312"/>
          <w:color w:val="000000"/>
          <w:kern w:val="0"/>
          <w:sz w:val="32"/>
          <w:szCs w:val="32"/>
        </w:rPr>
        <w:t xml:space="preserve"> 药品上市许可持有人、药品生产企业、药品经营企业或者医疗机构违反本法规定，给用药者造成损害的，依法承担赔偿责任。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因药品质量问题受到损害的，受害人可以向药品上市许可持有人、药品生产企业请求赔偿损失，也可以向药品经营企业、医疗机构请求赔偿损失。接到受害人赔偿请求的，应当实行首负责任制，先行赔付；先行赔付后，可以依法追偿。</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生产假药、劣药或者明知是假药、劣药仍然销售、使用的，受害人或者其近亲属除请求赔偿损失外，还可以请求支付价款十倍或者损失三倍的赔偿金；增加赔偿的金额不足一千元的，为一千元。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第一百四十五条</w:t>
      </w:r>
      <w:r>
        <w:rPr>
          <w:rFonts w:hint="eastAsia" w:ascii="宋体" w:hAnsi="宋体" w:eastAsia="仿宋_GB2312" w:cs="仿宋_GB2312"/>
          <w:color w:val="000000"/>
          <w:kern w:val="0"/>
          <w:sz w:val="32"/>
          <w:szCs w:val="32"/>
        </w:rPr>
        <w:t xml:space="preserve"> 药品监督管理部门或者其设置、指定的药品专业技术机构参与药品生产经营活动的，由其上级主管机关责令改正，没收违法收入；情节严重的，对直接负责的主管人员和其他直接责任人员依法给予处分。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药品监督管理部门或者其设置、指定的药品专业技术机构的工作人员参与药品生产经营活动的，依法给予处分。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第一百四十六条</w:t>
      </w:r>
      <w:r>
        <w:rPr>
          <w:rFonts w:hint="eastAsia" w:ascii="宋体" w:hAnsi="宋体" w:eastAsia="仿宋_GB2312" w:cs="仿宋_GB2312"/>
          <w:color w:val="000000"/>
          <w:kern w:val="0"/>
          <w:sz w:val="32"/>
          <w:szCs w:val="32"/>
        </w:rPr>
        <w:t xml:space="preserve"> 药品监督管理部门或者其设置、指定的药品检验机构在药品监督检验中违法收取检验费用的，由政府有关部门责令退还，对直接负责的主管人员和其他直接责任人员依法给予处分；情节严重的，撤销其检验资格。</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第一百四十七条</w:t>
      </w:r>
      <w:r>
        <w:rPr>
          <w:rFonts w:hint="eastAsia" w:ascii="宋体" w:hAnsi="宋体" w:eastAsia="仿宋_GB2312" w:cs="仿宋_GB2312"/>
          <w:color w:val="000000"/>
          <w:kern w:val="0"/>
          <w:sz w:val="32"/>
          <w:szCs w:val="32"/>
        </w:rPr>
        <w:t xml:space="preserve"> 违反本法规定，药品监督管理部门有下列行为之一的，应当撤销相关许可，对直接负责的主管人员和其他直接责任人员依法给予处分：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（一）不符合条件而批准进行药物临床试验；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（二）对不符合条件的药品颁发药品注册证书；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（三）对不符合条件的单位颁发药品生产许可证、药品经营许可证或者医疗机构制剂许可证。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第一百四十八条</w:t>
      </w:r>
      <w:r>
        <w:rPr>
          <w:rFonts w:hint="eastAsia" w:ascii="宋体" w:hAnsi="宋体" w:eastAsia="仿宋_GB2312" w:cs="仿宋_GB2312"/>
          <w:color w:val="000000"/>
          <w:kern w:val="0"/>
          <w:sz w:val="32"/>
          <w:szCs w:val="32"/>
        </w:rPr>
        <w:t xml:space="preserve"> 违反本法规定，县级以上地方人民政府有下列行为之一的，对直接负责的主管人员和其他直接责任人员给予记过或者记大过处分；情节严重的，给予降级、撤职或者开除处分：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（一）瞒报、谎报、缓报、漏报药品安全事件；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（二）未及时消除区域性重大药品安全隐患，造成本行政区域内发生特别重大药品安全事件，或者连续发生重大药品安全事件；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（三）履行职责不力，造成严重不良影响或者重大损失。</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第一百四十九条</w:t>
      </w:r>
      <w:r>
        <w:rPr>
          <w:rFonts w:hint="eastAsia" w:ascii="宋体" w:hAnsi="宋体" w:eastAsia="仿宋_GB2312" w:cs="仿宋_GB2312"/>
          <w:color w:val="000000"/>
          <w:kern w:val="0"/>
          <w:sz w:val="32"/>
          <w:szCs w:val="32"/>
        </w:rPr>
        <w:t xml:space="preserve"> 违反本法规定，药品监督管理等部门有下列行为之一的，对直接负责的主管人员和其他直接责任人员给予记过或者记大过处分；情节较重的，给予降级或者撤职处分；情节严重的，给予开除处分：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（一）瞒报、谎报、缓报、漏报药品安全事件；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（二）对发现的药品安全违法行为未及时查处；</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（三）未及时发现药品安全系统性风险，或者未及时消除监督管理区域内药品安全隐患，造成严重影响；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（四）其他不履行药品监督管理职责，造成严重不良影响或者重大损失。</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第一百五十条</w:t>
      </w:r>
      <w:r>
        <w:rPr>
          <w:rFonts w:hint="eastAsia" w:ascii="宋体" w:hAnsi="宋体" w:eastAsia="仿宋_GB2312" w:cs="仿宋_GB2312"/>
          <w:color w:val="000000"/>
          <w:kern w:val="0"/>
          <w:sz w:val="32"/>
          <w:szCs w:val="32"/>
        </w:rPr>
        <w:t xml:space="preserve"> 药品监督管理人员滥用职权、徇私舞弊、玩忽职守的，依法给予处分。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查处假药、劣药违法行为有失职、渎职行为的，对药品监督管理部门直接负责的主管人员和其他直接责任人员依法从重给予处分。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第一百五十一条</w:t>
      </w:r>
      <w:r>
        <w:rPr>
          <w:rFonts w:hint="eastAsia" w:ascii="宋体" w:hAnsi="宋体" w:eastAsia="仿宋_GB2312" w:cs="仿宋_GB2312"/>
          <w:color w:val="000000"/>
          <w:kern w:val="0"/>
          <w:sz w:val="32"/>
          <w:szCs w:val="32"/>
        </w:rPr>
        <w:t xml:space="preserve"> 本章规定的货值金额以违法生产、销售药品的标价计算；没有标价的，按照同类药品的市场价格计算。</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第十二章 附</w:t>
      </w: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则</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outlineLvl w:val="9"/>
        <w:rPr>
          <w:rFonts w:ascii="宋体" w:hAnsi="宋体"/>
        </w:rPr>
      </w:pPr>
      <w:r>
        <w:rPr>
          <w:rFonts w:hint="eastAsia" w:ascii="宋体" w:hAnsi="宋体" w:eastAsia="黑体" w:cs="仿宋_GB2312"/>
          <w:color w:val="000000"/>
          <w:kern w:val="0"/>
          <w:sz w:val="32"/>
          <w:szCs w:val="32"/>
        </w:rPr>
        <w:t>第一百五十二条</w:t>
      </w:r>
      <w:r>
        <w:rPr>
          <w:rFonts w:hint="eastAsia" w:ascii="宋体" w:hAnsi="宋体" w:eastAsia="仿宋_GB2312" w:cs="仿宋_GB2312"/>
          <w:color w:val="000000"/>
          <w:kern w:val="0"/>
          <w:sz w:val="32"/>
          <w:szCs w:val="32"/>
        </w:rPr>
        <w:t xml:space="preserve"> 中药材种植、采集和饲养的管理，依照有关法律、法规的规定执行。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第一百五十三条</w:t>
      </w:r>
      <w:r>
        <w:rPr>
          <w:rFonts w:hint="eastAsia" w:ascii="宋体" w:hAnsi="宋体" w:eastAsia="仿宋_GB2312" w:cs="仿宋_GB2312"/>
          <w:color w:val="000000"/>
          <w:kern w:val="0"/>
          <w:sz w:val="32"/>
          <w:szCs w:val="32"/>
        </w:rPr>
        <w:t xml:space="preserve"> 地区性民间习用药材的管理办法，由国务院药品监督管理部门会同国务院中医药主管部门制定。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第一百五十四条</w:t>
      </w:r>
      <w:r>
        <w:rPr>
          <w:rFonts w:hint="eastAsia" w:ascii="宋体" w:hAnsi="宋体" w:eastAsia="仿宋_GB2312" w:cs="仿宋_GB2312"/>
          <w:color w:val="000000"/>
          <w:kern w:val="0"/>
          <w:sz w:val="32"/>
          <w:szCs w:val="32"/>
        </w:rPr>
        <w:t xml:space="preserve"> 中国人民解放军和中国人民武装警察部队执行本法的具体办法，由国务院、中央军事委员会依据本法制定。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第一百五十五条</w:t>
      </w:r>
      <w:r>
        <w:rPr>
          <w:rFonts w:hint="eastAsia" w:ascii="宋体" w:hAnsi="宋体" w:eastAsia="仿宋_GB2312" w:cs="仿宋_GB2312"/>
          <w:color w:val="000000"/>
          <w:kern w:val="0"/>
          <w:sz w:val="32"/>
          <w:szCs w:val="32"/>
        </w:rPr>
        <w:t xml:space="preserve"> 本法自2019年12月1日起施行。</w:t>
      </w:r>
    </w:p>
    <w:p>
      <w:pPr>
        <w:widowControl/>
        <w:wordWrap/>
        <w:overflowPunct w:val="0"/>
        <w:adjustRightInd w:val="0"/>
        <w:snapToGrid/>
        <w:spacing w:after="0" w:line="560" w:lineRule="exact"/>
        <w:ind w:left="0" w:leftChars="0" w:right="0" w:firstLine="640" w:firstLineChars="200"/>
        <w:jc w:val="both"/>
        <w:textAlignment w:val="auto"/>
        <w:outlineLvl w:val="9"/>
        <w:rPr>
          <w:rFonts w:ascii="宋体" w:hAnsi="宋体"/>
        </w:rPr>
      </w:pP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69" w:name="_Toc20970"/>
      <w:r>
        <w:rPr>
          <w:rFonts w:hint="eastAsia" w:ascii="宋体" w:hAnsi="宋体" w:eastAsia="宋体" w:cs="宋体"/>
          <w:kern w:val="0"/>
          <w:sz w:val="44"/>
          <w:szCs w:val="44"/>
          <w:lang w:val="en-US" w:eastAsia="zh-CN"/>
        </w:rPr>
        <w:t>中华人民共和国疫苗管理法</w:t>
      </w:r>
      <w:bookmarkEnd w:id="169"/>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楷体_GB2312"/>
          <w:kern w:val="0"/>
          <w:szCs w:val="32"/>
          <w:lang w:val="en-US" w:eastAsia="zh-CN"/>
        </w:rPr>
      </w:pPr>
    </w:p>
    <w:p>
      <w:pPr>
        <w:widowControl w:val="0"/>
        <w:wordWrap/>
        <w:overflowPunct w:val="0"/>
        <w:spacing w:beforeAutospacing="0" w:afterAutospacing="0" w:line="560" w:lineRule="exact"/>
        <w:ind w:left="640" w:leftChars="200" w:right="640" w:rightChars="200" w:firstLine="640" w:firstLineChars="200"/>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（2019年6月29日第十三届全国人民代表大会常务委员会第十一次会议通过）</w:t>
      </w:r>
    </w:p>
    <w:p>
      <w:pPr>
        <w:widowControl w:val="0"/>
        <w:wordWrap/>
        <w:overflowPunct w:val="0"/>
        <w:spacing w:beforeAutospacing="0" w:afterAutospacing="0" w:line="560" w:lineRule="exact"/>
        <w:textAlignment w:val="auto"/>
        <w:rPr>
          <w:rFonts w:hint="eastAsia" w:ascii="宋体" w:hAnsi="宋体" w:cs="Arial"/>
          <w:kern w:val="0"/>
          <w:szCs w:val="32"/>
          <w:lang w:val="en-US" w:eastAsia="zh-CN"/>
        </w:rPr>
      </w:pPr>
    </w:p>
    <w:p>
      <w:pPr>
        <w:widowControl w:val="0"/>
        <w:wordWrap/>
        <w:overflowPunct w:val="0"/>
        <w:spacing w:beforeAutospacing="0" w:afterAutospacing="0" w:line="560" w:lineRule="exact"/>
        <w:jc w:val="center"/>
        <w:textAlignment w:val="auto"/>
        <w:rPr>
          <w:rFonts w:hint="eastAsia" w:ascii="宋体" w:hAnsi="宋体" w:cs="Arial"/>
          <w:kern w:val="0"/>
          <w:szCs w:val="32"/>
        </w:rPr>
      </w:pPr>
      <w:r>
        <w:rPr>
          <w:rFonts w:hint="eastAsia" w:ascii="宋体" w:hAnsi="宋体" w:cs="Arial"/>
          <w:kern w:val="0"/>
          <w:szCs w:val="32"/>
        </w:rPr>
        <w:t xml:space="preserve">目 </w:t>
      </w:r>
      <w:r>
        <w:rPr>
          <w:rFonts w:hint="eastAsia" w:ascii="宋体" w:hAnsi="宋体" w:cs="Arial"/>
          <w:kern w:val="0"/>
          <w:szCs w:val="32"/>
          <w:lang w:val="en-US" w:eastAsia="zh-CN"/>
        </w:rPr>
        <w:t xml:space="preserve"> </w:t>
      </w:r>
      <w:r>
        <w:rPr>
          <w:rFonts w:hint="eastAsia" w:ascii="宋体" w:hAnsi="宋体" w:cs="Arial"/>
          <w:kern w:val="0"/>
          <w:szCs w:val="32"/>
        </w:rPr>
        <w:t>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第一章　总则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第二章　疫苗研制和注册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第三章　疫苗生产和批签发</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第四章　疫苗流通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第五章　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第六章　异常反应监测和处理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第七章　疫苗上市后管理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第八章　保障措施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第九章　监督管理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第十章　法律责任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第十一章　附则</w:t>
      </w:r>
    </w:p>
    <w:p>
      <w:pPr>
        <w:widowControl w:val="0"/>
        <w:wordWrap/>
        <w:overflowPunct w:val="0"/>
        <w:spacing w:beforeAutospacing="0" w:afterAutospacing="0" w:line="560" w:lineRule="exact"/>
        <w:textAlignment w:val="auto"/>
        <w:rPr>
          <w:rFonts w:hint="eastAsia" w:ascii="宋体" w:hAnsi="宋体" w:cs="Arial"/>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第一章　总则</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第一条</w:t>
      </w:r>
      <w:r>
        <w:rPr>
          <w:rFonts w:hint="eastAsia" w:ascii="宋体" w:hAnsi="宋体" w:cs="Arial"/>
          <w:kern w:val="0"/>
          <w:szCs w:val="32"/>
        </w:rPr>
        <w:t>　为了加强疫苗管理，保证疫苗质量和供应，规范预防接种，促进疫苗行业发展，保障公众健康，维护公共卫生安全，制定本法。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第二条</w:t>
      </w:r>
      <w:r>
        <w:rPr>
          <w:rFonts w:hint="eastAsia" w:ascii="宋体" w:hAnsi="宋体" w:cs="Arial"/>
          <w:kern w:val="0"/>
          <w:szCs w:val="32"/>
        </w:rPr>
        <w:t>　在中华人民共和国境内从事疫苗研制、生产、流通和预防接种及其监督管理活动，适用本法。本法未作规定的，适用《中华人民共和国药品管理法》、《中华人民共和国传染病防治法》等法律、行政法规的规定。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本法所称疫苗，是指为预防、控制疾病的发生、流行，用于人体免疫接种的预防性生物制品，包括免疫规划疫苗和非免疫规划疫苗。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第三条</w:t>
      </w:r>
      <w:r>
        <w:rPr>
          <w:rFonts w:hint="eastAsia" w:ascii="宋体" w:hAnsi="宋体" w:cs="Arial"/>
          <w:kern w:val="0"/>
          <w:szCs w:val="32"/>
        </w:rPr>
        <w:t>　国家对疫苗实行最严格的管理制度，坚持安全第一、风险管理、全程管控、科学监管、社会共治。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第四条</w:t>
      </w:r>
      <w:r>
        <w:rPr>
          <w:rFonts w:hint="eastAsia" w:ascii="宋体" w:hAnsi="宋体" w:cs="Arial"/>
          <w:kern w:val="0"/>
          <w:szCs w:val="32"/>
        </w:rPr>
        <w:t>　国家坚持疫苗产品的战略性和公益性。</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国家支持疫苗基础研究和应用研究，促进疫苗研制和创新，将预防、控制重大疾病的疫苗研制、生产和储备纳入国家战略。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国家制定疫苗行业发展规划和产业政策，支持疫苗产业发展和结构优化，鼓励疫苗生产规模化、集约化，不断提升疫苗生产工艺和质量水平。</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第五条</w:t>
      </w:r>
      <w:r>
        <w:rPr>
          <w:rFonts w:hint="eastAsia" w:ascii="宋体" w:hAnsi="宋体" w:cs="Arial"/>
          <w:kern w:val="0"/>
          <w:szCs w:val="32"/>
        </w:rPr>
        <w:t>　疫苗上市许可持有人应当加强疫苗全生命周期质量管理，对疫苗的安全性、有效性和质量可控性负责。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从事疫苗研制、生产、流通和预防接种活动的单位和个人，应当遵守法律、法规、规章、标准和规范，保证全过程信息真实、准确、完整和可追溯，依法承担责任，接受社会监督。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第六条</w:t>
      </w:r>
      <w:r>
        <w:rPr>
          <w:rFonts w:hint="eastAsia" w:ascii="宋体" w:hAnsi="宋体" w:cs="Arial"/>
          <w:kern w:val="0"/>
          <w:szCs w:val="32"/>
        </w:rPr>
        <w:t>　国家实行免疫规划制度。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居住在中国境内的居民，依法享有接种免疫规划疫苗的权利，履行接种免疫规划疫苗的义务。政府免费向居民提供免疫规划疫苗。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县级以上人民政府及其有关部门应当保障适龄儿童接种免疫规划疫苗。监护人应当依法保证适龄儿童按时接种免疫规划疫苗。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第七条</w:t>
      </w:r>
      <w:r>
        <w:rPr>
          <w:rFonts w:hint="eastAsia" w:ascii="宋体" w:hAnsi="宋体" w:cs="Arial"/>
          <w:kern w:val="0"/>
          <w:szCs w:val="32"/>
        </w:rPr>
        <w:t>　县级以上人民政府应当将疫苗安全工作和预防接种工作纳入本级国民经济和社会发展规划，加强疫苗监督管理能力建设，建立健全疫苗监督管理工作机制。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县级以上地方人民政府对本行政区域疫苗监督管理工作负责，统一领导、组织、协调本行政区域疫苗监督管理工作。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第八条</w:t>
      </w:r>
      <w:r>
        <w:rPr>
          <w:rFonts w:hint="eastAsia" w:ascii="宋体" w:hAnsi="宋体" w:cs="Arial"/>
          <w:kern w:val="0"/>
          <w:szCs w:val="32"/>
        </w:rPr>
        <w:t>　国务院药品监督管理部门负责全国疫苗监督管理工作。国务院卫生健康主管部门负责全国预防接种监督管理工作。国务院其他有关部门在各自职责范围内负责与疫苗有关的监督管理工作。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自治区、直辖市人民政府药品监督管理部门负责本行政区域疫苗监督管理工作。设区的市级、县级人民政府承担药品监督管理职责的部门(以下称药品监督管理部门)负责本行政区域疫苗监督管理工作。县级以上地方人民政府卫生健康主管部门负责本行政区域预防接种监督管理工作。县级以上地方人民政府其他有关部门在各自职责范围内负责与疫苗有关的监督管理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第九条</w:t>
      </w:r>
      <w:r>
        <w:rPr>
          <w:rFonts w:hint="eastAsia" w:ascii="宋体" w:hAnsi="宋体" w:cs="Arial"/>
          <w:kern w:val="0"/>
          <w:szCs w:val="32"/>
        </w:rPr>
        <w:t>　国务院和省、自治区、直辖市人民政府建立部门协调机制，统筹协调疫苗监督管理有关工作，定期分析疫苗安全形势，加强疫苗监督管理，保障疫苗供应。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第十条</w:t>
      </w:r>
      <w:r>
        <w:rPr>
          <w:rFonts w:hint="eastAsia" w:ascii="宋体" w:hAnsi="宋体" w:cs="Arial"/>
          <w:kern w:val="0"/>
          <w:szCs w:val="32"/>
        </w:rPr>
        <w:t>　国家实行疫苗全程电子追溯制度。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国务院药品监督管理部门会同国务院卫生健康主管部门制定统一的疫苗追溯标准和规范，建立全国疫苗电子追溯协同平台，整合疫苗生产、流通和预防接种全过程追溯信息，实现疫苗可追溯。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疫苗上市许可持有人应当建立疫苗电子追溯系统，与全国疫苗电子追溯协同平台相衔接，实现生产、流通和预防接种全过程最小包装单位疫苗可追溯、可核查。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疾病预防控制机构、接种单位应当依法如实记录疫苗流通、预防接种等情况，并按照规定向全国疫苗电子追溯协同平台提供追溯信息。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第十一条</w:t>
      </w:r>
      <w:r>
        <w:rPr>
          <w:rFonts w:hint="eastAsia" w:ascii="宋体" w:hAnsi="宋体" w:cs="Arial"/>
          <w:kern w:val="0"/>
          <w:szCs w:val="32"/>
        </w:rPr>
        <w:t>　疫苗研制、生产、检验等过程中应当建立健全生物安全管理制度，严格控制生物安全风险，加强菌毒株等病原微生物的生物安全管理，保护操作人员和公众的健康，保证菌毒株等病原微生物用途合法、正当。</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疫苗研制、生产、检验等使用的菌毒株和细胞株，应当明确历史、生物学特征、代次，建立详细档案，保证来源合法、清晰、可追溯;来源不明的，不得使用。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第十二条</w:t>
      </w:r>
      <w:r>
        <w:rPr>
          <w:rFonts w:hint="eastAsia" w:ascii="宋体" w:hAnsi="宋体" w:cs="Arial"/>
          <w:kern w:val="0"/>
          <w:szCs w:val="32"/>
        </w:rPr>
        <w:t>　各级人民政府及其有关部门、疾病预防控制机构、接种单位、疫苗上市许可持有人和疫苗行业协会等应当通过全国儿童预防接种日等活动定期开展疫苗安全法律、法规以及预防接种知识等的宣传教育、普及工作。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新闻媒体应当开展疫苗安全法律、法规以及预防接种知识等的公益宣传，并对疫苗违法行为进行舆论监督。有关疫苗的宣传报道应当全面、科学、客观、公正。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第十三条</w:t>
      </w:r>
      <w:r>
        <w:rPr>
          <w:rFonts w:hint="eastAsia" w:ascii="宋体" w:hAnsi="宋体" w:cs="Arial"/>
          <w:kern w:val="0"/>
          <w:szCs w:val="32"/>
        </w:rPr>
        <w:t>　疫苗行业协会应当加强行业自律，建立健全行业规范，推动行业诚信体系建设，引导和督促会员依法开展生产经营等活动。</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rPr>
        <w:t>第二章　疫苗研制和注册</w:t>
      </w:r>
      <w:r>
        <w:rPr>
          <w:rFonts w:hint="eastAsia" w:ascii="黑体" w:hAnsi="黑体" w:eastAsia="黑体" w:cs="黑体"/>
          <w:kern w:val="0"/>
          <w:szCs w:val="32"/>
          <w:lang w:val="en-US" w:eastAsia="zh-CN"/>
        </w:rPr>
        <w:t xml:space="preserve"> </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第十四条</w:t>
      </w:r>
      <w:r>
        <w:rPr>
          <w:rFonts w:hint="eastAsia" w:ascii="宋体" w:hAnsi="宋体" w:cs="Arial"/>
          <w:kern w:val="0"/>
          <w:szCs w:val="32"/>
        </w:rPr>
        <w:t>　国家根据疾病流行情况、人群免疫状况等因素，制定相关研制规划，安排必要资金，支持多联多价等新型疫苗的研制。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国家组织疫苗上市许可持有人、科研单位、医疗卫生机构联合攻关，研制疾病预防、控制急需的疫苗。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第十五条</w:t>
      </w:r>
      <w:r>
        <w:rPr>
          <w:rFonts w:hint="eastAsia" w:ascii="宋体" w:hAnsi="宋体" w:cs="Arial"/>
          <w:kern w:val="0"/>
          <w:szCs w:val="32"/>
        </w:rPr>
        <w:t>　国家鼓励疫苗上市许可持有人加大研制和创新资金投入，优化生产工艺，提升质量控制水平，推动疫苗技术进步。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第十六条</w:t>
      </w:r>
      <w:r>
        <w:rPr>
          <w:rFonts w:hint="eastAsia" w:ascii="宋体" w:hAnsi="宋体" w:cs="Arial"/>
          <w:kern w:val="0"/>
          <w:szCs w:val="32"/>
        </w:rPr>
        <w:t>　开展疫苗临床试验，应当经国务院药品监督管理部门依法批准。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疫苗临床试验应当由符合国务院药品监督管理部门和国务院卫生健康主管部门规定条件的三级医疗机构或者省级以上疾病预防控制机构实施或者组织实施。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国家鼓励符合条件的医疗机构、疾病预防控制机构等依法开展疫苗临床试验。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第十七条</w:t>
      </w:r>
      <w:r>
        <w:rPr>
          <w:rFonts w:hint="eastAsia" w:ascii="宋体" w:hAnsi="宋体" w:cs="Arial"/>
          <w:kern w:val="0"/>
          <w:szCs w:val="32"/>
        </w:rPr>
        <w:t>　疫苗临床试验申办者应当制定临床试验方案，建立临床试验安全监测与评价制度，审慎选择受试者，合理设置受试者群体和年龄组，并根据风险程度采取有效措施，保护受试者合法权益。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第十八条</w:t>
      </w:r>
      <w:r>
        <w:rPr>
          <w:rFonts w:hint="eastAsia" w:ascii="宋体" w:hAnsi="宋体" w:cs="Arial"/>
          <w:kern w:val="0"/>
          <w:szCs w:val="32"/>
        </w:rPr>
        <w:t>　开展疫苗临床试验，应当取得受试者的书面知情同意;受试者为无民事行为能力人的，应当取得其监护人的书面知情同意;受试者为限制民事行为能力人的，应当取得本人及其监护人的书面知情同意。</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第十九条</w:t>
      </w:r>
      <w:r>
        <w:rPr>
          <w:rFonts w:hint="eastAsia" w:ascii="宋体" w:hAnsi="宋体" w:cs="Arial"/>
          <w:kern w:val="0"/>
          <w:szCs w:val="32"/>
        </w:rPr>
        <w:t>　在中国境内上市的疫苗应当经国务院药品监督管理部门批准，取得药品注册证书;申请疫苗注册，应当提供真实、充分、可靠的数据、资料和样品。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对疾病预防、控制急需的疫苗和创新疫苗，国务院药品监督管理部门应当予以优先审评审批。</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第二十条　</w:t>
      </w:r>
      <w:r>
        <w:rPr>
          <w:rFonts w:hint="eastAsia" w:ascii="宋体" w:hAnsi="宋体" w:cs="Arial"/>
          <w:kern w:val="0"/>
          <w:szCs w:val="32"/>
        </w:rPr>
        <w:t>应对重大突发公共卫生事件急需的疫苗或者国务院卫生健康主管部门认定急需的其他疫苗，经评估获益大于风险的，国务院药品监督管理部门可以附条件批准疫苗注册申请。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出现特别重大突发公共卫生事件或者其他严重威胁公众健康的紧急事件，国务院卫生健康主管部门根据传染病预防、控制需要提出紧急使用疫苗的建议，经国务院药品监督管理部门组织论证同意后可以在一定范围和期限内紧急使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第二十一条</w:t>
      </w:r>
      <w:r>
        <w:rPr>
          <w:rFonts w:hint="eastAsia" w:ascii="宋体" w:hAnsi="宋体" w:cs="Arial"/>
          <w:kern w:val="0"/>
          <w:szCs w:val="32"/>
        </w:rPr>
        <w:t>　国务院药品监督管理部门在批准疫苗注册申请时，对疫苗的生产工艺、质量控制标准和说明书、标签予以核准。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国务院药品监督管理部门应当在其网站上及时公布疫苗说明书、标签内容。</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第三章　疫苗生产和批签发</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 xml:space="preserve"> </w:t>
      </w:r>
    </w:p>
    <w:p>
      <w:pPr>
        <w:widowControl w:val="0"/>
        <w:wordWrap/>
        <w:overflowPunct w:val="0"/>
        <w:spacing w:beforeAutospacing="0" w:afterAutospacing="0" w:line="560" w:lineRule="exact"/>
        <w:jc w:val="center"/>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第二十二条</w:t>
      </w:r>
      <w:r>
        <w:rPr>
          <w:rFonts w:hint="eastAsia" w:ascii="宋体" w:hAnsi="宋体" w:cs="Arial"/>
          <w:kern w:val="0"/>
          <w:szCs w:val="32"/>
        </w:rPr>
        <w:t>　国家对疫苗生产实行严格准入制度。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从事疫苗生产活动，应当经省级以上人民政府药品监督管理部门批准，取得药品生产许可证。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从事疫苗生产活动，除符合《中华人民共和国药品管理法》规定的从事药品生产活动的条件外，还应当具备下列条件：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(一)具备适度规模和足够的产能储备;</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(二)具有保证生物安全的制度和设施、设备;</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(三)符合疾病预防、控制需要。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疫苗上市许可持有人应当具备疫苗生产能力;超出疫苗生产能力确需委托生产的，应当经国务院药品监督管理部门批准。接受委托生产的，应当遵守本法规定和国家有关规定，保证疫苗质量。</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第二十三条</w:t>
      </w:r>
      <w:r>
        <w:rPr>
          <w:rFonts w:hint="eastAsia" w:ascii="宋体" w:hAnsi="宋体" w:cs="Arial"/>
          <w:kern w:val="0"/>
          <w:szCs w:val="32"/>
        </w:rPr>
        <w:t>　疫苗上市许可持有人的法定代表人、主要负责人应当具有良好的信用记录，生产管理负责人、质量管理负责人、质量受权人等关键岗位人员应当具有相关专业背景和从业经历。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疫苗上市许可持有人应当加强对前款规定人员的培训和考核，及时将其任职和变更情况向省、自治区、直辖市人民政府药品监督管理部门报告。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第二十四条</w:t>
      </w:r>
      <w:r>
        <w:rPr>
          <w:rFonts w:hint="eastAsia" w:ascii="宋体" w:hAnsi="宋体" w:cs="Arial"/>
          <w:kern w:val="0"/>
          <w:szCs w:val="32"/>
        </w:rPr>
        <w:t>　疫苗应当按照经核准的生产工艺和质量控制标准进行生产和检验，生产全过程应当符合药品生产质量管理规范的要求。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疫苗上市许可持有人应当按照规定对疫苗生产全过程和疫苗质量进行审核、检验。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第二十五条</w:t>
      </w:r>
      <w:r>
        <w:rPr>
          <w:rFonts w:hint="eastAsia" w:ascii="宋体" w:hAnsi="宋体" w:cs="Arial"/>
          <w:kern w:val="0"/>
          <w:szCs w:val="32"/>
        </w:rPr>
        <w:t>　疫苗上市许可持有人应当建立完整的生产质量管理体系，持续加强偏差管理，采用信息化手段如实记录生产、检验过程中形成的所有数据，确保生产全过程持续符合法定要求。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第二十六条</w:t>
      </w:r>
      <w:r>
        <w:rPr>
          <w:rFonts w:hint="eastAsia" w:ascii="宋体" w:hAnsi="宋体" w:cs="Arial"/>
          <w:kern w:val="0"/>
          <w:szCs w:val="32"/>
        </w:rPr>
        <w:t>　国家实行疫苗批签发制度。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每批疫苗销售前或者进口时，应当经国务院药品监督管理部门指定的批签发机构按照相关技术要求进行审核、检验。符合要求的，发给批签发证明;不符合要求的，发给不予批签发通知书。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不予批签发的疫苗不得销售，并应当由省、自治区、直辖市人民政府药品监督管理部门监督销毁;不予批签发的进口疫苗应当由口岸所在地药品监督管理部门监督销毁或者依法进行其他处理。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国务院药品监督管理部门、批签发机构应当及时公布上市疫苗批签发结果，供公众查询。</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第二十七条</w:t>
      </w:r>
      <w:r>
        <w:rPr>
          <w:rFonts w:hint="eastAsia" w:ascii="宋体" w:hAnsi="宋体" w:cs="Arial"/>
          <w:kern w:val="0"/>
          <w:szCs w:val="32"/>
        </w:rPr>
        <w:t>　申请疫苗批签发应当按照规定向批签发机构提供批生产及检验记录摘要等资料和同批号产品等样品。进口疫苗还应当提供原产地证明、批签发证明;在原产地免予批签发的，应当提供免予批签发证明。</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第二十八条</w:t>
      </w:r>
      <w:r>
        <w:rPr>
          <w:rFonts w:hint="eastAsia" w:ascii="宋体" w:hAnsi="宋体" w:cs="Arial"/>
          <w:kern w:val="0"/>
          <w:szCs w:val="32"/>
        </w:rPr>
        <w:t>　预防、控制传染病疫情或者应对突发事件急需的疫苗，经国务院药品监督管理部门批准，免予批签发。</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第二十九条　</w:t>
      </w:r>
      <w:r>
        <w:rPr>
          <w:rFonts w:hint="eastAsia" w:ascii="宋体" w:hAnsi="宋体" w:cs="Arial"/>
          <w:kern w:val="0"/>
          <w:szCs w:val="32"/>
        </w:rPr>
        <w:t>疫苗批签发应当逐批进行资料审核和抽样检验。疫苗批签发检验项目和检验频次应当根据疫苗质量风险评估情况进行动态调整。</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对疫苗批签发申请资料或者样品的真实性有疑问，或者存在其他需要进一步核实的情况的，批签发机构应当予以核实，必要时应当采用现场抽样检验等方式组织开展现场核实。</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第三十条</w:t>
      </w:r>
      <w:r>
        <w:rPr>
          <w:rFonts w:hint="eastAsia" w:ascii="宋体" w:hAnsi="宋体" w:cs="Arial"/>
          <w:kern w:val="0"/>
          <w:szCs w:val="32"/>
        </w:rPr>
        <w:t>　批签发机构在批签发过程中发现疫苗存在重大质量风险的，应当及时向国务院药品监督管理部门和省、自治区、直辖市人民政府药品监督管理部门报告。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接到报告的部门应当立即对疫苗上市许可持有人进行现场检查，根据检查结果通知批签发机构对疫苗上市许可持有人的相关产品或者所有产品不予批签发或者暂停批签发，并责令疫苗上市许可持有人整改。疫苗上市许可持有人应当立即整改，并及时将整改情况向责令其整改的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第三十一条</w:t>
      </w:r>
      <w:r>
        <w:rPr>
          <w:rFonts w:hint="eastAsia" w:ascii="宋体" w:hAnsi="宋体" w:cs="Arial"/>
          <w:kern w:val="0"/>
          <w:szCs w:val="32"/>
        </w:rPr>
        <w:t>　对生产工艺偏差、质量差异、生产过程中的故障和事故以及采取的措施，疫苗上市许可持有人应当如实记录，并在相应批产品申请批签发的文件中载明;可能影响疫苗质量的，疫苗上市许可持有人应当立即采取措施，并向省、自治区、直辖市人民政府药品监督管理部门报告。</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第四章　疫苗流通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第三十二条</w:t>
      </w:r>
      <w:r>
        <w:rPr>
          <w:rFonts w:hint="eastAsia" w:ascii="宋体" w:hAnsi="宋体" w:cs="Arial"/>
          <w:kern w:val="0"/>
          <w:szCs w:val="32"/>
        </w:rPr>
        <w:t>　国家免疫规划疫苗由国务院卫生健康主管部门会同国务院财政部门等组织集中招标或者统一谈判，形成并公布中标价格或者成交价格，各省、自治区、直辖市实行统一采购。</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国家免疫规划疫苗以外的其他免疫规划疫苗、非免疫规划疫苗由各省、自治区、直辖市通过省级公共资源交易平台组织采购。</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第三十三条</w:t>
      </w:r>
      <w:r>
        <w:rPr>
          <w:rFonts w:hint="eastAsia" w:ascii="宋体" w:hAnsi="宋体" w:cs="Arial"/>
          <w:kern w:val="0"/>
          <w:szCs w:val="32"/>
        </w:rPr>
        <w:t>　疫苗的价格由疫苗上市许可持有人依法自主合理制定。疫苗的价格水平、差价率、利润率应当保持在合理幅度。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第三十四条</w:t>
      </w:r>
      <w:r>
        <w:rPr>
          <w:rFonts w:hint="eastAsia" w:ascii="宋体" w:hAnsi="宋体" w:cs="Arial"/>
          <w:kern w:val="0"/>
          <w:szCs w:val="32"/>
        </w:rPr>
        <w:t>　省级疾病预防控制机构应当根据国家免疫规划和本行政区域疾病预防、控制需要，制定本行政区域免疫规划疫苗使用计划，并按照国家有关规定向组织采购疫苗的部门报告，同时报省、自治区、直辖市人民政府卫生健康主管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第三十五条</w:t>
      </w:r>
      <w:r>
        <w:rPr>
          <w:rFonts w:hint="eastAsia" w:ascii="宋体" w:hAnsi="宋体" w:cs="Arial"/>
          <w:kern w:val="0"/>
          <w:szCs w:val="32"/>
        </w:rPr>
        <w:t>　疫苗上市许可持有人应当按照采购合同约定，向疾病预防控制机构供应疫苗。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疾病预防控制机构应当按照规定向接种单位供应疫苗。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疾病预防控制机构以外的单位和个人不得向接种单位供应疫苗，接种单位不得接收该疫苗。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第三十六条</w:t>
      </w:r>
      <w:r>
        <w:rPr>
          <w:rFonts w:hint="eastAsia" w:ascii="宋体" w:hAnsi="宋体" w:cs="Arial"/>
          <w:kern w:val="0"/>
          <w:szCs w:val="32"/>
        </w:rPr>
        <w:t>　疫苗上市许可持有人应当按照采购合同约定，向疾病预防控制机构或者疾病预防控制机构指定的接种单位配送疫苗。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疫苗上市许可持有人、疾病预防控制机构自行配送疫苗应当具备疫苗冷链储存、运输条件，也可以委托符合条件的疫苗配送单位配送疫苗。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疾病预防控制机构配送非免疫规划疫苗可以收取储存、运输费用，具体办法由国务院财政部门会同国务院价格主管部门制定，收费标准由省、自治区、直辖市人民政府价格主管部门会同财政部门制定。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第三十七条</w:t>
      </w:r>
      <w:r>
        <w:rPr>
          <w:rFonts w:hint="eastAsia" w:ascii="宋体" w:hAnsi="宋体" w:cs="Arial"/>
          <w:kern w:val="0"/>
          <w:szCs w:val="32"/>
        </w:rPr>
        <w:t>　疾病预防控制机构、接种单位、疫苗上市许可持有人、疫苗配送单位应当遵守疫苗储存、运输管理规范，保证疫苗质量。</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疫苗在储存、运输全过程中应当处于规定的温度环境，冷链储存、运输应当符合要求，并定时监测、记录温度。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疫苗储存、运输管理规范由国务院药品监督管理部门、国务院卫生健康主管部门共同制定。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第三十八条</w:t>
      </w:r>
      <w:r>
        <w:rPr>
          <w:rFonts w:hint="eastAsia" w:ascii="宋体" w:hAnsi="宋体" w:cs="Arial"/>
          <w:kern w:val="0"/>
          <w:szCs w:val="32"/>
        </w:rPr>
        <w:t>　疫苗上市许可持有人在销售疫苗时，应当提供加盖其印章的批签发证明复印件或者电子文件;销售进口疫苗的，还应当提供加盖其印章的进口药品通关单复印件或者电子文件。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疾病预防控制机构、接种单位在接收或者购进疫苗时，应当索取前款规定的证明文件，并保存至疫苗有效期满后不少于五年备查。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第三十九条</w:t>
      </w:r>
      <w:r>
        <w:rPr>
          <w:rFonts w:hint="eastAsia" w:ascii="宋体" w:hAnsi="宋体" w:cs="Arial"/>
          <w:kern w:val="0"/>
          <w:szCs w:val="32"/>
        </w:rPr>
        <w:t>　疫苗上市许可持有人应当按照规定，建立真实、准确、完整的销售记录，并保存至疫苗有效期满后不少于五年备查。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疾病预防控制机构、接种单位、疫苗配送单位应当按照规定，建立真实、准确、完整的接收、购进、储存、配送、供应记录，并保存至疫苗有效期满后不少于五年备查。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接收或者购进疫苗时，应当索取本次运输、储存全过程温度监测记录，并保存至疫苗有效期满后不少于五年备查;对不能提供本次运输、储存全过程温度监测记录或者温度控制不符合要求的，不得接收或者购进，并应当立即向县级以上地方人民政府药品监督管理部门、卫生健康主管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第四十条</w:t>
      </w:r>
      <w:r>
        <w:rPr>
          <w:rFonts w:hint="eastAsia" w:ascii="宋体" w:hAnsi="宋体" w:cs="Arial"/>
          <w:kern w:val="0"/>
          <w:szCs w:val="32"/>
        </w:rPr>
        <w:t>　疾病预防控制机构、接种单位应当建立疫苗定期检查制度，对存在包装无法识别、储存温度不符合要求、超过有效期等问题的疫苗，采取隔离存放、设置警示标志等措施，并按照国务院药品监督管理部门、卫生健康主管部门、生态环境主管部门的规定处置。疾病预防控制机构、接种单位应当如实记录处置情况，处置记录应当保存至疫苗有效期满后不少于五年备查。</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第五章　预防接种</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第四十一条</w:t>
      </w:r>
      <w:r>
        <w:rPr>
          <w:rFonts w:hint="eastAsia" w:ascii="宋体" w:hAnsi="宋体" w:cs="Arial"/>
          <w:kern w:val="0"/>
          <w:szCs w:val="32"/>
        </w:rPr>
        <w:t>　国务院卫生健康主管部门制定国家免疫规划;国家免疫规划疫苗种类由国务院卫生健康主管部门会同国务院财政部门拟订，报国务院批准后公布。</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国务院卫生健康主管部门建立国家免疫规划专家咨询委员会，并会同国务院财政部门建立国家免疫规划疫苗种类动态调整机制。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省、自治区、直辖市人民政府在执行国家免疫规划时，可以根据本行政区域疾病预防、控制需要，增加免疫规划疫苗种类，报国务院卫生健康主管部门备案并公布。</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第四十二条</w:t>
      </w:r>
      <w:r>
        <w:rPr>
          <w:rFonts w:hint="eastAsia" w:ascii="宋体" w:hAnsi="宋体" w:cs="Arial"/>
          <w:kern w:val="0"/>
          <w:szCs w:val="32"/>
        </w:rPr>
        <w:t>　国务院卫生健康主管部门应当制定、公布预防接种工作规范，强化预防接种规范化管理。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国务院卫生健康主管部门应当制定、公布国家免疫规划疫苗的免疫程序和非免疫规划疫苗的使用指导原则。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省、自治区、直辖市人民政府卫生健康主管部门应当结合本行政区域实际情况制定接种方案，并报国务院卫生健康主管部门备案。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第四十三条</w:t>
      </w:r>
      <w:r>
        <w:rPr>
          <w:rFonts w:hint="eastAsia" w:ascii="宋体" w:hAnsi="宋体" w:cs="Arial"/>
          <w:kern w:val="0"/>
          <w:szCs w:val="32"/>
        </w:rPr>
        <w:t>　各级疾病预防控制机构应当按照各自职责，开展与预防接种相关的宣传、培训、技术指导、监测、评价、流行病学调查、应急处置等工作。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第四十四条</w:t>
      </w:r>
      <w:r>
        <w:rPr>
          <w:rFonts w:hint="eastAsia" w:ascii="宋体" w:hAnsi="宋体" w:cs="Arial"/>
          <w:kern w:val="0"/>
          <w:szCs w:val="32"/>
        </w:rPr>
        <w:t>　接种单位应当具备下列条件：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(一)取得医疗机构执业许可证;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(二)具有经过县级人民政府卫生健康主管部门组织的预防接种专业培训并考核合格的医师、护士或者乡村医生;</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(三)具有符合疫苗储存、运输管理规范的冷藏设施、设备和冷藏保管制度。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以上地方人民政府卫生健康主管部门指定符合条件的医疗机构承担责任区域内免疫规划疫苗接种工作。符合条件的医疗机构可以承担非免疫规划疫苗接种工作，并应当报颁发其医疗机构执业许可证的卫生健康主管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接种单位应当加强内部管理，开展预防接种工作应当遵守预防接种工作规范、免疫程序、疫苗使用指导原则和接种方案。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各级疾病预防控制机构应当加强对接种单位预防接种工作的技术指导和疫苗使用的管理。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第四十五条</w:t>
      </w:r>
      <w:r>
        <w:rPr>
          <w:rFonts w:hint="eastAsia" w:ascii="宋体" w:hAnsi="宋体" w:cs="Arial"/>
          <w:kern w:val="0"/>
          <w:szCs w:val="32"/>
        </w:rPr>
        <w:t>　医疗卫生人员实施接种，应当告知受种者或者其监护人所接种疫苗的品种、作用、禁忌、不良反应以及现场留观等注意事项，询问受种者的健康状况以及是否有接种禁忌等情况，并如实记录告知和询问情况。受种者或者其监护人应当如实提供受种者的健康状况和接种禁忌等情况。有接种禁忌不能接种的，医疗卫生人员应当向受种者或者其监护人提出医学建议，并如实记录提出医学建议情况。</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医疗卫生人员在实施接种前，应当按照预防接种工作规范的要求，检查受种者健康状况、核查接种禁忌，查对预防接种证，检查疫苗、注射器的外观、批号、有效期，核对受种者的姓名、年龄和疫苗的品名、规格、剂量、接种部位、接种途径，做到受种者、预防接种证和疫苗信息相一致，确认无误后方可实施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医疗卫生人员应当对符合接种条件的受种者实施接种。受种者在现场留观期间出现不良反应的，医疗卫生人员应当按照预防接种工作规范的要求，及时采取救治等措施。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第四十六条</w:t>
      </w:r>
      <w:r>
        <w:rPr>
          <w:rFonts w:hint="eastAsia" w:ascii="宋体" w:hAnsi="宋体" w:cs="Arial"/>
          <w:kern w:val="0"/>
          <w:szCs w:val="32"/>
        </w:rPr>
        <w:t>　医疗卫生人员应当按照国务院卫生健康主管部门的规定，真实、准确、完整记录疫苗的品种、上市许可持有人、最小包装单位的识别信息、有效期、接种时间、实施接种的医疗卫生人员、受种者等接种信息，确保接种信息可追溯、可查询。接种记录应当保存至疫苗有效期满后不少于五年备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第四十七条</w:t>
      </w:r>
      <w:r>
        <w:rPr>
          <w:rFonts w:hint="eastAsia" w:ascii="宋体" w:hAnsi="宋体" w:cs="Arial"/>
          <w:kern w:val="0"/>
          <w:szCs w:val="32"/>
        </w:rPr>
        <w:t>　国家对儿童实行预防接种证制度。在儿童出生后一个月内，其监护人应当到儿童居住地承担预防接种工作的接种单位或者出生医院为其办理预防接种证。接种单位或者出生医院不得拒绝办理。监护人应当妥善保管预防接种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预防接种实行居住地管理，儿童离开原居住地期间，由现居住地承担预防接种工作的接种单位负责对其实施接种。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预防接种证的格式由国务院卫生健康主管部门规定。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第四十八条</w:t>
      </w:r>
      <w:r>
        <w:rPr>
          <w:rFonts w:hint="eastAsia" w:ascii="宋体" w:hAnsi="宋体" w:cs="Arial"/>
          <w:kern w:val="0"/>
          <w:szCs w:val="32"/>
        </w:rPr>
        <w:t>　儿童入托、入学时，托幼机构、学校应当查验预防接种证，发现未按照规定接种免疫规划疫苗的，应当向儿童居住地或者托幼机构、学校所在地承担预防接种工作的接种单位报告，并配合接种单位督促其监护人按照规定补种。疾病预防控制机构应当为托幼机构、学校查验预防接种证等提供技术指导。</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儿童入托、入学预防接种证查验办法由国务院卫生健康主管部门会同国务院教育行政部门制定。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第四十九条</w:t>
      </w:r>
      <w:r>
        <w:rPr>
          <w:rFonts w:hint="eastAsia" w:ascii="宋体" w:hAnsi="宋体" w:cs="Arial"/>
          <w:kern w:val="0"/>
          <w:szCs w:val="32"/>
        </w:rPr>
        <w:t>　接种单位接种免疫规划疫苗不得收取任何费用。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接种单位接种非免疫规划疫苗，除收取疫苗费用外，还可以收取接种服务费。接种服务费的收费标准由省、自治区、直辖市人民政府价格主管部门会同财政部门制定。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第五十条</w:t>
      </w:r>
      <w:r>
        <w:rPr>
          <w:rFonts w:hint="eastAsia" w:ascii="宋体" w:hAnsi="宋体" w:cs="Arial"/>
          <w:kern w:val="0"/>
          <w:szCs w:val="32"/>
        </w:rPr>
        <w:t>　县级以上地方人民政府卫生健康主管部门根据传染病监测和预警信息，为预防、控制传染病暴发、流行，报经本级人民政府决定，并报省级以上人民政府卫生健康主管部门备案，可以在本行政区域进行群体性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需要在全国范围或者跨省、自治区、直辖市范围内进行群体性预防接种的，应当由国务院卫生健康主管部门决定。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作出群体性预防接种决定的县级以上地方人民政府或者国务院卫生健康主管部门应当组织有关部门做好人员培训、宣传教育、物资调用等工作。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任何单位和个人不得擅自进行群体性预防接种。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第五十一条</w:t>
      </w:r>
      <w:r>
        <w:rPr>
          <w:rFonts w:hint="eastAsia" w:ascii="宋体" w:hAnsi="宋体" w:cs="Arial"/>
          <w:kern w:val="0"/>
          <w:szCs w:val="32"/>
        </w:rPr>
        <w:t>　传染病暴发、流行时，县级以上地方人民政府或者其卫生健康主管部门需要采取应急接种措施的，依照法律、行政法规的规定执行。</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第六章　异常反应监测和处理</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第五十二条</w:t>
      </w:r>
      <w:r>
        <w:rPr>
          <w:rFonts w:hint="eastAsia" w:ascii="宋体" w:hAnsi="宋体" w:cs="Arial"/>
          <w:kern w:val="0"/>
          <w:szCs w:val="32"/>
        </w:rPr>
        <w:t>　预防接种异常反应，是指合格的疫苗在实施规范接种过程中或者实施规范接种后造成受种者机体组织器官、功能损害，相关各方均无过错的药品不良反应。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下列情形不属于预防接种异常反应：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(一)因疫苗本身特性引起的接种后一般反应;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(二)因疫苗质量问题给受种者造成的损害;</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(三)因接种单位违反预防接种工作规范、免疫程序、疫苗使用指导原则、接种方案给受种者造成的损害;</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(四)受种者在接种时正处于某种疾病的潜伏期或者前驱期，接种后偶合发病;</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(五)受种者有疫苗说明书规定的接种禁忌，在接种前受种者或者其监护人未如实提供受种者的健康状况和接种禁忌等情况，接种后受种者原有疾病急性复发或者病情加重;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(六)因心理因素发生的个体或者群体的心因性反应。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第五十三条</w:t>
      </w:r>
      <w:r>
        <w:rPr>
          <w:rFonts w:hint="eastAsia" w:ascii="宋体" w:hAnsi="宋体" w:cs="Arial"/>
          <w:kern w:val="0"/>
          <w:szCs w:val="32"/>
        </w:rPr>
        <w:t>　国家加强预防接种异常反应监测。预防接种异常反应监测方案由国务院卫生健康主管部门会同国务院药品监督管理部门制定。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第五十四条</w:t>
      </w:r>
      <w:r>
        <w:rPr>
          <w:rFonts w:hint="eastAsia" w:ascii="宋体" w:hAnsi="宋体" w:cs="Arial"/>
          <w:kern w:val="0"/>
          <w:szCs w:val="32"/>
        </w:rPr>
        <w:t>　接种单位、医疗机构等发现疑似预防接种异常反应的，应当按照规定向疾病预防控制机构报告。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设立专门机构，配备专职人员，主动收集、跟踪分析疑似预防接种异常反应，及时采取风险控制措施，将疑似预防接种异常反应向疾病预防控制机构报告，将质量分析报告提交省、自治区、直辖市人民政府药品监督管理部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第五十五条</w:t>
      </w:r>
      <w:r>
        <w:rPr>
          <w:rFonts w:hint="eastAsia" w:ascii="宋体" w:hAnsi="宋体" w:cs="Arial"/>
          <w:kern w:val="0"/>
          <w:szCs w:val="32"/>
        </w:rPr>
        <w:t>　对疑似预防接种异常反应，疾病预防控制机构应当按照规定及时报告，组织调查、诊断，并将调查、诊断结论告知受种者或者其监护人。对调查、诊断结论有争议的，可以根据国务院卫生健康主管部门制定的鉴定办法申请鉴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因预防接种导致受种者死亡、严重残疾，或者群体性疑似预防接种异常反应等对社会有重大影响的疑似预防接种异常反应，由设区的市级以上人民政府卫生健康主管部门、药品监督管理部门按照各自职责组织调查、处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eastAsia="黑体" w:cs="仿宋_GB2312"/>
          <w:color w:val="000000"/>
          <w:kern w:val="0"/>
          <w:sz w:val="32"/>
          <w:szCs w:val="32"/>
        </w:rPr>
        <w:t>　　第五十六条</w:t>
      </w:r>
      <w:r>
        <w:rPr>
          <w:rFonts w:hint="eastAsia" w:ascii="宋体" w:hAnsi="宋体" w:cs="Arial"/>
          <w:kern w:val="0"/>
          <w:szCs w:val="32"/>
        </w:rPr>
        <w:t>　国家实行预防接种异常反应补偿制度。实施接种过程中或者实施接种后出现受种者死亡、严重残疾、器官组织损伤等损害，属于预防接种异常反应或者不能排除的，应当给予补偿。补偿范围实行目录管理，并根据实际情况进行动态调整。</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接种免疫规划疫苗所需的补偿费用，由省、自治区、直辖市人民政府财政部门在预防接种经费中安排;接种非免疫规划疫苗所需的补偿费用，由相关疫苗上市许可持有人承担。国家鼓励通过商业保险等多种形式对预防接种异常反应受种者予以补偿。</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预防接种异常反应补偿应当及时、便民、合理。预防接种异常反应补偿范围、标准、程序由国务院规定，省、自治区、直辖市制定具体实施办法。</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第七章　疫苗上市后管理</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第五十七条</w:t>
      </w:r>
      <w:r>
        <w:rPr>
          <w:rFonts w:hint="eastAsia" w:ascii="宋体" w:hAnsi="宋体" w:cs="Arial"/>
          <w:kern w:val="0"/>
          <w:szCs w:val="32"/>
        </w:rPr>
        <w:t>　疫苗上市许可持有人应当建立健全疫苗全生命周期质量管理体系，制定并实施疫苗上市后风险管理计划，开展疫苗上市后研究，对疫苗的安全性、有效性和质量可控性进行进一步确证。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对批准疫苗注册申请时提出进一步研究要求的疫苗，疫苗上市许可持有人应当在规定期限内完成研究;逾期未完成研究或者不能证明其获益大于风险的，国务院药品监督管理部门应当依法处理，直至注销该疫苗的药品注册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第五十八条</w:t>
      </w:r>
      <w:r>
        <w:rPr>
          <w:rFonts w:hint="eastAsia" w:ascii="宋体" w:hAnsi="宋体" w:cs="Arial"/>
          <w:kern w:val="0"/>
          <w:szCs w:val="32"/>
        </w:rPr>
        <w:t>　疫苗上市许可持有人应当对疫苗进行质量跟踪分析，持续提升质量控制标准，改进生产工艺，提高生产工艺稳定性。</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生产工艺、生产场地、关键设备等发生变更的，应当进行评估、验证，按照国务院药品监督管理部门有关变更管理的规定备案或者报告;变更可能影响疫苗安全性、有效性和质量可控性的，应当经国务院药品监督管理部门批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第五十九条</w:t>
      </w:r>
      <w:r>
        <w:rPr>
          <w:rFonts w:hint="eastAsia" w:ascii="宋体" w:hAnsi="宋体" w:cs="Arial"/>
          <w:kern w:val="0"/>
          <w:szCs w:val="32"/>
        </w:rPr>
        <w:t>　疫苗上市许可持有人应当根据疫苗上市后研究、预防接种异常反应等情况持续更新说明书、标签，并按照规定申请核准或者备案。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国务院药品监督管理部门应当在其网站上及时公布更新后的疫苗说明书、标签内容。</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第六十条　</w:t>
      </w:r>
      <w:r>
        <w:rPr>
          <w:rFonts w:hint="eastAsia" w:ascii="宋体" w:hAnsi="宋体" w:cs="Arial"/>
          <w:kern w:val="0"/>
          <w:szCs w:val="32"/>
        </w:rPr>
        <w:t>疫苗上市许可持有人应当建立疫苗质量回顾分析和风险报告制度，每年将疫苗生产流通、上市后研究、风险管理等情况按照规定如实向国务院药品监督管理部门报告。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第六十一条</w:t>
      </w:r>
      <w:r>
        <w:rPr>
          <w:rFonts w:hint="eastAsia" w:ascii="宋体" w:hAnsi="宋体" w:cs="Arial"/>
          <w:kern w:val="0"/>
          <w:szCs w:val="32"/>
        </w:rPr>
        <w:t>　国务院药品监督管理部门可以根据实际情况，责令疫苗上市许可持有人开展上市后评价或者直接组织开展上市后评价。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对预防接种异常反应严重或者其他原因危害人体健康的疫苗，国务院药品监督管理部门应当注销该疫苗的药品注册证书。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第六十二条</w:t>
      </w:r>
      <w:r>
        <w:rPr>
          <w:rFonts w:hint="eastAsia" w:ascii="宋体" w:hAnsi="宋体" w:cs="Arial"/>
          <w:kern w:val="0"/>
          <w:szCs w:val="32"/>
        </w:rPr>
        <w:t>　国务院药品监督管理部门可以根据疾病预防、控制需要和疫苗行业发展情况，组织对疫苗品种开展上市后评价，发现该疫苗品种的产品设计、生产工艺、安全性、有效性或者质量可控性明显劣于预防、控制同种疾病的其他疫苗品种的，应当注销该品种所有疫苗的药品注册证书并废止相应的国家药品标准。</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第八章　保障措施</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第六十三条　</w:t>
      </w:r>
      <w:r>
        <w:rPr>
          <w:rFonts w:hint="eastAsia" w:ascii="宋体" w:hAnsi="宋体" w:cs="Arial"/>
          <w:kern w:val="0"/>
          <w:szCs w:val="32"/>
        </w:rPr>
        <w:t>县级以上人民政府应当将疫苗安全工作、购买免疫规划疫苗和预防接种工作以及信息化建设等所需经费纳入本级政府预算，保证免疫规划制度的实施。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县级人民政府按照国家有关规定对从事预防接种工作的乡村医生和其他基层医疗卫生人员给予补助。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国家根据需要对经济欠发达地区的预防接种工作给予支持。省、自治区、直辖市人民政府和设区的市级人民政府应当对经济欠发达地区的县级人民政府开展与预防接种相关的工作给予必要的经费补助。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第六十四条</w:t>
      </w:r>
      <w:r>
        <w:rPr>
          <w:rFonts w:hint="eastAsia" w:ascii="宋体" w:hAnsi="宋体" w:cs="Arial"/>
          <w:kern w:val="0"/>
          <w:szCs w:val="32"/>
        </w:rPr>
        <w:t>　省、自治区、直辖市人民政府根据本行政区域传染病流行趋势，在国务院卫生健康主管部门确定的传染病预防、控制项目范围内，确定本行政区域与预防接种相关的项目，并保证项目的实施。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第六十五条</w:t>
      </w:r>
      <w:r>
        <w:rPr>
          <w:rFonts w:hint="eastAsia" w:ascii="宋体" w:hAnsi="宋体" w:cs="Arial"/>
          <w:kern w:val="0"/>
          <w:szCs w:val="32"/>
        </w:rPr>
        <w:t>　国务院卫生健康主管部门根据各省、自治区、直辖市国家免疫规划疫苗使用计划，向疫苗上市许可持有人提供国家免疫规划疫苗需求信息，疫苗上市许可持有人根据疫苗需求信息合理安排生产。</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疫苗存在供应短缺风险时，国务院卫生健康主管部门、国务院药品监督管理部门提出建议，国务院工业和信息化主管部门、国务院财政部门应当采取有效措施，保障疫苗生产、供应。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疫苗上市许可持有人应当依法组织生产，保障疫苗供应;疫苗上市许可持有人停止疫苗生产的，应当及时向国务院药品监督管理部门或者省、自治区、直辖市人民政府药品监督管理部门报告。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第六十六条</w:t>
      </w:r>
      <w:r>
        <w:rPr>
          <w:rFonts w:hint="eastAsia" w:ascii="宋体" w:hAnsi="宋体" w:cs="Arial"/>
          <w:kern w:val="0"/>
          <w:szCs w:val="32"/>
        </w:rPr>
        <w:t>　国家将疫苗纳入战略物资储备，实行中央和省级两级储备。</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工业和信息化主管部门、财政部门会同国务院卫生健康主管部门、公安部门、市场监督管理部门和药品监督管理部门，根据疾病预防、控制和公共卫生应急准备的需要，加强储备疫苗的产能、产品管理，建立动态调整机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第六十七条</w:t>
      </w:r>
      <w:r>
        <w:rPr>
          <w:rFonts w:hint="eastAsia" w:ascii="宋体" w:hAnsi="宋体" w:cs="Arial"/>
          <w:kern w:val="0"/>
          <w:szCs w:val="32"/>
        </w:rPr>
        <w:t>　各级财政安排用于预防接种的经费应当专款专用，任何单位和个人不得挪用、挤占。</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有关单位和个人使用预防接种的经费应当依法接受审计机关的审计监督。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第六十八条</w:t>
      </w:r>
      <w:r>
        <w:rPr>
          <w:rFonts w:hint="eastAsia" w:ascii="宋体" w:hAnsi="宋体" w:cs="Arial"/>
          <w:kern w:val="0"/>
          <w:szCs w:val="32"/>
        </w:rPr>
        <w:t>　国家实行疫苗责任强制保险制度。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疫苗上市许可持有人应当按照规定投保疫苗责任强制保险。因疫苗质量问题造成受种者损害的，保险公司在承保的责任限额内予以赔付。</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疫苗责任强制保险制度的具体实施办法，由国务院药品监督管理部门会同国务院卫生健康主管部门、保险监督管理机构等制定。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第六十九条　</w:t>
      </w:r>
      <w:r>
        <w:rPr>
          <w:rFonts w:hint="eastAsia" w:ascii="宋体" w:hAnsi="宋体" w:cs="Arial"/>
          <w:kern w:val="0"/>
          <w:szCs w:val="32"/>
        </w:rPr>
        <w:t>传染病暴发、流行时，相关疫苗上市许可持有人应当及时生产和供应预防、控制传染病的疫苗。交通运输单位应当优先运输预防、控制传染病的疫苗。县级以上人民政府及其有关部门应当做好组织、协调、保障工作。</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第九章　监督管理</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第七十条</w:t>
      </w:r>
      <w:r>
        <w:rPr>
          <w:rFonts w:hint="eastAsia" w:ascii="宋体" w:hAnsi="宋体" w:cs="Arial"/>
          <w:kern w:val="0"/>
          <w:szCs w:val="32"/>
        </w:rPr>
        <w:t>　药品监督管理部门、卫生健康主管部门按照各自职责对疫苗研制、生产、流通和预防接种全过程进行监督管理，监督疫苗上市许可持有人、疾病预防控制机构、接种单位等依法履行义务。</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药品监督管理部门依法对疫苗研制、生产、储存、运输以及预防接种中的疫苗质量进行监督检查。卫生健康主管部门依法对免疫规划制度的实施、预防接种活动进行监督检查。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药品监督管理部门应当加强对疫苗上市许可持有人的现场检查;必要时，可以对为疫苗研制、生产、流通等活动提供产品或者服务的单位和个人进行延伸检查;有关单位和个人应当予以配合，不得拒绝和隐瞒。</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第七十一条　</w:t>
      </w:r>
      <w:r>
        <w:rPr>
          <w:rFonts w:hint="eastAsia" w:ascii="宋体" w:hAnsi="宋体" w:cs="Arial"/>
          <w:kern w:val="0"/>
          <w:szCs w:val="32"/>
        </w:rPr>
        <w:t>国家建设中央和省级两级职业化、专业化药品检查员队伍，加强对疫苗的监督检查。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自治区、直辖市人民政府药品监督管理部门选派检查员入驻疫苗上市许可持有人。检查员负责监督检查药品生产质量管理规范执行情况，收集疫苗质量风险和违法违规线索，向省、自治区、直辖市人民政府药品监督管理部门报告情况并提出建议，对派驻期间的行为负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第七十二条</w:t>
      </w:r>
      <w:r>
        <w:rPr>
          <w:rFonts w:hint="eastAsia" w:ascii="宋体" w:hAnsi="宋体" w:cs="Arial"/>
          <w:kern w:val="0"/>
          <w:szCs w:val="32"/>
        </w:rPr>
        <w:t>　疫苗质量管理存在安全隐患，疫苗上市许可持有人等未及时采取措施消除的，药品监督管理部门可以采取责任约谈、限期整改等措施。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严重违反药品相关质量管理规范的，药品监督管理部门应当责令暂停疫苗生产、销售、配送，立即整改;整改完成后，经药品监督管理部门检查符合要求的，方可恢复生产、销售、配送。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药品监督管理部门应当建立疫苗上市许可持有人及其相关人员信用记录制度，纳入全国信用信息共享平台，按照规定公示其严重失信信息，实施联合惩戒。</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第七十三条</w:t>
      </w:r>
      <w:r>
        <w:rPr>
          <w:rFonts w:hint="eastAsia" w:ascii="宋体" w:hAnsi="宋体" w:cs="Arial"/>
          <w:kern w:val="0"/>
          <w:szCs w:val="32"/>
        </w:rPr>
        <w:t>　疫苗存在或者疑似存在质量问题的，疫苗上市许可持有人、疾病预防控制机构、接种单位应当立即停止销售、配送、使用，必要时立即停止生产，按照规定向县级以上人民政府药品监督管理部门、卫生健康主管部门报告。卫生健康主管部门应当立即组织疾病预防控制机构和接种单位采取必要的应急处置措施，同时向上级人民政府卫生健康主管部门报告。药品监督管理部门应当依法采取查封、扣押等措施。对已经销售的疫苗，疫苗上市许可持有人应当及时通知相关疾病预防控制机构、疫苗配送单位、接种单位，按照规定召回，如实记录召回和通知情况，疾病预防控制机构、疫苗配送单位、接种单位应当予以配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未依照前款规定停止生产、销售、配送、使用或者召回疫苗的，县级以上人民政府药品监督管理部门、卫生健康主管部门应当按照各自职责责令停止生产、销售、配送、使用或者召回疫苗。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疫苗上市许可持有人、疾病预防控制机构、接种单位发现存在或者疑似存在质量问题的疫苗，不得瞒报、谎报、缓报、漏报，不得隐匿、伪造、毁灭有关证据。</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第七十四条</w:t>
      </w:r>
      <w:r>
        <w:rPr>
          <w:rFonts w:hint="eastAsia" w:ascii="宋体" w:hAnsi="宋体" w:cs="Arial"/>
          <w:kern w:val="0"/>
          <w:szCs w:val="32"/>
        </w:rPr>
        <w:t>　疫苗上市许可持有人应当建立信息公开制度，按照规定在其网站上及时公开疫苗产品信息、说明书和标签、药品相关质量管理规范执行情况、批签发情况、召回情况、接受检查和处罚情况以及投保疫苗责任强制保险情况等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第七十五条</w:t>
      </w:r>
      <w:r>
        <w:rPr>
          <w:rFonts w:hint="eastAsia" w:ascii="宋体" w:hAnsi="宋体" w:cs="Arial"/>
          <w:kern w:val="0"/>
          <w:szCs w:val="32"/>
        </w:rPr>
        <w:t>　国务院药品监督管理部门会同国务院卫生健康主管部门等建立疫苗质量、预防接种等信息共享机制。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级以上人民政府药品监督管理部门、卫生健康主管部门等应当按照科学、客观、及时、公开的原则，组织疫苗上市许可持有人、疾病预防控制机构、接种单位、新闻媒体、科研单位等，就疫苗质量和预防接种等信息进行交流沟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第七十六条</w:t>
      </w:r>
      <w:r>
        <w:rPr>
          <w:rFonts w:hint="eastAsia" w:ascii="宋体" w:hAnsi="宋体" w:cs="Arial"/>
          <w:kern w:val="0"/>
          <w:szCs w:val="32"/>
        </w:rPr>
        <w:t>　国家实行疫苗安全信息统一公布制度。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安全风险警示信息、重大疫苗安全事故及其调查处理信息和国务院确定需要统一公布的其他疫苗安全信息，由国务院药品监督管理部门会同有关部门公布。全国预防接种异常反应报告情况，由国务院卫生健康主管部门会同国务院药品监督管理部门统一公布。未经授权不得发布上述信息。公布重大疫苗安全信息，应当及时、准确、全面，并按照规定进行科学评估，作出必要的解释说明。</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县级以上人民政府药品监督管理部门发现可能误导公众和社会舆论的疫苗安全信息，应当立即会同卫生健康主管部门及其他有关部门、专业机构、相关疫苗上市许可持有人等进行核实、分析，并及时公布结果。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任何单位和个人不得编造、散布虚假疫苗安全信息。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第七十七条</w:t>
      </w:r>
      <w:r>
        <w:rPr>
          <w:rFonts w:hint="eastAsia" w:ascii="宋体" w:hAnsi="宋体" w:cs="Arial"/>
          <w:kern w:val="0"/>
          <w:szCs w:val="32"/>
        </w:rPr>
        <w:t>　任何单位和个人有权依法了解疫苗信息，对疫苗监督管理工作提出意见、建议。</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任何单位和个人有权向卫生健康主管部门、药品监督管理部门等部门举报疫苗违法行为，对卫生健康主管部门、药品监督管理部门等部门及其工作人员未依法履行监督管理职责的情况有权向本级或者上级人民政府及其有关部门、监察机关举报。有关部门、机关应当及时核实、处理;对查证属实的举报，按照规定给予举报人奖励;举报人举报所在单位严重违法行为，查证属实的，给予重奖。</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第七十八条</w:t>
      </w:r>
      <w:r>
        <w:rPr>
          <w:rFonts w:hint="eastAsia" w:ascii="宋体" w:hAnsi="宋体" w:cs="Arial"/>
          <w:kern w:val="0"/>
          <w:szCs w:val="32"/>
        </w:rPr>
        <w:t>　县级以上人民政府应当制定疫苗安全事件应急预案，对疫苗安全事件分级、处置组织指挥体系与职责、预防预警机制、处置程序、应急保障措施等作出规定。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疫苗上市许可持有人应当制定疫苗安全事件处置方案，定期检查各项防范措施的落实情况，及时消除安全隐患。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发生疫苗安全事件，疫苗上市许可持有人应当立即向国务院药品监督管理部门或者省、自治区、直辖市人民政府药品监督管理部门报告;疾病预防控制机构、接种单位、医疗机构应当立即向县级以上人民政府卫生健康主管部门、药品监督管理部门报告。药品监督管理部门应当会同卫生健康主管部门按照应急预案的规定，成立疫苗安全事件处置指挥机构，开展医疗救治、风险控制、调查处理、信息发布、解释说明等工作，做好补种等善后处置工作。因质量问题造成的疫苗安全事件的补种费用由疫苗上市许可持有人承担。</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有关单位和个人不得瞒报、谎报、缓报、漏报疫苗安全事件，不得隐匿、伪造、毁灭有关证据。</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第十章　法律责任</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第七十九条</w:t>
      </w:r>
      <w:r>
        <w:rPr>
          <w:rFonts w:hint="eastAsia" w:ascii="宋体" w:hAnsi="宋体" w:cs="Arial"/>
          <w:kern w:val="0"/>
          <w:szCs w:val="32"/>
        </w:rPr>
        <w:t>　违反本法规定，构成犯罪的，依法从重追究刑事责任。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第八十条　</w:t>
      </w:r>
      <w:r>
        <w:rPr>
          <w:rFonts w:hint="eastAsia" w:ascii="宋体" w:hAnsi="宋体" w:cs="Arial"/>
          <w:kern w:val="0"/>
          <w:szCs w:val="32"/>
        </w:rPr>
        <w:t>生产、销售的疫苗属于假药的，由省级以上人民政府药品监督管理部门没收违法所得和违法生产、销售的疫苗以及专门用于违法生产疫苗的原料、辅料、包装材料、设备等物品，责令停产停业整顿，吊销药品注册证书，直至吊销药品生产许可证等，并处违法生产、销售疫苗货值金额十五倍以上五十倍以下的罚款，货值金额不足五十万元的，按五十万元计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生产、销售的疫苗属于劣药的，由省级以上人民政府药品监督管理部门没收违法所得和违法生产、销售的疫苗以及专门用于违法生产疫苗的原料、辅料、包装材料、设备等物品，责令停产停业整顿，并处违法生产、销售疫苗货值金额十倍以上三十倍以下的罚款，货值金额不足五十万元的，按五十万元计算;情节严重的，吊销药品注册证书，直至吊销药品生产许可证等。</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生产、销售的疫苗属于假药，或者生产、销售的疫苗属于劣药且情节严重的，由省级以上人民政府药品监督管理部门对法定代表人、主要负责人、直接负责的主管人员和关键岗位人员以及其他责任人员，没收违法行为发生期间自本单位所获收入，并处所获收入一倍以上十倍以下的罚款，终身禁止从事药品生产经营活动，由公安机关处五日以上十五日以下拘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第八十一条</w:t>
      </w:r>
      <w:r>
        <w:rPr>
          <w:rFonts w:hint="eastAsia" w:ascii="宋体" w:hAnsi="宋体" w:cs="Arial"/>
          <w:kern w:val="0"/>
          <w:szCs w:val="32"/>
        </w:rPr>
        <w:t>　有下列情形之一的，由省级以上人民政府药品监督管理部门没收违法所得和违法生产、销售的疫苗以及专门用于违法生产疫苗的原料、辅料、包装材料、设备等物品，责令停产停业整顿，并处违法生产、销售疫苗货值金额十五倍以上五十倍以下的罚款，货值金额不足五十万元的，按五十万元计算;情节严重的，吊销药品相关批准证明文件，直至吊销药品生产许可证等，对法定代表人、主要负责人、直接负责的主管人员和关键岗位人员以及其他责任人员，没收违法行为发生期间自本单位所获收入，并处所获收入百分之五十以上十倍以下的罚款，十年内直至终身禁止从事药品生产经营活动，由公安机关处五日以上十五日以下拘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(一)申请疫苗临床试验、注册、批签发提供虚假数据、资料、样品或者有其他欺骗行为;</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(二)编造生产、检验记录或者更改产品批号;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(三)疾病预防控制机构以外的单位或者个人向接种单位供应疫苗;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(四)委托生产疫苗未经批准;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(五)生产工艺、生产场地、关键设备等发生变更按照规定应当经批准而未经批准;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(六)更新疫苗说明书、标签按照规定应当经核准而未经核准。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第八十二条</w:t>
      </w:r>
      <w:r>
        <w:rPr>
          <w:rFonts w:hint="eastAsia" w:ascii="宋体" w:hAnsi="宋体" w:cs="Arial"/>
          <w:kern w:val="0"/>
          <w:szCs w:val="32"/>
        </w:rPr>
        <w:t>　除本法另有规定的情形外，疫苗上市许可持有人或者其他单位违反药品相关质量管理规范的，由县级以上人民政府药品监督管理部门责令改正，给予警告;拒不改正的，处二十万元以上五十万元以下的罚款;情节严重的，处五十万元以上三百万元以下的罚款，责令停产停业整顿，直至吊销药品相关批准证明文件、药品生产许可证等，对法定代表人、主要负责人、直接负责的主管人员和关键岗位人员以及其他责任人员，没收违法行为发生期间自本单位所获收入，并处所获收入百分之五十以上五倍以下的罚款，十年内直至终身禁止从事药品生产经营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第八十三条</w:t>
      </w:r>
      <w:r>
        <w:rPr>
          <w:rFonts w:hint="eastAsia" w:ascii="宋体" w:hAnsi="宋体" w:cs="Arial"/>
          <w:kern w:val="0"/>
          <w:szCs w:val="32"/>
        </w:rPr>
        <w:t>　违反本法规定，疫苗上市许可持有人有下列情形之一的，由省级以上人民政府药品监督管理部门责令改正，给予警告;拒不改正的，处二十万元以上五十万元以下的罚款;情节严重的，责令停产停业整顿，并处五十万元以上二百万元以下的罚款：</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(一)未按照规定建立疫苗电子追溯系统;</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(二)法定代表人、主要负责人和生产管理负责人、质量管理负责人、质量受权人等关键岗位人员不符合规定条件或者未按照规定对其进行培训、考核;</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(三)未按照规定报告或者备案;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(四)未按照规定开展上市后研究，或者未按照规定设立机构、配备人员主动收集、跟踪分析疑似预防接种异常反应;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(五)未按照规定投保疫苗责任强制保险;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(六)未按照规定建立信息公开制度。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第八十四条</w:t>
      </w:r>
      <w:r>
        <w:rPr>
          <w:rFonts w:hint="eastAsia" w:ascii="宋体" w:hAnsi="宋体" w:cs="Arial"/>
          <w:kern w:val="0"/>
          <w:szCs w:val="32"/>
        </w:rPr>
        <w:t>　违反本法规定，批签发机构有下列情形之一的，由国务院药品监督管理部门责令改正，给予警告，对主要负责人、直接负责的主管人员和其他直接责任人员依法给予警告直至降级处分：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(一)未按照规定进行审核和检验;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(二)未及时公布上市疫苗批签发结果;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(三)未按照规定进行核实;</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(四)发现疫苗存在重大质量风险未按照规定报告。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违反本法规定，批签发机构未按照规定发给批签发证明或者不予批签发通知书的，由国务院药品监督管理部门责令改正，给予警告，对主要负责人、直接负责的主管人员和其他直接责任人员依法给予降级或者撤职处分;情节严重的，对主要负责人、直接负责的主管人员和其他直接责任人员依法给予开除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第八十五条</w:t>
      </w:r>
      <w:r>
        <w:rPr>
          <w:rFonts w:hint="eastAsia" w:ascii="宋体" w:hAnsi="宋体" w:cs="Arial"/>
          <w:kern w:val="0"/>
          <w:szCs w:val="32"/>
        </w:rPr>
        <w:t>　疾病预防控制机构、接种单位、疫苗上市许可持有人、疫苗配送单位违反疫苗储存、运输管理规范有关冷链储存、运输要求的，由县级以上人民政府药品监督管理部门责令改正，给予警告，对违法储存、运输的疫苗予以销毁，没收违法所得;拒不改正的，对接种单位、疫苗上市许可持有人、疫苗配送单位处二十万元以上一百万元以下的罚款;情节严重的，对接种单位、疫苗上市许可持有人、疫苗配送单位处违法储存、运输疫苗货值金额十倍以上三十倍以下的罚款，货值金额不足十万元的，按十万元计算，责令疫苗上市许可持有人、疫苗配送单位停产停业整顿，直至吊销药品相关批准证明文件、药品生产许可证等，对疫苗上市许可持有人、疫苗配送单位的法定代表人、主要负责人、直接负责的主管人员和关键岗位人员以及其他责任人员依照本法第八十二条规定给予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有前款规定违法行为的，由县级以上人民政府卫生健康主管部门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并可以吊销接种单位的接种资格，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第八十六条</w:t>
      </w:r>
      <w:r>
        <w:rPr>
          <w:rFonts w:hint="eastAsia" w:ascii="宋体" w:hAnsi="宋体" w:cs="Arial"/>
          <w:kern w:val="0"/>
          <w:szCs w:val="32"/>
        </w:rPr>
        <w:t>　疾病预防控制机构、接种单位、疫苗上市许可持有人、疫苗配送单位有本法第八十五条规定以外的违反疫苗储存、运输管理规范行为的，由县级以上人民政府药品监督管理部门责令改正，给予警告，没收违法所得;拒不改正的，对接种单位、疫苗上市许可持有人、疫苗配送单位处十万元以上三十万元以下的罚款;情节严重的，对接种单位、疫苗上市许可持有人、疫苗配送单位处违法储存、运输疫苗货值金额三倍以上十倍以下的罚款，货值金额不足十万元的，按十万元计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有前款规定违法行为的，县级以上人民政府卫生健康主管部门可以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第八十七条</w:t>
      </w:r>
      <w:r>
        <w:rPr>
          <w:rFonts w:hint="eastAsia" w:ascii="宋体" w:hAnsi="宋体" w:cs="Arial"/>
          <w:kern w:val="0"/>
          <w:szCs w:val="32"/>
        </w:rPr>
        <w:t>　违反本法规定，疾病预防控制机构、接种单位有下列情形之一的，由县级以上人民政府卫生健康主管部门责令改正，给予警告，没收违法所得;情节严重的，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(一)未按照规定供应、接收、采购疫苗;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(二)接种疫苗未遵守预防接种工作规范、免疫程序、疫苗使用指导原则、接种方案;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(三)擅自进行群体性预防接种。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第八十八条</w:t>
      </w:r>
      <w:r>
        <w:rPr>
          <w:rFonts w:hint="eastAsia" w:ascii="宋体" w:hAnsi="宋体" w:cs="Arial"/>
          <w:kern w:val="0"/>
          <w:szCs w:val="32"/>
        </w:rPr>
        <w:t>　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(一)未按照规定提供追溯信息;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(二)接收或者购进疫苗时未按照规定索取并保存相关证明文件、温度监测记录;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(三)未按照规定建立并保存疫苗接收、购进、储存、配送、供应、接种、处置记录;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(四)未按照规定告知、询问受种者或者其监护人有关情况。</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rPr>
        <w:t>　　第八十九条</w:t>
      </w:r>
      <w:r>
        <w:rPr>
          <w:rFonts w:hint="eastAsia" w:ascii="宋体" w:hAnsi="宋体" w:cs="Arial"/>
          <w:kern w:val="0"/>
          <w:szCs w:val="32"/>
        </w:rPr>
        <w:t>　疾病预防控制机构、接种单位、医疗机构未按照规定报告疑似预防接种异常反应、疫苗安全事件等，或者未按照规定对疑似预防接种异常反应组织调查、诊断等的，由县级以上人民政府卫生健康主管部门责令改正，给予警告;情节严重的，对接种单位、医疗机构处五万元以上五十万元以下的罚款，对疾病预防控制机构、接种单位、医疗机构的主要负责人、直接负责的主管人员和其他直接责任人员依法给予警告直至撤职处分;造成严重后果的，对主要负责人、直接负责的主管人员和其他直接责任人员依法给予开除处分，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第九十条</w:t>
      </w:r>
      <w:r>
        <w:rPr>
          <w:rFonts w:hint="eastAsia" w:ascii="宋体" w:hAnsi="宋体" w:cs="Arial"/>
          <w:kern w:val="0"/>
          <w:szCs w:val="32"/>
        </w:rPr>
        <w:t>　疾病预防控制机构、接种单位违反本法规定收取费用的，由县级以上人民政府卫生健康主管部门监督其将违法收取的费用退还给原缴费的单位或者个人，并由县级以上人民政府市场监督管理部门依法给予处罚。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第九十一条　</w:t>
      </w:r>
      <w:r>
        <w:rPr>
          <w:rFonts w:hint="eastAsia" w:ascii="宋体" w:hAnsi="宋体" w:cs="Arial"/>
          <w:kern w:val="0"/>
          <w:szCs w:val="32"/>
        </w:rPr>
        <w:t>违反本法规定，未经县级以上地方人民政府卫生健康主管部门指定擅自从事免疫规划疫苗接种工作、从事非免疫规划疫苗接种工作不符合条件或者未备案的，由县级以上人民政府卫生健康主管部门责令改正，给予警告，没收违法所得和违法持有的疫苗，责令停业整顿，并处十万元以上一百万元以下的罚款，对主要负责人、直接负责的主管人员和其他直接责任人员依法给予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违反本法规定，疾病预防控制机构、接种单位以外的单位或者个人擅自进行群体性预防接种的，由县级以上人民政府卫生健康主管部门责令改正，没收违法所得和违法持有的疫苗，并处违法持有的疫苗货值金额十倍以上三十倍以下的罚款，货值金额不足五万元的，按五万元计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第九十二条</w:t>
      </w:r>
      <w:r>
        <w:rPr>
          <w:rFonts w:hint="eastAsia" w:ascii="宋体" w:hAnsi="宋体" w:cs="Arial"/>
          <w:kern w:val="0"/>
          <w:szCs w:val="32"/>
        </w:rPr>
        <w:t>　监护人未依法保证适龄儿童按时接种免疫规划疫苗的，由县级人民政府卫生健康主管部门批评教育，责令改正。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托幼机构、学校在儿童入托、入学时未按照规定查验预防接种证，或者发现未按照规定接种的儿童后未向接种单位报告的，由县级以上地方人民政府教育行政部门责令改正，给予警告，对主要负责人、直接负责的主管人员和其他直接责任人员依法给予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第九十三条</w:t>
      </w:r>
      <w:r>
        <w:rPr>
          <w:rFonts w:hint="eastAsia" w:ascii="宋体" w:hAnsi="宋体" w:cs="Arial"/>
          <w:kern w:val="0"/>
          <w:szCs w:val="32"/>
        </w:rPr>
        <w:t>　编造、散布虚假疫苗安全信息，或者在接种单位寻衅滋事，构成违反治安管理行为的，由公安机关依法给予治安管理处罚。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报纸、期刊、广播、电视、互联网站等传播媒介编造、散布虚假疫苗安全信息的，由有关部门依法给予处罚，对主要负责人、直接负责的主管人员和其他直接责任人员依法给予处分。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第九十四条</w:t>
      </w:r>
      <w:r>
        <w:rPr>
          <w:rFonts w:hint="eastAsia" w:ascii="宋体" w:hAnsi="宋体" w:cs="Arial"/>
          <w:kern w:val="0"/>
          <w:szCs w:val="32"/>
        </w:rPr>
        <w:t>　县级以上地方人民政府在疫苗监督管理工作中有下列情形之一的，对直接负责的主管人员和其他直接责任人员依法给予降级或者撤职处分;情节严重的，依法给予开除处分;造成严重后果的，其主要负责人应当引咎辞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(一)履行职责不力，造成严重不良影响或者重大损失;</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(二)瞒报、谎报、缓报、漏报疫苗安全事件;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(三)干扰、阻碍对疫苗违法行为或者疫苗安全事件的调查;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(四)本行政区域发生特别重大疫苗安全事故，或者连续发生重大疫苗安全事故。</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第九十五条</w:t>
      </w:r>
      <w:r>
        <w:rPr>
          <w:rFonts w:hint="eastAsia" w:ascii="宋体" w:hAnsi="宋体" w:cs="Arial"/>
          <w:kern w:val="0"/>
          <w:szCs w:val="32"/>
        </w:rPr>
        <w:t>　药品监督管理部门、卫生健康主管部门等部门在疫苗监督管理工作中有下列情形之一的，对直接负责的主管人员和其他直接责任人员依法给予降级或者撤职处分;情节严重的，依法给予开除处分;造成严重后果的，其主要负责人应当引咎辞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(一)未履行监督检查职责，或者发现违法行为不及时查处;</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(二)擅自进行群体性预防接种;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(三)瞒报、谎报、缓报、漏报疫苗安全事件;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(四)干扰、阻碍对疫苗违法行为或者疫苗安全事件的调查;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(五)泄露举报人的信息;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(六)接到疑似预防接种异常反应相关报告，未按照规定组织调查、处理;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(七)其他未履行疫苗监督管理职责的行为，造成严重不良影响或者重大损失。</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rPr>
        <w:t>　　第九十六条</w:t>
      </w:r>
      <w:r>
        <w:rPr>
          <w:rFonts w:hint="eastAsia" w:ascii="宋体" w:hAnsi="宋体" w:cs="Arial"/>
          <w:kern w:val="0"/>
          <w:szCs w:val="32"/>
        </w:rPr>
        <w:t>　因疫苗质量问题造成受种者损害的，疫苗上市许可持有人应当依法承担赔偿责任。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疾病预防控制机构、接种单位因违反预防接种工作规范、免疫程序、疫苗使用指导原则、接种方案，造成受种者损害的，应当依法承担赔偿责任。</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第十一章　附则</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第九十七条</w:t>
      </w:r>
      <w:r>
        <w:rPr>
          <w:rFonts w:hint="eastAsia" w:ascii="宋体" w:hAnsi="宋体" w:cs="Arial"/>
          <w:kern w:val="0"/>
          <w:szCs w:val="32"/>
        </w:rPr>
        <w:t>　本法下列用语的含义是：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免疫规划疫苗，是指居民应当按照政府的规定接种的疫苗，包括国家免疫规划确定的疫苗，省、自治区、直辖市人民政府在执行国家免疫规划时增加的疫苗，以及县级以上人民政府或者其卫生健康主管部门组织的应急接种或者群体性预防接种所使用的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非免疫规划疫苗，是指由居民自愿接种的其他疫苗。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疫苗上市许可持有人，是指依法取得疫苗药品注册证书和药品生产许可证的企业。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第九十八条</w:t>
      </w:r>
      <w:r>
        <w:rPr>
          <w:rFonts w:hint="eastAsia" w:ascii="宋体" w:hAnsi="宋体" w:cs="Arial"/>
          <w:kern w:val="0"/>
          <w:szCs w:val="32"/>
        </w:rPr>
        <w:t>　国家鼓励疫苗生产企业按照国际采购要求生产、出口疫苗。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出口的疫苗应当符合进口国(地区)的标准或者合同要求。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第九十九条</w:t>
      </w:r>
      <w:r>
        <w:rPr>
          <w:rFonts w:hint="eastAsia" w:ascii="宋体" w:hAnsi="宋体" w:cs="Arial"/>
          <w:kern w:val="0"/>
          <w:szCs w:val="32"/>
        </w:rPr>
        <w:t>　出入境预防接种及所需疫苗的采购，由国境卫生检疫机关商国务院财政部门另行规定。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第一百条</w:t>
      </w:r>
      <w:r>
        <w:rPr>
          <w:rFonts w:hint="eastAsia" w:ascii="宋体" w:hAnsi="宋体" w:cs="Arial"/>
          <w:kern w:val="0"/>
          <w:szCs w:val="32"/>
        </w:rPr>
        <w:t>　本法自2019年12月1日起施行。</w:t>
      </w:r>
    </w:p>
    <w:p>
      <w:pPr>
        <w:rPr>
          <w:rFonts w:hint="eastAsia" w:ascii="宋体" w:hAnsi="宋体" w:eastAsia="宋体" w:cs="宋体"/>
          <w:kern w:val="0"/>
          <w:sz w:val="44"/>
          <w:szCs w:val="44"/>
          <w:lang w:val="en-US" w:eastAsia="zh-CN"/>
        </w:rPr>
      </w:pPr>
      <w:r>
        <w:rPr>
          <w:rFonts w:hint="eastAsia" w:ascii="宋体" w:hAnsi="宋体" w:eastAsia="宋体" w:cs="宋体"/>
          <w:kern w:val="0"/>
          <w:sz w:val="44"/>
          <w:szCs w:val="44"/>
          <w:lang w:val="en-US" w:eastAsia="zh-CN"/>
        </w:rPr>
        <w:br w:type="page"/>
      </w:r>
    </w:p>
    <w:p>
      <w:pPr>
        <w:pStyle w:val="4"/>
        <w:widowControl/>
        <w:shd w:val="clear" w:color="050000" w:fill="FFFFFF"/>
        <w:spacing w:before="0" w:beforeAutospacing="0" w:after="0" w:afterAutospacing="0" w:line="480" w:lineRule="atLeast"/>
        <w:ind w:left="0" w:right="0" w:firstLine="0"/>
        <w:jc w:val="center"/>
        <w:rPr>
          <w:rFonts w:hint="eastAsia" w:ascii="宋体" w:hAnsi="宋体" w:eastAsia="宋体" w:cs="宋体"/>
          <w:b w:val="0"/>
          <w:bCs w:val="0"/>
          <w:kern w:val="0"/>
          <w:sz w:val="44"/>
          <w:szCs w:val="44"/>
          <w:lang w:val="en-US" w:eastAsia="zh-CN" w:bidi="ar-SA"/>
        </w:rPr>
      </w:pPr>
      <w:bookmarkStart w:id="170" w:name="_Toc23661"/>
      <w:r>
        <w:rPr>
          <w:rFonts w:hint="eastAsia" w:ascii="宋体" w:hAnsi="宋体" w:eastAsia="宋体" w:cs="宋体"/>
          <w:b w:val="0"/>
          <w:bCs w:val="0"/>
          <w:kern w:val="0"/>
          <w:sz w:val="44"/>
          <w:szCs w:val="44"/>
          <w:lang w:val="en-US" w:eastAsia="zh-CN" w:bidi="ar-SA"/>
        </w:rPr>
        <w:t>中华人民共和国中医药法</w:t>
      </w:r>
      <w:bookmarkEnd w:id="170"/>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楷体_GB2312"/>
          <w:kern w:val="0"/>
          <w:szCs w:val="32"/>
        </w:rPr>
      </w:pPr>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（2016年12月25日第十二届全国人民代表大会常务委员会第二十五次会议通过）</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lang w:val="en-US" w:eastAsia="zh-CN"/>
        </w:rPr>
      </w:pPr>
    </w:p>
    <w:p>
      <w:pPr>
        <w:widowControl w:val="0"/>
        <w:wordWrap/>
        <w:overflowPunct w:val="0"/>
        <w:spacing w:beforeAutospacing="0" w:afterAutospacing="0" w:line="560" w:lineRule="exact"/>
        <w:jc w:val="center"/>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目 录</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第一章 总则</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第二章 中医药服务</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第三章 中药保护与发展</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第四章 中医药人才培养</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第五章 中医药科学研究</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第六章 中医药传承与文化传播</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第七章 保障措施</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第八章 法律责任</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第九章 附则</w:t>
      </w:r>
    </w:p>
    <w:p>
      <w:pPr>
        <w:widowControl w:val="0"/>
        <w:wordWrap/>
        <w:overflowPunct w:val="0"/>
        <w:spacing w:beforeAutospacing="0" w:afterAutospacing="0" w:line="560" w:lineRule="exact"/>
        <w:textAlignment w:val="auto"/>
        <w:rPr>
          <w:rFonts w:hint="eastAsia" w:ascii="宋体" w:hAnsi="宋体" w:cs="Arial"/>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第一章  总 则</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第一条  </w:t>
      </w:r>
      <w:r>
        <w:rPr>
          <w:rFonts w:hint="eastAsia" w:ascii="宋体" w:hAnsi="宋体" w:cs="Arial"/>
          <w:kern w:val="0"/>
          <w:szCs w:val="32"/>
          <w:lang w:val="en-US" w:eastAsia="zh-CN"/>
        </w:rPr>
        <w:t>为了继承和弘扬中医药，保障和促进中医药事业发展，保护人民健康，制定本法。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第二条</w:t>
      </w:r>
      <w:r>
        <w:rPr>
          <w:rFonts w:hint="eastAsia" w:ascii="宋体" w:hAnsi="宋体" w:cs="Arial"/>
          <w:kern w:val="0"/>
          <w:szCs w:val="32"/>
          <w:lang w:val="en-US" w:eastAsia="zh-CN"/>
        </w:rPr>
        <w:t> 本法所称中医药，是包括汉族和少数民族医药在内的我国各民族医药的统称，是反映中华民族对生命、健康和疾病的认识，具有悠久历史传统和独特理论及技术方法的医药学体系。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第三条</w:t>
      </w:r>
      <w:r>
        <w:rPr>
          <w:rFonts w:hint="eastAsia" w:ascii="宋体" w:hAnsi="宋体" w:cs="Arial"/>
          <w:kern w:val="0"/>
          <w:szCs w:val="32"/>
          <w:lang w:val="en-US" w:eastAsia="zh-CN"/>
        </w:rPr>
        <w:t> 中医药事业是我国医药卫生事业的重要组成部分。国家大力发展中医药事业，实行中西医并重的方针，建立符合中医药特点的管理制度，充分发挥中医药在我国医药卫生事业中的作用。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发展中医药事业应当遵循中医药发展规律，坚持继承和创新相结合，保持和发挥中医药特色和优势，运用现代科学技术，促进中医药理论和实践的发展。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国家鼓励中医西医相互学习，相互补充，协调发展，发挥各自优势，促进中西医结合。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第四条</w:t>
      </w:r>
      <w:r>
        <w:rPr>
          <w:rFonts w:hint="eastAsia" w:ascii="宋体" w:hAnsi="宋体" w:cs="Arial"/>
          <w:kern w:val="0"/>
          <w:szCs w:val="32"/>
          <w:lang w:val="en-US" w:eastAsia="zh-CN"/>
        </w:rPr>
        <w:t> 县级以上人民政府应当将中医药事业纳入国民经济和社会发展规划，建立健全中医药管理体系，统筹推进中医药事业发展。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第五条</w:t>
      </w:r>
      <w:r>
        <w:rPr>
          <w:rFonts w:hint="eastAsia" w:ascii="宋体" w:hAnsi="宋体" w:cs="Arial"/>
          <w:kern w:val="0"/>
          <w:szCs w:val="32"/>
          <w:lang w:val="en-US" w:eastAsia="zh-CN"/>
        </w:rPr>
        <w:t> 国务院中医药主管部门负责全国的中医药管理工作。国务院其他有关部门在各自职责范围内负责与中医药管理有关的工作。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县级以上地方人民政府中医药主管部门负责本行政区域的中医药管理工作。县级以上地方人民政府其他有关部门在各自职责范围内负责与中医药管理有关的工作。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第六条</w:t>
      </w:r>
      <w:r>
        <w:rPr>
          <w:rFonts w:hint="eastAsia" w:ascii="宋体" w:hAnsi="宋体" w:cs="Arial"/>
          <w:kern w:val="0"/>
          <w:szCs w:val="32"/>
          <w:lang w:val="en-US" w:eastAsia="zh-CN"/>
        </w:rPr>
        <w:t> 国家加强中医药服务体系建设，合理规划和配置中医药服务资源，为公民获得中医药服务提供保障。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国家支持社会力量投资中医药事业，支持组织和个人捐赠、资助中医药事业。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第七条</w:t>
      </w:r>
      <w:r>
        <w:rPr>
          <w:rFonts w:hint="eastAsia" w:ascii="宋体" w:hAnsi="宋体" w:cs="Arial"/>
          <w:kern w:val="0"/>
          <w:szCs w:val="32"/>
          <w:lang w:val="en-US" w:eastAsia="zh-CN"/>
        </w:rPr>
        <w:t> 国家发展中医药教育，建立适应中医药事业发展需要、规模适宜、结构合理、形式多样的中医药教育体系，培养中医药人才。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第八条</w:t>
      </w:r>
      <w:r>
        <w:rPr>
          <w:rFonts w:hint="eastAsia" w:ascii="宋体" w:hAnsi="宋体" w:cs="Arial"/>
          <w:kern w:val="0"/>
          <w:szCs w:val="32"/>
          <w:lang w:val="en-US" w:eastAsia="zh-CN"/>
        </w:rPr>
        <w:t> 国家支持中医药科学研究和技术开发，鼓励中医药科学技术创新，推广应用中医药科学技术成果，保护中医药知识产权，提高中医药科学技术水平。</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第九条</w:t>
      </w:r>
      <w:r>
        <w:rPr>
          <w:rFonts w:hint="eastAsia" w:ascii="宋体" w:hAnsi="宋体" w:cs="Arial"/>
          <w:kern w:val="0"/>
          <w:szCs w:val="32"/>
          <w:lang w:val="en-US" w:eastAsia="zh-CN"/>
        </w:rPr>
        <w:t> 国家支持中医药对外交流与合作，促进中医药的国际传播和应用。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第十条</w:t>
      </w:r>
      <w:r>
        <w:rPr>
          <w:rFonts w:hint="eastAsia" w:ascii="宋体" w:hAnsi="宋体" w:cs="Arial"/>
          <w:kern w:val="0"/>
          <w:szCs w:val="32"/>
          <w:lang w:val="en-US" w:eastAsia="zh-CN"/>
        </w:rPr>
        <w:t> 对在中医药事业中做出突出贡献的组织和个人，按照国家有关规定给予表彰、奖励。</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第二章  中医药服务</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第十一条</w:t>
      </w:r>
      <w:r>
        <w:rPr>
          <w:rFonts w:hint="eastAsia" w:ascii="宋体" w:hAnsi="宋体" w:cs="Arial"/>
          <w:kern w:val="0"/>
          <w:szCs w:val="32"/>
          <w:lang w:val="en-US" w:eastAsia="zh-CN"/>
        </w:rPr>
        <w:t> 县级以上人民政府应当将中医医疗机构建设纳入医疗机构设置规划，举办规模适宜的中医医疗机构，扶持有中医药特色和优势的医疗机构发展。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合并、撤销政府举办的中医医疗机构或者改变其中医医疗性质，应当征求上一级人民政府中医药主管部门的意见。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第十二条</w:t>
      </w:r>
      <w:r>
        <w:rPr>
          <w:rFonts w:hint="eastAsia" w:ascii="宋体" w:hAnsi="宋体" w:cs="Arial"/>
          <w:kern w:val="0"/>
          <w:szCs w:val="32"/>
          <w:lang w:val="en-US" w:eastAsia="zh-CN"/>
        </w:rPr>
        <w:t> 政府举办的综合医院、妇幼保健机构和有条件的专科医院、社区卫生服务中心、乡镇卫生院，应当设置中医药科室。</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县级以上人民政府应当采取措施，增强社区卫生服务站和村卫生室提供中医药服务的能力。</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第十三条</w:t>
      </w:r>
      <w:r>
        <w:rPr>
          <w:rFonts w:hint="eastAsia" w:ascii="宋体" w:hAnsi="宋体" w:cs="Arial"/>
          <w:kern w:val="0"/>
          <w:szCs w:val="32"/>
          <w:lang w:val="en-US" w:eastAsia="zh-CN"/>
        </w:rPr>
        <w:t> 国家支持社会力量举办中医医疗机构。</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社会力量举办的中医医疗机构在准入、执业、基本医疗保险、科研教学、医务人员职称评定等方面享有与政府举办的中医医疗机构同等的权利。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第十四条</w:t>
      </w:r>
      <w:r>
        <w:rPr>
          <w:rFonts w:hint="eastAsia" w:ascii="宋体" w:hAnsi="宋体" w:cs="Arial"/>
          <w:kern w:val="0"/>
          <w:szCs w:val="32"/>
          <w:lang w:val="en-US" w:eastAsia="zh-CN"/>
        </w:rPr>
        <w:t> 举办中医医疗机构应当按照国家有关医疗机构管理的规定办理审批手续，并遵守医疗机构管理的有关规定。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举办中医诊所的，将诊所的名称、地址、诊疗范围、人员配备情况等报所在地县级人民政府中医药主管部门备案后即可开展执业活动。中医诊所应当将本诊所的诊疗范围、中医医师的姓名及其执业范围在诊所的明显位置公示，不得超出备案范围开展医疗活动。具体办法由国务院中医药主管部门拟订，报国务院卫生行政部门审核、发布。</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第十五条</w:t>
      </w:r>
      <w:r>
        <w:rPr>
          <w:rFonts w:hint="eastAsia" w:ascii="宋体" w:hAnsi="宋体" w:cs="Arial"/>
          <w:kern w:val="0"/>
          <w:szCs w:val="32"/>
          <w:lang w:val="en-US" w:eastAsia="zh-CN"/>
        </w:rPr>
        <w:t> 从事中医医疗活动的人员应当依照《中华人民共和国执业医师法》的规定，通过中医医师资格考试取得中医医师资格，并进行执业注册。中医医师资格考试的内容应当体现中医药特点。</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以师承方式学习中医或者经多年实践，医术确有专长的人员，由至少两名中医医师推荐，经省、自治区、直辖市人民政府中医药主管部门组织实践技能和效果考核合格后，即可取得中医医师资格；按照考核内容进行执业注册后，即可在注册的执业范围内，以个人开业的方式或者在医疗机构内从事中医医疗活动。国务院中医药主管部门应当根据中医药技术方法的安全风险拟订本款规定人员的分类考核办法，报国务院卫生行政部门审核、发布。</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第十六条</w:t>
      </w:r>
      <w:r>
        <w:rPr>
          <w:rFonts w:hint="eastAsia" w:ascii="宋体" w:hAnsi="宋体" w:cs="Arial"/>
          <w:kern w:val="0"/>
          <w:szCs w:val="32"/>
          <w:lang w:val="en-US" w:eastAsia="zh-CN"/>
        </w:rPr>
        <w:t> 中医医疗机构配备医务人员应当以中医药专业技术人员为主，主要提供中医药服务；经考试取得医师资格的中医医师按照国家有关规定，经培训、考核合格后，可以在执业活动中采用与其专业相关的现代科学技术方法。在医疗活动中采用现代科学技术方法的，应当有利于保持和发挥中医药特色和优势。</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社区卫生服务中心、乡镇卫生院、社区卫生服务站以及有条件的村卫生室应当合理配备中医药专业技术人员，并运用和推广适宜的中医药技术方法。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第十七条</w:t>
      </w:r>
      <w:r>
        <w:rPr>
          <w:rFonts w:hint="eastAsia" w:ascii="宋体" w:hAnsi="宋体" w:cs="Arial"/>
          <w:kern w:val="0"/>
          <w:szCs w:val="32"/>
          <w:lang w:val="en-US" w:eastAsia="zh-CN"/>
        </w:rPr>
        <w:t> 开展中医药服务，应当以中医药理论为指导，运用中医药技术方法，并符合国务院中医药主管部门制定的中医药服务基本要求。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第十八条</w:t>
      </w:r>
      <w:r>
        <w:rPr>
          <w:rFonts w:hint="eastAsia" w:ascii="宋体" w:hAnsi="宋体" w:cs="Arial"/>
          <w:kern w:val="0"/>
          <w:szCs w:val="32"/>
          <w:lang w:val="en-US" w:eastAsia="zh-CN"/>
        </w:rPr>
        <w:t> 县级以上人民政府应当发展中医药预防、保健服务，并按照国家有关规定将其纳入基本公共卫生服务项目统筹实施。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县级以上人民政府应当发挥中医药在突发公共卫生事件应急工作中的作用，加强中医药应急物资、设备、设施、技术与人才资源储备。</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医疗卫生机构应当在疾病预防与控制中积极运用中医药理论和技术方法。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第十九条</w:t>
      </w:r>
      <w:r>
        <w:rPr>
          <w:rFonts w:hint="eastAsia" w:ascii="宋体" w:hAnsi="宋体" w:cs="Arial"/>
          <w:kern w:val="0"/>
          <w:szCs w:val="32"/>
          <w:lang w:val="en-US" w:eastAsia="zh-CN"/>
        </w:rPr>
        <w:t> 医疗机构发布中医医疗广告，应当经所在地省、自治区、直辖市人民政府中医药主管部门审查批准；未经审查批准，不得发布。发布的中医医疗广告内容应当与经审查批准的内容相符合，并符合《中华人民共和国广告法》的有关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第二十条</w:t>
      </w:r>
      <w:r>
        <w:rPr>
          <w:rFonts w:hint="eastAsia" w:ascii="宋体" w:hAnsi="宋体" w:cs="Arial"/>
          <w:kern w:val="0"/>
          <w:szCs w:val="32"/>
          <w:lang w:val="en-US" w:eastAsia="zh-CN"/>
        </w:rPr>
        <w:t> 县级以上人民政府中医药主管部门应当加强对中医药服务的监督检查，并将下列事项作为监督检查的重点：</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（一）中医医疗机构、中医医师是否超出规定的范围开展医疗活动；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（二）开展中医药服务是否符合国务院中医药主管部门制定的中医药服务基本要求；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（三）中医医疗广告发布行为是否符合本法的规定。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中医药主管部门依法开展监督检查，有关单位和个人应当予以配合，不得拒绝或者阻挠。</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第三章  中药保护与发展</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第二十一条</w:t>
      </w:r>
      <w:r>
        <w:rPr>
          <w:rFonts w:hint="eastAsia" w:ascii="宋体" w:hAnsi="宋体" w:cs="Arial"/>
          <w:kern w:val="0"/>
          <w:szCs w:val="32"/>
          <w:lang w:val="en-US" w:eastAsia="zh-CN"/>
        </w:rPr>
        <w:t> 国家制定中药材种植养殖、采集、贮存和初加工的技术规范、标准，加强对中药材生产流通全过程的质量监督管理，保障中药材质量安全。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第二十二条</w:t>
      </w:r>
      <w:r>
        <w:rPr>
          <w:rFonts w:hint="eastAsia" w:ascii="宋体" w:hAnsi="宋体" w:cs="Arial"/>
          <w:kern w:val="0"/>
          <w:szCs w:val="32"/>
          <w:lang w:val="en-US" w:eastAsia="zh-CN"/>
        </w:rPr>
        <w:t> 国家鼓励发展中药材规范化种植养殖，严格管理农药、肥料等农业投入品的使用，禁止在中药材种植过程中使用剧毒、高毒农药，支持中药材良种繁育，提高中药材质量。</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第二十三条</w:t>
      </w:r>
      <w:r>
        <w:rPr>
          <w:rFonts w:hint="eastAsia" w:ascii="宋体" w:hAnsi="宋体" w:cs="Arial"/>
          <w:kern w:val="0"/>
          <w:szCs w:val="32"/>
          <w:lang w:val="en-US" w:eastAsia="zh-CN"/>
        </w:rPr>
        <w:t> 国家建立道地中药材评价体系，支持道地中药材品种选育，扶持道地中药材生产基地建设，加强道地中药材生产基地生态环境保护，鼓励采取地理标志产品保护等措施保护道地中药材。</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前款所称道地中药材，是指经过中医临床长期应用优选出来的，产在特定地域，与其他地区所产同种中药材相比，品质和疗效更好，且质量稳定，具有较高知名度的中药材。</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第二十四条</w:t>
      </w:r>
      <w:r>
        <w:rPr>
          <w:rFonts w:hint="eastAsia" w:ascii="宋体" w:hAnsi="宋体" w:cs="Arial"/>
          <w:kern w:val="0"/>
          <w:szCs w:val="32"/>
          <w:lang w:val="en-US" w:eastAsia="zh-CN"/>
        </w:rPr>
        <w:t> 国务院药品监督管理部门应当组织并加强对中药材质量的监测，定期向社会公布监测结果。国务院有关部门应当协助做好中药材质量监测有关工作。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采集、贮存中药材以及对中药材进行初加工，应当符合国家有关技术规范、标准和管理规定。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鼓励发展中药材现代流通体系，提高中药材包装、仓储等技术水平，建立中药材流通追溯体系。药品生产企业购进中药材应当建立进货查验记录制度。中药材经营者应当建立进货查验和购销记录制度，并标明中药材产地。</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第二十五条</w:t>
      </w:r>
      <w:r>
        <w:rPr>
          <w:rFonts w:hint="eastAsia" w:ascii="宋体" w:hAnsi="宋体" w:cs="Arial"/>
          <w:kern w:val="0"/>
          <w:szCs w:val="32"/>
          <w:lang w:val="en-US" w:eastAsia="zh-CN"/>
        </w:rPr>
        <w:t> 国家保护药用野生动植物资源，对药用野生动植物资源实行动态监测和定期普查，建立药用野生动植物资源种质基因库，鼓励发展人工种植养殖，支持依法开展珍贵、濒危药用野生动植物的保护、繁育及其相关研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第二十六条</w:t>
      </w:r>
      <w:r>
        <w:rPr>
          <w:rFonts w:hint="eastAsia" w:ascii="宋体" w:hAnsi="宋体" w:cs="Arial"/>
          <w:kern w:val="0"/>
          <w:szCs w:val="32"/>
          <w:lang w:val="en-US" w:eastAsia="zh-CN"/>
        </w:rPr>
        <w:t> 在村医疗机构执业的中医医师、具备中药材知识和识别能力的乡村医生，按照国家有关规定可以自种、自采地产中药材并在其执业活动中使用。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第二十七条</w:t>
      </w:r>
      <w:r>
        <w:rPr>
          <w:rFonts w:hint="eastAsia" w:ascii="宋体" w:hAnsi="宋体" w:cs="Arial"/>
          <w:kern w:val="0"/>
          <w:szCs w:val="32"/>
          <w:lang w:val="en-US" w:eastAsia="zh-CN"/>
        </w:rPr>
        <w:t> 国家保护中药饮片传统炮制技术和工艺，支持应用传统工艺炮制中药饮片，鼓励运用现代科学技术开展中药饮片炮制技术研究。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第二十八条</w:t>
      </w:r>
      <w:r>
        <w:rPr>
          <w:rFonts w:hint="eastAsia" w:ascii="宋体" w:hAnsi="宋体" w:cs="Arial"/>
          <w:kern w:val="0"/>
          <w:szCs w:val="32"/>
          <w:lang w:val="en-US" w:eastAsia="zh-CN"/>
        </w:rPr>
        <w:t> 对市场上没有供应的中药饮片，医疗机构可以根据本医疗机构医师处方的需要，在本医疗机构内炮制、使用。医疗机构应当遵守中药饮片炮制的有关规定，对其炮制的中药饮片的质量负责，保证药品安全。医疗机构炮制中药饮片，应当向所在地设区的市级人民政府药品监督管理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根据临床用药需要，医疗机构可以凭本医疗机构医师的处方对中药饮片进行再加工。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第二十九条</w:t>
      </w:r>
      <w:r>
        <w:rPr>
          <w:rFonts w:hint="eastAsia" w:ascii="宋体" w:hAnsi="宋体" w:cs="Arial"/>
          <w:kern w:val="0"/>
          <w:szCs w:val="32"/>
          <w:lang w:val="en-US" w:eastAsia="zh-CN"/>
        </w:rPr>
        <w:t> 国家鼓励和支持中药新药的研制和生产。</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国家保护传统中药加工技术和工艺，支持传统剂型中成药的生产，鼓励运用现代科学技术研究开发传统中成药。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第三十条</w:t>
      </w:r>
      <w:r>
        <w:rPr>
          <w:rFonts w:hint="eastAsia" w:ascii="宋体" w:hAnsi="宋体" w:cs="Arial"/>
          <w:kern w:val="0"/>
          <w:szCs w:val="32"/>
          <w:lang w:val="en-US" w:eastAsia="zh-CN"/>
        </w:rPr>
        <w:t> 生产符合国家规定条件的来源于古代经典名方的中药复方制剂，在申请药品批准文号时，可以仅提供非临床安全性研究资料。具体管理办法由国务院药品监督管理部门会同中医药主管部门制定。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前款所称古代经典名方，是指至今仍广泛应用、疗效确切、具有明显特色与优势的古代中医典籍所记载的方剂。具体目录由国务院中医药主管部门会同药品监督管理部门制定。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第三十一条</w:t>
      </w:r>
      <w:r>
        <w:rPr>
          <w:rFonts w:hint="eastAsia" w:ascii="宋体" w:hAnsi="宋体" w:cs="Arial"/>
          <w:kern w:val="0"/>
          <w:szCs w:val="32"/>
          <w:lang w:val="en-US" w:eastAsia="zh-CN"/>
        </w:rPr>
        <w:t> 国家鼓励医疗机构根据本医疗机构临床用药需要配制和使用中药制剂，支持应用传统工艺配制中药制剂，支持以中药制剂为基础研制中药新药。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机构配制中药制剂，应当依照《中华人民共和国药品管理法》的规定取得医疗机构制剂许可证，或者委托取得药品生产许可证的药品生产企业、取得医疗机构制剂许可证的其他医疗机构配制中药制剂。委托配制中药制剂，应当向委托方所在地省、自治区、直辖市人民政府药品监督管理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医疗机构对其配制的中药制剂的质量负责；委托配制中药制剂的，委托方和受托方对所配制的中药制剂的质量分别承担相应责任。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第三十二条</w:t>
      </w:r>
      <w:r>
        <w:rPr>
          <w:rFonts w:hint="eastAsia" w:ascii="宋体" w:hAnsi="宋体" w:cs="Arial"/>
          <w:kern w:val="0"/>
          <w:szCs w:val="32"/>
          <w:lang w:val="en-US" w:eastAsia="zh-CN"/>
        </w:rPr>
        <w:t> 医疗机构配制的中药制剂品种，应当依法取得制剂批准文号。但是，仅应用传统工艺配制的中药制剂品种，向医疗机构所在地省、自治区、直辖市人民政府药品监督管理部门备案后即可配制，不需要取得制剂批准文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医疗机构应当加强对备案的中药制剂品种的不良反应监测，并按照国家有关规定进行报告。药品监督管理部门应当加强对备案的中药制剂品种配制、使用的监督检查。</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第四章  中医药人才培养</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第三十三条</w:t>
      </w:r>
      <w:r>
        <w:rPr>
          <w:rFonts w:hint="eastAsia" w:ascii="宋体" w:hAnsi="宋体" w:cs="Arial"/>
          <w:kern w:val="0"/>
          <w:szCs w:val="32"/>
          <w:lang w:val="en-US" w:eastAsia="zh-CN"/>
        </w:rPr>
        <w:t> 中医药教育应当遵循中医药人才成长规律，以中医药内容为主，体现中医药文化特色，注重中医药经典理论和中医药临床实践、现代教育方式和传统教育方式相结合。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第三十四条</w:t>
      </w:r>
      <w:r>
        <w:rPr>
          <w:rFonts w:hint="eastAsia" w:ascii="宋体" w:hAnsi="宋体" w:cs="Arial"/>
          <w:kern w:val="0"/>
          <w:szCs w:val="32"/>
          <w:lang w:val="en-US" w:eastAsia="zh-CN"/>
        </w:rPr>
        <w:t> 国家完善中医药学校教育体系，支持专门实施中医药教育的高等学校、中等职业学校和其他教育机构的发展。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中医药学校教育的培养目标、修业年限、教学形式、教学内容、教学评价及学术水平评价标准等，应当体现中医药学科特色，符合中医药学科发展规律。</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第三十五条</w:t>
      </w:r>
      <w:r>
        <w:rPr>
          <w:rFonts w:hint="eastAsia" w:ascii="宋体" w:hAnsi="宋体" w:cs="Arial"/>
          <w:kern w:val="0"/>
          <w:szCs w:val="32"/>
          <w:lang w:val="en-US" w:eastAsia="zh-CN"/>
        </w:rPr>
        <w:t> 国家发展中医药师承教育，支持有丰富临床经验和技术专长的中医医师、中药专业技术人员在执业、业务活动中带徒授业，传授中医药理论和技术方法，培养中医药专业技术人员。</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第三十六条</w:t>
      </w:r>
      <w:r>
        <w:rPr>
          <w:rFonts w:hint="eastAsia" w:ascii="宋体" w:hAnsi="宋体" w:cs="Arial"/>
          <w:kern w:val="0"/>
          <w:szCs w:val="32"/>
          <w:lang w:val="en-US" w:eastAsia="zh-CN"/>
        </w:rPr>
        <w:t> 国家加强对中医医师和城乡基层中医药专业技术人员的培养和培训。</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国家发展中西医结合教育，培养高层次的中西医结合人才。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第三十七条</w:t>
      </w:r>
      <w:r>
        <w:rPr>
          <w:rFonts w:hint="eastAsia" w:ascii="宋体" w:hAnsi="宋体" w:cs="Arial"/>
          <w:kern w:val="0"/>
          <w:szCs w:val="32"/>
          <w:lang w:val="en-US" w:eastAsia="zh-CN"/>
        </w:rPr>
        <w:t> 县级以上地方人民政府中医药主管部门应当组织开展中医药继续教育，加强对医务人员，特别是城乡基层医务人员中医药基本知识和技能的培训。</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中医药专业技术人员应当按照规定参加继续教育，所在机构应当为其接受继续教育创造条件。</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第五章  中医药科学研究</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第三十八条</w:t>
      </w:r>
      <w:r>
        <w:rPr>
          <w:rFonts w:hint="eastAsia" w:ascii="宋体" w:hAnsi="宋体" w:cs="Arial"/>
          <w:kern w:val="0"/>
          <w:szCs w:val="32"/>
          <w:lang w:val="en-US" w:eastAsia="zh-CN"/>
        </w:rPr>
        <w:t> 国家鼓励科研机构、高等学校、医疗机构和药品生产企业等，运用现代科学技术和传统中医药研究方法，开展中医药科学研究，加强中西医结合研究，促进中医药理论和技术方法的继承和创新。</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第三十九条</w:t>
      </w:r>
      <w:r>
        <w:rPr>
          <w:rFonts w:hint="eastAsia" w:ascii="宋体" w:hAnsi="宋体" w:cs="Arial"/>
          <w:kern w:val="0"/>
          <w:szCs w:val="32"/>
          <w:lang w:val="en-US" w:eastAsia="zh-CN"/>
        </w:rPr>
        <w:t> 国家采取措施支持对中医药古籍文献、著名中医药专家的学术思想和诊疗经验以及民间中医药技术方法的整理、研究和利用。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国家鼓励组织和个人捐献有科学研究和临床应用价值的中医药文献、秘方、验方、诊疗方法和技术。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第四十条</w:t>
      </w:r>
      <w:r>
        <w:rPr>
          <w:rFonts w:hint="eastAsia" w:ascii="宋体" w:hAnsi="宋体" w:cs="Arial"/>
          <w:kern w:val="0"/>
          <w:szCs w:val="32"/>
          <w:lang w:val="en-US" w:eastAsia="zh-CN"/>
        </w:rPr>
        <w:t> 国家建立和完善符合中医药特点的科学技术创新体系、评价体系和管理体制，推动中医药科学技术进步与创新。</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第四十一条</w:t>
      </w:r>
      <w:r>
        <w:rPr>
          <w:rFonts w:hint="eastAsia" w:ascii="宋体" w:hAnsi="宋体" w:cs="Arial"/>
          <w:kern w:val="0"/>
          <w:szCs w:val="32"/>
          <w:lang w:val="en-US" w:eastAsia="zh-CN"/>
        </w:rPr>
        <w:t> 国家采取措施，加强对中医药基础理论和辨证论治方法，常见病、多发病、慢性病和重大疑难疾病、重大传染病的中医药防治，以及其他对中医药理论和实践发展有重大促进作用的项目的科学研究。</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第六章  中医药传承与文化传播</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第四十二条</w:t>
      </w:r>
      <w:r>
        <w:rPr>
          <w:rFonts w:hint="eastAsia" w:ascii="宋体" w:hAnsi="宋体" w:cs="Arial"/>
          <w:kern w:val="0"/>
          <w:szCs w:val="32"/>
          <w:lang w:val="en-US" w:eastAsia="zh-CN"/>
        </w:rPr>
        <w:t> 对具有重要学术价值的中医药理论和技术方法，省级以上人民政府中医药主管部门应当组织遴选本行政区域内的中医药学术传承项目和传承人，并为传承活动提供必要的条件。传承人应当开展传承活动，培养后继人才，收集整理并妥善保存相关的学术资料。属于非物质文化遗产代表性项目的，依照《中华人民共和国非物质文化遗产法》的有关规定开展传承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第四十三条</w:t>
      </w:r>
      <w:r>
        <w:rPr>
          <w:rFonts w:hint="eastAsia" w:ascii="宋体" w:hAnsi="宋体" w:cs="Arial"/>
          <w:kern w:val="0"/>
          <w:szCs w:val="32"/>
          <w:lang w:val="en-US" w:eastAsia="zh-CN"/>
        </w:rPr>
        <w:t> 国家建立中医药传统知识保护数据库、保护名录和保护制度。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中医药传统知识持有人对其持有的中医药传统知识享有传承使用的权利，对他人获取、利用其持有的中医药传统知识享有知情同意和利益分享等权利。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国家对经依法认定属于国家秘密的传统中药处方组成和生产工艺实行特殊保护。</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第四十四条</w:t>
      </w:r>
      <w:r>
        <w:rPr>
          <w:rFonts w:hint="eastAsia" w:ascii="宋体" w:hAnsi="宋体" w:cs="Arial"/>
          <w:kern w:val="0"/>
          <w:szCs w:val="32"/>
          <w:lang w:val="en-US" w:eastAsia="zh-CN"/>
        </w:rPr>
        <w:t> 国家发展中医养生保健服务，支持社会力量举办规范的中医养生保健机构。中医养生保健服务规范、标准由国务院中医药主管部门制定。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第四十五条</w:t>
      </w:r>
      <w:r>
        <w:rPr>
          <w:rFonts w:hint="eastAsia" w:ascii="宋体" w:hAnsi="宋体" w:cs="Arial"/>
          <w:kern w:val="0"/>
          <w:szCs w:val="32"/>
          <w:lang w:val="en-US" w:eastAsia="zh-CN"/>
        </w:rPr>
        <w:t> 县级以上人民政府应当加强中医药文化宣传，普及中医药知识，鼓励组织和个人创作中医药文化和科普作品。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lang w:val="en-US" w:eastAsia="zh-CN"/>
        </w:rPr>
        <w:t>　　第四十六条</w:t>
      </w:r>
      <w:r>
        <w:rPr>
          <w:rFonts w:hint="eastAsia" w:ascii="宋体" w:hAnsi="宋体" w:cs="Arial"/>
          <w:kern w:val="0"/>
          <w:szCs w:val="32"/>
          <w:lang w:val="en-US" w:eastAsia="zh-CN"/>
        </w:rPr>
        <w:t> 开展中医药文化宣传和知识普及活动，应当遵守国家有关规定。任何组织或者个人不得对中医药作虚假、夸大宣传，不得冒用中医药名义牟取不正当利益。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广播、电视、报刊、互联网等媒体开展中医药知识宣传，应当聘请中医药专业技术人员进行。</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numPr>
          <w:ilvl w:val="0"/>
          <w:numId w:val="5"/>
        </w:numPr>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 保障措施</w:t>
      </w:r>
    </w:p>
    <w:p>
      <w:pPr>
        <w:pStyle w:val="3"/>
        <w:numPr>
          <w:ilvl w:val="0"/>
          <w:numId w:val="5"/>
        </w:numPr>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第四十七条</w:t>
      </w:r>
      <w:r>
        <w:rPr>
          <w:rFonts w:hint="eastAsia" w:ascii="宋体" w:hAnsi="宋体" w:cs="Arial"/>
          <w:kern w:val="0"/>
          <w:szCs w:val="32"/>
          <w:lang w:val="en-US" w:eastAsia="zh-CN"/>
        </w:rPr>
        <w:t> 县级以上人民政府应当为中医药事业发展提供政策支持和条件保障，将中医药事业发展经费纳入本级财政预算。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县级以上人民政府及其有关部门制定基本医疗保险支付政策、药物政策等医药卫生政策，应当有中医药主管部门参加，注重发挥中医药的优势，支持提供和利用中医药服务。</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第四十八条</w:t>
      </w:r>
      <w:r>
        <w:rPr>
          <w:rFonts w:hint="eastAsia" w:ascii="宋体" w:hAnsi="宋体" w:cs="Arial"/>
          <w:kern w:val="0"/>
          <w:szCs w:val="32"/>
          <w:lang w:val="en-US" w:eastAsia="zh-CN"/>
        </w:rPr>
        <w:t> 县级以上人民政府及其有关部门应当按照法定价格管理权限，合理确定中医医疗服务的收费项目和标准，体现中医医疗服务成本和专业技术价值。</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lang w:val="en-US" w:eastAsia="zh-CN"/>
        </w:rPr>
        <w:t>　　第四十九条</w:t>
      </w:r>
      <w:r>
        <w:rPr>
          <w:rFonts w:hint="eastAsia" w:ascii="宋体" w:hAnsi="宋体" w:cs="Arial"/>
          <w:kern w:val="0"/>
          <w:szCs w:val="32"/>
          <w:lang w:val="en-US" w:eastAsia="zh-CN"/>
        </w:rPr>
        <w:t> 县级以上地方人民政府有关部门应当按照国家规定，将符合条件的中医医疗机构纳入基本医疗保险定点医疗机构范围，将符合条件的中医诊疗项目、中药饮片、中成药和医疗机构中药制剂纳入基本医疗保险基金支付范围。</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第五十条</w:t>
      </w:r>
      <w:r>
        <w:rPr>
          <w:rFonts w:hint="eastAsia" w:ascii="宋体" w:hAnsi="宋体" w:cs="Arial"/>
          <w:kern w:val="0"/>
          <w:szCs w:val="32"/>
          <w:lang w:val="en-US" w:eastAsia="zh-CN"/>
        </w:rPr>
        <w:t> 国家加强中医药标准体系建设，根据中医药特点对需要统一的技术要求制定标准并及时修订。</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中医药国家标准、行业标准由国务院有关部门依据职责制定或者修订，并在其网站上公布，供公众免费查阅。</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国家推动建立中医药国际标准体系。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第五十一条</w:t>
      </w:r>
      <w:r>
        <w:rPr>
          <w:rFonts w:hint="eastAsia" w:ascii="宋体" w:hAnsi="宋体" w:cs="Arial"/>
          <w:kern w:val="0"/>
          <w:szCs w:val="32"/>
          <w:lang w:val="en-US" w:eastAsia="zh-CN"/>
        </w:rPr>
        <w:t> 开展法律、行政法规规定的与中医药有关的评审、评估、鉴定活动，应当成立中医药评审、评估、鉴定的专门组织，或者有中医药专家参加。</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第五十二条</w:t>
      </w:r>
      <w:r>
        <w:rPr>
          <w:rFonts w:hint="eastAsia" w:ascii="宋体" w:hAnsi="宋体" w:cs="Arial"/>
          <w:kern w:val="0"/>
          <w:szCs w:val="32"/>
          <w:lang w:val="en-US" w:eastAsia="zh-CN"/>
        </w:rPr>
        <w:t> 国家采取措施，加大对少数民族医药传承创新、应用发展和人才培养的扶持力度，加强少数民族医疗机构和医师队伍建设，促进和规范少数民族医药事业发展。</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第八章  法律责任</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第五十三条</w:t>
      </w:r>
      <w:r>
        <w:rPr>
          <w:rFonts w:hint="eastAsia" w:ascii="宋体" w:hAnsi="宋体" w:cs="Arial"/>
          <w:kern w:val="0"/>
          <w:szCs w:val="32"/>
          <w:lang w:val="en-US" w:eastAsia="zh-CN"/>
        </w:rPr>
        <w:t> 县级以上人民政府中医药主管部门及其他有关部门未履行本法规定的职责的，由本级人民政府或者上级人民政府有关部门责令改正；情节严重的，对直接负责的主管人员和其他直接责任人员，依法给予处分。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第五十四条</w:t>
      </w:r>
      <w:r>
        <w:rPr>
          <w:rFonts w:hint="eastAsia" w:ascii="宋体" w:hAnsi="宋体" w:cs="Arial"/>
          <w:kern w:val="0"/>
          <w:szCs w:val="32"/>
          <w:lang w:val="en-US" w:eastAsia="zh-CN"/>
        </w:rPr>
        <w:t> 违反本法规定，中医诊所超出备案范围开展医疗活动的，由所在地县级人民政府中医药主管部门责令改正，没收违法所得，并处一万元以上三万元以下罚款；情节严重的，责令停止执业活动。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诊所被责令停止执业活动的，其直接负责的主管人员自处罚决定作出之日起五年内不得在医疗机构内从事管理工作。医疗机构聘用上述不得从事管理工作的人员从事管理工作的，由原发证部门吊销执业许可证或者由原备案部门责令停止执业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第五十五条</w:t>
      </w:r>
      <w:r>
        <w:rPr>
          <w:rFonts w:hint="eastAsia" w:ascii="宋体" w:hAnsi="宋体" w:cs="Arial"/>
          <w:kern w:val="0"/>
          <w:szCs w:val="32"/>
          <w:lang w:val="en-US" w:eastAsia="zh-CN"/>
        </w:rPr>
        <w:t> 违反本法规定，经考核取得医师资格的中医医师超出注册的执业范围从事医疗活动的，由县级以上人民政府中医药主管部门责令暂停六个月以上一年以下执业活动，并处一万元以上三万元以下罚款；情节严重的，吊销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第五十六条</w:t>
      </w:r>
      <w:r>
        <w:rPr>
          <w:rFonts w:hint="eastAsia" w:ascii="宋体" w:hAnsi="宋体" w:cs="Arial"/>
          <w:kern w:val="0"/>
          <w:szCs w:val="32"/>
          <w:lang w:val="en-US" w:eastAsia="zh-CN"/>
        </w:rPr>
        <w:t> 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医疗机构应用传统工艺配制中药制剂未依照本法规定备案，或者未按照备案材料载明的要求配制中药制剂的，按生产假药给予处罚。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第五十七条</w:t>
      </w:r>
      <w:r>
        <w:rPr>
          <w:rFonts w:hint="eastAsia" w:ascii="宋体" w:hAnsi="宋体" w:cs="Arial"/>
          <w:kern w:val="0"/>
          <w:szCs w:val="32"/>
          <w:lang w:val="en-US" w:eastAsia="zh-CN"/>
        </w:rPr>
        <w:t> 违反本法规定，发布的中医医疗广告内容与经审查批准的内容不相符的，由原审查部门撤销该广告的审查批准文件，一年内不受理该医疗机构的广告审查申请。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违反本法规定，发布中医医疗广告有前款规定以外违法行为的，依照《中华人民共和国广告法》的规定给予处罚。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第五十八条</w:t>
      </w:r>
      <w:r>
        <w:rPr>
          <w:rFonts w:hint="eastAsia" w:ascii="宋体" w:hAnsi="宋体" w:cs="Arial"/>
          <w:kern w:val="0"/>
          <w:szCs w:val="32"/>
          <w:lang w:val="en-US" w:eastAsia="zh-CN"/>
        </w:rPr>
        <w:t> 违反本法规定，在中药材种植过程中使用剧毒、高毒农药的，依照有关法律、法规规定给予处罚；情节严重的，可以由公安机关对其直接负责的主管人员和其他直接责任人员处五日以上十五日以下拘留。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第五十九条</w:t>
      </w:r>
      <w:r>
        <w:rPr>
          <w:rFonts w:hint="eastAsia" w:ascii="宋体" w:hAnsi="宋体" w:cs="Arial"/>
          <w:kern w:val="0"/>
          <w:szCs w:val="32"/>
          <w:lang w:val="en-US" w:eastAsia="zh-CN"/>
        </w:rPr>
        <w:t> 违反本法规定，造成人身、财产损害的，依法承担民事责任；构成犯罪的，依法追究刑事责任。</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第九章  附 则</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第六十条</w:t>
      </w:r>
      <w:r>
        <w:rPr>
          <w:rFonts w:hint="eastAsia" w:ascii="宋体" w:hAnsi="宋体" w:cs="Arial"/>
          <w:kern w:val="0"/>
          <w:szCs w:val="32"/>
          <w:lang w:val="en-US" w:eastAsia="zh-CN"/>
        </w:rPr>
        <w:t> 中医药的管理，本法未作规定的，适用《中华人民共和国执业医师法》、《中华人民共和国药品管理法》等相关法律、行政法规的规定。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军队的中医药管理，由军队卫生主管部门依照本法和军队有关规定组织实施。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第六十一条</w:t>
      </w:r>
      <w:r>
        <w:rPr>
          <w:rFonts w:hint="eastAsia" w:ascii="宋体" w:hAnsi="宋体" w:cs="Arial"/>
          <w:kern w:val="0"/>
          <w:szCs w:val="32"/>
          <w:lang w:val="en-US" w:eastAsia="zh-CN"/>
        </w:rPr>
        <w:t> 民族自治地方可以根据《中华人民共和国民族区域自治法》和本法的有关规定，结合实际，制定促进和规范本地方少数民族医药事业发展的办法。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第六十二条</w:t>
      </w:r>
      <w:r>
        <w:rPr>
          <w:rFonts w:hint="eastAsia" w:ascii="宋体" w:hAnsi="宋体" w:cs="Arial"/>
          <w:kern w:val="0"/>
          <w:szCs w:val="32"/>
          <w:lang w:val="en-US" w:eastAsia="zh-CN"/>
        </w:rPr>
        <w:t> 盲人按照国家有关规定取得盲人医疗按摩人员资格的，可以以个人开业的方式或者在医疗机构内提供医疗按摩服务。</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第六十三条</w:t>
      </w:r>
      <w:r>
        <w:rPr>
          <w:rFonts w:hint="eastAsia" w:ascii="宋体" w:hAnsi="宋体" w:cs="Arial"/>
          <w:kern w:val="0"/>
          <w:szCs w:val="32"/>
          <w:lang w:val="en-US" w:eastAsia="zh-CN"/>
        </w:rPr>
        <w:t> 本法自2017年7月1日起施行。</w:t>
      </w:r>
    </w:p>
    <w:p>
      <w:pPr>
        <w:widowControl w:val="0"/>
        <w:wordWrap/>
        <w:overflowPunct w:val="0"/>
        <w:spacing w:beforeAutospacing="0" w:afterAutospacing="0" w:line="560" w:lineRule="exact"/>
        <w:textAlignment w:val="auto"/>
        <w:rPr>
          <w:rFonts w:hint="eastAsia" w:ascii="宋体" w:hAnsi="宋体" w:cs="Arial"/>
          <w:kern w:val="0"/>
          <w:szCs w:val="32"/>
          <w:lang w:val="en-US" w:eastAsia="zh-CN"/>
        </w:rPr>
      </w:pPr>
      <w:r>
        <w:rPr>
          <w:rFonts w:hint="eastAsia" w:ascii="宋体" w:hAnsi="宋体" w:cs="Arial"/>
          <w:kern w:val="0"/>
          <w:szCs w:val="32"/>
          <w:lang w:val="en-US"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71" w:name="_Toc27793"/>
      <w:r>
        <w:rPr>
          <w:rFonts w:hint="eastAsia" w:ascii="宋体" w:hAnsi="宋体" w:eastAsia="宋体" w:cs="宋体"/>
          <w:kern w:val="0"/>
          <w:sz w:val="44"/>
          <w:szCs w:val="44"/>
          <w:lang w:val="en-US" w:eastAsia="zh-CN"/>
        </w:rPr>
        <w:t>中华人民共和国国境卫生检疫法</w:t>
      </w:r>
      <w:bookmarkEnd w:id="171"/>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楷体_GB2312" w:cs="楷体_GB2312"/>
          <w:kern w:val="0"/>
          <w:szCs w:val="32"/>
        </w:rPr>
      </w:pPr>
      <w:r>
        <w:rPr>
          <w:rFonts w:hint="eastAsia" w:ascii="宋体" w:hAnsi="宋体" w:eastAsia="楷体_GB2312" w:cs="楷体_GB2312"/>
          <w:kern w:val="0"/>
          <w:szCs w:val="32"/>
        </w:rPr>
        <w:t>（1986年12月2日第六届全国人民代表大会常务委员会第十八次会议通过　根据2007年12月29日第十届全国人民代表大会常务委员会第三十一次会议《关于修改&lt;中华人民共和国国境卫生检疫法&gt;的决定》第一次修正　根据2009年8月27日第十一届全国人民代表大会常务委员会第十次会议《关于修改部分法律的决定》第二次修正　根据2018年4月27日第十三届全国人民代表大会常务委员会第二次会议《关于修改&lt;中华人民共和国国境卫生检疫法&gt;等六部法律的决定》第三次修正）</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检疫</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传染病监测</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卫生监督</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为了防止传染病由国外传入或者由国内传出，实施国境卫生检疫，保护人体健康，制定本法。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在中华人民共和国国际通航的港口、机场以及陆地边境和国界江河的口岸（以下简称国境口岸），设立国境卫生检疫机关，依照本法规定实施传染病检疫、监测和卫生监督。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本法规定的传染病是指检疫传染病和监测传染病。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检疫传染病，是指鼠疫、霍乱、黄热病以及国务院确定和公布的其他传染病。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监测传染病，由国务院卫生行政部门确定和公布。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入境、出境的人员、交通工具、运输设备以及可能传播检疫传染病的行李、货物、邮包等物品，都应当接受检疫，经国境卫生检疫机关许可，方准入境或者出境。具体办法由本法实施细则规定。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国境卫生检疫机关发现检疫传染病或者疑似检疫传染病时，除采取必要措施外，必须立即通知当地卫生行政部门，同时用最快的方法报告国务院卫生行政部门，最迟不得超过二十四小时。邮电部门对疫情报告应当优先传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中华人民共和国与外国之间的传染病疫情通报，由国务院卫生行政部门会同有关部门办理。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在国外或者国内有检疫传染病大流行的时候，国务院可以下令封锁有关的国境或者采取其他紧急措施。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检疫</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入境的交通工具和人员，必须在最先到达的国境口岸的指定地点接受检疫。除引航员外，未经国境卫生检疫机关许可，任何人不准上下交通工具，不准装卸行李、货物、邮包等物品。具体办法由本法实施细则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出境的交通工具和人员，必须在最后离开的国境口岸接受检疫。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来自国外的船舶、航空器因故停泊、降落在中国境内非口岸地点的时候，船舶、航空器的负责人应当立即向就近的国境卫生检疫机关或者当地卫生行政部门报告。除紧急情况外，未经国境卫生检疫机关或者当地卫生行政部门许可，任何人不准上下船舶、航空器，不准装卸行李、货物、邮包等物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在国境口岸发现检疫传染病、疑似检疫传染病，或者有人非因意外伤害而死亡并死因不明的，国境口岸有关单位和交通工具的负责人，应当立即向国境卫生检疫机关报告，并申请临时检疫。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国境卫生检疫机关依据检疫医师提供的检疫结果，对未染有检疫传染病或者已实施卫生处理的交通工具，签发入境检疫证或者出境检疫证。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国境卫生检疫机关对检疫传染病染疫人必须立即将其隔离，隔离期限根据医学检查结果确定；对检疫传染病染疫嫌疑人应当将其留验，留验期限根据该传染病的潜伏期确定。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因患检疫传染病而死亡的尸体，必须就近火化。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接受入境检疫的交通工具有下列情形之一的，应当实施消毒、除鼠、除虫或者其他卫生处理: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（一）来自检疫传染病疫区的；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（二）被检疫传染病污染的；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（三）发现有与人类健康有关的啮齿动物或者病媒昆虫的。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如果外国交通工具的负责人拒绝接受卫生处理，除有特殊情况外，准许该交通工具在国境卫生检疫机关的监督下，立即离开中华人民共和国国境。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国境卫生检疫机关对来自疫区的、被检疫传染病污染的或者可能成为检疫传染病传播媒介的行李、货物、邮包等物品，应当进行卫生检查，实施消毒、除鼠、除虫或者其他卫生处理。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入境、出境的尸体、骸骨的托运人或者其代理人，必须向国境卫生检疫机关申报，经卫生检查合格后，方准运进或者运出。</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传染病监测</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国境卫生检疫机关对入境、出境的人员实施传染病监测，并且采取必要的预防、控制措施。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国境卫生检疫机关有权要求入境、出境的人员填写健康申明卡，出示某种传染病的预防接种证书、健康证明或者其他有关证件。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对患有监测传染病的人、来自国外监测传染病流行区的人或者与监测传染病人密切接触的人，国境卫生检疫机关应当区别情况，发给就诊方便卡，实施留验或者采取其他预防、控制措施，并及时通知当地卫生行政部门。各地医疗单位对持有就诊方便卡的人员，应当优先诊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卫生监督</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w:t>
      </w:r>
      <w:r>
        <w:rPr>
          <w:rFonts w:hint="eastAsia" w:ascii="宋体" w:hAnsi="宋体" w:cs="Arial"/>
          <w:kern w:val="0"/>
          <w:szCs w:val="32"/>
        </w:rPr>
        <w:t>　国境卫生检疫机关根据国家规定的卫生标准，对国境口岸的卫生状况和停留在国境口岸的入境、出境的交通工具的卫生状况实施卫生监督: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（一）监督和指导有关人员对啮齿动物、病媒昆虫的防除；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（二）检查和检验食品、饮用水及其储存、供应、运输设施；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（三）监督从事食品、饮用水供应的从业人员的健康状况，检查其健康证明书；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（四）监督和检查垃圾、废物、污水、粪便、压舱水的处理。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国境卫生检疫机关设立国境口岸卫生监督员，执行国境卫生检疫机关交给的任务。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境口岸卫生监督员在执行任务时，有权对国境口岸和入境、出境的交通工具进行卫生监督和技术指导，对卫生状况不良和可能引起传染病传播的因素提出改进意见，协同有关部门采取必要的措施，进行卫生处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对违反本法规定，有下列行为之一的单位或者个人，国境卫生检疫机关可以根据情节轻重，给予警告或者罚款: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（一）逃避检疫，向国境卫生检疫机关隐瞒真实情况的；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（二）入境的人员未经国境卫生检疫机关许可，擅自上下交通工具，或者装卸行李、货物、邮包等物品，不听劝阻的。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罚款全部上缴国库。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当事人对国境卫生检疫机关给予的罚款决定不服的，可以在接到通知之日起十五日内，向当地人民法院起诉。逾期不起诉又不履行的，国境卫生检疫机关可以申请人民法院强制执行。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违反本法规定，引起检疫传染病传播或者有引起检疫传染病传播严重危险的，依照刑法有关规定追究刑事责任。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国境卫生检疫机关工作人员，应当秉公执法，忠于职守，对入境、出境的交通工具和人员，及时进行检疫；违法失职的，给予行政处分，情节严重构成犯罪的，依法追究刑事责任。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中华人民共和国缔结或者参加的有关卫生检疫的国际条约同本法有不同规定的，适用该国际条约的规定。但是，中华人民共和国声明保留的条款除外。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中华人民共和国边防机关与邻国边防机关之间在边境地区的往来，居住在两国边境接壤地区的居民在边境指定地区的临时往来，双方的交通工具和人员的入境、出境检疫，依照双方协议办理，没有协议的，依照中国政府的有关规定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国境卫生检疫机关实施卫生检疫，按照国家规定收取费用。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本法自1987年5月1日起施行。1957年12月23日公布的《中华人民共和国国境卫生检疫条例》同时废止。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72" w:name="_Toc29198"/>
      <w:r>
        <w:rPr>
          <w:rFonts w:hint="eastAsia" w:ascii="宋体" w:hAnsi="宋体" w:eastAsia="宋体" w:cs="宋体"/>
          <w:kern w:val="0"/>
          <w:sz w:val="44"/>
          <w:szCs w:val="44"/>
          <w:lang w:val="en-US" w:eastAsia="zh-CN"/>
        </w:rPr>
        <w:t>中华人民共和国野生动物保护法</w:t>
      </w:r>
      <w:bookmarkEnd w:id="172"/>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（1988年11月8日第七届全国人民代表大会常务委员会第四次会议通过　根据2004年8月28日第十届全国人民代表大会常务委员会第十一次会议《关于修改〈中华人民共和国野生动物保护法〉的决定》第一次修正　根据2009年8月27日第十一届全国人民代表大会常务委员会第十次会议《关于修改部分法律的决定》第二次修正　2016年7月2日第十二届全国人民代表大会常务委员会第二十一次会议修订　根据2018年10月26日第十三届全国人民代表大会常务委员会第六次会议《关于修改〈中华人民共和国野生动物保护法〉等十五部法律的决定》第三次修正）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第二章　野生动物及其栖息地保护</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第三章　野生动物管理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第四章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第五章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val="en-US" w:eastAsia="zh-CN"/>
        </w:rPr>
        <w:t xml:space="preserve">    </w:t>
      </w:r>
      <w:r>
        <w:rPr>
          <w:rFonts w:hint="eastAsia" w:ascii="宋体" w:hAnsi="宋体" w:eastAsia="黑体" w:cs="黑体"/>
          <w:kern w:val="0"/>
          <w:szCs w:val="32"/>
        </w:rPr>
        <w:t>第一条</w:t>
      </w:r>
      <w:r>
        <w:rPr>
          <w:rFonts w:hint="eastAsia" w:ascii="宋体" w:hAnsi="宋体" w:cs="Arial"/>
          <w:kern w:val="0"/>
          <w:szCs w:val="32"/>
        </w:rPr>
        <w:t>　为了保护野生动物，拯救珍贵、濒危野生动物，维护生物多样性和生态平衡，推进生态文明建设，制定本法。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第二条</w:t>
      </w:r>
      <w:r>
        <w:rPr>
          <w:rFonts w:hint="eastAsia" w:ascii="宋体" w:hAnsi="宋体" w:cs="Arial"/>
          <w:kern w:val="0"/>
          <w:szCs w:val="32"/>
        </w:rPr>
        <w:t>　在中华人民共和国领域及管辖的其他海域，从事野生动物保护及相关活动，适用本法。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本法规定保护的野生动物，是指珍贵、濒危的陆生、水生野生动物和有重要生态、科学、社会价值的陆生野生动物。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本法规定的野生动物及其制品，是指野生动物的整体（含卵、蛋）、部分及其衍生物。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珍贵、濒危的水生野生动物以外的其他水生野生动物的保护，适用《中华人民共和国渔业法》等有关法律的规定。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第三条</w:t>
      </w:r>
      <w:r>
        <w:rPr>
          <w:rFonts w:hint="eastAsia" w:ascii="宋体" w:hAnsi="宋体" w:cs="Arial"/>
          <w:kern w:val="0"/>
          <w:szCs w:val="32"/>
        </w:rPr>
        <w:t>　野生动物资源属于国家所有。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国家保障依法从事野生动物科学研究、人工繁育等保护及相关活动的组织和个人的合法权益。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第四条</w:t>
      </w:r>
      <w:r>
        <w:rPr>
          <w:rFonts w:hint="eastAsia" w:ascii="宋体" w:hAnsi="宋体" w:cs="Arial"/>
          <w:kern w:val="0"/>
          <w:szCs w:val="32"/>
        </w:rPr>
        <w:t>　国家对野生动物实行保护优先、规范利用、严格监管的原则，鼓励开展野生动物科学研究，培育公民保护野生动物的意识，促进人与自然和谐发展。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第五条</w:t>
      </w:r>
      <w:r>
        <w:rPr>
          <w:rFonts w:hint="eastAsia" w:ascii="宋体" w:hAnsi="宋体" w:cs="Arial"/>
          <w:kern w:val="0"/>
          <w:szCs w:val="32"/>
        </w:rPr>
        <w:t>　国家保护野生动物及其栖息地。县级以上人民政府应当制定野生动物及其栖息地相关保护规划和措施，并将野生动物保护经费纳入预算。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国家鼓励公民、法人和其他组织依法通过捐赠、资助、志愿服务等方式参与野生动物保护活动，支持野生动物保护公益事业。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本法规定的野生动物栖息地，是指野生动物野外种群生息繁衍的重要区域。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第六条</w:t>
      </w:r>
      <w:r>
        <w:rPr>
          <w:rFonts w:hint="eastAsia" w:ascii="宋体" w:hAnsi="宋体" w:cs="Arial"/>
          <w:kern w:val="0"/>
          <w:szCs w:val="32"/>
        </w:rPr>
        <w:t>　任何组织和个人都有保护野生动物及其栖息地的义务。禁止违法猎捕野生动物、破坏野生动物栖息地。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任何组织和个人都有权向有关部门和机关举报或者控告违反本法的行为。野生动物保护主管部门和其他有关部门、机关对举报或者控告，应当及时依法处理。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第七条</w:t>
      </w:r>
      <w:r>
        <w:rPr>
          <w:rFonts w:hint="eastAsia" w:ascii="宋体" w:hAnsi="宋体" w:cs="Arial"/>
          <w:kern w:val="0"/>
          <w:szCs w:val="32"/>
        </w:rPr>
        <w:t>　国务院林业草原、渔业主管部门分别主管全国陆生、水生野生动物保护工作。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县级以上地方人民政府林业草原、渔业主管部门分别主管本行政区域内陆生、水生野生动物保护工作。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第八条</w:t>
      </w:r>
      <w:r>
        <w:rPr>
          <w:rFonts w:hint="eastAsia" w:ascii="宋体" w:hAnsi="宋体" w:cs="Arial"/>
          <w:kern w:val="0"/>
          <w:szCs w:val="32"/>
        </w:rPr>
        <w:t>　各级人民政府应当加强野生动物保护的宣传教育和科学知识普及工作，鼓励和支持基层群众性自治组织、社会组织、企业事业单位、志愿者开展野生动物保护法律法规和保护知识的宣传活动。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教育行政部门、学校应当对学生进行野生动物保护知识教育。</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新闻媒体应当开展野生动物保护法律法规和保护知识的宣传，对违法行为进行舆论监督。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第九条</w:t>
      </w:r>
      <w:r>
        <w:rPr>
          <w:rFonts w:hint="eastAsia" w:ascii="宋体" w:hAnsi="宋体" w:cs="Arial"/>
          <w:kern w:val="0"/>
          <w:szCs w:val="32"/>
        </w:rPr>
        <w:t>　在野生动物保护和科学研究方面成绩显著的组织和个人，由县级以上人民政府给予奖励。</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野生动物及其栖息地保护</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第十条</w:t>
      </w:r>
      <w:r>
        <w:rPr>
          <w:rFonts w:hint="eastAsia" w:ascii="宋体" w:hAnsi="宋体" w:cs="Arial"/>
          <w:kern w:val="0"/>
          <w:szCs w:val="32"/>
        </w:rPr>
        <w:t>　国家对野生动物实行分类分级保护。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家对珍贵、濒危的野生动物实行重点保护。国家重点保护的野生动物分为一级保护野生动物和二级保护野生动物。国家重点保护野生动物名录，由国务院野生动物保护主管部门组织科学评估后制定，并每五年根据评估情况确定对名录进行调整。国家重点保护野生动物名录报国务院批准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地方重点保护野生动物，是指国家重点保护野生动物以外，由省、自治区、直辖市重点保护的野生动物。地方重点保护野生动物名录，由省、自治区、直辖市人民政府组织科学评估后制定、调整并公布。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有重要生态、科学、社会价值的陆生野生动物名录，由国务院野生动物保护主管部门组织科学评估后制定、调整并公布。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第十一条</w:t>
      </w:r>
      <w:r>
        <w:rPr>
          <w:rFonts w:hint="eastAsia" w:ascii="宋体" w:hAnsi="宋体" w:cs="Arial"/>
          <w:kern w:val="0"/>
          <w:szCs w:val="32"/>
        </w:rPr>
        <w:t>　县级以上人民政府野生动物保护主管部门，应当定期组织或者委托有关科学研究机构对野生动物及其栖息地状况进行调查、监测和评估，建立健全野生动物及其栖息地档案。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对野生动物及其栖息地状况的调查、监测和评估应当包括下列内容：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（一）野生动物野外分布区域、种群数量及结构；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（二）野生动物栖息地的面积、生态状况；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（三）野生动物及其栖息地的主要威胁因素；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（四）野生动物人工繁育情况等其他需要调查、监测和评估的内容。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第十二条</w:t>
      </w:r>
      <w:r>
        <w:rPr>
          <w:rFonts w:hint="eastAsia" w:ascii="宋体" w:hAnsi="宋体" w:cs="Arial"/>
          <w:kern w:val="0"/>
          <w:szCs w:val="32"/>
        </w:rPr>
        <w:t>　国务院野生动物保护主管部门应当会同国务院有关部门，根据野生动物及其栖息地状况的调查、监测和评估结果，确定并发布野生动物重要栖息地名录。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省级以上人民政府依法划定相关自然保护区域，保护野生动物及其重要栖息地，保护、恢复和改善野生动物生存环境。对不具备划定相关自然保护区域条件的，县级以上人民政府可以采取划定禁猎（渔）区、规定禁猎（渔）期等其他形式予以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禁止或者限制在相关自然保护区域内引入外来物种、营造单一纯林、过量施洒农药等人为干扰、威胁野生动物生息繁衍的行为。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相关自然保护区域，依照有关法律法规的规定划定和管理。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第十三条</w:t>
      </w:r>
      <w:r>
        <w:rPr>
          <w:rFonts w:hint="eastAsia" w:ascii="宋体" w:hAnsi="宋体" w:cs="Arial"/>
          <w:kern w:val="0"/>
          <w:szCs w:val="32"/>
        </w:rPr>
        <w:t>　县级以上人民政府及其有关部门在编制有关开发利用规划时，应当充分考虑野生动物及其栖息地保护的需要，分析、预测和评估规划实施可能对野生动物及其栖息地保护产生的整体影响，避免或者减少规划实施可能造成的不利后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在相关自然保护区域建设法律法规规定不得建设的项目。机场、铁路、公路、水利水电、围堰、围填海等建设项目的选址选线，应当避让相关自然保护区域、野生动物迁徙洄游通道；无法避让的，应当采取修建野生动物通道、过鱼设施等措施，消除或者减少对野生动物的不利影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建设项目可能对相关自然保护区域、野生动物迁徙洄游通道产生影响的，环境影响评价文件的审批部门在审批环境影响评价文件时，涉及国家重点保护野生动物的，应当征求国务院野生动物保护主管部门意见；涉及地方重点保护野生动物的，应当征求省、自治区、直辖市人民政府野生动物保护主管部门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第十四条</w:t>
      </w:r>
      <w:r>
        <w:rPr>
          <w:rFonts w:hint="eastAsia" w:ascii="宋体" w:hAnsi="宋体" w:cs="Arial"/>
          <w:kern w:val="0"/>
          <w:szCs w:val="32"/>
        </w:rPr>
        <w:t>　各级野生动物保护主管部门应当监视、监测环境对野生动物的影响。由于环境影响对野生动物造成危害时，野生动物保护主管部门应当会同有关部门进行调查处理。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第十五条</w:t>
      </w:r>
      <w:r>
        <w:rPr>
          <w:rFonts w:hint="eastAsia" w:ascii="宋体" w:hAnsi="宋体" w:cs="Arial"/>
          <w:kern w:val="0"/>
          <w:szCs w:val="32"/>
        </w:rPr>
        <w:t>　国家或者地方重点保护野生动物受到自然灾害、重大环境污染事故等突发事件威胁时，当地人民政府应当及时采取应急救助措施。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县级以上人民政府野生动物保护主管部门应当按照国家有关规定组织开展野生动物收容救护工作。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禁止以野生动物收容救护为名买卖野生动物及其制品。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第十六条</w:t>
      </w:r>
      <w:r>
        <w:rPr>
          <w:rFonts w:hint="eastAsia" w:ascii="宋体" w:hAnsi="宋体" w:cs="Arial"/>
          <w:kern w:val="0"/>
          <w:szCs w:val="32"/>
        </w:rPr>
        <w:t>　县级以上人民政府野生动物保护主管部门、兽医主管部门，应当按照职责分工对野生动物疫源疫病进行监测，组织开展预测、预报等工作，并按照规定制定野生动物疫情应急预案，报同级人民政府批准或者备案。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县级以上人民政府野生动物保护主管部门、兽医主管部门、卫生主管部门，应当按照职责分工负责与人畜共患传染病有关的动物传染病的防治管理工作。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第十七条</w:t>
      </w:r>
      <w:r>
        <w:rPr>
          <w:rFonts w:hint="eastAsia" w:ascii="宋体" w:hAnsi="宋体" w:cs="Arial"/>
          <w:kern w:val="0"/>
          <w:szCs w:val="32"/>
        </w:rPr>
        <w:t>　国家加强对野生动物遗传资源的保护，对濒危野生动物实施抢救性保护。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国务院野生动物保护主管部门应当会同国务院有关部门制定有关野生动物遗传资源保护和利用规划，建立国家野生动物遗传资源基因库，对原产我国的珍贵、濒危野生动物遗传资源实行重点保护。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第十八条</w:t>
      </w:r>
      <w:r>
        <w:rPr>
          <w:rFonts w:hint="eastAsia" w:ascii="宋体" w:hAnsi="宋体" w:cs="Arial"/>
          <w:kern w:val="0"/>
          <w:szCs w:val="32"/>
        </w:rPr>
        <w:t>　有关地方人民政府应当采取措施，预防、控制野生动物可能造成的危害，保障人畜安全和农业、林业生产。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第十九条</w:t>
      </w:r>
      <w:r>
        <w:rPr>
          <w:rFonts w:hint="eastAsia" w:ascii="宋体" w:hAnsi="宋体" w:cs="Arial"/>
          <w:kern w:val="0"/>
          <w:szCs w:val="32"/>
        </w:rPr>
        <w:t>　因保护本法规定保护的野生动物，造成人员伤亡、农作物或者其他财产损失的，由当地人民政府给予补偿。具体办法由省、自治区、直辖市人民政府制定。有关地方人民政府可以推动保险机构开展野生动物致害赔偿保险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有关地方人民政府采取预防、控制国家重点保护野生动物造成危害的措施以及实行补偿所需经费，由中央财政按照国家有关规定予以补助。</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野生动物管理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第二十条</w:t>
      </w:r>
      <w:r>
        <w:rPr>
          <w:rFonts w:hint="eastAsia" w:ascii="宋体" w:hAnsi="宋体" w:cs="Arial"/>
          <w:kern w:val="0"/>
          <w:szCs w:val="32"/>
        </w:rPr>
        <w:t>　在相关自然保护区域和禁猎（渔）区、禁猎（渔）期内，禁止猎捕以及其他妨碍野生动物生息繁衍的活动，但法律法规另有规定的除外。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野生动物迁徙洄游期间，在前款规定区域外的迁徙洄游通道内，禁止猎捕并严格限制其他妨碍野生动物生息繁衍的活动。迁徙洄游通道的范围以及妨碍野生动物生息繁衍活动的内容，由县级以上人民政府或者其野生动物保护主管部门规定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第二十一条</w:t>
      </w:r>
      <w:r>
        <w:rPr>
          <w:rFonts w:hint="eastAsia" w:ascii="宋体" w:hAnsi="宋体" w:cs="Arial"/>
          <w:kern w:val="0"/>
          <w:szCs w:val="32"/>
        </w:rPr>
        <w:t>　禁止猎捕、杀害国家重点保护野生动物。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第二十二条</w:t>
      </w:r>
      <w:r>
        <w:rPr>
          <w:rFonts w:hint="eastAsia" w:ascii="宋体" w:hAnsi="宋体" w:cs="Arial"/>
          <w:kern w:val="0"/>
          <w:szCs w:val="32"/>
        </w:rPr>
        <w:t>　猎捕非国家重点保护野生动物的，应当依法取得县级以上地方人民政府野生动物保护主管部门核发的狩猎证，并且服从猎捕量限额管理。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第二十三条</w:t>
      </w:r>
      <w:r>
        <w:rPr>
          <w:rFonts w:hint="eastAsia" w:ascii="宋体" w:hAnsi="宋体" w:cs="Arial"/>
          <w:kern w:val="0"/>
          <w:szCs w:val="32"/>
        </w:rPr>
        <w:t>　猎捕者应当按照特许猎捕证、狩猎证规定的种类、数量、地点、工具、方法和期限进行猎捕。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持枪猎捕的，应当依法取得公安机关核发的持枪证。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第二十四条</w:t>
      </w:r>
      <w:r>
        <w:rPr>
          <w:rFonts w:hint="eastAsia" w:ascii="宋体" w:hAnsi="宋体" w:cs="Arial"/>
          <w:kern w:val="0"/>
          <w:szCs w:val="32"/>
        </w:rPr>
        <w:t>　禁止使用毒药、爆炸物、电击或者电子诱捕装置以及猎套、猎夹、地枪、排铳等工具进行猎捕，禁止使用夜间照明行猎、歼灭性围猎、捣毁巢穴、火攻、烟熏、网捕等方法进行猎捕，但因科学研究确需网捕、电子诱捕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前款规定以外的禁止使用的猎捕工具和方法，由县级以上地方人民政府规定并公布。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第二十五条</w:t>
      </w:r>
      <w:r>
        <w:rPr>
          <w:rFonts w:hint="eastAsia" w:ascii="宋体" w:hAnsi="宋体" w:cs="Arial"/>
          <w:kern w:val="0"/>
          <w:szCs w:val="32"/>
        </w:rPr>
        <w:t>　国家支持有关科学研究机构因物种保护目的人工繁育国家重点保护野生动物。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以外的人工繁育国家重点保护野生动物实行许可制度。人工繁育国家重点保护野生动物的，应当经省、自治区、直辖市人民政府野生动物保护主管部门批准，取得人工繁育许可证，但国务院对批准机关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人工繁育国家重点保护野生动物应当使用人工繁育子代种源，建立物种系谱、繁育档案和个体数据。因物种保护目的确需采用野外种源的，适用本法</w:t>
      </w:r>
      <w:r>
        <w:rPr>
          <w:rFonts w:hint="eastAsia" w:ascii="宋体" w:hAnsi="宋体" w:eastAsia="仿宋_GB2312" w:cs="仿宋_GB2312"/>
          <w:kern w:val="0"/>
          <w:szCs w:val="32"/>
        </w:rPr>
        <w:t>第二十一条和第二十三条的</w:t>
      </w:r>
      <w:r>
        <w:rPr>
          <w:rFonts w:hint="eastAsia" w:ascii="宋体" w:hAnsi="宋体" w:cs="Arial"/>
          <w:kern w:val="0"/>
          <w:szCs w:val="32"/>
        </w:rPr>
        <w:t>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本法所称人工繁育子代，是指人工控制条件下繁殖出生的子代个体且其亲本也在人工控制条件下出生。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第二十六条</w:t>
      </w:r>
      <w:r>
        <w:rPr>
          <w:rFonts w:hint="eastAsia" w:ascii="宋体" w:hAnsi="宋体" w:cs="Arial"/>
          <w:kern w:val="0"/>
          <w:szCs w:val="32"/>
        </w:rPr>
        <w:t>　人工繁育国家重点保护野生动物应当有利于物种保护及其科学研究，不得破坏野外种群资源，并根据野生动物习性确保其具有必要的活动空间和生息繁衍、卫生健康条件，具备与其繁育目的、种类、发展规模相适应的场所、设施、技术，符合有关技术标准和防疫要求，不得虐待野生动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省级以上人民政府野生动物保护主管部门可以根据保护国家重点保护野生动物的需要，组织开展国家重点保护野生动物放归野外环境工作。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第二十七条</w:t>
      </w:r>
      <w:r>
        <w:rPr>
          <w:rFonts w:hint="eastAsia" w:ascii="宋体" w:hAnsi="宋体" w:cs="Arial"/>
          <w:kern w:val="0"/>
          <w:szCs w:val="32"/>
        </w:rPr>
        <w:t>　禁止出售、购买、利用国家重点保护野生动物及其制品。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实行国家重点保护野生动物及其制品专用标识的范围和管理办法，由国务院野生动物保护主管部门规定。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出售、利用非国家重点保护野生动物的，应当提供狩猎、进出口等合法来源证明。</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出售</w:t>
      </w:r>
      <w:r>
        <w:rPr>
          <w:rFonts w:hint="eastAsia" w:ascii="宋体" w:hAnsi="宋体" w:eastAsia="仿宋_GB2312" w:cs="仿宋_GB2312"/>
          <w:kern w:val="0"/>
          <w:szCs w:val="32"/>
        </w:rPr>
        <w:t>本条第二款、第四款规定的野生动物的，还应当依法附有检疫证明。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第二十八条</w:t>
      </w:r>
      <w:r>
        <w:rPr>
          <w:rFonts w:hint="eastAsia" w:ascii="宋体" w:hAnsi="宋体" w:cs="Arial"/>
          <w:kern w:val="0"/>
          <w:szCs w:val="32"/>
        </w:rPr>
        <w:t>　对人工繁育技术成熟稳定的国家重点保护野生动物，经科学论证，纳入国务院野生动物保护主管部门制定的人工繁育国家重点保护野生动物名录。对列入名录的野生动物及其制品，可以凭人工繁育许可证，按照省、自治区、直辖市人民政府野生动物保护主管部门核验的年度生产数量直接取得专用标识，凭专用标识出售和利用，保证可追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对本法第十条规定的国家重点保护野生动物名录进行调整时，根据有关野外种群保护情况，可以对前款规定的有关人工繁育技术成熟稳定野生</w:t>
      </w:r>
      <w:r>
        <w:rPr>
          <w:rFonts w:hint="eastAsia" w:ascii="宋体" w:hAnsi="宋体" w:eastAsia="仿宋_GB2312" w:cs="仿宋_GB2312"/>
          <w:kern w:val="0"/>
          <w:szCs w:val="32"/>
        </w:rPr>
        <w:t>动物的人工种群，不再列入国家重点保护野生动物名录，实行与野外种群不同的管理措施，但应当依照本法第二十五条第二款和本条第一款的规定取得人工繁育许可证和专用标识。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第二十九条</w:t>
      </w:r>
      <w:r>
        <w:rPr>
          <w:rFonts w:hint="eastAsia" w:ascii="宋体" w:hAnsi="宋体" w:cs="Arial"/>
          <w:kern w:val="0"/>
          <w:szCs w:val="32"/>
        </w:rPr>
        <w:t>　利用野生动物及其制品的，应当以人工繁育种群为主，有利于野外种群养护，符合生态文明建设的要求，尊重社会公德，遵守法律法规和国家有关规定。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野生动物及其制品作为药品经营和利用的，还应当遵守有关药品管理的法律法规。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第三十条</w:t>
      </w:r>
      <w:r>
        <w:rPr>
          <w:rFonts w:hint="eastAsia" w:ascii="宋体" w:hAnsi="宋体" w:cs="Arial"/>
          <w:kern w:val="0"/>
          <w:szCs w:val="32"/>
        </w:rPr>
        <w:t>　禁止生产、经营使用国家重点保护野生动物及其制品制作的食品，或者使用没有合法来源证明的非国家重点保护野生动物及其制品制作的食品。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禁止为食用非法购买国家重点保护的野生动物及其制品。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第三十一条</w:t>
      </w:r>
      <w:r>
        <w:rPr>
          <w:rFonts w:hint="eastAsia" w:ascii="宋体" w:hAnsi="宋体" w:cs="Arial"/>
          <w:kern w:val="0"/>
          <w:szCs w:val="32"/>
        </w:rPr>
        <w:t>　禁止为出售、购买、利用野生动物或者禁止使用的猎捕工具发布广告。禁止为违法出售、购买、利用野生动物制品发布广告。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第三十二条</w:t>
      </w:r>
      <w:r>
        <w:rPr>
          <w:rFonts w:hint="eastAsia" w:ascii="宋体" w:hAnsi="宋体" w:cs="Arial"/>
          <w:kern w:val="0"/>
          <w:szCs w:val="32"/>
        </w:rPr>
        <w:t>　禁止网络交易平台、商品交易市场等交易场所，为违法出售、购买、利用野生动物及其制品或者禁止使用的猎捕工具提供交易服务。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第三十三条</w:t>
      </w:r>
      <w:r>
        <w:rPr>
          <w:rFonts w:hint="eastAsia" w:ascii="宋体" w:hAnsi="宋体" w:cs="Arial"/>
          <w:kern w:val="0"/>
          <w:szCs w:val="32"/>
        </w:rPr>
        <w:t>　运输、携带、寄递国家重点保护野生动物及其</w:t>
      </w:r>
      <w:r>
        <w:rPr>
          <w:rFonts w:hint="eastAsia" w:ascii="宋体" w:hAnsi="宋体" w:eastAsia="仿宋_GB2312" w:cs="仿宋_GB2312"/>
          <w:kern w:val="0"/>
          <w:szCs w:val="32"/>
        </w:rPr>
        <w:t>制品、本法第二十八条第二款规定的野生动物及其制品出县境的，应当持有或者附有本法第二十一条、第二十五条、第二十七条或者第二十八条规定的许可证、批准文件的副本或者专用标识，以</w:t>
      </w:r>
      <w:r>
        <w:rPr>
          <w:rFonts w:hint="eastAsia" w:ascii="宋体" w:hAnsi="宋体" w:cs="Arial"/>
          <w:kern w:val="0"/>
          <w:szCs w:val="32"/>
        </w:rPr>
        <w:t>及检疫证明。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运输非国家重点保护野生动物出县境的，应当持有狩猎、进出口等合法来源证明，以及检疫证明。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第三十四条</w:t>
      </w:r>
      <w:r>
        <w:rPr>
          <w:rFonts w:hint="eastAsia" w:ascii="宋体" w:hAnsi="宋体" w:cs="Arial"/>
          <w:kern w:val="0"/>
          <w:szCs w:val="32"/>
        </w:rPr>
        <w:t>　县级以上人民政府野生动物保护主管部门应当对科学研究、人工繁育、公众展示展演等利用野生动物及其制品的活动进行监督管理。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县级以上人民政府其他有关部门，应当按照职责分工对野生动物及其制品出售、购买、利用、运输、寄递等活动进行监督检查。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第三十五条</w:t>
      </w:r>
      <w:r>
        <w:rPr>
          <w:rFonts w:hint="eastAsia" w:ascii="宋体" w:hAnsi="宋体" w:cs="Arial"/>
          <w:kern w:val="0"/>
          <w:szCs w:val="32"/>
        </w:rPr>
        <w:t>　中华人民共和国缔结或者参加的国际公约禁止或者限制贸易的野生动物或者其制品名录，由国家濒危物种进出口管理机构制定、调整并公布。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进出口列入前款名录的野生动物或者其制品的，出口国家重点保护野生动物或者其制品的，应当经国务院野生动物保护主管部门或者国务院批准，并取得国家濒危物种进出口管理机构核发的允许进出口证明书。海关依法实施进出境检疫，凭允许进出口证明书、检疫证明按照规定办理通关手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涉及科学技术保密的野生动物物种的出口，按照国务院有关规定办理。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列入本</w:t>
      </w:r>
      <w:r>
        <w:rPr>
          <w:rFonts w:hint="eastAsia" w:ascii="宋体" w:hAnsi="宋体" w:eastAsia="仿宋_GB2312" w:cs="仿宋_GB2312"/>
          <w:kern w:val="0"/>
          <w:szCs w:val="32"/>
        </w:rPr>
        <w:t>条第一款名录的野生动物，经国务院野生动物保护主管部门核准，在本法适用范围内可以按照国家重点保护的野生动物管理。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第三十六条</w:t>
      </w:r>
      <w:r>
        <w:rPr>
          <w:rFonts w:hint="eastAsia" w:ascii="宋体" w:hAnsi="宋体" w:cs="Arial"/>
          <w:kern w:val="0"/>
          <w:szCs w:val="32"/>
        </w:rPr>
        <w:t>　国家组织开展野生动物保护及相关执法活动的国际合作与交流；建立防范、打击野生动物及其制品的走私和非法贸易的部门协调机制，开展防范、打击走私和非法贸易行动。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第三十七条</w:t>
      </w:r>
      <w:r>
        <w:rPr>
          <w:rFonts w:hint="eastAsia" w:ascii="宋体" w:hAnsi="宋体" w:cs="Arial"/>
          <w:kern w:val="0"/>
          <w:szCs w:val="32"/>
        </w:rPr>
        <w:t>　从境外引进野生动物物种的，应当经国务院野生动物保护主管部门批准。从境外引</w:t>
      </w:r>
      <w:r>
        <w:rPr>
          <w:rFonts w:hint="eastAsia" w:ascii="宋体" w:hAnsi="宋体" w:eastAsia="仿宋_GB2312" w:cs="仿宋_GB2312"/>
          <w:kern w:val="0"/>
          <w:szCs w:val="32"/>
        </w:rPr>
        <w:t>进列入本法第三十五条第一款名录的野生动物，还应当依法取得允许进出口证明书。海关依法实施进境检疫，凭进口批准文件或者允许进出口证明书以及检疫证明按照规定办理通关手续。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从境外引进野生动物物种的，应当采取安全可靠的防范措施，防止其进入野外环境，避免对生态系统造成危害。确需将其放归野外的，按照国家有关规定执行。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第三十八条</w:t>
      </w:r>
      <w:r>
        <w:rPr>
          <w:rFonts w:hint="eastAsia" w:ascii="宋体" w:hAnsi="宋体" w:cs="Arial"/>
          <w:kern w:val="0"/>
          <w:szCs w:val="32"/>
        </w:rPr>
        <w:t>　任何组织和个人将野生动物放生至野外环境，应当选择适合放生地野外生存的当地物种，不得干扰当地居民的正常生活、生产，避免对生态系统造成危害。随意放生野生动物，造成他人人身、财产损害或者危害生态系统的，依法承担法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第三十九条</w:t>
      </w:r>
      <w:r>
        <w:rPr>
          <w:rFonts w:hint="eastAsia" w:ascii="宋体" w:hAnsi="宋体" w:cs="Arial"/>
          <w:kern w:val="0"/>
          <w:szCs w:val="32"/>
        </w:rPr>
        <w:t>　禁止伪造、变造、买卖、转让、租借特许猎捕证、狩猎证、人工繁育许可证及专用标识，出售、购买、利用国家重点保护野生动物及其制品的批准文件，或者允许进出口证明书、进出口等批准文件。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前款规定的有关许可证书、专用标识、批准文件的发放情况，应当依法公开。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第四十条</w:t>
      </w:r>
      <w:r>
        <w:rPr>
          <w:rFonts w:hint="eastAsia" w:ascii="宋体" w:hAnsi="宋体" w:cs="Arial"/>
          <w:kern w:val="0"/>
          <w:szCs w:val="32"/>
        </w:rPr>
        <w:t>　外国人在我国对国家重点保护野生动物进行野外考察或者在野外拍摄电影、录像，应当经省、自治区、直辖市人民政府野生动物保护主管部门或者其授权的单位批准，并遵守有关法律法规规定。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第四十一条</w:t>
      </w:r>
      <w:r>
        <w:rPr>
          <w:rFonts w:hint="eastAsia" w:ascii="宋体" w:hAnsi="宋体" w:cs="Arial"/>
          <w:kern w:val="0"/>
          <w:szCs w:val="32"/>
        </w:rPr>
        <w:t>　地方重点保护野生动物和其他非国家重点保护野生动物的管理办法，由省、自治区、直辖市人民代表大会或者其常务委员会制定。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第四十二条</w:t>
      </w:r>
      <w:r>
        <w:rPr>
          <w:rFonts w:hint="eastAsia" w:ascii="宋体" w:hAnsi="宋体" w:cs="Arial"/>
          <w:kern w:val="0"/>
          <w:szCs w:val="32"/>
        </w:rPr>
        <w:t>　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第四十三条</w:t>
      </w:r>
      <w:r>
        <w:rPr>
          <w:rFonts w:hint="eastAsia" w:ascii="宋体" w:hAnsi="宋体" w:cs="Arial"/>
          <w:kern w:val="0"/>
          <w:szCs w:val="32"/>
        </w:rPr>
        <w:t>　违反本</w:t>
      </w:r>
      <w:r>
        <w:rPr>
          <w:rFonts w:hint="eastAsia" w:ascii="宋体" w:hAnsi="宋体" w:eastAsia="仿宋_GB2312" w:cs="仿宋_GB2312"/>
          <w:kern w:val="0"/>
          <w:szCs w:val="32"/>
        </w:rPr>
        <w:t>法第十二条第三款、第十三条第二款规定的，依照有关法律法规的规定处罚。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第四十四条</w:t>
      </w:r>
      <w:r>
        <w:rPr>
          <w:rFonts w:hint="eastAsia" w:ascii="宋体" w:hAnsi="宋体" w:cs="Arial"/>
          <w:kern w:val="0"/>
          <w:szCs w:val="32"/>
        </w:rPr>
        <w:t>　违</w:t>
      </w:r>
      <w:r>
        <w:rPr>
          <w:rFonts w:hint="eastAsia" w:ascii="宋体" w:hAnsi="宋体" w:eastAsia="仿宋_GB2312" w:cs="仿宋_GB2312"/>
          <w:kern w:val="0"/>
          <w:szCs w:val="32"/>
        </w:rPr>
        <w:t>反本法第十五条第三款规定，以收容救护为名买卖野生动物及其制品的，由县级以上人民政府野生动物保护主管部门没收野生动物及其制品、违法所得，并处野生动物及其制品价值二倍以上十倍以下的罚款，将有关违法信息记入社会诚信档案，向社会公布；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第四十五条</w:t>
      </w:r>
      <w:r>
        <w:rPr>
          <w:rFonts w:hint="eastAsia" w:ascii="宋体" w:hAnsi="宋体" w:cs="Arial"/>
          <w:kern w:val="0"/>
          <w:szCs w:val="32"/>
        </w:rPr>
        <w:t>　违反本</w:t>
      </w:r>
      <w:r>
        <w:rPr>
          <w:rFonts w:hint="eastAsia" w:ascii="宋体" w:hAnsi="宋体" w:eastAsia="仿宋_GB2312" w:cs="仿宋_GB2312"/>
          <w:kern w:val="0"/>
          <w:szCs w:val="32"/>
        </w:rPr>
        <w:t>法第二十条、第二十一条、第二十三条第一款、第二十四条第一款规定，在相关自然保护区域、禁猎（渔）区、禁猎（渔）期猎捕国家重点保护野生动物，未取得特许猎捕证、未按照特许猎捕证规定猎捕、杀害国家重点保护野生动物，或者使用禁用的工具、方法猎捕国家重点保护野生动物的，由县级以上人民政府野生动物保护主管部门、海洋执法部门或者有关保护区域管理机构按照职责分工没收猎获物、猎捕工具和违法所得，吊销特许猎捕证，并处猎获物价值二倍以上十倍以下的罚款；没有猎获物的，并处一万元以上五万元以下的罚款；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第四十六条</w:t>
      </w:r>
      <w:r>
        <w:rPr>
          <w:rFonts w:hint="eastAsia" w:ascii="宋体" w:hAnsi="宋体" w:cs="Arial"/>
          <w:kern w:val="0"/>
          <w:szCs w:val="32"/>
        </w:rPr>
        <w:t>　违反本</w:t>
      </w:r>
      <w:r>
        <w:rPr>
          <w:rFonts w:hint="eastAsia" w:ascii="宋体" w:hAnsi="宋体" w:eastAsia="仿宋_GB2312" w:cs="仿宋_GB2312"/>
          <w:kern w:val="0"/>
          <w:szCs w:val="32"/>
        </w:rPr>
        <w:t>法第二十条、第二十二条、第二十三条第一款、第二十四条第一款规定，在相关自然保护区域、禁猎（渔）区、禁猎（渔）期猎捕非国家重点保护野生动物，未取得狩猎证、未按照狩猎证规定猎捕非国家重点保护野生动物，或者使用禁用的工具、方法猎捕非国家重点保护野生动物的，由县级以上地方人民政府野生动物保护主管部门或者有关保护区域管理机构按照职责分工没收猎获物、猎捕工具和违法所得，吊销狩猎证，并处猎获物价值一倍以上五倍以下的罚款；没有猎获物的，并处二千元以上一万元以下的罚款；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违反本法第二十三条第二款规定，未取得持枪证持枪猎捕野生动物，构成违反治安管理行为的，由公安机关依法给予治安管理处罚；构成犯罪的，依法追究刑事责任。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第四十七条</w:t>
      </w:r>
      <w:r>
        <w:rPr>
          <w:rFonts w:hint="eastAsia" w:ascii="宋体" w:hAnsi="宋体" w:cs="Arial"/>
          <w:kern w:val="0"/>
          <w:szCs w:val="32"/>
        </w:rPr>
        <w:t>　违反本</w:t>
      </w:r>
      <w:r>
        <w:rPr>
          <w:rFonts w:hint="eastAsia" w:ascii="宋体" w:hAnsi="宋体" w:eastAsia="仿宋_GB2312" w:cs="仿宋_GB2312"/>
          <w:kern w:val="0"/>
          <w:szCs w:val="32"/>
        </w:rPr>
        <w:t>法第二十五条第二款规定，未取得人工繁育许可证繁育国家重点保护野生动物或者本法第二十八条第二款规定的野生动物的，由县级以上人民政府野生动物保护主管部门没收野生动物及其制品，并处野生动物及其制品价值一倍以上五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第四十八条</w:t>
      </w:r>
      <w:r>
        <w:rPr>
          <w:rFonts w:hint="eastAsia" w:ascii="宋体" w:hAnsi="宋体" w:cs="Arial"/>
          <w:kern w:val="0"/>
          <w:szCs w:val="32"/>
        </w:rPr>
        <w:t>　违反本法</w:t>
      </w:r>
      <w:r>
        <w:rPr>
          <w:rFonts w:hint="eastAsia" w:ascii="宋体" w:hAnsi="宋体" w:eastAsia="仿宋_GB2312" w:cs="仿宋_GB2312"/>
          <w:kern w:val="0"/>
          <w:szCs w:val="32"/>
        </w:rPr>
        <w:t>第二十七条第一款和第二款、第二十八条第一款、第三十三条第一款规定，未经批准、未取得或者未按照规定使用专用标识，或者未持有、未附有人工繁育许可证、批准文件的副本或者专用标识出售、购买、利用、运输、携带、寄递国家重点保护野生动物及其制品或者本法第二十八条第二款规定的野生动物及其制品的，由县级以上人民政府野生动物保护主管部门或者市场监督管理部门按照职责分工没收野生动物及其制品和违法所得，并处野生动物及其制品价值二倍以上十倍以下的罚款；情节严重的，吊销人工繁育许可证、撤销批准文件、收回专用标识；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第二十七条第四款、第三十三条第二款规定，未持有合法来源证明出售、利用、运输非国家重点保护野生动物的，由县级以上地方人民政府野生动物保护主管部门或者市场监督管理部门按照职责分工没收野生动物，并处野生动物价值一倍以上五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违反本法第二十七条第五款、第三十三条规定，出售、运输、携带</w:t>
      </w:r>
      <w:r>
        <w:rPr>
          <w:rFonts w:hint="eastAsia" w:ascii="宋体" w:hAnsi="宋体" w:cs="Arial"/>
          <w:kern w:val="0"/>
          <w:szCs w:val="32"/>
        </w:rPr>
        <w:t>、寄递有关野生动物及其制品未持有或者未附有检疫证明的，依照《中华人民共和国动物防疫法》的规定处罚。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第四十九条</w:t>
      </w:r>
      <w:r>
        <w:rPr>
          <w:rFonts w:hint="eastAsia" w:ascii="宋体" w:hAnsi="宋体" w:cs="Arial"/>
          <w:kern w:val="0"/>
          <w:szCs w:val="32"/>
        </w:rPr>
        <w:t>　违反本</w:t>
      </w:r>
      <w:r>
        <w:rPr>
          <w:rFonts w:hint="eastAsia" w:ascii="宋体" w:hAnsi="宋体" w:eastAsia="仿宋_GB2312" w:cs="仿宋_GB2312"/>
          <w:kern w:val="0"/>
          <w:szCs w:val="32"/>
        </w:rPr>
        <w:t>法第三十条规定，生产</w:t>
      </w:r>
      <w:r>
        <w:rPr>
          <w:rFonts w:hint="eastAsia" w:ascii="宋体" w:hAnsi="宋体" w:cs="Arial"/>
          <w:kern w:val="0"/>
          <w:szCs w:val="32"/>
        </w:rPr>
        <w:t>、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第五十条</w:t>
      </w:r>
      <w:r>
        <w:rPr>
          <w:rFonts w:hint="eastAsia" w:ascii="宋体" w:hAnsi="宋体" w:cs="Arial"/>
          <w:kern w:val="0"/>
          <w:szCs w:val="32"/>
        </w:rPr>
        <w:t>　违反本</w:t>
      </w:r>
      <w:r>
        <w:rPr>
          <w:rFonts w:hint="eastAsia" w:ascii="宋体" w:hAnsi="宋体" w:eastAsia="仿宋_GB2312" w:cs="仿宋_GB2312"/>
          <w:kern w:val="0"/>
          <w:szCs w:val="32"/>
        </w:rPr>
        <w:t>法第三十一条规定</w:t>
      </w:r>
      <w:r>
        <w:rPr>
          <w:rFonts w:hint="eastAsia" w:ascii="宋体" w:hAnsi="宋体" w:cs="Arial"/>
          <w:kern w:val="0"/>
          <w:szCs w:val="32"/>
        </w:rPr>
        <w:t>，为出售、购买、利用野生动物及其制品或者禁止使用的猎捕工具发布广告的，依照《中华人民共和国广告法》的规定处罚。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第五十一条</w:t>
      </w:r>
      <w:r>
        <w:rPr>
          <w:rFonts w:hint="eastAsia" w:ascii="宋体" w:hAnsi="宋体" w:cs="Arial"/>
          <w:kern w:val="0"/>
          <w:szCs w:val="32"/>
        </w:rPr>
        <w:t>　违反本</w:t>
      </w:r>
      <w:r>
        <w:rPr>
          <w:rFonts w:hint="eastAsia" w:ascii="宋体" w:hAnsi="宋体" w:eastAsia="仿宋_GB2312" w:cs="仿宋_GB2312"/>
          <w:kern w:val="0"/>
          <w:szCs w:val="32"/>
        </w:rPr>
        <w:t>法第三十二条规</w:t>
      </w:r>
      <w:r>
        <w:rPr>
          <w:rFonts w:hint="eastAsia" w:ascii="宋体" w:hAnsi="宋体" w:cs="Arial"/>
          <w:kern w:val="0"/>
          <w:szCs w:val="32"/>
        </w:rPr>
        <w:t>定，为违法出售、购买、利用野生动物及其制品或者禁止使用的猎捕工具提供交易服务的，由县级以上人民政府市场监督管理部门责令停止违法行为，限期改正，没收违法所得，并处违法所得二倍以上五倍以下的罚款；没有违法所得的，处一万元以上五万元以下的罚款；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第五十二条</w:t>
      </w:r>
      <w:r>
        <w:rPr>
          <w:rFonts w:hint="eastAsia" w:ascii="宋体" w:hAnsi="宋体" w:cs="Arial"/>
          <w:kern w:val="0"/>
          <w:szCs w:val="32"/>
        </w:rPr>
        <w:t>　违反本</w:t>
      </w:r>
      <w:r>
        <w:rPr>
          <w:rFonts w:hint="eastAsia" w:ascii="宋体" w:hAnsi="宋体" w:eastAsia="仿宋_GB2312" w:cs="仿宋_GB2312"/>
          <w:kern w:val="0"/>
          <w:szCs w:val="32"/>
        </w:rPr>
        <w:t>法第三十五条</w:t>
      </w:r>
      <w:r>
        <w:rPr>
          <w:rFonts w:hint="eastAsia" w:ascii="宋体" w:hAnsi="宋体" w:cs="Arial"/>
          <w:kern w:val="0"/>
          <w:szCs w:val="32"/>
        </w:rPr>
        <w:t>规定，进出口野生动物或者其制品的，由海关、公安机关、海洋执法部门依照法律、行政法规和国家有关规定处罚；构成犯罪的，依法追究刑事责任。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第五十三条</w:t>
      </w:r>
      <w:r>
        <w:rPr>
          <w:rFonts w:hint="eastAsia" w:ascii="宋体" w:hAnsi="宋体" w:cs="Arial"/>
          <w:kern w:val="0"/>
          <w:szCs w:val="32"/>
        </w:rPr>
        <w:t>　违反</w:t>
      </w:r>
      <w:r>
        <w:rPr>
          <w:rFonts w:hint="eastAsia" w:ascii="宋体" w:hAnsi="宋体" w:eastAsia="仿宋_GB2312" w:cs="仿宋_GB2312"/>
          <w:kern w:val="0"/>
          <w:szCs w:val="32"/>
        </w:rPr>
        <w:t>本法第三十七条第一款规定，从境外引进野生动物物种的，由县级以上人民政府野生动物保护主管部门没收所引进的野生动物，并处五万元以上二十五万元以下的罚款；未依法实施进境检疫的，依照《中华人民共和国进出境动植物检疫法》的规定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第五十四条</w:t>
      </w:r>
      <w:r>
        <w:rPr>
          <w:rFonts w:hint="eastAsia" w:ascii="宋体" w:hAnsi="宋体" w:cs="Arial"/>
          <w:kern w:val="0"/>
          <w:szCs w:val="32"/>
        </w:rPr>
        <w:t>　违</w:t>
      </w:r>
      <w:r>
        <w:rPr>
          <w:rFonts w:hint="eastAsia" w:ascii="宋体" w:hAnsi="宋体" w:eastAsia="仿宋_GB2312" w:cs="仿宋_GB2312"/>
          <w:kern w:val="0"/>
          <w:szCs w:val="32"/>
        </w:rPr>
        <w:t>反本法第三十七条第二款规定，将从境外引进的野生动物放归野外环境的，由县级以上人民政府野生动物保护主管部门责令限期捕回，处一万元以上五万元以下的罚款；逾期不捕回的，由有关野生动物保护主管部门代为捕回或者采取降低影响的措施，所需费用由被责令限期捕回者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第五十五条</w:t>
      </w:r>
      <w:r>
        <w:rPr>
          <w:rFonts w:hint="eastAsia" w:ascii="宋体" w:hAnsi="宋体" w:cs="Arial"/>
          <w:kern w:val="0"/>
          <w:szCs w:val="32"/>
        </w:rPr>
        <w:t>　违反本</w:t>
      </w:r>
      <w:r>
        <w:rPr>
          <w:rFonts w:hint="eastAsia" w:ascii="宋体" w:hAnsi="宋体" w:eastAsia="仿宋_GB2312" w:cs="仿宋_GB2312"/>
          <w:kern w:val="0"/>
          <w:szCs w:val="32"/>
        </w:rPr>
        <w:t>法第三十九条第一款规定，伪造、变造、买卖、转让、租借有关证件、专用标识或者有关批准文件的，由县级以上人民政府野生动物保护主管部门没收违法证件、专用标识、有关批准文件和违法所得，并处五万元以上二十五万元以下的罚款；构成违反治安管理行为的，由公安机关依法给予治安管理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第五十六条</w:t>
      </w:r>
      <w:r>
        <w:rPr>
          <w:rFonts w:hint="eastAsia" w:ascii="宋体" w:hAnsi="宋体" w:cs="Arial"/>
          <w:kern w:val="0"/>
          <w:szCs w:val="32"/>
        </w:rPr>
        <w:t>　依照本法规定没收的实物，由县级以上人民政府野生动物保护主管部门或者其授权的单位按照规定处理。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第五十七条</w:t>
      </w:r>
      <w:r>
        <w:rPr>
          <w:rFonts w:hint="eastAsia" w:ascii="宋体" w:hAnsi="宋体" w:cs="Arial"/>
          <w:kern w:val="0"/>
          <w:szCs w:val="32"/>
        </w:rPr>
        <w:t>　本法规定的猎获物价值、野生动物及其制品价值的评估标准和方法，由国务院野生动物保护主管部门制定。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第五十八条</w:t>
      </w:r>
      <w:r>
        <w:rPr>
          <w:rFonts w:hint="eastAsia" w:ascii="宋体" w:hAnsi="宋体" w:cs="Arial"/>
          <w:kern w:val="0"/>
          <w:szCs w:val="32"/>
        </w:rPr>
        <w:t>　本法自2017年1月1日起施行。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auto"/>
          <w:spacing w:val="0"/>
          <w:sz w:val="44"/>
          <w:szCs w:val="44"/>
          <w:shd w:val="clear" w:color="090000" w:fill="FFFFFF"/>
        </w:rPr>
      </w:pPr>
      <w:bookmarkStart w:id="173" w:name="_Toc12551"/>
      <w:bookmarkStart w:id="174" w:name="_Toc3777"/>
      <w:bookmarkStart w:id="175" w:name="_Toc6138"/>
      <w:bookmarkStart w:id="176" w:name="_Toc18322"/>
      <w:bookmarkStart w:id="177" w:name="_Toc22119"/>
      <w:bookmarkStart w:id="178" w:name="_Toc11095"/>
      <w:bookmarkStart w:id="179" w:name="_Toc19285"/>
      <w:bookmarkStart w:id="180" w:name="_Toc13007"/>
      <w:bookmarkStart w:id="181" w:name="_Toc940"/>
      <w:bookmarkStart w:id="182" w:name="_Toc25649"/>
      <w:r>
        <w:rPr>
          <w:rFonts w:hint="eastAsia" w:ascii="宋体" w:hAnsi="宋体" w:eastAsia="宋体" w:cs="宋体"/>
          <w:b w:val="0"/>
          <w:bCs/>
          <w:i w:val="0"/>
          <w:caps w:val="0"/>
          <w:color w:val="auto"/>
          <w:spacing w:val="0"/>
          <w:sz w:val="44"/>
          <w:szCs w:val="44"/>
          <w:shd w:val="clear" w:color="090000" w:fill="FFFFFF"/>
        </w:rPr>
        <w:t>全国人民代表大会常务委员会关于全面禁止非法野生动物交易、革除滥食野生动物陋习、切实保障人民群众生命健康安全的决定</w:t>
      </w:r>
      <w:bookmarkEnd w:id="173"/>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b w:val="0"/>
          <w:bCs/>
          <w:i w:val="0"/>
          <w:caps w:val="0"/>
          <w:color w:val="000080"/>
          <w:spacing w:val="0"/>
          <w:sz w:val="32"/>
          <w:szCs w:val="32"/>
          <w:shd w:val="clear" w:color="09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640" w:leftChars="200" w:right="640" w:rightChars="200" w:firstLine="0" w:firstLineChars="0"/>
        <w:jc w:val="center"/>
        <w:textAlignment w:val="auto"/>
        <w:rPr>
          <w:rFonts w:hint="eastAsia" w:ascii="楷体" w:hAnsi="楷体" w:eastAsia="楷体" w:cs="楷体"/>
          <w:b w:val="0"/>
          <w:bCs/>
          <w:i w:val="0"/>
          <w:caps w:val="0"/>
          <w:color w:val="auto"/>
          <w:spacing w:val="0"/>
          <w:sz w:val="32"/>
          <w:szCs w:val="32"/>
          <w:shd w:val="clear" w:color="090000" w:fill="FFFFFF"/>
        </w:rPr>
      </w:pPr>
      <w:r>
        <w:rPr>
          <w:rFonts w:hint="eastAsia" w:ascii="楷体" w:hAnsi="楷体" w:eastAsia="楷体" w:cs="楷体"/>
          <w:b w:val="0"/>
          <w:bCs/>
          <w:i w:val="0"/>
          <w:caps w:val="0"/>
          <w:color w:val="auto"/>
          <w:spacing w:val="0"/>
          <w:sz w:val="32"/>
          <w:szCs w:val="32"/>
          <w:shd w:val="clear" w:color="090000" w:fill="FFFFFF"/>
        </w:rPr>
        <w:t>（2020年2月24日第十三届全国人民代表大会常务委员会第十六次会议通过）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000000"/>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为了全面禁止和惩治非法野生动物交易行为，革除滥食野生动物的陋习，维护生物安全和生态安全，有效防范重大公共卫生风险，切实保障人民群众生命健康安全，加强生态文明建设，促进人与自然和谐共生，全国人民代表大会常务委员会作出如下决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一、凡《中华人民共和国野生动物保护法》和其他有关法律禁止猎捕、交易、运输、食用野生动物的，必须严格禁止。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对违反前款规定的行为，在现行法律规定基础上加重处罚。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二、全面禁止食用国家保护的“有重要生态、科学、社会价值的陆生野生动物”以及其他陆生野生动物，包括人工繁育、人工饲养的陆生野生动物。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全面禁止以食用为目的猎捕、交易、运输在野外环境自然生长繁殖的陆生野生动物。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对违反前两款规定的行为，参照适用现行法律有关规定处罚。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三、列入畜禽遗传资源目录的动物，属于家畜家禽，适用《中华人民共和国畜牧法》的规定。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国务院畜牧兽医行政主管部门依法制定并公布畜禽遗传资源目录。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四、因科研、药用、展示等特殊情况，需要对野生动物进行非食用性利用的，应当按照国家有关规定实行严格审批和检疫检验。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国务院及其有关主管部门应当及时制定、完善野生动物非食用性利用的审批和检疫检验等规定，并严格执行。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五、各级人民政府和人民团体、社会组织、学校、新闻媒体等社会各方面，都应当积极开展生态环境保护和公共卫生安全的宣传教育和引导，全社会成员要自觉增强生态保护和公共卫生安全意识，移风易俗，革除滥食野生动物陋习，养成科学健康文明的生活方式。</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六、各级人民政府及其有关部门应当健全执法管理体制，明确执法责任主体，落实执法管理责任，加强协调配合，加大监督检查和责任追究力度，严格查处违反本决定和有关法律法规的行为；对违法经营场所和违法经营者，依法予以取缔或者查封、关闭。</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七、国务院及其有关部门和省、自治区、直辖市应当依据本决定和有关法律，制定、调整相关名录和配套规定。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国务院和地方人民政府应当采取必要措施，为本决定的实施提供相应保障。有关地方人民政府应当支持、指导、帮助受影响的农户调整、转变生产经营活动，根据实际情况给予一定补偿。</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pPr>
      <w:r>
        <w:rPr>
          <w:rFonts w:hint="eastAsia" w:ascii="仿宋" w:hAnsi="仿宋" w:eastAsia="仿宋" w:cs="仿宋"/>
          <w:i w:val="0"/>
          <w:caps w:val="0"/>
          <w:color w:val="000000"/>
          <w:spacing w:val="0"/>
          <w:sz w:val="32"/>
          <w:szCs w:val="32"/>
          <w:shd w:val="clear" w:color="070000" w:fill="FFFFFF"/>
        </w:rPr>
        <w:t>八、本决定自公布之日起施行。</w:t>
      </w:r>
    </w:p>
    <w:p>
      <w:pPr>
        <w:rPr>
          <w:rFonts w:hint="eastAsia" w:ascii="宋体" w:hAnsi="宋体" w:eastAsia="宋体" w:cs="Arial"/>
          <w:kern w:val="0"/>
          <w:szCs w:val="32"/>
        </w:rPr>
      </w:pPr>
      <w:r>
        <w:rPr>
          <w:rFonts w:hint="eastAsia" w:ascii="宋体" w:hAnsi="宋体" w:eastAsia="宋体" w:cs="宋体"/>
          <w:b w:val="0"/>
          <w:bCs w:val="0"/>
          <w:kern w:val="0"/>
          <w:sz w:val="44"/>
          <w:szCs w:val="44"/>
          <w:lang w:val="en-US" w:eastAsia="zh-CN" w:bidi="ar-SA"/>
        </w:rPr>
        <w:br w:type="page"/>
      </w:r>
    </w:p>
    <w:p>
      <w:pPr>
        <w:rPr>
          <w:rFonts w:hint="eastAsia" w:ascii="宋体" w:hAnsi="宋体" w:eastAsia="宋体" w:cs="Arial"/>
          <w:kern w:val="0"/>
          <w:szCs w:val="32"/>
        </w:rPr>
      </w:pPr>
    </w:p>
    <w:p>
      <w:pPr>
        <w:jc w:val="center"/>
        <w:rPr>
          <w:rFonts w:ascii="宋体" w:hAnsi="宋体" w:eastAsia="宋体" w:cs="Arial"/>
          <w:bCs/>
          <w:sz w:val="44"/>
          <w:szCs w:val="44"/>
        </w:rPr>
      </w:pPr>
      <w:bookmarkStart w:id="183" w:name="Title"/>
      <w:r>
        <w:rPr>
          <w:rFonts w:ascii="宋体" w:hAnsi="宋体" w:eastAsia="宋体" w:cs="Arial"/>
          <w:bCs/>
          <w:sz w:val="44"/>
          <w:szCs w:val="44"/>
        </w:rPr>
        <w:t>中华人民共和国生物安全法</w:t>
      </w:r>
      <w:bookmarkEnd w:id="183"/>
    </w:p>
    <w:p>
      <w:pPr>
        <w:ind w:left="640" w:leftChars="200" w:right="640" w:rightChars="200"/>
        <w:rPr>
          <w:rFonts w:ascii="宋体" w:hAnsi="宋体" w:eastAsia="宋体" w:cs="Arial"/>
          <w:bCs/>
          <w:szCs w:val="32"/>
        </w:rPr>
      </w:pPr>
      <w:bookmarkStart w:id="184" w:name="AddRun"/>
    </w:p>
    <w:bookmarkEnd w:id="184"/>
    <w:p>
      <w:pPr>
        <w:ind w:left="640" w:leftChars="200" w:right="640" w:rightChars="200"/>
        <w:rPr>
          <w:rFonts w:hint="eastAsia" w:ascii="宋体" w:hAnsi="宋体" w:eastAsia="宋体" w:cs="Arial"/>
          <w:bCs/>
          <w:szCs w:val="32"/>
        </w:rPr>
      </w:pPr>
      <w:bookmarkStart w:id="185" w:name="TitleDescription"/>
      <w:r>
        <w:rPr>
          <w:rFonts w:hint="eastAsia" w:ascii="楷体_GB2312" w:hAnsi="Arial" w:eastAsia="楷体_GB2312" w:cs="Arial"/>
          <w:szCs w:val="32"/>
        </w:rPr>
        <w:t>（</w:t>
      </w:r>
      <w:r>
        <w:rPr>
          <w:rFonts w:hint="default" w:ascii="Times New Roman" w:hAnsi="Times New Roman" w:eastAsia="楷体_GB2312" w:cs="Times New Roman"/>
          <w:szCs w:val="32"/>
        </w:rPr>
        <w:t>2020</w:t>
      </w:r>
      <w:r>
        <w:rPr>
          <w:rFonts w:hint="eastAsia" w:ascii="楷体_GB2312" w:hAnsi="Arial" w:eastAsia="楷体_GB2312" w:cs="Arial"/>
          <w:szCs w:val="32"/>
        </w:rPr>
        <w:t>年</w:t>
      </w:r>
      <w:r>
        <w:rPr>
          <w:rFonts w:hint="default" w:ascii="Times New Roman" w:hAnsi="Times New Roman" w:eastAsia="楷体_GB2312" w:cs="Times New Roman"/>
          <w:szCs w:val="32"/>
        </w:rPr>
        <w:t>10</w:t>
      </w:r>
      <w:r>
        <w:rPr>
          <w:rFonts w:hint="eastAsia" w:ascii="楷体_GB2312" w:hAnsi="Arial" w:eastAsia="楷体_GB2312" w:cs="Arial"/>
          <w:szCs w:val="32"/>
        </w:rPr>
        <w:t>月</w:t>
      </w:r>
      <w:r>
        <w:rPr>
          <w:rFonts w:hint="default" w:ascii="Times New Roman" w:hAnsi="Times New Roman" w:eastAsia="楷体_GB2312" w:cs="Times New Roman"/>
          <w:szCs w:val="32"/>
        </w:rPr>
        <w:t>17</w:t>
      </w:r>
      <w:r>
        <w:rPr>
          <w:rFonts w:hint="eastAsia" w:ascii="楷体_GB2312" w:hAnsi="Arial" w:eastAsia="楷体_GB2312" w:cs="Arial"/>
          <w:szCs w:val="32"/>
        </w:rPr>
        <w:t>日第十三届全国人民代表大会常务委员会第二十二次会议通过）</w:t>
      </w:r>
      <w:bookmarkEnd w:id="185"/>
    </w:p>
    <w:p>
      <w:pPr>
        <w:spacing w:line="240" w:lineRule="auto"/>
        <w:ind w:firstLine="0"/>
        <w:jc w:val="both"/>
      </w:pPr>
    </w:p>
    <w:p>
      <w:pPr>
        <w:spacing w:line="240" w:lineRule="auto"/>
        <w:ind w:firstLine="0"/>
        <w:jc w:val="center"/>
      </w:pPr>
      <w:r>
        <w:rPr>
          <w:rFonts w:ascii="楷体_GB2312" w:hAnsi="楷体_GB2312" w:eastAsia="楷体_GB2312" w:cs="楷体_GB2312"/>
          <w:sz w:val="32"/>
        </w:rPr>
        <w:t>目　　录</w:t>
      </w:r>
    </w:p>
    <w:p>
      <w:pPr>
        <w:spacing w:line="240" w:lineRule="auto"/>
        <w:ind w:firstLine="640"/>
        <w:jc w:val="both"/>
      </w:pPr>
      <w:r>
        <w:rPr>
          <w:rFonts w:ascii="楷体_GB2312" w:hAnsi="楷体_GB2312" w:eastAsia="楷体_GB2312" w:cs="楷体_GB2312"/>
          <w:sz w:val="32"/>
        </w:rPr>
        <w:t>第一章　总　　则</w:t>
      </w:r>
    </w:p>
    <w:p>
      <w:pPr>
        <w:spacing w:line="240" w:lineRule="auto"/>
        <w:ind w:firstLine="640"/>
        <w:jc w:val="both"/>
      </w:pPr>
      <w:r>
        <w:rPr>
          <w:rFonts w:ascii="楷体_GB2312" w:hAnsi="楷体_GB2312" w:eastAsia="楷体_GB2312" w:cs="楷体_GB2312"/>
          <w:sz w:val="32"/>
        </w:rPr>
        <w:t>第二章　生物安全风险防控体制</w:t>
      </w:r>
    </w:p>
    <w:p>
      <w:pPr>
        <w:spacing w:line="240" w:lineRule="auto"/>
        <w:ind w:firstLine="640"/>
        <w:jc w:val="both"/>
      </w:pPr>
      <w:r>
        <w:rPr>
          <w:rFonts w:ascii="楷体_GB2312" w:hAnsi="楷体_GB2312" w:eastAsia="楷体_GB2312" w:cs="楷体_GB2312"/>
          <w:sz w:val="32"/>
        </w:rPr>
        <w:t>第三章　防控重大新发突发传染病、动植物疫情</w:t>
      </w:r>
    </w:p>
    <w:p>
      <w:pPr>
        <w:spacing w:line="240" w:lineRule="auto"/>
        <w:ind w:firstLine="640"/>
        <w:jc w:val="both"/>
      </w:pPr>
      <w:r>
        <w:rPr>
          <w:rFonts w:ascii="楷体_GB2312" w:hAnsi="楷体_GB2312" w:eastAsia="楷体_GB2312" w:cs="楷体_GB2312"/>
          <w:sz w:val="32"/>
        </w:rPr>
        <w:t>第四章　生物技术研究、开发与应用安全</w:t>
      </w:r>
    </w:p>
    <w:p>
      <w:pPr>
        <w:spacing w:line="240" w:lineRule="auto"/>
        <w:ind w:firstLine="640"/>
        <w:jc w:val="both"/>
      </w:pPr>
      <w:r>
        <w:rPr>
          <w:rFonts w:ascii="楷体_GB2312" w:hAnsi="楷体_GB2312" w:eastAsia="楷体_GB2312" w:cs="楷体_GB2312"/>
          <w:sz w:val="32"/>
        </w:rPr>
        <w:t>第五章　病原微生物实验室生物安全</w:t>
      </w:r>
    </w:p>
    <w:p>
      <w:pPr>
        <w:spacing w:line="240" w:lineRule="auto"/>
        <w:ind w:firstLine="640"/>
        <w:jc w:val="both"/>
      </w:pPr>
      <w:r>
        <w:rPr>
          <w:rFonts w:ascii="楷体_GB2312" w:hAnsi="楷体_GB2312" w:eastAsia="楷体_GB2312" w:cs="楷体_GB2312"/>
          <w:sz w:val="32"/>
        </w:rPr>
        <w:t>第六章　人类遗传资源与生物资源安全</w:t>
      </w:r>
    </w:p>
    <w:p>
      <w:pPr>
        <w:spacing w:line="240" w:lineRule="auto"/>
        <w:ind w:firstLine="640"/>
        <w:jc w:val="both"/>
      </w:pPr>
      <w:r>
        <w:rPr>
          <w:rFonts w:ascii="楷体_GB2312" w:hAnsi="楷体_GB2312" w:eastAsia="楷体_GB2312" w:cs="楷体_GB2312"/>
          <w:sz w:val="32"/>
        </w:rPr>
        <w:t>第七章　防范生物恐怖与生物武器威胁</w:t>
      </w:r>
    </w:p>
    <w:p>
      <w:pPr>
        <w:spacing w:line="240" w:lineRule="auto"/>
        <w:ind w:firstLine="640"/>
        <w:jc w:val="both"/>
      </w:pPr>
      <w:r>
        <w:rPr>
          <w:rFonts w:ascii="楷体_GB2312" w:hAnsi="楷体_GB2312" w:eastAsia="楷体_GB2312" w:cs="楷体_GB2312"/>
          <w:sz w:val="32"/>
        </w:rPr>
        <w:t>第八章　生物安全能力建设</w:t>
      </w:r>
    </w:p>
    <w:p>
      <w:pPr>
        <w:spacing w:line="240" w:lineRule="auto"/>
        <w:ind w:firstLine="640"/>
        <w:jc w:val="both"/>
      </w:pPr>
      <w:r>
        <w:rPr>
          <w:rFonts w:ascii="楷体_GB2312" w:hAnsi="楷体_GB2312" w:eastAsia="楷体_GB2312" w:cs="楷体_GB2312"/>
          <w:sz w:val="32"/>
        </w:rPr>
        <w:t>第九章　法律责任</w:t>
      </w:r>
    </w:p>
    <w:p>
      <w:pPr>
        <w:spacing w:line="240" w:lineRule="auto"/>
        <w:ind w:firstLine="640"/>
        <w:jc w:val="both"/>
      </w:pPr>
      <w:r>
        <w:rPr>
          <w:rFonts w:ascii="楷体_GB2312" w:hAnsi="楷体_GB2312" w:eastAsia="楷体_GB2312" w:cs="楷体_GB2312"/>
          <w:sz w:val="32"/>
        </w:rPr>
        <w:t>第十章　附　　则</w:t>
      </w:r>
    </w:p>
    <w:p>
      <w:pPr>
        <w:spacing w:line="240" w:lineRule="auto"/>
        <w:ind w:firstLine="0"/>
        <w:jc w:val="both"/>
      </w:pPr>
    </w:p>
    <w:p>
      <w:pPr>
        <w:spacing w:line="240" w:lineRule="auto"/>
        <w:ind w:firstLine="0"/>
        <w:jc w:val="center"/>
      </w:pPr>
      <w:r>
        <w:rPr>
          <w:rFonts w:ascii="黑体" w:hAnsi="黑体" w:eastAsia="黑体" w:cs="黑体"/>
          <w:sz w:val="32"/>
        </w:rPr>
        <w:t>第一章　总　　则</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第一条</w:t>
      </w:r>
      <w:r>
        <w:rPr>
          <w:rFonts w:ascii="仿宋_GB2312" w:hAnsi="仿宋_GB2312" w:eastAsia="仿宋_GB2312" w:cs="仿宋_GB2312"/>
          <w:sz w:val="32"/>
        </w:rPr>
        <w:t>　为了维护国家安全，防范和应对生物安全风险，保障人民生命健康，保护生物资源和生态环境，促进生物技术健康发展，推动构建人类命运共同体，实现人与自然和谐共生，制定本法。</w:t>
      </w:r>
    </w:p>
    <w:p>
      <w:pPr>
        <w:spacing w:line="240" w:lineRule="auto"/>
        <w:ind w:firstLine="640"/>
        <w:jc w:val="both"/>
      </w:pPr>
      <w:r>
        <w:rPr>
          <w:rFonts w:ascii="黑体" w:hAnsi="黑体" w:eastAsia="黑体" w:cs="黑体"/>
          <w:sz w:val="32"/>
        </w:rPr>
        <w:t>第二条</w:t>
      </w:r>
      <w:r>
        <w:rPr>
          <w:rFonts w:ascii="仿宋_GB2312" w:hAnsi="仿宋_GB2312" w:eastAsia="仿宋_GB2312" w:cs="仿宋_GB2312"/>
          <w:sz w:val="32"/>
        </w:rPr>
        <w:t>　本法所称生物安全，是指国家有效防范和应对危险生物因子及相关因素威胁，生物技术能够稳定健康发展，人民生命健康和生态系统相对处于没有危险和不受威胁的状态，生物领域具备维护国家安全和持续发展的能力。</w:t>
      </w:r>
    </w:p>
    <w:p>
      <w:pPr>
        <w:spacing w:line="240" w:lineRule="auto"/>
        <w:ind w:firstLine="640"/>
        <w:jc w:val="both"/>
      </w:pPr>
      <w:r>
        <w:rPr>
          <w:rFonts w:ascii="仿宋_GB2312" w:hAnsi="仿宋_GB2312" w:eastAsia="仿宋_GB2312" w:cs="仿宋_GB2312"/>
          <w:sz w:val="32"/>
        </w:rPr>
        <w:t>从事下列活动，适用本法：</w:t>
      </w:r>
    </w:p>
    <w:p>
      <w:pPr>
        <w:spacing w:line="240" w:lineRule="auto"/>
        <w:ind w:firstLine="640"/>
        <w:jc w:val="both"/>
      </w:pPr>
      <w:r>
        <w:rPr>
          <w:rFonts w:ascii="仿宋_GB2312" w:hAnsi="仿宋_GB2312" w:eastAsia="仿宋_GB2312" w:cs="仿宋_GB2312"/>
          <w:sz w:val="32"/>
        </w:rPr>
        <w:t>（一）防控重大新发突发传染病、动植物疫情；</w:t>
      </w:r>
    </w:p>
    <w:p>
      <w:pPr>
        <w:spacing w:line="240" w:lineRule="auto"/>
        <w:ind w:firstLine="640"/>
        <w:jc w:val="both"/>
      </w:pPr>
      <w:r>
        <w:rPr>
          <w:rFonts w:ascii="仿宋_GB2312" w:hAnsi="仿宋_GB2312" w:eastAsia="仿宋_GB2312" w:cs="仿宋_GB2312"/>
          <w:sz w:val="32"/>
        </w:rPr>
        <w:t>（二）生物技术研究、开发与应用；</w:t>
      </w:r>
    </w:p>
    <w:p>
      <w:pPr>
        <w:spacing w:line="240" w:lineRule="auto"/>
        <w:ind w:firstLine="640"/>
        <w:jc w:val="both"/>
      </w:pPr>
      <w:r>
        <w:rPr>
          <w:rFonts w:ascii="仿宋_GB2312" w:hAnsi="仿宋_GB2312" w:eastAsia="仿宋_GB2312" w:cs="仿宋_GB2312"/>
          <w:sz w:val="32"/>
        </w:rPr>
        <w:t>（三）病原微生物实验室生物安全管理；</w:t>
      </w:r>
    </w:p>
    <w:p>
      <w:pPr>
        <w:spacing w:line="240" w:lineRule="auto"/>
        <w:ind w:firstLine="640"/>
        <w:jc w:val="both"/>
      </w:pPr>
      <w:r>
        <w:rPr>
          <w:rFonts w:ascii="仿宋_GB2312" w:hAnsi="仿宋_GB2312" w:eastAsia="仿宋_GB2312" w:cs="仿宋_GB2312"/>
          <w:sz w:val="32"/>
        </w:rPr>
        <w:t>（四）人类遗传资源与生物资源安全管理；</w:t>
      </w:r>
    </w:p>
    <w:p>
      <w:pPr>
        <w:spacing w:line="240" w:lineRule="auto"/>
        <w:ind w:firstLine="640"/>
        <w:jc w:val="both"/>
      </w:pPr>
      <w:r>
        <w:rPr>
          <w:rFonts w:ascii="仿宋_GB2312" w:hAnsi="仿宋_GB2312" w:eastAsia="仿宋_GB2312" w:cs="仿宋_GB2312"/>
          <w:sz w:val="32"/>
        </w:rPr>
        <w:t>（五）防范外来物种入侵与保护生物多样性；</w:t>
      </w:r>
    </w:p>
    <w:p>
      <w:pPr>
        <w:spacing w:line="240" w:lineRule="auto"/>
        <w:ind w:firstLine="640"/>
        <w:jc w:val="both"/>
      </w:pPr>
      <w:r>
        <w:rPr>
          <w:rFonts w:ascii="仿宋_GB2312" w:hAnsi="仿宋_GB2312" w:eastAsia="仿宋_GB2312" w:cs="仿宋_GB2312"/>
          <w:sz w:val="32"/>
        </w:rPr>
        <w:t>（六）应对微生物耐药；</w:t>
      </w:r>
    </w:p>
    <w:p>
      <w:pPr>
        <w:spacing w:line="240" w:lineRule="auto"/>
        <w:ind w:firstLine="640"/>
        <w:jc w:val="both"/>
      </w:pPr>
      <w:r>
        <w:rPr>
          <w:rFonts w:ascii="仿宋_GB2312" w:hAnsi="仿宋_GB2312" w:eastAsia="仿宋_GB2312" w:cs="仿宋_GB2312"/>
          <w:sz w:val="32"/>
        </w:rPr>
        <w:t>（七）防范生物恐怖袭击与防御生物武器威胁；</w:t>
      </w:r>
    </w:p>
    <w:p>
      <w:pPr>
        <w:spacing w:line="240" w:lineRule="auto"/>
        <w:ind w:firstLine="640"/>
        <w:jc w:val="both"/>
      </w:pPr>
      <w:r>
        <w:rPr>
          <w:rFonts w:ascii="仿宋_GB2312" w:hAnsi="仿宋_GB2312" w:eastAsia="仿宋_GB2312" w:cs="仿宋_GB2312"/>
          <w:sz w:val="32"/>
        </w:rPr>
        <w:t>（八）其他与生物安全相关的活动。</w:t>
      </w:r>
    </w:p>
    <w:p>
      <w:pPr>
        <w:spacing w:line="240" w:lineRule="auto"/>
        <w:ind w:firstLine="640"/>
        <w:jc w:val="both"/>
      </w:pPr>
      <w:r>
        <w:rPr>
          <w:rFonts w:ascii="黑体" w:hAnsi="黑体" w:eastAsia="黑体" w:cs="黑体"/>
          <w:sz w:val="32"/>
        </w:rPr>
        <w:t>第三条</w:t>
      </w:r>
      <w:r>
        <w:rPr>
          <w:rFonts w:ascii="仿宋_GB2312" w:hAnsi="仿宋_GB2312" w:eastAsia="仿宋_GB2312" w:cs="仿宋_GB2312"/>
          <w:sz w:val="32"/>
        </w:rPr>
        <w:t>　生物安全是国家安全的重要组成部分。维护生物安全应当贯彻总体国家安全观，统筹发展和安全，坚持以人为本、风险预防、分类管理、协同配合的原则。</w:t>
      </w:r>
    </w:p>
    <w:p>
      <w:pPr>
        <w:spacing w:line="240" w:lineRule="auto"/>
        <w:ind w:firstLine="640"/>
        <w:jc w:val="both"/>
      </w:pPr>
      <w:r>
        <w:rPr>
          <w:rFonts w:ascii="黑体" w:hAnsi="黑体" w:eastAsia="黑体" w:cs="黑体"/>
          <w:sz w:val="32"/>
        </w:rPr>
        <w:t>第四条</w:t>
      </w:r>
      <w:r>
        <w:rPr>
          <w:rFonts w:ascii="仿宋_GB2312" w:hAnsi="仿宋_GB2312" w:eastAsia="仿宋_GB2312" w:cs="仿宋_GB2312"/>
          <w:sz w:val="32"/>
        </w:rPr>
        <w:t>　坚持中国共产党对国家生物安全工作的领导，建立健全国家生物安全领导体制，加强国家生物安全风险防控和治理体系建设，提高国家生物安全治理能力。</w:t>
      </w:r>
    </w:p>
    <w:p>
      <w:pPr>
        <w:spacing w:line="240" w:lineRule="auto"/>
        <w:ind w:firstLine="640"/>
        <w:jc w:val="both"/>
      </w:pPr>
      <w:r>
        <w:rPr>
          <w:rFonts w:ascii="黑体" w:hAnsi="黑体" w:eastAsia="黑体" w:cs="黑体"/>
          <w:sz w:val="32"/>
        </w:rPr>
        <w:t>第五条</w:t>
      </w:r>
      <w:r>
        <w:rPr>
          <w:rFonts w:ascii="仿宋_GB2312" w:hAnsi="仿宋_GB2312" w:eastAsia="仿宋_GB2312" w:cs="仿宋_GB2312"/>
          <w:sz w:val="32"/>
        </w:rPr>
        <w:t>　国家鼓励生物科技创新，加强生物安全基础设施和生物科技人才队伍建设，支持生物产业发展，以创新驱动提升生物科技水平，增强生物安全保障能力。</w:t>
      </w:r>
    </w:p>
    <w:p>
      <w:pPr>
        <w:spacing w:line="240" w:lineRule="auto"/>
        <w:ind w:firstLine="640"/>
        <w:jc w:val="both"/>
      </w:pPr>
      <w:r>
        <w:rPr>
          <w:rFonts w:ascii="黑体" w:hAnsi="黑体" w:eastAsia="黑体" w:cs="黑体"/>
          <w:sz w:val="32"/>
        </w:rPr>
        <w:t>第六条</w:t>
      </w:r>
      <w:r>
        <w:rPr>
          <w:rFonts w:ascii="仿宋_GB2312" w:hAnsi="仿宋_GB2312" w:eastAsia="仿宋_GB2312" w:cs="仿宋_GB2312"/>
          <w:sz w:val="32"/>
        </w:rPr>
        <w:t>　国家加强生物安全领域的国际合作，履行中华人民共和国缔结或者参加的国际条约规定的义务，支持参与生物科技交流合作与生物安全事件国际救援，积极参与生物安全国际规则的研究与制定，推动完善全球生物安全治理。</w:t>
      </w:r>
    </w:p>
    <w:p>
      <w:pPr>
        <w:spacing w:line="240" w:lineRule="auto"/>
        <w:ind w:firstLine="640"/>
        <w:jc w:val="both"/>
      </w:pPr>
      <w:r>
        <w:rPr>
          <w:rFonts w:ascii="黑体" w:hAnsi="黑体" w:eastAsia="黑体" w:cs="黑体"/>
          <w:sz w:val="32"/>
        </w:rPr>
        <w:t>第七条</w:t>
      </w:r>
      <w:r>
        <w:rPr>
          <w:rFonts w:ascii="仿宋_GB2312" w:hAnsi="仿宋_GB2312" w:eastAsia="仿宋_GB2312" w:cs="仿宋_GB2312"/>
          <w:sz w:val="32"/>
        </w:rPr>
        <w:t>　各级人民政府及其有关部门应当加强生物安全法律法规和生物安全知识宣传普及工作，引导基层群众性自治组织、社会组织开展生物安全法律法规和生物安全知识宣传，促进全社会生物安全意识的提升。</w:t>
      </w:r>
    </w:p>
    <w:p>
      <w:pPr>
        <w:spacing w:line="240" w:lineRule="auto"/>
        <w:ind w:firstLine="640"/>
        <w:jc w:val="both"/>
      </w:pPr>
      <w:r>
        <w:rPr>
          <w:rFonts w:ascii="仿宋_GB2312" w:hAnsi="仿宋_GB2312" w:eastAsia="仿宋_GB2312" w:cs="仿宋_GB2312"/>
          <w:sz w:val="32"/>
        </w:rPr>
        <w:t>相关科研院校、医疗机构以及其他企业事业单位应当将生物安全法律法规和生物安全知识纳入教育培训内容，加强学生、从业人员生物安全意识和伦理意识的培养。</w:t>
      </w:r>
    </w:p>
    <w:p>
      <w:pPr>
        <w:spacing w:line="240" w:lineRule="auto"/>
        <w:ind w:firstLine="640"/>
        <w:jc w:val="both"/>
      </w:pPr>
      <w:r>
        <w:rPr>
          <w:rFonts w:ascii="仿宋_GB2312" w:hAnsi="仿宋_GB2312" w:eastAsia="仿宋_GB2312" w:cs="仿宋_GB2312"/>
          <w:sz w:val="32"/>
        </w:rPr>
        <w:t>新闻媒体应当开展生物安全法律法规和生物安全知识公益宣传，对生物安全违法行为进行舆论监督，增强公众维护生物安全的社会责任意识。</w:t>
      </w:r>
    </w:p>
    <w:p>
      <w:pPr>
        <w:spacing w:line="240" w:lineRule="auto"/>
        <w:ind w:firstLine="640"/>
        <w:jc w:val="both"/>
      </w:pPr>
      <w:r>
        <w:rPr>
          <w:rFonts w:ascii="黑体" w:hAnsi="黑体" w:eastAsia="黑体" w:cs="黑体"/>
          <w:sz w:val="32"/>
        </w:rPr>
        <w:t>第八条</w:t>
      </w:r>
      <w:r>
        <w:rPr>
          <w:rFonts w:ascii="仿宋_GB2312" w:hAnsi="仿宋_GB2312" w:eastAsia="仿宋_GB2312" w:cs="仿宋_GB2312"/>
          <w:sz w:val="32"/>
        </w:rPr>
        <w:t>　任何单位和个人不得危害生物安全。</w:t>
      </w:r>
    </w:p>
    <w:p>
      <w:pPr>
        <w:spacing w:line="240" w:lineRule="auto"/>
        <w:ind w:firstLine="640"/>
        <w:jc w:val="both"/>
      </w:pPr>
      <w:r>
        <w:rPr>
          <w:rFonts w:ascii="仿宋_GB2312" w:hAnsi="仿宋_GB2312" w:eastAsia="仿宋_GB2312" w:cs="仿宋_GB2312"/>
          <w:sz w:val="32"/>
        </w:rPr>
        <w:t>任何单位和个人有权举报危害生物安全的行为；接到举报的部门应当及时依法处理。</w:t>
      </w:r>
    </w:p>
    <w:p>
      <w:pPr>
        <w:spacing w:line="240" w:lineRule="auto"/>
        <w:ind w:firstLine="640"/>
        <w:jc w:val="both"/>
      </w:pPr>
      <w:r>
        <w:rPr>
          <w:rFonts w:ascii="黑体" w:hAnsi="黑体" w:eastAsia="黑体" w:cs="黑体"/>
          <w:sz w:val="32"/>
        </w:rPr>
        <w:t>第九条</w:t>
      </w:r>
      <w:r>
        <w:rPr>
          <w:rFonts w:ascii="仿宋_GB2312" w:hAnsi="仿宋_GB2312" w:eastAsia="仿宋_GB2312" w:cs="仿宋_GB2312"/>
          <w:sz w:val="32"/>
        </w:rPr>
        <w:t>　对在生物安全工作中做出突出贡献的单位和个人，县级以上人民政府及其有关部门按照国家规定予以表彰和奖励。</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第二章　生物安全风险防控体制</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第十条</w:t>
      </w:r>
      <w:r>
        <w:rPr>
          <w:rFonts w:ascii="仿宋_GB2312" w:hAnsi="仿宋_GB2312" w:eastAsia="仿宋_GB2312" w:cs="仿宋_GB2312"/>
          <w:sz w:val="32"/>
        </w:rPr>
        <w:t>　中央国家安全领导机构负责国家生物安全工作的决策和议事协调，研究制定、指导实施国家生物安全战略和有关重大方针政策，统筹协调国家生物安全的重大事项和重要工作，建立国家生物安全工作协调机制。</w:t>
      </w:r>
    </w:p>
    <w:p>
      <w:pPr>
        <w:spacing w:line="240" w:lineRule="auto"/>
        <w:ind w:firstLine="640"/>
        <w:jc w:val="both"/>
      </w:pPr>
      <w:r>
        <w:rPr>
          <w:rFonts w:ascii="仿宋_GB2312" w:hAnsi="仿宋_GB2312" w:eastAsia="仿宋_GB2312" w:cs="仿宋_GB2312"/>
          <w:sz w:val="32"/>
        </w:rPr>
        <w:t>省、自治区、直辖市建立生物安全工作协调机制，组织协调、督促推进本行政区域内生物安全相关工作。</w:t>
      </w:r>
    </w:p>
    <w:p>
      <w:pPr>
        <w:spacing w:line="240" w:lineRule="auto"/>
        <w:ind w:firstLine="640"/>
        <w:jc w:val="both"/>
      </w:pPr>
      <w:r>
        <w:rPr>
          <w:rFonts w:ascii="黑体" w:hAnsi="黑体" w:eastAsia="黑体" w:cs="黑体"/>
          <w:sz w:val="32"/>
        </w:rPr>
        <w:t>第十一条</w:t>
      </w:r>
      <w:r>
        <w:rPr>
          <w:rFonts w:ascii="仿宋_GB2312" w:hAnsi="仿宋_GB2312" w:eastAsia="仿宋_GB2312" w:cs="仿宋_GB2312"/>
          <w:sz w:val="32"/>
        </w:rPr>
        <w:t>　国家生物安全工作协调机制由国务院卫生健康、农业农村、科学技术、外交等主管部门和有关军事机关组成，分析研判国家生物安全形势，组织协调、督促推进国家生物安全相关工作。国家生物安全工作协调机制设立办公室，负责协调机制的日常工作。</w:t>
      </w:r>
    </w:p>
    <w:p>
      <w:pPr>
        <w:spacing w:line="240" w:lineRule="auto"/>
        <w:ind w:firstLine="640"/>
        <w:jc w:val="both"/>
      </w:pPr>
      <w:r>
        <w:rPr>
          <w:rFonts w:ascii="仿宋_GB2312" w:hAnsi="仿宋_GB2312" w:eastAsia="仿宋_GB2312" w:cs="仿宋_GB2312"/>
          <w:sz w:val="32"/>
        </w:rPr>
        <w:t>国家生物安全工作协调机制成员单位和国务院其他有关部门根据职责分工，负责生物安全相关工作。</w:t>
      </w:r>
    </w:p>
    <w:p>
      <w:pPr>
        <w:spacing w:line="240" w:lineRule="auto"/>
        <w:ind w:firstLine="640"/>
        <w:jc w:val="both"/>
      </w:pPr>
      <w:r>
        <w:rPr>
          <w:rFonts w:ascii="黑体" w:hAnsi="黑体" w:eastAsia="黑体" w:cs="黑体"/>
          <w:sz w:val="32"/>
        </w:rPr>
        <w:t>第十二条</w:t>
      </w:r>
      <w:r>
        <w:rPr>
          <w:rFonts w:ascii="仿宋_GB2312" w:hAnsi="仿宋_GB2312" w:eastAsia="仿宋_GB2312" w:cs="仿宋_GB2312"/>
          <w:sz w:val="32"/>
        </w:rPr>
        <w:t>　国家生物安全工作协调机制设立专家委员会，为国家生物安全战略研究、政策制定及实施提供决策咨询。</w:t>
      </w:r>
    </w:p>
    <w:p>
      <w:pPr>
        <w:spacing w:line="240" w:lineRule="auto"/>
        <w:ind w:firstLine="640"/>
        <w:jc w:val="both"/>
      </w:pPr>
      <w:r>
        <w:rPr>
          <w:rFonts w:ascii="仿宋_GB2312" w:hAnsi="仿宋_GB2312" w:eastAsia="仿宋_GB2312" w:cs="仿宋_GB2312"/>
          <w:sz w:val="32"/>
        </w:rPr>
        <w:t>国务院有关部门组织建立相关领域、行业的生物安全技术咨询专家委员会，为生物安全工作提供咨询、评估、论证等技术支撑。</w:t>
      </w:r>
    </w:p>
    <w:p>
      <w:pPr>
        <w:spacing w:line="240" w:lineRule="auto"/>
        <w:ind w:firstLine="640"/>
        <w:jc w:val="both"/>
      </w:pPr>
      <w:r>
        <w:rPr>
          <w:rFonts w:ascii="黑体" w:hAnsi="黑体" w:eastAsia="黑体" w:cs="黑体"/>
          <w:sz w:val="32"/>
        </w:rPr>
        <w:t>第十三条</w:t>
      </w:r>
      <w:r>
        <w:rPr>
          <w:rFonts w:ascii="仿宋_GB2312" w:hAnsi="仿宋_GB2312" w:eastAsia="仿宋_GB2312" w:cs="仿宋_GB2312"/>
          <w:sz w:val="32"/>
        </w:rPr>
        <w:t>　地方各级人民政府对本行政区域内生物安全工作负责。</w:t>
      </w:r>
    </w:p>
    <w:p>
      <w:pPr>
        <w:spacing w:line="240" w:lineRule="auto"/>
        <w:ind w:firstLine="640"/>
        <w:jc w:val="both"/>
      </w:pPr>
      <w:r>
        <w:rPr>
          <w:rFonts w:ascii="仿宋_GB2312" w:hAnsi="仿宋_GB2312" w:eastAsia="仿宋_GB2312" w:cs="仿宋_GB2312"/>
          <w:sz w:val="32"/>
        </w:rPr>
        <w:t>县级以上地方人民政府有关部门根据职责分工，负责生物安全相关工作。</w:t>
      </w:r>
    </w:p>
    <w:p>
      <w:pPr>
        <w:spacing w:line="240" w:lineRule="auto"/>
        <w:ind w:firstLine="640"/>
        <w:jc w:val="both"/>
      </w:pPr>
      <w:r>
        <w:rPr>
          <w:rFonts w:ascii="仿宋_GB2312" w:hAnsi="仿宋_GB2312" w:eastAsia="仿宋_GB2312" w:cs="仿宋_GB2312"/>
          <w:sz w:val="32"/>
        </w:rPr>
        <w:t>基层群众性自治组织应当协助地方人民政府以及有关部门做好生物安全风险防控、应急处置和宣传教育等工作。</w:t>
      </w:r>
    </w:p>
    <w:p>
      <w:pPr>
        <w:spacing w:line="240" w:lineRule="auto"/>
        <w:ind w:firstLine="640"/>
        <w:jc w:val="both"/>
      </w:pPr>
      <w:r>
        <w:rPr>
          <w:rFonts w:ascii="仿宋_GB2312" w:hAnsi="仿宋_GB2312" w:eastAsia="仿宋_GB2312" w:cs="仿宋_GB2312"/>
          <w:sz w:val="32"/>
        </w:rPr>
        <w:t>有关单位和个人应当配合做好生物安全风险防控和应急处置等工作。</w:t>
      </w:r>
    </w:p>
    <w:p>
      <w:pPr>
        <w:spacing w:line="240" w:lineRule="auto"/>
        <w:ind w:firstLine="640"/>
        <w:jc w:val="both"/>
      </w:pPr>
      <w:r>
        <w:rPr>
          <w:rFonts w:ascii="黑体" w:hAnsi="黑体" w:eastAsia="黑体" w:cs="黑体"/>
          <w:sz w:val="32"/>
        </w:rPr>
        <w:t>第十四条</w:t>
      </w:r>
      <w:r>
        <w:rPr>
          <w:rFonts w:ascii="仿宋_GB2312" w:hAnsi="仿宋_GB2312" w:eastAsia="仿宋_GB2312" w:cs="仿宋_GB2312"/>
          <w:sz w:val="32"/>
        </w:rPr>
        <w:t>　国家建立生物安全风险监测预警制度。国家生物安全工作协调机制组织建立国家生物安全风险监测预警体系，提高生物安全风险识别和分析能力。</w:t>
      </w:r>
    </w:p>
    <w:p>
      <w:pPr>
        <w:spacing w:line="240" w:lineRule="auto"/>
        <w:ind w:firstLine="640"/>
        <w:jc w:val="both"/>
      </w:pPr>
      <w:r>
        <w:rPr>
          <w:rFonts w:ascii="黑体" w:hAnsi="黑体" w:eastAsia="黑体" w:cs="黑体"/>
          <w:sz w:val="32"/>
        </w:rPr>
        <w:t>第十五条</w:t>
      </w:r>
      <w:r>
        <w:rPr>
          <w:rFonts w:ascii="仿宋_GB2312" w:hAnsi="仿宋_GB2312" w:eastAsia="仿宋_GB2312" w:cs="仿宋_GB2312"/>
          <w:sz w:val="32"/>
        </w:rPr>
        <w:t>　国家建立生物安全风险调查评估制度。国家生物安全工作协调机制应当根据风险监测的数据、资料等信息，定期组织开展生物安全风险调查评估。</w:t>
      </w:r>
    </w:p>
    <w:p>
      <w:pPr>
        <w:spacing w:line="240" w:lineRule="auto"/>
        <w:ind w:firstLine="640"/>
        <w:jc w:val="both"/>
      </w:pPr>
      <w:r>
        <w:rPr>
          <w:rFonts w:ascii="仿宋_GB2312" w:hAnsi="仿宋_GB2312" w:eastAsia="仿宋_GB2312" w:cs="仿宋_GB2312"/>
          <w:sz w:val="32"/>
        </w:rPr>
        <w:t>有下列情形之一的，有关部门应当及时开展生物安全风险调查评估，依法采取必要的风险防控措施：</w:t>
      </w:r>
    </w:p>
    <w:p>
      <w:pPr>
        <w:spacing w:line="240" w:lineRule="auto"/>
        <w:ind w:firstLine="640"/>
        <w:jc w:val="both"/>
      </w:pPr>
      <w:r>
        <w:rPr>
          <w:rFonts w:ascii="仿宋_GB2312" w:hAnsi="仿宋_GB2312" w:eastAsia="仿宋_GB2312" w:cs="仿宋_GB2312"/>
          <w:sz w:val="32"/>
        </w:rPr>
        <w:t>（一）通过风险监测或者接到举报发现可能存在生物安全风险；</w:t>
      </w:r>
    </w:p>
    <w:p>
      <w:pPr>
        <w:spacing w:line="240" w:lineRule="auto"/>
        <w:ind w:firstLine="640"/>
        <w:jc w:val="both"/>
      </w:pPr>
      <w:r>
        <w:rPr>
          <w:rFonts w:ascii="仿宋_GB2312" w:hAnsi="仿宋_GB2312" w:eastAsia="仿宋_GB2312" w:cs="仿宋_GB2312"/>
          <w:sz w:val="32"/>
        </w:rPr>
        <w:t>（二）为确定监督管理的重点领域、重点项目，制定、调整生物安全相关名录或者清单；</w:t>
      </w:r>
    </w:p>
    <w:p>
      <w:pPr>
        <w:spacing w:line="240" w:lineRule="auto"/>
        <w:ind w:firstLine="640"/>
        <w:jc w:val="both"/>
      </w:pPr>
      <w:r>
        <w:rPr>
          <w:rFonts w:ascii="仿宋_GB2312" w:hAnsi="仿宋_GB2312" w:eastAsia="仿宋_GB2312" w:cs="仿宋_GB2312"/>
          <w:sz w:val="32"/>
        </w:rPr>
        <w:t>（三）发生重大新发突发传染病、动植物疫情等危害生物安全的事件；</w:t>
      </w:r>
    </w:p>
    <w:p>
      <w:pPr>
        <w:spacing w:line="240" w:lineRule="auto"/>
        <w:ind w:firstLine="640"/>
        <w:jc w:val="both"/>
      </w:pPr>
      <w:r>
        <w:rPr>
          <w:rFonts w:ascii="仿宋_GB2312" w:hAnsi="仿宋_GB2312" w:eastAsia="仿宋_GB2312" w:cs="仿宋_GB2312"/>
          <w:sz w:val="32"/>
        </w:rPr>
        <w:t>（四）需要调查评估的其他情形。</w:t>
      </w:r>
    </w:p>
    <w:p>
      <w:pPr>
        <w:spacing w:line="240" w:lineRule="auto"/>
        <w:ind w:firstLine="640"/>
        <w:jc w:val="both"/>
      </w:pPr>
      <w:r>
        <w:rPr>
          <w:rFonts w:ascii="黑体" w:hAnsi="黑体" w:eastAsia="黑体" w:cs="黑体"/>
          <w:sz w:val="32"/>
        </w:rPr>
        <w:t>第十六条</w:t>
      </w:r>
      <w:r>
        <w:rPr>
          <w:rFonts w:ascii="仿宋_GB2312" w:hAnsi="仿宋_GB2312" w:eastAsia="仿宋_GB2312" w:cs="仿宋_GB2312"/>
          <w:sz w:val="32"/>
        </w:rPr>
        <w:t>　国家建立生物安全信息共享制度。国家生物安全工作协调机制组织建立统一的国家生物安全信息平台，有关部门应当将生物安全数据、资料等信息汇交国家生物安全信息平台，实现信息共享。</w:t>
      </w:r>
    </w:p>
    <w:p>
      <w:pPr>
        <w:spacing w:line="240" w:lineRule="auto"/>
        <w:ind w:firstLine="640"/>
        <w:jc w:val="both"/>
      </w:pPr>
      <w:r>
        <w:rPr>
          <w:rFonts w:ascii="黑体" w:hAnsi="黑体" w:eastAsia="黑体" w:cs="黑体"/>
          <w:sz w:val="32"/>
        </w:rPr>
        <w:t>第十七条</w:t>
      </w:r>
      <w:r>
        <w:rPr>
          <w:rFonts w:ascii="仿宋_GB2312" w:hAnsi="仿宋_GB2312" w:eastAsia="仿宋_GB2312" w:cs="仿宋_GB2312"/>
          <w:sz w:val="32"/>
        </w:rPr>
        <w:t>　国家建立生物安全信息发布制度。国家生物安全总体情况、重大生物安全风险警示信息、重大生物安全事件及其调查处理信息等重大生物安全信息，由国家生物安全工作协调机制成员单位根据职责分工发布；其他生物安全信息由国务院有关部门和县级以上地方人民政府及其有关部门根据职责权限发布。</w:t>
      </w:r>
    </w:p>
    <w:p>
      <w:pPr>
        <w:spacing w:line="240" w:lineRule="auto"/>
        <w:ind w:firstLine="640"/>
        <w:jc w:val="both"/>
      </w:pPr>
      <w:r>
        <w:rPr>
          <w:rFonts w:ascii="仿宋_GB2312" w:hAnsi="仿宋_GB2312" w:eastAsia="仿宋_GB2312" w:cs="仿宋_GB2312"/>
          <w:sz w:val="32"/>
        </w:rPr>
        <w:t>任何单位和个人不得编造、散布虚假的生物安全信息。</w:t>
      </w:r>
    </w:p>
    <w:p>
      <w:pPr>
        <w:spacing w:line="240" w:lineRule="auto"/>
        <w:ind w:firstLine="640"/>
        <w:jc w:val="both"/>
      </w:pPr>
      <w:r>
        <w:rPr>
          <w:rFonts w:ascii="黑体" w:hAnsi="黑体" w:eastAsia="黑体" w:cs="黑体"/>
          <w:sz w:val="32"/>
        </w:rPr>
        <w:t>第十八条</w:t>
      </w:r>
      <w:r>
        <w:rPr>
          <w:rFonts w:ascii="仿宋_GB2312" w:hAnsi="仿宋_GB2312" w:eastAsia="仿宋_GB2312" w:cs="仿宋_GB2312"/>
          <w:sz w:val="32"/>
        </w:rPr>
        <w:t>　国家建立生物安全名录和清单制度。国务院及其有关部门根据生物安全工作需要，对涉及生物安全的材料、设备、技术、活动、重要生物资源数据、传染病、动植物疫病、外来入侵物种等制定、公布名录或者清单，并动态调整。</w:t>
      </w:r>
    </w:p>
    <w:p>
      <w:pPr>
        <w:spacing w:line="240" w:lineRule="auto"/>
        <w:ind w:firstLine="640"/>
        <w:jc w:val="both"/>
      </w:pPr>
      <w:r>
        <w:rPr>
          <w:rFonts w:ascii="黑体" w:hAnsi="黑体" w:eastAsia="黑体" w:cs="黑体"/>
          <w:sz w:val="32"/>
        </w:rPr>
        <w:t>第十九条</w:t>
      </w:r>
      <w:r>
        <w:rPr>
          <w:rFonts w:ascii="仿宋_GB2312" w:hAnsi="仿宋_GB2312" w:eastAsia="仿宋_GB2312" w:cs="仿宋_GB2312"/>
          <w:sz w:val="32"/>
        </w:rPr>
        <w:t>　国家建立生物安全标准制度。国务院标准化主管部门和国务院其他有关部门根据职责分工，制定和完善生物安全领域相关标准。</w:t>
      </w:r>
    </w:p>
    <w:p>
      <w:pPr>
        <w:spacing w:line="240" w:lineRule="auto"/>
        <w:ind w:firstLine="640"/>
        <w:jc w:val="both"/>
      </w:pPr>
      <w:r>
        <w:rPr>
          <w:rFonts w:ascii="仿宋_GB2312" w:hAnsi="仿宋_GB2312" w:eastAsia="仿宋_GB2312" w:cs="仿宋_GB2312"/>
          <w:sz w:val="32"/>
        </w:rPr>
        <w:t>国家生物安全工作协调机制组织有关部门加强不同领域生物安全标准的协调和衔接，建立和完善生物安全标准体系。</w:t>
      </w:r>
    </w:p>
    <w:p>
      <w:pPr>
        <w:spacing w:line="240" w:lineRule="auto"/>
        <w:ind w:firstLine="640"/>
        <w:jc w:val="both"/>
      </w:pPr>
      <w:r>
        <w:rPr>
          <w:rFonts w:ascii="黑体" w:hAnsi="黑体" w:eastAsia="黑体" w:cs="黑体"/>
          <w:sz w:val="32"/>
        </w:rPr>
        <w:t>第二十条</w:t>
      </w:r>
      <w:r>
        <w:rPr>
          <w:rFonts w:ascii="仿宋_GB2312" w:hAnsi="仿宋_GB2312" w:eastAsia="仿宋_GB2312" w:cs="仿宋_GB2312"/>
          <w:sz w:val="32"/>
        </w:rPr>
        <w:t>　国家建立生物安全审查制度。对影响或者可能影响国家安全的生物领域重大事项和活动，由国务院有关部门进行生物安全审查，有效防范和化解生物安全风险。</w:t>
      </w:r>
    </w:p>
    <w:p>
      <w:pPr>
        <w:spacing w:line="240" w:lineRule="auto"/>
        <w:ind w:firstLine="640"/>
        <w:jc w:val="both"/>
      </w:pPr>
      <w:r>
        <w:rPr>
          <w:rFonts w:ascii="黑体" w:hAnsi="黑体" w:eastAsia="黑体" w:cs="黑体"/>
          <w:sz w:val="32"/>
        </w:rPr>
        <w:t>第二十一条</w:t>
      </w:r>
      <w:r>
        <w:rPr>
          <w:rFonts w:ascii="仿宋_GB2312" w:hAnsi="仿宋_GB2312" w:eastAsia="仿宋_GB2312" w:cs="仿宋_GB2312"/>
          <w:sz w:val="32"/>
        </w:rPr>
        <w:t>　国家建立统一领导、协同联动、有序高效的生物安全应急制度。</w:t>
      </w:r>
    </w:p>
    <w:p>
      <w:pPr>
        <w:spacing w:line="240" w:lineRule="auto"/>
        <w:ind w:firstLine="640"/>
        <w:jc w:val="both"/>
      </w:pPr>
      <w:r>
        <w:rPr>
          <w:rFonts w:ascii="仿宋_GB2312" w:hAnsi="仿宋_GB2312" w:eastAsia="仿宋_GB2312" w:cs="仿宋_GB2312"/>
          <w:sz w:val="32"/>
        </w:rPr>
        <w:t>国务院有关部门应当组织制定相关领域、行业生物安全事件应急预案，根据应急预案和统一部署开展应急演练、应急处置、应急救援和事后恢复等工作。</w:t>
      </w:r>
    </w:p>
    <w:p>
      <w:pPr>
        <w:spacing w:line="240" w:lineRule="auto"/>
        <w:ind w:firstLine="640"/>
        <w:jc w:val="both"/>
      </w:pPr>
      <w:r>
        <w:rPr>
          <w:rFonts w:ascii="仿宋_GB2312" w:hAnsi="仿宋_GB2312" w:eastAsia="仿宋_GB2312" w:cs="仿宋_GB2312"/>
          <w:sz w:val="32"/>
        </w:rPr>
        <w:t>县级以上地方人民政府及其有关部门应当制定并组织、指导和督促相关企业事业单位制定生物安全事件应急预案，加强应急准备、人员培训和应急演练，开展生物安全事件应急处置、应急救援和事后恢复等工作。</w:t>
      </w:r>
    </w:p>
    <w:p>
      <w:pPr>
        <w:spacing w:line="240" w:lineRule="auto"/>
        <w:ind w:firstLine="640"/>
        <w:jc w:val="both"/>
      </w:pPr>
      <w:r>
        <w:rPr>
          <w:rFonts w:ascii="仿宋_GB2312" w:hAnsi="仿宋_GB2312" w:eastAsia="仿宋_GB2312" w:cs="仿宋_GB2312"/>
          <w:sz w:val="32"/>
        </w:rPr>
        <w:t>中国人民解放军、中国人民武装警察部队按照中央军事委员会的命令，依法参加生物安全事件应急处置和应急救援工作。</w:t>
      </w:r>
    </w:p>
    <w:p>
      <w:pPr>
        <w:spacing w:line="240" w:lineRule="auto"/>
        <w:ind w:firstLine="640"/>
        <w:jc w:val="both"/>
      </w:pPr>
      <w:r>
        <w:rPr>
          <w:rFonts w:ascii="黑体" w:hAnsi="黑体" w:eastAsia="黑体" w:cs="黑体"/>
          <w:sz w:val="32"/>
        </w:rPr>
        <w:t>第二十二条</w:t>
      </w:r>
      <w:r>
        <w:rPr>
          <w:rFonts w:ascii="仿宋_GB2312" w:hAnsi="仿宋_GB2312" w:eastAsia="仿宋_GB2312" w:cs="仿宋_GB2312"/>
          <w:sz w:val="32"/>
        </w:rPr>
        <w:t>　国家建立生物安全事件调查溯源制度。发生重大新发突发传染病、动植物疫情和不明原因的生物安全事件，国家生物安全工作协调机制应当组织开展调查溯源，确定事件性质，全面评估事件影响，提出意见建议。</w:t>
      </w:r>
    </w:p>
    <w:p>
      <w:pPr>
        <w:spacing w:line="240" w:lineRule="auto"/>
        <w:ind w:firstLine="640"/>
        <w:jc w:val="both"/>
      </w:pPr>
      <w:r>
        <w:rPr>
          <w:rFonts w:ascii="黑体" w:hAnsi="黑体" w:eastAsia="黑体" w:cs="黑体"/>
          <w:sz w:val="32"/>
        </w:rPr>
        <w:t>第二十三条</w:t>
      </w:r>
      <w:r>
        <w:rPr>
          <w:rFonts w:ascii="仿宋_GB2312" w:hAnsi="仿宋_GB2312" w:eastAsia="仿宋_GB2312" w:cs="仿宋_GB2312"/>
          <w:sz w:val="32"/>
        </w:rPr>
        <w:t>　国家建立首次进境或者暂停后恢复进境的动植物、动植物产品、高风险生物因子国家准入制度。</w:t>
      </w:r>
    </w:p>
    <w:p>
      <w:pPr>
        <w:spacing w:line="240" w:lineRule="auto"/>
        <w:ind w:firstLine="640"/>
        <w:jc w:val="both"/>
      </w:pPr>
      <w:r>
        <w:rPr>
          <w:rFonts w:ascii="仿宋_GB2312" w:hAnsi="仿宋_GB2312" w:eastAsia="仿宋_GB2312" w:cs="仿宋_GB2312"/>
          <w:sz w:val="32"/>
        </w:rPr>
        <w:t>进出境的人员、运输工具、集装箱、货物、物品、包装物和国际航行船舶压舱水排放等应当符合我国生物安全管理要求。</w:t>
      </w:r>
    </w:p>
    <w:p>
      <w:pPr>
        <w:spacing w:line="240" w:lineRule="auto"/>
        <w:ind w:firstLine="640"/>
        <w:jc w:val="both"/>
      </w:pPr>
      <w:r>
        <w:rPr>
          <w:rFonts w:ascii="仿宋_GB2312" w:hAnsi="仿宋_GB2312" w:eastAsia="仿宋_GB2312" w:cs="仿宋_GB2312"/>
          <w:sz w:val="32"/>
        </w:rPr>
        <w:t>海关对发现的进出境和过境生物安全风险，应当依法处置。经评估为生物安全高风险的人员、运输工具、货物、物品等，应当从指定的国境口岸进境，并采取严格的风险防控措施。</w:t>
      </w:r>
    </w:p>
    <w:p>
      <w:pPr>
        <w:spacing w:line="240" w:lineRule="auto"/>
        <w:ind w:firstLine="640"/>
        <w:jc w:val="both"/>
      </w:pPr>
      <w:r>
        <w:rPr>
          <w:rFonts w:ascii="黑体" w:hAnsi="黑体" w:eastAsia="黑体" w:cs="黑体"/>
          <w:sz w:val="32"/>
        </w:rPr>
        <w:t>第二十四条</w:t>
      </w:r>
      <w:r>
        <w:rPr>
          <w:rFonts w:ascii="仿宋_GB2312" w:hAnsi="仿宋_GB2312" w:eastAsia="仿宋_GB2312" w:cs="仿宋_GB2312"/>
          <w:sz w:val="32"/>
        </w:rPr>
        <w:t>　国家建立境外重大生物安全事件应对制度。境外发生重大生物安全事件的，海关依法采取生物安全紧急防控措施，加强证件核验，提高查验比例，暂停相关人员、运输工具、货物、物品等进境。必要时经国务院同意，可以采取暂时关闭有关口岸、封锁有关国境等措施。</w:t>
      </w:r>
    </w:p>
    <w:p>
      <w:pPr>
        <w:spacing w:line="240" w:lineRule="auto"/>
        <w:ind w:firstLine="640"/>
        <w:jc w:val="both"/>
      </w:pPr>
      <w:r>
        <w:rPr>
          <w:rFonts w:ascii="黑体" w:hAnsi="黑体" w:eastAsia="黑体" w:cs="黑体"/>
          <w:sz w:val="32"/>
        </w:rPr>
        <w:t>第二十五条</w:t>
      </w:r>
      <w:r>
        <w:rPr>
          <w:rFonts w:ascii="仿宋_GB2312" w:hAnsi="仿宋_GB2312" w:eastAsia="仿宋_GB2312" w:cs="仿宋_GB2312"/>
          <w:sz w:val="32"/>
        </w:rPr>
        <w:t>　县级以上人民政府有关部门应当依法开展生物安全监督检查工作，被检查单位和个人应当配合，如实说明情况，提供资料，不得拒绝、阻挠。</w:t>
      </w:r>
    </w:p>
    <w:p>
      <w:pPr>
        <w:spacing w:line="240" w:lineRule="auto"/>
        <w:ind w:firstLine="640"/>
        <w:jc w:val="both"/>
      </w:pPr>
      <w:r>
        <w:rPr>
          <w:rFonts w:ascii="仿宋_GB2312" w:hAnsi="仿宋_GB2312" w:eastAsia="仿宋_GB2312" w:cs="仿宋_GB2312"/>
          <w:sz w:val="32"/>
        </w:rPr>
        <w:t>涉及专业技术要求较高、执法业务难度较大的监督检查工作，应当有生物安全专业技术人员参加。</w:t>
      </w:r>
    </w:p>
    <w:p>
      <w:pPr>
        <w:spacing w:line="240" w:lineRule="auto"/>
        <w:ind w:firstLine="640"/>
        <w:jc w:val="both"/>
      </w:pPr>
      <w:r>
        <w:rPr>
          <w:rFonts w:ascii="黑体" w:hAnsi="黑体" w:eastAsia="黑体" w:cs="黑体"/>
          <w:sz w:val="32"/>
        </w:rPr>
        <w:t>第二十六条</w:t>
      </w:r>
      <w:r>
        <w:rPr>
          <w:rFonts w:ascii="仿宋_GB2312" w:hAnsi="仿宋_GB2312" w:eastAsia="仿宋_GB2312" w:cs="仿宋_GB2312"/>
          <w:sz w:val="32"/>
        </w:rPr>
        <w:t>　县级以上人民政府有关部门实施生物安全监督检查，可以依法采取下列措施：</w:t>
      </w:r>
    </w:p>
    <w:p>
      <w:pPr>
        <w:spacing w:line="240" w:lineRule="auto"/>
        <w:ind w:firstLine="640"/>
        <w:jc w:val="both"/>
      </w:pPr>
      <w:r>
        <w:rPr>
          <w:rFonts w:ascii="仿宋_GB2312" w:hAnsi="仿宋_GB2312" w:eastAsia="仿宋_GB2312" w:cs="仿宋_GB2312"/>
          <w:sz w:val="32"/>
        </w:rPr>
        <w:t>（一）进入被检查单位、地点或者涉嫌实施生物安全违法行为的场所进行现场监测、勘查、检查或者核查；</w:t>
      </w:r>
    </w:p>
    <w:p>
      <w:pPr>
        <w:spacing w:line="240" w:lineRule="auto"/>
        <w:ind w:firstLine="640"/>
        <w:jc w:val="both"/>
      </w:pPr>
      <w:r>
        <w:rPr>
          <w:rFonts w:ascii="仿宋_GB2312" w:hAnsi="仿宋_GB2312" w:eastAsia="仿宋_GB2312" w:cs="仿宋_GB2312"/>
          <w:sz w:val="32"/>
        </w:rPr>
        <w:t>（二）向有关单位和个人了解情况；</w:t>
      </w:r>
    </w:p>
    <w:p>
      <w:pPr>
        <w:spacing w:line="240" w:lineRule="auto"/>
        <w:ind w:firstLine="640"/>
        <w:jc w:val="both"/>
      </w:pPr>
      <w:r>
        <w:rPr>
          <w:rFonts w:ascii="仿宋_GB2312" w:hAnsi="仿宋_GB2312" w:eastAsia="仿宋_GB2312" w:cs="仿宋_GB2312"/>
          <w:sz w:val="32"/>
        </w:rPr>
        <w:t>（三）查阅、复制有关文件、资料、档案、记录、凭证等；</w:t>
      </w:r>
    </w:p>
    <w:p>
      <w:pPr>
        <w:spacing w:line="240" w:lineRule="auto"/>
        <w:ind w:firstLine="640"/>
        <w:jc w:val="both"/>
      </w:pPr>
      <w:r>
        <w:rPr>
          <w:rFonts w:ascii="仿宋_GB2312" w:hAnsi="仿宋_GB2312" w:eastAsia="仿宋_GB2312" w:cs="仿宋_GB2312"/>
          <w:sz w:val="32"/>
        </w:rPr>
        <w:t>（四）查封涉嫌实施生物安全违法行为的场所、设施；</w:t>
      </w:r>
    </w:p>
    <w:p>
      <w:pPr>
        <w:spacing w:line="240" w:lineRule="auto"/>
        <w:ind w:firstLine="640"/>
        <w:jc w:val="both"/>
      </w:pPr>
      <w:r>
        <w:rPr>
          <w:rFonts w:ascii="仿宋_GB2312" w:hAnsi="仿宋_GB2312" w:eastAsia="仿宋_GB2312" w:cs="仿宋_GB2312"/>
          <w:sz w:val="32"/>
        </w:rPr>
        <w:t>（五）扣押涉嫌实施生物安全违法行为的工具、设备以及相关物品；</w:t>
      </w:r>
    </w:p>
    <w:p>
      <w:pPr>
        <w:spacing w:line="240" w:lineRule="auto"/>
        <w:ind w:firstLine="640"/>
        <w:jc w:val="both"/>
      </w:pPr>
      <w:r>
        <w:rPr>
          <w:rFonts w:ascii="仿宋_GB2312" w:hAnsi="仿宋_GB2312" w:eastAsia="仿宋_GB2312" w:cs="仿宋_GB2312"/>
          <w:sz w:val="32"/>
        </w:rPr>
        <w:t>（六）法律法规规定的其他措施。</w:t>
      </w:r>
    </w:p>
    <w:p>
      <w:pPr>
        <w:spacing w:line="240" w:lineRule="auto"/>
        <w:ind w:firstLine="640"/>
        <w:jc w:val="both"/>
      </w:pPr>
      <w:r>
        <w:rPr>
          <w:rFonts w:ascii="仿宋_GB2312" w:hAnsi="仿宋_GB2312" w:eastAsia="仿宋_GB2312" w:cs="仿宋_GB2312"/>
          <w:sz w:val="32"/>
        </w:rPr>
        <w:t>有关单位和个人的生物安全违法信息应当依法纳入全国信用信息共享平台。</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第三章　防控重大新发突发传染病、动植物疫情</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第二十七条</w:t>
      </w:r>
      <w:r>
        <w:rPr>
          <w:rFonts w:ascii="仿宋_GB2312" w:hAnsi="仿宋_GB2312" w:eastAsia="仿宋_GB2312" w:cs="仿宋_GB2312"/>
          <w:sz w:val="32"/>
        </w:rPr>
        <w:t>　国务院卫生健康、农业农村、林业草原、海关、生态环境主管部门应当建立新发突发传染病、动植物疫情、进出境检疫、生物技术环境安全监测网络，组织监测站点布局、建设，完善监测信息报告系统，开展主动监测和病原检测，并纳入国家生物安全风险监测预警体系。</w:t>
      </w:r>
    </w:p>
    <w:p>
      <w:pPr>
        <w:spacing w:line="240" w:lineRule="auto"/>
        <w:ind w:firstLine="640"/>
        <w:jc w:val="both"/>
      </w:pPr>
      <w:r>
        <w:rPr>
          <w:rFonts w:ascii="黑体" w:hAnsi="黑体" w:eastAsia="黑体" w:cs="黑体"/>
          <w:sz w:val="32"/>
        </w:rPr>
        <w:t>第二十八条</w:t>
      </w:r>
      <w:r>
        <w:rPr>
          <w:rFonts w:ascii="仿宋_GB2312" w:hAnsi="仿宋_GB2312" w:eastAsia="仿宋_GB2312" w:cs="仿宋_GB2312"/>
          <w:sz w:val="32"/>
        </w:rPr>
        <w:t>　疾病预防控制机构、动物疫病预防控制机构、植物病虫害预防控制机构（以下统称专业机构）应当对传染病、动植物疫病和列入监测范围的不明原因疾病开展主动监测，收集、分析、报告监测信息，预测新发突发传染病、动植物疫病的发生、流行趋势。</w:t>
      </w:r>
    </w:p>
    <w:p>
      <w:pPr>
        <w:spacing w:line="240" w:lineRule="auto"/>
        <w:ind w:firstLine="640"/>
        <w:jc w:val="both"/>
      </w:pPr>
      <w:r>
        <w:rPr>
          <w:rFonts w:ascii="仿宋_GB2312" w:hAnsi="仿宋_GB2312" w:eastAsia="仿宋_GB2312" w:cs="仿宋_GB2312"/>
          <w:sz w:val="32"/>
        </w:rPr>
        <w:t>国务院有关部门、县级以上地方人民政府及其有关部门应当根据预测和职责权限及时发布预警，并采取相应的防控措施。</w:t>
      </w:r>
    </w:p>
    <w:p>
      <w:pPr>
        <w:spacing w:line="240" w:lineRule="auto"/>
        <w:ind w:firstLine="640"/>
        <w:jc w:val="both"/>
      </w:pPr>
      <w:r>
        <w:rPr>
          <w:rFonts w:ascii="黑体" w:hAnsi="黑体" w:eastAsia="黑体" w:cs="黑体"/>
          <w:sz w:val="32"/>
        </w:rPr>
        <w:t>第二十九条</w:t>
      </w:r>
      <w:r>
        <w:rPr>
          <w:rFonts w:ascii="仿宋_GB2312" w:hAnsi="仿宋_GB2312" w:eastAsia="仿宋_GB2312" w:cs="仿宋_GB2312"/>
          <w:sz w:val="32"/>
        </w:rPr>
        <w:t>　任何单位和个人发现传染病、动植物疫病的，应当及时向医疗机构、有关专业机构或者部门报告。</w:t>
      </w:r>
    </w:p>
    <w:p>
      <w:pPr>
        <w:spacing w:line="240" w:lineRule="auto"/>
        <w:ind w:firstLine="640"/>
        <w:jc w:val="both"/>
      </w:pPr>
      <w:r>
        <w:rPr>
          <w:rFonts w:ascii="仿宋_GB2312" w:hAnsi="仿宋_GB2312" w:eastAsia="仿宋_GB2312" w:cs="仿宋_GB2312"/>
          <w:sz w:val="32"/>
        </w:rPr>
        <w:t>医疗机构、专业机构及其工作人员发现传染病、动植物疫病或者不明原因的聚集性疾病的，应当及时报告，并采取保护性措施。</w:t>
      </w:r>
    </w:p>
    <w:p>
      <w:pPr>
        <w:spacing w:line="240" w:lineRule="auto"/>
        <w:ind w:firstLine="640"/>
        <w:jc w:val="both"/>
      </w:pPr>
      <w:r>
        <w:rPr>
          <w:rFonts w:ascii="仿宋_GB2312" w:hAnsi="仿宋_GB2312" w:eastAsia="仿宋_GB2312" w:cs="仿宋_GB2312"/>
          <w:sz w:val="32"/>
        </w:rPr>
        <w:t>依法应当报告的，任何单位和个人不得瞒报、谎报、缓报、漏报，不得授意他人瞒报、谎报、缓报，不得阻碍他人报告。</w:t>
      </w:r>
    </w:p>
    <w:p>
      <w:pPr>
        <w:spacing w:line="240" w:lineRule="auto"/>
        <w:ind w:firstLine="640"/>
        <w:jc w:val="both"/>
      </w:pPr>
      <w:r>
        <w:rPr>
          <w:rFonts w:ascii="黑体" w:hAnsi="黑体" w:eastAsia="黑体" w:cs="黑体"/>
          <w:sz w:val="32"/>
        </w:rPr>
        <w:t>第三十条</w:t>
      </w:r>
      <w:r>
        <w:rPr>
          <w:rFonts w:ascii="仿宋_GB2312" w:hAnsi="仿宋_GB2312" w:eastAsia="仿宋_GB2312" w:cs="仿宋_GB2312"/>
          <w:sz w:val="32"/>
        </w:rPr>
        <w:t>　国家建立重大新发突发传染病、动植物疫情联防联控机制。</w:t>
      </w:r>
    </w:p>
    <w:p>
      <w:pPr>
        <w:spacing w:line="240" w:lineRule="auto"/>
        <w:ind w:firstLine="640"/>
        <w:jc w:val="both"/>
      </w:pPr>
      <w:r>
        <w:rPr>
          <w:rFonts w:ascii="仿宋_GB2312" w:hAnsi="仿宋_GB2312" w:eastAsia="仿宋_GB2312" w:cs="仿宋_GB2312"/>
          <w:sz w:val="32"/>
        </w:rPr>
        <w:t>发生重大新发突发传染病、动植物疫情，应当依照有关法律法规和应急预案的规定及时采取控制措施；国务院卫生健康、农业农村、林业草原主管部门应当立即组织疫情会商研判，将会商研判结论向中央国家安全领导机构和国务院报告，并通报国家生物安全工作协调机制其他成员单位和国务院其他有关部门。</w:t>
      </w:r>
    </w:p>
    <w:p>
      <w:pPr>
        <w:spacing w:line="240" w:lineRule="auto"/>
        <w:ind w:firstLine="640"/>
        <w:jc w:val="both"/>
      </w:pPr>
      <w:r>
        <w:rPr>
          <w:rFonts w:ascii="仿宋_GB2312" w:hAnsi="仿宋_GB2312" w:eastAsia="仿宋_GB2312" w:cs="仿宋_GB2312"/>
          <w:sz w:val="32"/>
        </w:rPr>
        <w:t>发生重大新发突发传染病、动植物疫情，地方各级人民政府统一履行本行政区域内疫情防控职责，加强组织领导，开展群防群控、医疗救治，动员和鼓励社会力量依法有序参与疫情防控工作。</w:t>
      </w:r>
    </w:p>
    <w:p>
      <w:pPr>
        <w:spacing w:line="240" w:lineRule="auto"/>
        <w:ind w:firstLine="640"/>
        <w:jc w:val="both"/>
      </w:pPr>
      <w:r>
        <w:rPr>
          <w:rFonts w:ascii="黑体" w:hAnsi="黑体" w:eastAsia="黑体" w:cs="黑体"/>
          <w:sz w:val="32"/>
        </w:rPr>
        <w:t>第三十一条</w:t>
      </w:r>
      <w:r>
        <w:rPr>
          <w:rFonts w:ascii="仿宋_GB2312" w:hAnsi="仿宋_GB2312" w:eastAsia="仿宋_GB2312" w:cs="仿宋_GB2312"/>
          <w:sz w:val="32"/>
        </w:rPr>
        <w:t>　国家加强国境、口岸传染病和动植物疫情联合防控能力建设，建立传染病、动植物疫情防控国际合作网络，尽早发现、控制重大新发突发传染病、动植物疫情。</w:t>
      </w:r>
    </w:p>
    <w:p>
      <w:pPr>
        <w:spacing w:line="240" w:lineRule="auto"/>
        <w:ind w:firstLine="640"/>
        <w:jc w:val="both"/>
      </w:pPr>
      <w:r>
        <w:rPr>
          <w:rFonts w:ascii="黑体" w:hAnsi="黑体" w:eastAsia="黑体" w:cs="黑体"/>
          <w:sz w:val="32"/>
        </w:rPr>
        <w:t>第三十二条</w:t>
      </w:r>
      <w:r>
        <w:rPr>
          <w:rFonts w:ascii="仿宋_GB2312" w:hAnsi="仿宋_GB2312" w:eastAsia="仿宋_GB2312" w:cs="仿宋_GB2312"/>
          <w:sz w:val="32"/>
        </w:rPr>
        <w:t>　国家保护野生动物，加强动物防疫，防止动物源性传染病传播。</w:t>
      </w:r>
    </w:p>
    <w:p>
      <w:pPr>
        <w:spacing w:line="240" w:lineRule="auto"/>
        <w:ind w:firstLine="640"/>
        <w:jc w:val="both"/>
      </w:pPr>
      <w:r>
        <w:rPr>
          <w:rFonts w:ascii="黑体" w:hAnsi="黑体" w:eastAsia="黑体" w:cs="黑体"/>
          <w:sz w:val="32"/>
        </w:rPr>
        <w:t>第三十三条</w:t>
      </w:r>
      <w:r>
        <w:rPr>
          <w:rFonts w:ascii="仿宋_GB2312" w:hAnsi="仿宋_GB2312" w:eastAsia="仿宋_GB2312" w:cs="仿宋_GB2312"/>
          <w:sz w:val="32"/>
        </w:rPr>
        <w:t>　国家加强对抗生素药物等抗微生物药物使用和残留的管理，支持应对微生物耐药的基础研究和科技攻关。</w:t>
      </w:r>
    </w:p>
    <w:p>
      <w:pPr>
        <w:spacing w:line="240" w:lineRule="auto"/>
        <w:ind w:firstLine="640"/>
        <w:jc w:val="both"/>
      </w:pPr>
      <w:r>
        <w:rPr>
          <w:rFonts w:ascii="仿宋_GB2312" w:hAnsi="仿宋_GB2312" w:eastAsia="仿宋_GB2312" w:cs="仿宋_GB2312"/>
          <w:sz w:val="32"/>
        </w:rPr>
        <w:t>县级以上人民政府卫生健康主管部门应当加强对医疗机构合理用药的指导和监督，采取措施防止抗微生物药物的不合理使用。县级以上人民政府农业农村、林业草原主管部门应当加强对农业生产中合理用药的指导和监督，采取措施防止抗微生物药物的不合理使用，降低在农业生产环境中的残留。</w:t>
      </w:r>
    </w:p>
    <w:p>
      <w:pPr>
        <w:spacing w:line="240" w:lineRule="auto"/>
        <w:ind w:firstLine="640"/>
        <w:jc w:val="both"/>
      </w:pPr>
      <w:r>
        <w:rPr>
          <w:rFonts w:ascii="仿宋_GB2312" w:hAnsi="仿宋_GB2312" w:eastAsia="仿宋_GB2312" w:cs="仿宋_GB2312"/>
          <w:sz w:val="32"/>
        </w:rPr>
        <w:t>国务院卫生健康、农业农村、林业草原、生态环境等主管部门和药品监督管理部门应当根据职责分工，评估抗微生物药物残留对人体健康、环境的危害，建立抗微生物药物污染物指标评价体系。</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第四章　生物技术研究、开发与应用安全</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第三十四条</w:t>
      </w:r>
      <w:r>
        <w:rPr>
          <w:rFonts w:ascii="仿宋_GB2312" w:hAnsi="仿宋_GB2312" w:eastAsia="仿宋_GB2312" w:cs="仿宋_GB2312"/>
          <w:sz w:val="32"/>
        </w:rPr>
        <w:t>　国家加强对生物技术研究、开发与应用活动的安全管理，禁止从事危及公众健康、损害生物资源、破坏生态系统和生物多样性等危害生物安全的生物技术研究、开发与应用活动。</w:t>
      </w:r>
    </w:p>
    <w:p>
      <w:pPr>
        <w:spacing w:line="240" w:lineRule="auto"/>
        <w:ind w:firstLine="640"/>
        <w:jc w:val="both"/>
      </w:pPr>
      <w:r>
        <w:rPr>
          <w:rFonts w:ascii="仿宋_GB2312" w:hAnsi="仿宋_GB2312" w:eastAsia="仿宋_GB2312" w:cs="仿宋_GB2312"/>
          <w:sz w:val="32"/>
        </w:rPr>
        <w:t>从事生物技术研究、开发与应用活动，应当符合伦理原则。</w:t>
      </w:r>
    </w:p>
    <w:p>
      <w:pPr>
        <w:spacing w:line="240" w:lineRule="auto"/>
        <w:ind w:firstLine="640"/>
        <w:jc w:val="both"/>
      </w:pPr>
      <w:r>
        <w:rPr>
          <w:rFonts w:ascii="黑体" w:hAnsi="黑体" w:eastAsia="黑体" w:cs="黑体"/>
          <w:sz w:val="32"/>
        </w:rPr>
        <w:t>第三十五条</w:t>
      </w:r>
      <w:r>
        <w:rPr>
          <w:rFonts w:ascii="仿宋_GB2312" w:hAnsi="仿宋_GB2312" w:eastAsia="仿宋_GB2312" w:cs="仿宋_GB2312"/>
          <w:sz w:val="32"/>
        </w:rPr>
        <w:t>　从事生物技术研究、开发与应用活动的单位应当对本单位生物技术研究、开发与应用的安全负责，采取生物安全风险防控措施，制定生物安全培训、跟踪检查、定期报告等工作制度，强化过程管理。</w:t>
      </w:r>
    </w:p>
    <w:p>
      <w:pPr>
        <w:spacing w:line="240" w:lineRule="auto"/>
        <w:ind w:firstLine="640"/>
        <w:jc w:val="both"/>
      </w:pPr>
      <w:r>
        <w:rPr>
          <w:rFonts w:ascii="黑体" w:hAnsi="黑体" w:eastAsia="黑体" w:cs="黑体"/>
          <w:sz w:val="32"/>
        </w:rPr>
        <w:t>第三十六条</w:t>
      </w:r>
      <w:r>
        <w:rPr>
          <w:rFonts w:ascii="仿宋_GB2312" w:hAnsi="仿宋_GB2312" w:eastAsia="仿宋_GB2312" w:cs="仿宋_GB2312"/>
          <w:sz w:val="32"/>
        </w:rPr>
        <w:t>　国家对生物技术研究、开发活动实行分类管理。根据对公众健康、工业农业、生态环境等造成危害的风险程度，将生物技术研究、开发活动分为高风险、中风险、低风险三类。</w:t>
      </w:r>
    </w:p>
    <w:p>
      <w:pPr>
        <w:spacing w:line="240" w:lineRule="auto"/>
        <w:ind w:firstLine="640"/>
        <w:jc w:val="both"/>
      </w:pPr>
      <w:r>
        <w:rPr>
          <w:rFonts w:ascii="仿宋_GB2312" w:hAnsi="仿宋_GB2312" w:eastAsia="仿宋_GB2312" w:cs="仿宋_GB2312"/>
          <w:sz w:val="32"/>
        </w:rPr>
        <w:t>生物技术研究、开发活动风险分类标准及名录由国务院科学技术、卫生健康、农业农村等主管部门根据职责分工，会同国务院其他有关部门制定、调整并公布。</w:t>
      </w:r>
    </w:p>
    <w:p>
      <w:pPr>
        <w:spacing w:line="240" w:lineRule="auto"/>
        <w:ind w:firstLine="640"/>
        <w:jc w:val="both"/>
      </w:pPr>
      <w:r>
        <w:rPr>
          <w:rFonts w:ascii="黑体" w:hAnsi="黑体" w:eastAsia="黑体" w:cs="黑体"/>
          <w:sz w:val="32"/>
        </w:rPr>
        <w:t>第三十七条</w:t>
      </w:r>
      <w:r>
        <w:rPr>
          <w:rFonts w:ascii="仿宋_GB2312" w:hAnsi="仿宋_GB2312" w:eastAsia="仿宋_GB2312" w:cs="仿宋_GB2312"/>
          <w:sz w:val="32"/>
        </w:rPr>
        <w:t>　从事生物技术研究、开发活动，应当遵守国家生物技术研究开发安全管理规范。</w:t>
      </w:r>
    </w:p>
    <w:p>
      <w:pPr>
        <w:spacing w:line="240" w:lineRule="auto"/>
        <w:ind w:firstLine="640"/>
        <w:jc w:val="both"/>
      </w:pPr>
      <w:r>
        <w:rPr>
          <w:rFonts w:ascii="仿宋_GB2312" w:hAnsi="仿宋_GB2312" w:eastAsia="仿宋_GB2312" w:cs="仿宋_GB2312"/>
          <w:sz w:val="32"/>
        </w:rPr>
        <w:t>从事生物技术研究、开发活动，应当进行风险类别判断，密切关注风险变化，及时采取应对措施。</w:t>
      </w:r>
    </w:p>
    <w:p>
      <w:pPr>
        <w:spacing w:line="240" w:lineRule="auto"/>
        <w:ind w:firstLine="640"/>
        <w:jc w:val="both"/>
      </w:pPr>
      <w:r>
        <w:rPr>
          <w:rFonts w:ascii="黑体" w:hAnsi="黑体" w:eastAsia="黑体" w:cs="黑体"/>
          <w:sz w:val="32"/>
        </w:rPr>
        <w:t>第三十八条</w:t>
      </w:r>
      <w:r>
        <w:rPr>
          <w:rFonts w:ascii="仿宋_GB2312" w:hAnsi="仿宋_GB2312" w:eastAsia="仿宋_GB2312" w:cs="仿宋_GB2312"/>
          <w:sz w:val="32"/>
        </w:rPr>
        <w:t>　从事高风险、中风险生物技术研究、开发活动，应当由在我国境内依法成立的法人组织进行，并依法取得批准或者进行备案。</w:t>
      </w:r>
    </w:p>
    <w:p>
      <w:pPr>
        <w:spacing w:line="240" w:lineRule="auto"/>
        <w:ind w:firstLine="640"/>
        <w:jc w:val="both"/>
      </w:pPr>
      <w:r>
        <w:rPr>
          <w:rFonts w:ascii="仿宋_GB2312" w:hAnsi="仿宋_GB2312" w:eastAsia="仿宋_GB2312" w:cs="仿宋_GB2312"/>
          <w:sz w:val="32"/>
        </w:rPr>
        <w:t>从事高风险、中风险生物技术研究、开发活动，应当进行风险评估，制定风险防控计划和生物安全事件应急预案，降低研究、开发活动实施的风险。</w:t>
      </w:r>
    </w:p>
    <w:p>
      <w:pPr>
        <w:spacing w:line="240" w:lineRule="auto"/>
        <w:ind w:firstLine="640"/>
        <w:jc w:val="both"/>
      </w:pPr>
      <w:r>
        <w:rPr>
          <w:rFonts w:ascii="黑体" w:hAnsi="黑体" w:eastAsia="黑体" w:cs="黑体"/>
          <w:sz w:val="32"/>
        </w:rPr>
        <w:t>第三十九条</w:t>
      </w:r>
      <w:r>
        <w:rPr>
          <w:rFonts w:ascii="仿宋_GB2312" w:hAnsi="仿宋_GB2312" w:eastAsia="仿宋_GB2312" w:cs="仿宋_GB2312"/>
          <w:sz w:val="32"/>
        </w:rPr>
        <w:t>　国家对涉及生物安全的重要设备和特殊生物因子实行追溯管理。购买或者引进列入管控清单的重要设备和特殊生物因子，应当进行登记，确保可追溯，并报国务院有关部门备案。</w:t>
      </w:r>
    </w:p>
    <w:p>
      <w:pPr>
        <w:spacing w:line="240" w:lineRule="auto"/>
        <w:ind w:firstLine="640"/>
        <w:jc w:val="both"/>
      </w:pPr>
      <w:r>
        <w:rPr>
          <w:rFonts w:ascii="仿宋_GB2312" w:hAnsi="仿宋_GB2312" w:eastAsia="仿宋_GB2312" w:cs="仿宋_GB2312"/>
          <w:sz w:val="32"/>
        </w:rPr>
        <w:t>个人不得购买或者持有列入管控清单的重要设备和特殊生物因子。</w:t>
      </w:r>
    </w:p>
    <w:p>
      <w:pPr>
        <w:spacing w:line="240" w:lineRule="auto"/>
        <w:ind w:firstLine="640"/>
        <w:jc w:val="both"/>
      </w:pPr>
      <w:r>
        <w:rPr>
          <w:rFonts w:ascii="黑体" w:hAnsi="黑体" w:eastAsia="黑体" w:cs="黑体"/>
          <w:sz w:val="32"/>
        </w:rPr>
        <w:t>第四十条</w:t>
      </w:r>
      <w:r>
        <w:rPr>
          <w:rFonts w:ascii="仿宋_GB2312" w:hAnsi="仿宋_GB2312" w:eastAsia="仿宋_GB2312" w:cs="仿宋_GB2312"/>
          <w:sz w:val="32"/>
        </w:rPr>
        <w:t>　从事生物医学新技术临床研究，应当通过伦理审查，并在具备相应条件的医疗机构内进行；进行人体临床研究操作的，应当由符合相应条件的卫生专业技术人员执行。</w:t>
      </w:r>
    </w:p>
    <w:p>
      <w:pPr>
        <w:spacing w:line="240" w:lineRule="auto"/>
        <w:ind w:firstLine="640"/>
        <w:jc w:val="both"/>
      </w:pPr>
      <w:r>
        <w:rPr>
          <w:rFonts w:ascii="黑体" w:hAnsi="黑体" w:eastAsia="黑体" w:cs="黑体"/>
          <w:sz w:val="32"/>
        </w:rPr>
        <w:t>第四十一条</w:t>
      </w:r>
      <w:r>
        <w:rPr>
          <w:rFonts w:ascii="仿宋_GB2312" w:hAnsi="仿宋_GB2312" w:eastAsia="仿宋_GB2312" w:cs="仿宋_GB2312"/>
          <w:sz w:val="32"/>
        </w:rPr>
        <w:t>　国务院有关部门依法对生物技术应用活动进行跟踪评估，发现存在生物安全风险的，应当及时采取有效补救和管控措施。</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第五章　病原微生物实验室生物安全</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第四十二条</w:t>
      </w:r>
      <w:r>
        <w:rPr>
          <w:rFonts w:ascii="仿宋_GB2312" w:hAnsi="仿宋_GB2312" w:eastAsia="仿宋_GB2312" w:cs="仿宋_GB2312"/>
          <w:sz w:val="32"/>
        </w:rPr>
        <w:t>　国家加强对病原微生物实验室生物安全的管理，制定统一的实验室生物安全标准。病原微生物实验室应当符合生物安全国家标准和要求。</w:t>
      </w:r>
    </w:p>
    <w:p>
      <w:pPr>
        <w:spacing w:line="240" w:lineRule="auto"/>
        <w:ind w:firstLine="640"/>
        <w:jc w:val="both"/>
      </w:pPr>
      <w:r>
        <w:rPr>
          <w:rFonts w:ascii="仿宋_GB2312" w:hAnsi="仿宋_GB2312" w:eastAsia="仿宋_GB2312" w:cs="仿宋_GB2312"/>
          <w:sz w:val="32"/>
        </w:rPr>
        <w:t>从事病原微生物实验活动，应当严格遵守有关国家标准和实验室技术规范、操作规程，采取安全防范措施。</w:t>
      </w:r>
    </w:p>
    <w:p>
      <w:pPr>
        <w:spacing w:line="240" w:lineRule="auto"/>
        <w:ind w:firstLine="640"/>
        <w:jc w:val="both"/>
      </w:pPr>
      <w:r>
        <w:rPr>
          <w:rFonts w:ascii="黑体" w:hAnsi="黑体" w:eastAsia="黑体" w:cs="黑体"/>
          <w:sz w:val="32"/>
        </w:rPr>
        <w:t>第四十三条</w:t>
      </w:r>
      <w:r>
        <w:rPr>
          <w:rFonts w:ascii="仿宋_GB2312" w:hAnsi="仿宋_GB2312" w:eastAsia="仿宋_GB2312" w:cs="仿宋_GB2312"/>
          <w:sz w:val="32"/>
        </w:rPr>
        <w:t>　国家根据病原微生物的传染性、感染后对人和动物的个体或者群体的危害程度，对病原微生物实行分类管理。</w:t>
      </w:r>
    </w:p>
    <w:p>
      <w:pPr>
        <w:spacing w:line="240" w:lineRule="auto"/>
        <w:ind w:firstLine="640"/>
        <w:jc w:val="both"/>
      </w:pPr>
      <w:r>
        <w:rPr>
          <w:rFonts w:ascii="仿宋_GB2312" w:hAnsi="仿宋_GB2312" w:eastAsia="仿宋_GB2312" w:cs="仿宋_GB2312"/>
          <w:sz w:val="32"/>
        </w:rPr>
        <w:t>从事高致病性或者疑似高致病性病原微生物样本采集、保藏、运输活动，应当具备相应条件，符合生物安全管理规范。具体办法由国务院卫生健康、农业农村主管部门制定。</w:t>
      </w:r>
    </w:p>
    <w:p>
      <w:pPr>
        <w:spacing w:line="240" w:lineRule="auto"/>
        <w:ind w:firstLine="640"/>
        <w:jc w:val="both"/>
      </w:pPr>
      <w:r>
        <w:rPr>
          <w:rFonts w:ascii="黑体" w:hAnsi="黑体" w:eastAsia="黑体" w:cs="黑体"/>
          <w:sz w:val="32"/>
        </w:rPr>
        <w:t>第四十四条</w:t>
      </w:r>
      <w:r>
        <w:rPr>
          <w:rFonts w:ascii="仿宋_GB2312" w:hAnsi="仿宋_GB2312" w:eastAsia="仿宋_GB2312" w:cs="仿宋_GB2312"/>
          <w:sz w:val="32"/>
        </w:rPr>
        <w:t>　设立病原微生物实验室，应当依法取得批准或者进行备案。</w:t>
      </w:r>
    </w:p>
    <w:p>
      <w:pPr>
        <w:spacing w:line="240" w:lineRule="auto"/>
        <w:ind w:firstLine="640"/>
        <w:jc w:val="both"/>
      </w:pPr>
      <w:r>
        <w:rPr>
          <w:rFonts w:ascii="仿宋_GB2312" w:hAnsi="仿宋_GB2312" w:eastAsia="仿宋_GB2312" w:cs="仿宋_GB2312"/>
          <w:sz w:val="32"/>
        </w:rPr>
        <w:t>个人不得设立病原微生物实验室或者从事病原微生物实验活动。</w:t>
      </w:r>
    </w:p>
    <w:p>
      <w:pPr>
        <w:spacing w:line="240" w:lineRule="auto"/>
        <w:ind w:firstLine="640"/>
        <w:jc w:val="both"/>
      </w:pPr>
      <w:r>
        <w:rPr>
          <w:rFonts w:ascii="黑体" w:hAnsi="黑体" w:eastAsia="黑体" w:cs="黑体"/>
          <w:sz w:val="32"/>
        </w:rPr>
        <w:t>第四十五条</w:t>
      </w:r>
      <w:r>
        <w:rPr>
          <w:rFonts w:ascii="仿宋_GB2312" w:hAnsi="仿宋_GB2312" w:eastAsia="仿宋_GB2312" w:cs="仿宋_GB2312"/>
          <w:sz w:val="32"/>
        </w:rPr>
        <w:t>　国家根据对病原微生物的生物安全防护水平，对病原微生物实验室实行分等级管理。</w:t>
      </w:r>
    </w:p>
    <w:p>
      <w:pPr>
        <w:spacing w:line="240" w:lineRule="auto"/>
        <w:ind w:firstLine="640"/>
        <w:jc w:val="both"/>
      </w:pPr>
      <w:r>
        <w:rPr>
          <w:rFonts w:ascii="仿宋_GB2312" w:hAnsi="仿宋_GB2312" w:eastAsia="仿宋_GB2312" w:cs="仿宋_GB2312"/>
          <w:sz w:val="32"/>
        </w:rPr>
        <w:t>从事病原微生物实验活动应当在相应等级的实验室进行。低等级病原微生物实验室不得从事国家病原微生物目录规定应当在高等级病原微生物实验室进行的病原微生物实验活动。</w:t>
      </w:r>
    </w:p>
    <w:p>
      <w:pPr>
        <w:spacing w:line="240" w:lineRule="auto"/>
        <w:ind w:firstLine="640"/>
        <w:jc w:val="both"/>
      </w:pPr>
      <w:r>
        <w:rPr>
          <w:rFonts w:ascii="黑体" w:hAnsi="黑体" w:eastAsia="黑体" w:cs="黑体"/>
          <w:sz w:val="32"/>
        </w:rPr>
        <w:t>第四十六条</w:t>
      </w:r>
      <w:r>
        <w:rPr>
          <w:rFonts w:ascii="仿宋_GB2312" w:hAnsi="仿宋_GB2312" w:eastAsia="仿宋_GB2312" w:cs="仿宋_GB2312"/>
          <w:sz w:val="32"/>
        </w:rPr>
        <w:t>　高等级病原微生物实验室从事高致病性或者疑似高致病性病原微生物实验活动，应当经省级以上人民政府卫生健康或者农业农村主管部门批准，并将实验活动情况向批准部门报告。</w:t>
      </w:r>
    </w:p>
    <w:p>
      <w:pPr>
        <w:spacing w:line="240" w:lineRule="auto"/>
        <w:ind w:firstLine="640"/>
        <w:jc w:val="both"/>
      </w:pPr>
      <w:r>
        <w:rPr>
          <w:rFonts w:ascii="仿宋_GB2312" w:hAnsi="仿宋_GB2312" w:eastAsia="仿宋_GB2312" w:cs="仿宋_GB2312"/>
          <w:sz w:val="32"/>
        </w:rPr>
        <w:t>对我国尚未发现或者已经宣布消灭的病原微生物，未经批准不得从事相关实验活动。</w:t>
      </w:r>
    </w:p>
    <w:p>
      <w:pPr>
        <w:spacing w:line="240" w:lineRule="auto"/>
        <w:ind w:firstLine="640"/>
        <w:jc w:val="both"/>
      </w:pPr>
      <w:r>
        <w:rPr>
          <w:rFonts w:ascii="黑体" w:hAnsi="黑体" w:eastAsia="黑体" w:cs="黑体"/>
          <w:sz w:val="32"/>
        </w:rPr>
        <w:t>第四十七条</w:t>
      </w:r>
      <w:r>
        <w:rPr>
          <w:rFonts w:ascii="仿宋_GB2312" w:hAnsi="仿宋_GB2312" w:eastAsia="仿宋_GB2312" w:cs="仿宋_GB2312"/>
          <w:sz w:val="32"/>
        </w:rPr>
        <w:t>　病原微生物实验室应当采取措施，加强对实验动物的管理，防止实验动物逃逸，对使用后的实验动物按照国家规定进行无害化处理，实现实验动物可追溯。禁止将使用后的实验动物流入市场。</w:t>
      </w:r>
    </w:p>
    <w:p>
      <w:pPr>
        <w:spacing w:line="240" w:lineRule="auto"/>
        <w:ind w:firstLine="640"/>
        <w:jc w:val="both"/>
      </w:pPr>
      <w:r>
        <w:rPr>
          <w:rFonts w:ascii="仿宋_GB2312" w:hAnsi="仿宋_GB2312" w:eastAsia="仿宋_GB2312" w:cs="仿宋_GB2312"/>
          <w:sz w:val="32"/>
        </w:rPr>
        <w:t>病原微生物实验室应当加强对实验活动废弃物的管理，依法对废水、废气以及其他废弃物进行处置，采取措施防止污染。</w:t>
      </w:r>
    </w:p>
    <w:p>
      <w:pPr>
        <w:spacing w:line="240" w:lineRule="auto"/>
        <w:ind w:firstLine="640"/>
        <w:jc w:val="both"/>
      </w:pPr>
      <w:r>
        <w:rPr>
          <w:rFonts w:ascii="黑体" w:hAnsi="黑体" w:eastAsia="黑体" w:cs="黑体"/>
          <w:sz w:val="32"/>
        </w:rPr>
        <w:t>第四十八条</w:t>
      </w:r>
      <w:r>
        <w:rPr>
          <w:rFonts w:ascii="仿宋_GB2312" w:hAnsi="仿宋_GB2312" w:eastAsia="仿宋_GB2312" w:cs="仿宋_GB2312"/>
          <w:sz w:val="32"/>
        </w:rPr>
        <w:t>　病原微生物实验室的设立单位负责实验室的生物安全管理，制定科学、严格的管理制度，定期对有关生物安全规定的落实情况进行检查，对实验室设施、设备、材料等进行检查、维护和更新，确保其符合国家标准。</w:t>
      </w:r>
    </w:p>
    <w:p>
      <w:pPr>
        <w:spacing w:line="240" w:lineRule="auto"/>
        <w:ind w:firstLine="640"/>
        <w:jc w:val="both"/>
      </w:pPr>
      <w:r>
        <w:rPr>
          <w:rFonts w:ascii="仿宋_GB2312" w:hAnsi="仿宋_GB2312" w:eastAsia="仿宋_GB2312" w:cs="仿宋_GB2312"/>
          <w:sz w:val="32"/>
        </w:rPr>
        <w:t>病原微生物实验室设立单位的法定代表人和实验室负责人对实验室的生物安全负责。</w:t>
      </w:r>
    </w:p>
    <w:p>
      <w:pPr>
        <w:spacing w:line="240" w:lineRule="auto"/>
        <w:ind w:firstLine="640"/>
        <w:jc w:val="both"/>
      </w:pPr>
      <w:r>
        <w:rPr>
          <w:rFonts w:ascii="黑体" w:hAnsi="黑体" w:eastAsia="黑体" w:cs="黑体"/>
          <w:sz w:val="32"/>
        </w:rPr>
        <w:t>第四十九条</w:t>
      </w:r>
      <w:r>
        <w:rPr>
          <w:rFonts w:ascii="仿宋_GB2312" w:hAnsi="仿宋_GB2312" w:eastAsia="仿宋_GB2312" w:cs="仿宋_GB2312"/>
          <w:sz w:val="32"/>
        </w:rPr>
        <w:t>　病原微生物实验室的设立单位应当建立和完善安全保卫制度，采取安全保卫措施，保障实验室及其病原微生物的安全。</w:t>
      </w:r>
    </w:p>
    <w:p>
      <w:pPr>
        <w:spacing w:line="240" w:lineRule="auto"/>
        <w:ind w:firstLine="640"/>
        <w:jc w:val="both"/>
      </w:pPr>
      <w:r>
        <w:rPr>
          <w:rFonts w:ascii="仿宋_GB2312" w:hAnsi="仿宋_GB2312" w:eastAsia="仿宋_GB2312" w:cs="仿宋_GB2312"/>
          <w:sz w:val="32"/>
        </w:rPr>
        <w:t>国家加强对高等级病原微生物实验室的安全保卫。高等级病原微生物实验室应当接受公安机关等部门有关实验室安全保卫工作的监督指导，严防高致病性病原微生物泄漏、丢失和被盗、被抢。</w:t>
      </w:r>
    </w:p>
    <w:p>
      <w:pPr>
        <w:spacing w:line="240" w:lineRule="auto"/>
        <w:ind w:firstLine="640"/>
        <w:jc w:val="both"/>
      </w:pPr>
      <w:r>
        <w:rPr>
          <w:rFonts w:ascii="仿宋_GB2312" w:hAnsi="仿宋_GB2312" w:eastAsia="仿宋_GB2312" w:cs="仿宋_GB2312"/>
          <w:sz w:val="32"/>
        </w:rPr>
        <w:t>国家建立高等级病原微生物实验室人员进入审核制度。进入高等级病原微生物实验室的人员应当经实验室负责人批准。对可能影响实验室生物安全的，不予批准；对批准进入的，应当采取安全保障措施。</w:t>
      </w:r>
    </w:p>
    <w:p>
      <w:pPr>
        <w:spacing w:line="240" w:lineRule="auto"/>
        <w:ind w:firstLine="640"/>
        <w:jc w:val="both"/>
      </w:pPr>
      <w:r>
        <w:rPr>
          <w:rFonts w:ascii="黑体" w:hAnsi="黑体" w:eastAsia="黑体" w:cs="黑体"/>
          <w:sz w:val="32"/>
        </w:rPr>
        <w:t>第五十条</w:t>
      </w:r>
      <w:r>
        <w:rPr>
          <w:rFonts w:ascii="仿宋_GB2312" w:hAnsi="仿宋_GB2312" w:eastAsia="仿宋_GB2312" w:cs="仿宋_GB2312"/>
          <w:sz w:val="32"/>
        </w:rPr>
        <w:t>　病原微生物实验室的设立单位应当制定生物安全事件应急预案，定期组织开展人员培训和应急演练。发生高致病性病原微生物泄漏、丢失和被盗、被抢或者其他生物安全风险的，应当按照应急预案的规定及时采取控制措施，并按照国家规定报告。</w:t>
      </w:r>
    </w:p>
    <w:p>
      <w:pPr>
        <w:spacing w:line="240" w:lineRule="auto"/>
        <w:ind w:firstLine="640"/>
        <w:jc w:val="both"/>
      </w:pPr>
      <w:r>
        <w:rPr>
          <w:rFonts w:ascii="黑体" w:hAnsi="黑体" w:eastAsia="黑体" w:cs="黑体"/>
          <w:sz w:val="32"/>
        </w:rPr>
        <w:t>第五十一条</w:t>
      </w:r>
      <w:r>
        <w:rPr>
          <w:rFonts w:ascii="仿宋_GB2312" w:hAnsi="仿宋_GB2312" w:eastAsia="仿宋_GB2312" w:cs="仿宋_GB2312"/>
          <w:sz w:val="32"/>
        </w:rPr>
        <w:t>　病原微生物实验室所在地省级人民政府及其卫生健康主管部门应当加强实验室所在地感染性疾病医疗资源配置，提高感染性疾病医疗救治能力。</w:t>
      </w:r>
    </w:p>
    <w:p>
      <w:pPr>
        <w:spacing w:line="240" w:lineRule="auto"/>
        <w:ind w:firstLine="640"/>
        <w:jc w:val="both"/>
      </w:pPr>
      <w:r>
        <w:rPr>
          <w:rFonts w:ascii="黑体" w:hAnsi="黑体" w:eastAsia="黑体" w:cs="黑体"/>
          <w:sz w:val="32"/>
        </w:rPr>
        <w:t>第五十二条</w:t>
      </w:r>
      <w:r>
        <w:rPr>
          <w:rFonts w:ascii="仿宋_GB2312" w:hAnsi="仿宋_GB2312" w:eastAsia="仿宋_GB2312" w:cs="仿宋_GB2312"/>
          <w:sz w:val="32"/>
        </w:rPr>
        <w:t>　企业对涉及病原微生物操作的生产车间的生物安全管理，依照有关病原微生物实验室的规定和其他生物安全管理规范进行。</w:t>
      </w:r>
    </w:p>
    <w:p>
      <w:pPr>
        <w:spacing w:line="240" w:lineRule="auto"/>
        <w:ind w:firstLine="640"/>
        <w:jc w:val="both"/>
      </w:pPr>
      <w:r>
        <w:rPr>
          <w:rFonts w:ascii="仿宋_GB2312" w:hAnsi="仿宋_GB2312" w:eastAsia="仿宋_GB2312" w:cs="仿宋_GB2312"/>
          <w:sz w:val="32"/>
        </w:rPr>
        <w:t>涉及生物毒素、植物有害生物及其他生物因子操作的生物安全实验室的建设和管理，参照有关病原微生物实验室的规定执行。</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第六章　人类遗传资源与生物资源安全</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第五十三条</w:t>
      </w:r>
      <w:r>
        <w:rPr>
          <w:rFonts w:ascii="仿宋_GB2312" w:hAnsi="仿宋_GB2312" w:eastAsia="仿宋_GB2312" w:cs="仿宋_GB2312"/>
          <w:sz w:val="32"/>
        </w:rPr>
        <w:t>　国家加强对我国人类遗传资源和生物资源采集、保藏、利用、对外提供等活动的管理和监督，保障人类遗传资源和生物资源安全。</w:t>
      </w:r>
    </w:p>
    <w:p>
      <w:pPr>
        <w:spacing w:line="240" w:lineRule="auto"/>
        <w:ind w:firstLine="640"/>
        <w:jc w:val="both"/>
      </w:pPr>
      <w:r>
        <w:rPr>
          <w:rFonts w:ascii="仿宋_GB2312" w:hAnsi="仿宋_GB2312" w:eastAsia="仿宋_GB2312" w:cs="仿宋_GB2312"/>
          <w:sz w:val="32"/>
        </w:rPr>
        <w:t>国家对我国人类遗传资源和生物资源享有主权。</w:t>
      </w:r>
    </w:p>
    <w:p>
      <w:pPr>
        <w:spacing w:line="240" w:lineRule="auto"/>
        <w:ind w:firstLine="640"/>
        <w:jc w:val="both"/>
      </w:pPr>
      <w:r>
        <w:rPr>
          <w:rFonts w:ascii="黑体" w:hAnsi="黑体" w:eastAsia="黑体" w:cs="黑体"/>
          <w:sz w:val="32"/>
        </w:rPr>
        <w:t>第五十四条</w:t>
      </w:r>
      <w:r>
        <w:rPr>
          <w:rFonts w:ascii="仿宋_GB2312" w:hAnsi="仿宋_GB2312" w:eastAsia="仿宋_GB2312" w:cs="仿宋_GB2312"/>
          <w:sz w:val="32"/>
        </w:rPr>
        <w:t>　国家开展人类遗传资源和生物资源调查。</w:t>
      </w:r>
    </w:p>
    <w:p>
      <w:pPr>
        <w:spacing w:line="240" w:lineRule="auto"/>
        <w:ind w:firstLine="640"/>
        <w:jc w:val="both"/>
      </w:pPr>
      <w:r>
        <w:rPr>
          <w:rFonts w:ascii="仿宋_GB2312" w:hAnsi="仿宋_GB2312" w:eastAsia="仿宋_GB2312" w:cs="仿宋_GB2312"/>
          <w:sz w:val="32"/>
        </w:rPr>
        <w:t>国务院科学技术主管部门组织开展我国人类遗传资源调查，制定重要遗传家系和特定地区人类遗传资源申报登记办法。</w:t>
      </w:r>
    </w:p>
    <w:p>
      <w:pPr>
        <w:spacing w:line="240" w:lineRule="auto"/>
        <w:ind w:firstLine="640"/>
        <w:jc w:val="both"/>
      </w:pPr>
      <w:r>
        <w:rPr>
          <w:rFonts w:ascii="仿宋_GB2312" w:hAnsi="仿宋_GB2312" w:eastAsia="仿宋_GB2312" w:cs="仿宋_GB2312"/>
          <w:sz w:val="32"/>
        </w:rPr>
        <w:t>国务院科学技术、自然资源、生态环境、卫生健康、农业农村、林业草原、中医药主管部门根据职责分工，组织开展生物资源调查，制定重要生物资源申报登记办法。</w:t>
      </w:r>
    </w:p>
    <w:p>
      <w:pPr>
        <w:spacing w:line="240" w:lineRule="auto"/>
        <w:ind w:firstLine="640"/>
        <w:jc w:val="both"/>
      </w:pPr>
      <w:r>
        <w:rPr>
          <w:rFonts w:ascii="黑体" w:hAnsi="黑体" w:eastAsia="黑体" w:cs="黑体"/>
          <w:sz w:val="32"/>
        </w:rPr>
        <w:t>第五十五条</w:t>
      </w:r>
      <w:r>
        <w:rPr>
          <w:rFonts w:ascii="仿宋_GB2312" w:hAnsi="仿宋_GB2312" w:eastAsia="仿宋_GB2312" w:cs="仿宋_GB2312"/>
          <w:sz w:val="32"/>
        </w:rPr>
        <w:t>　采集、保藏、利用、对外提供我国人类遗传资源，应当符合伦理原则，不得危害公众健康、国家安全和社会公共利益。</w:t>
      </w:r>
    </w:p>
    <w:p>
      <w:pPr>
        <w:spacing w:line="240" w:lineRule="auto"/>
        <w:ind w:firstLine="640"/>
        <w:jc w:val="both"/>
      </w:pPr>
      <w:r>
        <w:rPr>
          <w:rFonts w:ascii="黑体" w:hAnsi="黑体" w:eastAsia="黑体" w:cs="黑体"/>
          <w:sz w:val="32"/>
        </w:rPr>
        <w:t>第五十六条</w:t>
      </w:r>
      <w:r>
        <w:rPr>
          <w:rFonts w:ascii="仿宋_GB2312" w:hAnsi="仿宋_GB2312" w:eastAsia="仿宋_GB2312" w:cs="仿宋_GB2312"/>
          <w:sz w:val="32"/>
        </w:rPr>
        <w:t>　从事下列活动，应当经国务院科学技术主管部门批准：</w:t>
      </w:r>
    </w:p>
    <w:p>
      <w:pPr>
        <w:spacing w:line="240" w:lineRule="auto"/>
        <w:ind w:firstLine="640"/>
        <w:jc w:val="both"/>
      </w:pPr>
      <w:r>
        <w:rPr>
          <w:rFonts w:ascii="仿宋_GB2312" w:hAnsi="仿宋_GB2312" w:eastAsia="仿宋_GB2312" w:cs="仿宋_GB2312"/>
          <w:sz w:val="32"/>
        </w:rPr>
        <w:t>（一）采集我国重要遗传家系、特定地区人类遗传资源或者采集国务院科学技术主管部门规定的种类、数量的人类遗传资源；</w:t>
      </w:r>
    </w:p>
    <w:p>
      <w:pPr>
        <w:spacing w:line="240" w:lineRule="auto"/>
        <w:ind w:firstLine="640"/>
        <w:jc w:val="both"/>
      </w:pPr>
      <w:r>
        <w:rPr>
          <w:rFonts w:ascii="仿宋_GB2312" w:hAnsi="仿宋_GB2312" w:eastAsia="仿宋_GB2312" w:cs="仿宋_GB2312"/>
          <w:sz w:val="32"/>
        </w:rPr>
        <w:t>（二）保藏我国人类遗传资源；</w:t>
      </w:r>
    </w:p>
    <w:p>
      <w:pPr>
        <w:spacing w:line="240" w:lineRule="auto"/>
        <w:ind w:firstLine="640"/>
        <w:jc w:val="both"/>
      </w:pPr>
      <w:r>
        <w:rPr>
          <w:rFonts w:ascii="仿宋_GB2312" w:hAnsi="仿宋_GB2312" w:eastAsia="仿宋_GB2312" w:cs="仿宋_GB2312"/>
          <w:sz w:val="32"/>
        </w:rPr>
        <w:t>（三）利用我国人类遗传资源开展国际科学研究合作；</w:t>
      </w:r>
    </w:p>
    <w:p>
      <w:pPr>
        <w:spacing w:line="240" w:lineRule="auto"/>
        <w:ind w:firstLine="640"/>
        <w:jc w:val="both"/>
      </w:pPr>
      <w:r>
        <w:rPr>
          <w:rFonts w:ascii="仿宋_GB2312" w:hAnsi="仿宋_GB2312" w:eastAsia="仿宋_GB2312" w:cs="仿宋_GB2312"/>
          <w:sz w:val="32"/>
        </w:rPr>
        <w:t>（四）将我国人类遗传资源材料运送、邮寄、携带出境。</w:t>
      </w:r>
    </w:p>
    <w:p>
      <w:pPr>
        <w:spacing w:line="240" w:lineRule="auto"/>
        <w:ind w:firstLine="640"/>
        <w:jc w:val="both"/>
      </w:pPr>
      <w:r>
        <w:rPr>
          <w:rFonts w:ascii="仿宋_GB2312" w:hAnsi="仿宋_GB2312" w:eastAsia="仿宋_GB2312" w:cs="仿宋_GB2312"/>
          <w:sz w:val="32"/>
        </w:rPr>
        <w:t>前款规定不包括以临床诊疗、采供血服务、查处违法犯罪、兴奋剂检测和殡葬等为目的采集、保藏人类遗传资源及开展的相关活动。</w:t>
      </w:r>
    </w:p>
    <w:p>
      <w:pPr>
        <w:spacing w:line="240" w:lineRule="auto"/>
        <w:ind w:firstLine="640"/>
        <w:jc w:val="both"/>
      </w:pPr>
      <w:r>
        <w:rPr>
          <w:rFonts w:ascii="仿宋_GB2312" w:hAnsi="仿宋_GB2312" w:eastAsia="仿宋_GB2312" w:cs="仿宋_GB2312"/>
          <w:sz w:val="32"/>
        </w:rPr>
        <w:t>为了取得相关药品和医疗器械在我国上市许可，在临床试验机构利用我国人类遗传资源开展国际合作临床试验、不涉及人类遗传资源出境的，不需要批准；但是，在开展临床试验前应当将拟使用的人类遗传资源种类、数量及用途向国务院科学技术主管部门备案。</w:t>
      </w:r>
    </w:p>
    <w:p>
      <w:pPr>
        <w:spacing w:line="240" w:lineRule="auto"/>
        <w:ind w:firstLine="640"/>
        <w:jc w:val="both"/>
      </w:pPr>
      <w:r>
        <w:rPr>
          <w:rFonts w:ascii="仿宋_GB2312" w:hAnsi="仿宋_GB2312" w:eastAsia="仿宋_GB2312" w:cs="仿宋_GB2312"/>
          <w:sz w:val="32"/>
        </w:rPr>
        <w:t>境外组织、个人及其设立或者实际控制的机构不得在我国境内采集、保藏我国人类遗传资源，不得向境外提供我国人类遗传资源。</w:t>
      </w:r>
    </w:p>
    <w:p>
      <w:pPr>
        <w:spacing w:line="240" w:lineRule="auto"/>
        <w:ind w:firstLine="640"/>
        <w:jc w:val="both"/>
      </w:pPr>
      <w:r>
        <w:rPr>
          <w:rFonts w:ascii="黑体" w:hAnsi="黑体" w:eastAsia="黑体" w:cs="黑体"/>
          <w:sz w:val="32"/>
        </w:rPr>
        <w:t>第五十七条</w:t>
      </w:r>
      <w:r>
        <w:rPr>
          <w:rFonts w:ascii="仿宋_GB2312" w:hAnsi="仿宋_GB2312" w:eastAsia="仿宋_GB2312" w:cs="仿宋_GB2312"/>
          <w:sz w:val="32"/>
        </w:rPr>
        <w:t>　将我国人类遗传资源信息向境外组织、个人及其设立或者实际控制的机构提供或者开放使用的，应当向国务院科学技术主管部门事先报告并提交信息备份。</w:t>
      </w:r>
    </w:p>
    <w:p>
      <w:pPr>
        <w:spacing w:line="240" w:lineRule="auto"/>
        <w:ind w:firstLine="640"/>
        <w:jc w:val="both"/>
      </w:pPr>
      <w:r>
        <w:rPr>
          <w:rFonts w:ascii="黑体" w:hAnsi="黑体" w:eastAsia="黑体" w:cs="黑体"/>
          <w:sz w:val="32"/>
        </w:rPr>
        <w:t>第五十八条</w:t>
      </w:r>
      <w:r>
        <w:rPr>
          <w:rFonts w:ascii="仿宋_GB2312" w:hAnsi="仿宋_GB2312" w:eastAsia="仿宋_GB2312" w:cs="仿宋_GB2312"/>
          <w:sz w:val="32"/>
        </w:rPr>
        <w:t>　采集、保藏、利用、运输出境我国珍贵、濒危、特有物种及其可用于再生或者繁殖传代的个体、器官、组织、细胞、基因等遗传资源，应当遵守有关法律法规。</w:t>
      </w:r>
    </w:p>
    <w:p>
      <w:pPr>
        <w:spacing w:line="240" w:lineRule="auto"/>
        <w:ind w:firstLine="640"/>
        <w:jc w:val="both"/>
      </w:pPr>
      <w:r>
        <w:rPr>
          <w:rFonts w:ascii="仿宋_GB2312" w:hAnsi="仿宋_GB2312" w:eastAsia="仿宋_GB2312" w:cs="仿宋_GB2312"/>
          <w:sz w:val="32"/>
        </w:rPr>
        <w:t>境外组织、个人及其设立或者实际控制的机构获取和利用我国生物资源，应当依法取得批准。</w:t>
      </w:r>
    </w:p>
    <w:p>
      <w:pPr>
        <w:spacing w:line="240" w:lineRule="auto"/>
        <w:ind w:firstLine="640"/>
        <w:jc w:val="both"/>
      </w:pPr>
      <w:r>
        <w:rPr>
          <w:rFonts w:ascii="黑体" w:hAnsi="黑体" w:eastAsia="黑体" w:cs="黑体"/>
          <w:sz w:val="32"/>
        </w:rPr>
        <w:t>第五十九条</w:t>
      </w:r>
      <w:r>
        <w:rPr>
          <w:rFonts w:ascii="仿宋_GB2312" w:hAnsi="仿宋_GB2312" w:eastAsia="仿宋_GB2312" w:cs="仿宋_GB2312"/>
          <w:sz w:val="32"/>
        </w:rPr>
        <w:t>　利用我国生物资源开展国际科学研究合作，应当依法取得批准。</w:t>
      </w:r>
    </w:p>
    <w:p>
      <w:pPr>
        <w:spacing w:line="240" w:lineRule="auto"/>
        <w:ind w:firstLine="640"/>
        <w:jc w:val="both"/>
      </w:pPr>
      <w:r>
        <w:rPr>
          <w:rFonts w:ascii="仿宋_GB2312" w:hAnsi="仿宋_GB2312" w:eastAsia="仿宋_GB2312" w:cs="仿宋_GB2312"/>
          <w:sz w:val="32"/>
        </w:rPr>
        <w:t>利用我国人类遗传资源和生物资源开展国际科学研究合作，应当保证中方单位及其研究人员全过程、实质性地参与研究，依法分享相关权益。</w:t>
      </w:r>
    </w:p>
    <w:p>
      <w:pPr>
        <w:spacing w:line="240" w:lineRule="auto"/>
        <w:ind w:firstLine="640"/>
        <w:jc w:val="both"/>
      </w:pPr>
      <w:r>
        <w:rPr>
          <w:rFonts w:ascii="黑体" w:hAnsi="黑体" w:eastAsia="黑体" w:cs="黑体"/>
          <w:sz w:val="32"/>
        </w:rPr>
        <w:t>第六十条</w:t>
      </w:r>
      <w:r>
        <w:rPr>
          <w:rFonts w:ascii="仿宋_GB2312" w:hAnsi="仿宋_GB2312" w:eastAsia="仿宋_GB2312" w:cs="仿宋_GB2312"/>
          <w:sz w:val="32"/>
        </w:rPr>
        <w:t>　国家加强对外来物种入侵的防范和应对，保护生物多样性。国务院农业农村主管部门会同国务院其他有关部门制定外来入侵物种名录和管理办法。</w:t>
      </w:r>
    </w:p>
    <w:p>
      <w:pPr>
        <w:spacing w:line="240" w:lineRule="auto"/>
        <w:ind w:firstLine="640"/>
        <w:jc w:val="both"/>
      </w:pPr>
      <w:r>
        <w:rPr>
          <w:rFonts w:ascii="仿宋_GB2312" w:hAnsi="仿宋_GB2312" w:eastAsia="仿宋_GB2312" w:cs="仿宋_GB2312"/>
          <w:sz w:val="32"/>
        </w:rPr>
        <w:t>国务院有关部门根据职责分工，加强对外来入侵物种的调查、监测、预警、控制、评估、清除以及生态修复等工作。</w:t>
      </w:r>
    </w:p>
    <w:p>
      <w:pPr>
        <w:spacing w:line="240" w:lineRule="auto"/>
        <w:ind w:firstLine="640"/>
        <w:jc w:val="both"/>
      </w:pPr>
      <w:r>
        <w:rPr>
          <w:rFonts w:ascii="仿宋_GB2312" w:hAnsi="仿宋_GB2312" w:eastAsia="仿宋_GB2312" w:cs="仿宋_GB2312"/>
          <w:sz w:val="32"/>
        </w:rPr>
        <w:t>任何单位和个人未经批准，不得擅自引进、释放或者丢弃外来物种。</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第七章　防范生物恐怖与生物武器威胁</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第六十一条</w:t>
      </w:r>
      <w:r>
        <w:rPr>
          <w:rFonts w:ascii="仿宋_GB2312" w:hAnsi="仿宋_GB2312" w:eastAsia="仿宋_GB2312" w:cs="仿宋_GB2312"/>
          <w:sz w:val="32"/>
        </w:rPr>
        <w:t>　国家采取一切必要措施防范生物恐怖与生物武器威胁。</w:t>
      </w:r>
    </w:p>
    <w:p>
      <w:pPr>
        <w:spacing w:line="240" w:lineRule="auto"/>
        <w:ind w:firstLine="640"/>
        <w:jc w:val="both"/>
      </w:pPr>
      <w:r>
        <w:rPr>
          <w:rFonts w:ascii="仿宋_GB2312" w:hAnsi="仿宋_GB2312" w:eastAsia="仿宋_GB2312" w:cs="仿宋_GB2312"/>
          <w:sz w:val="32"/>
        </w:rPr>
        <w:t>禁止开发、制造或者以其他方式获取、储存、持有和使用生物武器。</w:t>
      </w:r>
    </w:p>
    <w:p>
      <w:pPr>
        <w:spacing w:line="240" w:lineRule="auto"/>
        <w:ind w:firstLine="640"/>
        <w:jc w:val="both"/>
      </w:pPr>
      <w:r>
        <w:rPr>
          <w:rFonts w:ascii="仿宋_GB2312" w:hAnsi="仿宋_GB2312" w:eastAsia="仿宋_GB2312" w:cs="仿宋_GB2312"/>
          <w:sz w:val="32"/>
        </w:rPr>
        <w:t>禁止以任何方式唆使、资助、协助他人开发、制造或者以其他方式获取生物武器。</w:t>
      </w:r>
    </w:p>
    <w:p>
      <w:pPr>
        <w:spacing w:line="240" w:lineRule="auto"/>
        <w:ind w:firstLine="640"/>
        <w:jc w:val="both"/>
      </w:pPr>
      <w:r>
        <w:rPr>
          <w:rFonts w:ascii="黑体" w:hAnsi="黑体" w:eastAsia="黑体" w:cs="黑体"/>
          <w:sz w:val="32"/>
        </w:rPr>
        <w:t>第六十二条</w:t>
      </w:r>
      <w:r>
        <w:rPr>
          <w:rFonts w:ascii="仿宋_GB2312" w:hAnsi="仿宋_GB2312" w:eastAsia="仿宋_GB2312" w:cs="仿宋_GB2312"/>
          <w:sz w:val="32"/>
        </w:rPr>
        <w:t>　国务院有关部门制定、修改、公布可被用于生物恐怖活动、制造生物武器的生物体、生物毒素、设备或者技术清单，加强监管，防止其被用于制造生物武器或者恐怖目的。</w:t>
      </w:r>
    </w:p>
    <w:p>
      <w:pPr>
        <w:spacing w:line="240" w:lineRule="auto"/>
        <w:ind w:firstLine="640"/>
        <w:jc w:val="both"/>
      </w:pPr>
      <w:r>
        <w:rPr>
          <w:rFonts w:ascii="黑体" w:hAnsi="黑体" w:eastAsia="黑体" w:cs="黑体"/>
          <w:sz w:val="32"/>
        </w:rPr>
        <w:t>第六十三条</w:t>
      </w:r>
      <w:r>
        <w:rPr>
          <w:rFonts w:ascii="仿宋_GB2312" w:hAnsi="仿宋_GB2312" w:eastAsia="仿宋_GB2312" w:cs="仿宋_GB2312"/>
          <w:sz w:val="32"/>
        </w:rPr>
        <w:t>　国务院有关部门和有关军事机关根据职责分工，加强对可被用于生物恐怖活动、制造生物武器的生物体、生物毒素、设备或者技术进出境、进出口、获取、制造、转移和投放等活动的监测、调查，采取必要的防范和处置措施。</w:t>
      </w:r>
    </w:p>
    <w:p>
      <w:pPr>
        <w:spacing w:line="240" w:lineRule="auto"/>
        <w:ind w:firstLine="640"/>
        <w:jc w:val="both"/>
      </w:pPr>
      <w:r>
        <w:rPr>
          <w:rFonts w:ascii="黑体" w:hAnsi="黑体" w:eastAsia="黑体" w:cs="黑体"/>
          <w:sz w:val="32"/>
        </w:rPr>
        <w:t>第六十四条</w:t>
      </w:r>
      <w:r>
        <w:rPr>
          <w:rFonts w:ascii="仿宋_GB2312" w:hAnsi="仿宋_GB2312" w:eastAsia="仿宋_GB2312" w:cs="仿宋_GB2312"/>
          <w:sz w:val="32"/>
        </w:rPr>
        <w:t>　国务院有关部门、省级人民政府及其有关部门负责组织遭受生物恐怖袭击、生物武器攻击后的人员救治与安置、环境消毒、生态修复、安全监测和社会秩序恢复等工作。</w:t>
      </w:r>
    </w:p>
    <w:p>
      <w:pPr>
        <w:spacing w:line="240" w:lineRule="auto"/>
        <w:ind w:firstLine="640"/>
        <w:jc w:val="both"/>
      </w:pPr>
      <w:r>
        <w:rPr>
          <w:rFonts w:ascii="仿宋_GB2312" w:hAnsi="仿宋_GB2312" w:eastAsia="仿宋_GB2312" w:cs="仿宋_GB2312"/>
          <w:sz w:val="32"/>
        </w:rPr>
        <w:t>国务院有关部门、省级人民政府及其有关部门应当有效引导社会舆论科学、准确报道生物恐怖袭击和生物武器攻击事件，及时发布疏散、转移和紧急避难等信息，对应急处置与恢复过程中遭受污染的区域和人员进行长期环境监测和健康监测。</w:t>
      </w:r>
    </w:p>
    <w:p>
      <w:pPr>
        <w:spacing w:line="240" w:lineRule="auto"/>
        <w:ind w:firstLine="640"/>
        <w:jc w:val="both"/>
      </w:pPr>
      <w:r>
        <w:rPr>
          <w:rFonts w:ascii="黑体" w:hAnsi="黑体" w:eastAsia="黑体" w:cs="黑体"/>
          <w:sz w:val="32"/>
        </w:rPr>
        <w:t>第六十五条</w:t>
      </w:r>
      <w:r>
        <w:rPr>
          <w:rFonts w:ascii="仿宋_GB2312" w:hAnsi="仿宋_GB2312" w:eastAsia="仿宋_GB2312" w:cs="仿宋_GB2312"/>
          <w:sz w:val="32"/>
        </w:rPr>
        <w:t>　国家组织开展对我国境内战争遗留生物武器及其危害结果、潜在影响的调查。</w:t>
      </w:r>
    </w:p>
    <w:p>
      <w:pPr>
        <w:spacing w:line="240" w:lineRule="auto"/>
        <w:ind w:firstLine="640"/>
        <w:jc w:val="both"/>
      </w:pPr>
      <w:r>
        <w:rPr>
          <w:rFonts w:ascii="仿宋_GB2312" w:hAnsi="仿宋_GB2312" w:eastAsia="仿宋_GB2312" w:cs="仿宋_GB2312"/>
          <w:sz w:val="32"/>
        </w:rPr>
        <w:t>国家组织建设存放和处理战争遗留生物武器设施，保障对战争遗留生物武器的安全处置。</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第八章　生物安全能力建设</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第六十六条</w:t>
      </w:r>
      <w:r>
        <w:rPr>
          <w:rFonts w:ascii="仿宋_GB2312" w:hAnsi="仿宋_GB2312" w:eastAsia="仿宋_GB2312" w:cs="仿宋_GB2312"/>
          <w:sz w:val="32"/>
        </w:rPr>
        <w:t>　国家制定生物安全事业发展规划，加强生物安全能力建设，提高应对生物安全事件的能力和水平。</w:t>
      </w:r>
    </w:p>
    <w:p>
      <w:pPr>
        <w:spacing w:line="240" w:lineRule="auto"/>
        <w:ind w:firstLine="640"/>
        <w:jc w:val="both"/>
      </w:pPr>
      <w:r>
        <w:rPr>
          <w:rFonts w:ascii="仿宋_GB2312" w:hAnsi="仿宋_GB2312" w:eastAsia="仿宋_GB2312" w:cs="仿宋_GB2312"/>
          <w:sz w:val="32"/>
        </w:rPr>
        <w:t>县级以上人民政府应当支持生物安全事业发展，按照事权划分，将支持下列生物安全事业发展的相关支出列入政府预算：</w:t>
      </w:r>
    </w:p>
    <w:p>
      <w:pPr>
        <w:spacing w:line="240" w:lineRule="auto"/>
        <w:ind w:firstLine="640"/>
        <w:jc w:val="both"/>
      </w:pPr>
      <w:r>
        <w:rPr>
          <w:rFonts w:ascii="仿宋_GB2312" w:hAnsi="仿宋_GB2312" w:eastAsia="仿宋_GB2312" w:cs="仿宋_GB2312"/>
          <w:sz w:val="32"/>
        </w:rPr>
        <w:t>（一）监测网络的构建和运行；</w:t>
      </w:r>
    </w:p>
    <w:p>
      <w:pPr>
        <w:spacing w:line="240" w:lineRule="auto"/>
        <w:ind w:firstLine="640"/>
        <w:jc w:val="both"/>
      </w:pPr>
      <w:r>
        <w:rPr>
          <w:rFonts w:ascii="仿宋_GB2312" w:hAnsi="仿宋_GB2312" w:eastAsia="仿宋_GB2312" w:cs="仿宋_GB2312"/>
          <w:sz w:val="32"/>
        </w:rPr>
        <w:t>（二）应急处置和防控物资的储备；</w:t>
      </w:r>
    </w:p>
    <w:p>
      <w:pPr>
        <w:spacing w:line="240" w:lineRule="auto"/>
        <w:ind w:firstLine="640"/>
        <w:jc w:val="both"/>
      </w:pPr>
      <w:r>
        <w:rPr>
          <w:rFonts w:ascii="仿宋_GB2312" w:hAnsi="仿宋_GB2312" w:eastAsia="仿宋_GB2312" w:cs="仿宋_GB2312"/>
          <w:sz w:val="32"/>
        </w:rPr>
        <w:t>（三）关键基础设施的建设和运行；</w:t>
      </w:r>
    </w:p>
    <w:p>
      <w:pPr>
        <w:spacing w:line="240" w:lineRule="auto"/>
        <w:ind w:firstLine="640"/>
        <w:jc w:val="both"/>
      </w:pPr>
      <w:r>
        <w:rPr>
          <w:rFonts w:ascii="仿宋_GB2312" w:hAnsi="仿宋_GB2312" w:eastAsia="仿宋_GB2312" w:cs="仿宋_GB2312"/>
          <w:sz w:val="32"/>
        </w:rPr>
        <w:t>（四）关键技术和产品的研究、开发；</w:t>
      </w:r>
    </w:p>
    <w:p>
      <w:pPr>
        <w:spacing w:line="240" w:lineRule="auto"/>
        <w:ind w:firstLine="640"/>
        <w:jc w:val="both"/>
      </w:pPr>
      <w:r>
        <w:rPr>
          <w:rFonts w:ascii="仿宋_GB2312" w:hAnsi="仿宋_GB2312" w:eastAsia="仿宋_GB2312" w:cs="仿宋_GB2312"/>
          <w:sz w:val="32"/>
        </w:rPr>
        <w:t>（五）人类遗传资源和生物资源的调查、保藏；</w:t>
      </w:r>
    </w:p>
    <w:p>
      <w:pPr>
        <w:spacing w:line="240" w:lineRule="auto"/>
        <w:ind w:firstLine="640"/>
        <w:jc w:val="both"/>
      </w:pPr>
      <w:r>
        <w:rPr>
          <w:rFonts w:ascii="仿宋_GB2312" w:hAnsi="仿宋_GB2312" w:eastAsia="仿宋_GB2312" w:cs="仿宋_GB2312"/>
          <w:sz w:val="32"/>
        </w:rPr>
        <w:t>（六）法律法规规定的其他重要生物安全事业。</w:t>
      </w:r>
    </w:p>
    <w:p>
      <w:pPr>
        <w:spacing w:line="240" w:lineRule="auto"/>
        <w:ind w:firstLine="640"/>
        <w:jc w:val="both"/>
      </w:pPr>
      <w:r>
        <w:rPr>
          <w:rFonts w:ascii="黑体" w:hAnsi="黑体" w:eastAsia="黑体" w:cs="黑体"/>
          <w:sz w:val="32"/>
        </w:rPr>
        <w:t>第六十七条</w:t>
      </w:r>
      <w:r>
        <w:rPr>
          <w:rFonts w:ascii="仿宋_GB2312" w:hAnsi="仿宋_GB2312" w:eastAsia="仿宋_GB2312" w:cs="仿宋_GB2312"/>
          <w:sz w:val="32"/>
        </w:rPr>
        <w:t>　国家采取措施支持生物安全科技研究，加强生物安全风险防御与管控技术研究，整合优势力量和资源，建立多学科、多部门协同创新的联合攻关机制，推动生物安全核心关键技术和重大防御产品的成果产出与转化应用，提高生物安全的科技保障能力。</w:t>
      </w:r>
    </w:p>
    <w:p>
      <w:pPr>
        <w:spacing w:line="240" w:lineRule="auto"/>
        <w:ind w:firstLine="640"/>
        <w:jc w:val="both"/>
      </w:pPr>
      <w:r>
        <w:rPr>
          <w:rFonts w:ascii="黑体" w:hAnsi="黑体" w:eastAsia="黑体" w:cs="黑体"/>
          <w:sz w:val="32"/>
        </w:rPr>
        <w:t>第六十八条</w:t>
      </w:r>
      <w:r>
        <w:rPr>
          <w:rFonts w:ascii="仿宋_GB2312" w:hAnsi="仿宋_GB2312" w:eastAsia="仿宋_GB2312" w:cs="仿宋_GB2312"/>
          <w:sz w:val="32"/>
        </w:rPr>
        <w:t>　国家统筹布局全国生物安全基础设施建设。国务院有关部门根据职责分工，加快建设生物信息、人类遗传资源保藏、菌（毒）种保藏、动植物遗传资源保藏、高等级病原微生物实验室等方面的生物安全国家战略资源平台，建立共享利用机制，为生物安全科技创新提供战略保障和支撑。</w:t>
      </w:r>
    </w:p>
    <w:p>
      <w:pPr>
        <w:spacing w:line="240" w:lineRule="auto"/>
        <w:ind w:firstLine="640"/>
        <w:jc w:val="both"/>
      </w:pPr>
      <w:r>
        <w:rPr>
          <w:rFonts w:ascii="黑体" w:hAnsi="黑体" w:eastAsia="黑体" w:cs="黑体"/>
          <w:sz w:val="32"/>
        </w:rPr>
        <w:t>第六十九条</w:t>
      </w:r>
      <w:r>
        <w:rPr>
          <w:rFonts w:ascii="仿宋_GB2312" w:hAnsi="仿宋_GB2312" w:eastAsia="仿宋_GB2312" w:cs="仿宋_GB2312"/>
          <w:sz w:val="32"/>
        </w:rPr>
        <w:t>　国务院有关部门根据职责分工，加强生物基础科学研究人才和生物领域专业技术人才培养，推动生物基础科学学科建设和科学研究。</w:t>
      </w:r>
    </w:p>
    <w:p>
      <w:pPr>
        <w:spacing w:line="240" w:lineRule="auto"/>
        <w:ind w:firstLine="640"/>
        <w:jc w:val="both"/>
      </w:pPr>
      <w:r>
        <w:rPr>
          <w:rFonts w:ascii="仿宋_GB2312" w:hAnsi="仿宋_GB2312" w:eastAsia="仿宋_GB2312" w:cs="仿宋_GB2312"/>
          <w:sz w:val="32"/>
        </w:rPr>
        <w:t>国家生物安全基础设施重要岗位的从业人员应当具备符合要求的资格，相关信息应当向国务院有关部门备案，并接受岗位培训。</w:t>
      </w:r>
    </w:p>
    <w:p>
      <w:pPr>
        <w:spacing w:line="240" w:lineRule="auto"/>
        <w:ind w:firstLine="640"/>
        <w:jc w:val="both"/>
      </w:pPr>
      <w:r>
        <w:rPr>
          <w:rFonts w:ascii="黑体" w:hAnsi="黑体" w:eastAsia="黑体" w:cs="黑体"/>
          <w:sz w:val="32"/>
        </w:rPr>
        <w:t>第七十条</w:t>
      </w:r>
      <w:r>
        <w:rPr>
          <w:rFonts w:ascii="仿宋_GB2312" w:hAnsi="仿宋_GB2312" w:eastAsia="仿宋_GB2312" w:cs="仿宋_GB2312"/>
          <w:sz w:val="32"/>
        </w:rPr>
        <w:t>　国家加强重大新发突发传染病、动植物疫情等生物安全风险防控的物资储备。</w:t>
      </w:r>
    </w:p>
    <w:p>
      <w:pPr>
        <w:spacing w:line="240" w:lineRule="auto"/>
        <w:ind w:firstLine="640"/>
        <w:jc w:val="both"/>
      </w:pPr>
      <w:r>
        <w:rPr>
          <w:rFonts w:ascii="仿宋_GB2312" w:hAnsi="仿宋_GB2312" w:eastAsia="仿宋_GB2312" w:cs="仿宋_GB2312"/>
          <w:sz w:val="32"/>
        </w:rPr>
        <w:t>国家加强生物安全应急药品、装备等物资的研究、开发和技术储备。国务院有关部门根据职责分工，落实生物安全应急药品、装备等物资研究、开发和技术储备的相关措施。</w:t>
      </w:r>
    </w:p>
    <w:p>
      <w:pPr>
        <w:spacing w:line="240" w:lineRule="auto"/>
        <w:ind w:firstLine="640"/>
        <w:jc w:val="both"/>
      </w:pPr>
      <w:r>
        <w:rPr>
          <w:rFonts w:ascii="仿宋_GB2312" w:hAnsi="仿宋_GB2312" w:eastAsia="仿宋_GB2312" w:cs="仿宋_GB2312"/>
          <w:sz w:val="32"/>
        </w:rPr>
        <w:t>国务院有关部门和县级以上地方人民政府及其有关部门应当保障生物安全事件应急处置所需的医疗救护设备、救治药品、医疗器械等物资的生产、供应和调配；交通运输主管部门应当及时组织协调运输经营单位优先运送。</w:t>
      </w:r>
    </w:p>
    <w:p>
      <w:pPr>
        <w:spacing w:line="240" w:lineRule="auto"/>
        <w:ind w:firstLine="640"/>
        <w:jc w:val="both"/>
      </w:pPr>
      <w:r>
        <w:rPr>
          <w:rFonts w:ascii="黑体" w:hAnsi="黑体" w:eastAsia="黑体" w:cs="黑体"/>
          <w:sz w:val="32"/>
        </w:rPr>
        <w:t>第七十一条</w:t>
      </w:r>
      <w:r>
        <w:rPr>
          <w:rFonts w:ascii="仿宋_GB2312" w:hAnsi="仿宋_GB2312" w:eastAsia="仿宋_GB2312" w:cs="仿宋_GB2312"/>
          <w:sz w:val="32"/>
        </w:rPr>
        <w:t>　国家对从事高致病性病原微生物实验活动、生物安全事件现场处置等高风险生物安全工作的人员，提供有效的防护措施和医疗保障。</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第九章　法律责任</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第七十二条</w:t>
      </w:r>
      <w:r>
        <w:rPr>
          <w:rFonts w:ascii="仿宋_GB2312" w:hAnsi="仿宋_GB2312" w:eastAsia="仿宋_GB2312" w:cs="仿宋_GB2312"/>
          <w:sz w:val="32"/>
        </w:rPr>
        <w:t>　违反本法规定，履行生物安全管理职责的工作人员在生物安全工作中滥用职权、玩忽职守、徇私舞弊或者有其他违法行为的，依法给予处分。</w:t>
      </w:r>
    </w:p>
    <w:p>
      <w:pPr>
        <w:spacing w:line="240" w:lineRule="auto"/>
        <w:ind w:firstLine="640"/>
        <w:jc w:val="both"/>
      </w:pPr>
      <w:r>
        <w:rPr>
          <w:rFonts w:ascii="黑体" w:hAnsi="黑体" w:eastAsia="黑体" w:cs="黑体"/>
          <w:sz w:val="32"/>
        </w:rPr>
        <w:t>第七十三条</w:t>
      </w:r>
      <w:r>
        <w:rPr>
          <w:rFonts w:ascii="仿宋_GB2312" w:hAnsi="仿宋_GB2312" w:eastAsia="仿宋_GB2312" w:cs="仿宋_GB2312"/>
          <w:sz w:val="32"/>
        </w:rPr>
        <w:t>　违反本法规定，医疗机构、专业机构或者其工作人员瞒报、谎报、缓报、漏报，授意他人瞒报、谎报、缓报，或者阻碍他人报告传染病、动植物疫病或者不明原因的聚集性疾病的，由县级以上人民政府有关部门责令改正，给予警告；对法定代表人、主要负责人、直接负责的主管人员和其他直接责任人员，依法给予处分，并可以依法暂停一定期限的执业活动直至吊销相关执业证书。</w:t>
      </w:r>
    </w:p>
    <w:p>
      <w:pPr>
        <w:spacing w:line="240" w:lineRule="auto"/>
        <w:ind w:firstLine="640"/>
        <w:jc w:val="both"/>
      </w:pPr>
      <w:r>
        <w:rPr>
          <w:rFonts w:ascii="仿宋_GB2312" w:hAnsi="仿宋_GB2312" w:eastAsia="仿宋_GB2312" w:cs="仿宋_GB2312"/>
          <w:sz w:val="32"/>
        </w:rPr>
        <w:t>违反本法规定，编造、散布虚假的生物安全信息，构成违反治安管理行为的，由公安机关依法给予治安管理处罚。</w:t>
      </w:r>
    </w:p>
    <w:p>
      <w:pPr>
        <w:spacing w:line="240" w:lineRule="auto"/>
        <w:ind w:firstLine="640"/>
        <w:jc w:val="both"/>
      </w:pPr>
      <w:r>
        <w:rPr>
          <w:rFonts w:ascii="黑体" w:hAnsi="黑体" w:eastAsia="黑体" w:cs="黑体"/>
          <w:sz w:val="32"/>
        </w:rPr>
        <w:t>第七十四条</w:t>
      </w:r>
      <w:r>
        <w:rPr>
          <w:rFonts w:ascii="仿宋_GB2312" w:hAnsi="仿宋_GB2312" w:eastAsia="仿宋_GB2312" w:cs="仿宋_GB2312"/>
          <w:sz w:val="32"/>
        </w:rPr>
        <w:t>　违反本法规定，从事国家禁止的生物技术研究、开发与应用活动的，由县级以上人民政府卫生健康、科学技术、农业农村主管部门根据职责分工，责令停止违法行为，没收违法所得、技术资料和用于违法行为的工具、设备、原材料等物品，处一百万元以上一千万元以下的罚款，违法所得在一百万元以上的，处违法所得十倍以上二十倍以下的罚款，并可以依法禁止一定期限内从事相应的生物技术研究、开发与应用活动，吊销相关许可证件；对法定代表人、主要负责人、直接负责的主管人员和其他直接责任人员，依法给予处分，处十万元以上二十万元以下的罚款，十年直至终身禁止从事相应的生物技术研究、开发与应用活动，依法吊销相关执业证书。</w:t>
      </w:r>
    </w:p>
    <w:p>
      <w:pPr>
        <w:spacing w:line="240" w:lineRule="auto"/>
        <w:ind w:firstLine="640"/>
        <w:jc w:val="both"/>
      </w:pPr>
      <w:r>
        <w:rPr>
          <w:rFonts w:ascii="黑体" w:hAnsi="黑体" w:eastAsia="黑体" w:cs="黑体"/>
          <w:sz w:val="32"/>
        </w:rPr>
        <w:t>第七十五条</w:t>
      </w:r>
      <w:r>
        <w:rPr>
          <w:rFonts w:ascii="仿宋_GB2312" w:hAnsi="仿宋_GB2312" w:eastAsia="仿宋_GB2312" w:cs="仿宋_GB2312"/>
          <w:sz w:val="32"/>
        </w:rPr>
        <w:t>　违反本法规定，从事生物技术研究、开发活动未遵守国家生物技术研究开发安全管理规范的，由县级以上人民政府有关部门根据职责分工，责令改正，给予警告，可以并处二万元以上二十万元以下的罚款；拒不改正或者造成严重后果的，责令停止研究、开发活动，并处二十万元以上二百万元以下的罚款。</w:t>
      </w:r>
    </w:p>
    <w:p>
      <w:pPr>
        <w:spacing w:line="240" w:lineRule="auto"/>
        <w:ind w:firstLine="640"/>
        <w:jc w:val="both"/>
      </w:pPr>
      <w:r>
        <w:rPr>
          <w:rFonts w:ascii="黑体" w:hAnsi="黑体" w:eastAsia="黑体" w:cs="黑体"/>
          <w:sz w:val="32"/>
        </w:rPr>
        <w:t>第七十六条</w:t>
      </w:r>
      <w:r>
        <w:rPr>
          <w:rFonts w:ascii="仿宋_GB2312" w:hAnsi="仿宋_GB2312" w:eastAsia="仿宋_GB2312" w:cs="仿宋_GB2312"/>
          <w:sz w:val="32"/>
        </w:rPr>
        <w:t>　违反本法规定，从事病原微生物实验活动未在相应等级的实验室进行，或者高等级病原微生物实验室未经批准从事高致病性、疑似高致病性病原微生物实验活动的，由县级以上地方人民政府卫生健康、农业农村主管部门根据职责分工，责令停止违法行为，监督其将用于实验活动的病原微生物销毁或者送交保藏机构，给予警告；造成传染病传播、流行或者其他严重后果的，对法定代表人、主要负责人、直接负责的主管人员和其他直接责任人员依法给予撤职、开除处分。</w:t>
      </w:r>
    </w:p>
    <w:p>
      <w:pPr>
        <w:spacing w:line="240" w:lineRule="auto"/>
        <w:ind w:firstLine="640"/>
        <w:jc w:val="both"/>
      </w:pPr>
      <w:r>
        <w:rPr>
          <w:rFonts w:ascii="黑体" w:hAnsi="黑体" w:eastAsia="黑体" w:cs="黑体"/>
          <w:sz w:val="32"/>
        </w:rPr>
        <w:t>第七十七条</w:t>
      </w:r>
      <w:r>
        <w:rPr>
          <w:rFonts w:ascii="仿宋_GB2312" w:hAnsi="仿宋_GB2312" w:eastAsia="仿宋_GB2312" w:cs="仿宋_GB2312"/>
          <w:sz w:val="32"/>
        </w:rPr>
        <w:t>　违反本法规定，将使用后的实验动物流入市场的，由县级以上人民政府科学技术主管部门责令改正，没收违法所得，并处二十万元以上一百万元以下的罚款，违法所得在二十万元以上的，并处违法所得五倍以上十倍以下的罚款；情节严重的，由发证部门吊销相关许可证件。</w:t>
      </w:r>
    </w:p>
    <w:p>
      <w:pPr>
        <w:spacing w:line="240" w:lineRule="auto"/>
        <w:ind w:firstLine="640"/>
        <w:jc w:val="both"/>
      </w:pPr>
      <w:r>
        <w:rPr>
          <w:rFonts w:ascii="黑体" w:hAnsi="黑体" w:eastAsia="黑体" w:cs="黑体"/>
          <w:sz w:val="32"/>
        </w:rPr>
        <w:t>第七十八条</w:t>
      </w:r>
      <w:r>
        <w:rPr>
          <w:rFonts w:ascii="仿宋_GB2312" w:hAnsi="仿宋_GB2312" w:eastAsia="仿宋_GB2312" w:cs="仿宋_GB2312"/>
          <w:sz w:val="32"/>
        </w:rPr>
        <w:t>　违反本法规定，有下列行为之一的，由县级以上人民政府有关部门根据职责分工，责令改正，没收违法所得，给予警告，可以并处十万元以上一百万元以下的罚款：</w:t>
      </w:r>
    </w:p>
    <w:p>
      <w:pPr>
        <w:spacing w:line="240" w:lineRule="auto"/>
        <w:ind w:firstLine="640"/>
        <w:jc w:val="both"/>
      </w:pPr>
      <w:r>
        <w:rPr>
          <w:rFonts w:ascii="仿宋_GB2312" w:hAnsi="仿宋_GB2312" w:eastAsia="仿宋_GB2312" w:cs="仿宋_GB2312"/>
          <w:sz w:val="32"/>
        </w:rPr>
        <w:t>（一）购买或者引进列入管控清单的重要设备、特殊生物因子未进行登记，或者未报国务院有关部门备案；</w:t>
      </w:r>
    </w:p>
    <w:p>
      <w:pPr>
        <w:spacing w:line="240" w:lineRule="auto"/>
        <w:ind w:firstLine="640"/>
        <w:jc w:val="both"/>
      </w:pPr>
      <w:r>
        <w:rPr>
          <w:rFonts w:ascii="仿宋_GB2312" w:hAnsi="仿宋_GB2312" w:eastAsia="仿宋_GB2312" w:cs="仿宋_GB2312"/>
          <w:sz w:val="32"/>
        </w:rPr>
        <w:t>（二）个人购买或者持有列入管控清单的重要设备或者特殊生物因子；</w:t>
      </w:r>
    </w:p>
    <w:p>
      <w:pPr>
        <w:spacing w:line="240" w:lineRule="auto"/>
        <w:ind w:firstLine="640"/>
        <w:jc w:val="both"/>
      </w:pPr>
      <w:r>
        <w:rPr>
          <w:rFonts w:ascii="仿宋_GB2312" w:hAnsi="仿宋_GB2312" w:eastAsia="仿宋_GB2312" w:cs="仿宋_GB2312"/>
          <w:sz w:val="32"/>
        </w:rPr>
        <w:t>（三）个人设立病原微生物实验室或者从事病原微生物实验活动；</w:t>
      </w:r>
    </w:p>
    <w:p>
      <w:pPr>
        <w:spacing w:line="240" w:lineRule="auto"/>
        <w:ind w:firstLine="640"/>
        <w:jc w:val="both"/>
      </w:pPr>
      <w:r>
        <w:rPr>
          <w:rFonts w:ascii="仿宋_GB2312" w:hAnsi="仿宋_GB2312" w:eastAsia="仿宋_GB2312" w:cs="仿宋_GB2312"/>
          <w:sz w:val="32"/>
        </w:rPr>
        <w:t>（四）未经实验室负责人批准进入高等级病原微生物实验室。</w:t>
      </w:r>
    </w:p>
    <w:p>
      <w:pPr>
        <w:spacing w:line="240" w:lineRule="auto"/>
        <w:ind w:firstLine="640"/>
        <w:jc w:val="both"/>
      </w:pPr>
      <w:r>
        <w:rPr>
          <w:rFonts w:ascii="黑体" w:hAnsi="黑体" w:eastAsia="黑体" w:cs="黑体"/>
          <w:sz w:val="32"/>
        </w:rPr>
        <w:t>第七十九条</w:t>
      </w:r>
      <w:r>
        <w:rPr>
          <w:rFonts w:ascii="仿宋_GB2312" w:hAnsi="仿宋_GB2312" w:eastAsia="仿宋_GB2312" w:cs="仿宋_GB2312"/>
          <w:sz w:val="32"/>
        </w:rPr>
        <w:t>　违反本法规定，未经批准，采集、保藏我国人类遗传资源或者利用我国人类遗传资源开展国际科学研究合作的，由国务院科学技术主管部门责令停止违法行为，没收违法所得和违法采集、保藏的人类遗传资源，并处五十万元以上五百万元以下的罚款，违法所得在一百万元以上的，并处违法所得五倍以上十倍以下的罚款；情节严重的，对法定代表人、主要负责人、直接负责的主管人员和其他直接责任人员，依法给予处分，五年内禁止从事相应活动。</w:t>
      </w:r>
    </w:p>
    <w:p>
      <w:pPr>
        <w:spacing w:line="240" w:lineRule="auto"/>
        <w:ind w:firstLine="640"/>
        <w:jc w:val="both"/>
      </w:pPr>
      <w:r>
        <w:rPr>
          <w:rFonts w:ascii="黑体" w:hAnsi="黑体" w:eastAsia="黑体" w:cs="黑体"/>
          <w:sz w:val="32"/>
        </w:rPr>
        <w:t>第八十条</w:t>
      </w:r>
      <w:r>
        <w:rPr>
          <w:rFonts w:ascii="仿宋_GB2312" w:hAnsi="仿宋_GB2312" w:eastAsia="仿宋_GB2312" w:cs="仿宋_GB2312"/>
          <w:sz w:val="32"/>
        </w:rPr>
        <w:t>　违反本法规定，境外组织、个人及其设立或者实际控制的机构在我国境内采集、保藏我国人类遗传资源，或者向境外提供我国人类遗传资源的，由国务院科学技术主管部门责令停止违法行为，没收违法所得和违法采集、保藏的人类遗传资源，并处一百万元以上一千万元以下的罚款；违法所得在一百万元以上的，并处违法所得十倍以上二十倍以下的罚款。</w:t>
      </w:r>
    </w:p>
    <w:p>
      <w:pPr>
        <w:spacing w:line="240" w:lineRule="auto"/>
        <w:ind w:firstLine="640"/>
        <w:jc w:val="both"/>
      </w:pPr>
      <w:r>
        <w:rPr>
          <w:rFonts w:ascii="黑体" w:hAnsi="黑体" w:eastAsia="黑体" w:cs="黑体"/>
          <w:sz w:val="32"/>
        </w:rPr>
        <w:t>第八十一条</w:t>
      </w:r>
      <w:r>
        <w:rPr>
          <w:rFonts w:ascii="仿宋_GB2312" w:hAnsi="仿宋_GB2312" w:eastAsia="仿宋_GB2312" w:cs="仿宋_GB2312"/>
          <w:sz w:val="32"/>
        </w:rPr>
        <w:t>　违反本法规定，未经批准，擅自引进外来物种的，由县级以上人民政府有关部门根据职责分工，没收引进的外来物种，并处五万元以上二十五万元以下的罚款。</w:t>
      </w:r>
    </w:p>
    <w:p>
      <w:pPr>
        <w:spacing w:line="240" w:lineRule="auto"/>
        <w:ind w:firstLine="640"/>
        <w:jc w:val="both"/>
      </w:pPr>
      <w:r>
        <w:rPr>
          <w:rFonts w:ascii="仿宋_GB2312" w:hAnsi="仿宋_GB2312" w:eastAsia="仿宋_GB2312" w:cs="仿宋_GB2312"/>
          <w:sz w:val="32"/>
        </w:rPr>
        <w:t>违反本法规定，未经批准，擅自释放或者丢弃外来物种的，由县级以上人民政府有关部门根据职责分工，责令限期捕回、找回释放或者丢弃的外来物种，处一万元以上五万元以下的罚款。</w:t>
      </w:r>
    </w:p>
    <w:p>
      <w:pPr>
        <w:spacing w:line="240" w:lineRule="auto"/>
        <w:ind w:firstLine="640"/>
        <w:jc w:val="both"/>
      </w:pPr>
      <w:r>
        <w:rPr>
          <w:rFonts w:ascii="黑体" w:hAnsi="黑体" w:eastAsia="黑体" w:cs="黑体"/>
          <w:sz w:val="32"/>
        </w:rPr>
        <w:t>第八十二条</w:t>
      </w:r>
      <w:r>
        <w:rPr>
          <w:rFonts w:ascii="仿宋_GB2312" w:hAnsi="仿宋_GB2312" w:eastAsia="仿宋_GB2312" w:cs="仿宋_GB2312"/>
          <w:sz w:val="32"/>
        </w:rPr>
        <w:t>　违反本法规定，构成犯罪的，依法追究刑事责任；造成人身、财产或者其他损害的，依法承担民事责任。</w:t>
      </w:r>
    </w:p>
    <w:p>
      <w:pPr>
        <w:spacing w:line="240" w:lineRule="auto"/>
        <w:ind w:firstLine="640"/>
        <w:jc w:val="both"/>
      </w:pPr>
      <w:r>
        <w:rPr>
          <w:rFonts w:ascii="黑体" w:hAnsi="黑体" w:eastAsia="黑体" w:cs="黑体"/>
          <w:sz w:val="32"/>
        </w:rPr>
        <w:t>第八十三条</w:t>
      </w:r>
      <w:r>
        <w:rPr>
          <w:rFonts w:ascii="仿宋_GB2312" w:hAnsi="仿宋_GB2312" w:eastAsia="仿宋_GB2312" w:cs="仿宋_GB2312"/>
          <w:sz w:val="32"/>
        </w:rPr>
        <w:t>　违反本法规定的生物安全违法行为，本法未规定法律责任，其他有关法律、行政法规有规定的，依照其规定。</w:t>
      </w:r>
    </w:p>
    <w:p>
      <w:pPr>
        <w:spacing w:line="240" w:lineRule="auto"/>
        <w:ind w:firstLine="640"/>
        <w:jc w:val="both"/>
      </w:pPr>
      <w:r>
        <w:rPr>
          <w:rFonts w:ascii="黑体" w:hAnsi="黑体" w:eastAsia="黑体" w:cs="黑体"/>
          <w:sz w:val="32"/>
        </w:rPr>
        <w:t>第八十四条</w:t>
      </w:r>
      <w:r>
        <w:rPr>
          <w:rFonts w:ascii="仿宋_GB2312" w:hAnsi="仿宋_GB2312" w:eastAsia="仿宋_GB2312" w:cs="仿宋_GB2312"/>
          <w:sz w:val="32"/>
        </w:rPr>
        <w:t>　境外组织或者个人通过运输、邮寄、携带危险生物因子入境或者以其他方式危害我国生物安全的，依法追究法律责任，并可以采取其他必要措施。</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第十章　附　　则</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第八十五条</w:t>
      </w:r>
      <w:r>
        <w:rPr>
          <w:rFonts w:ascii="仿宋_GB2312" w:hAnsi="仿宋_GB2312" w:eastAsia="仿宋_GB2312" w:cs="仿宋_GB2312"/>
          <w:sz w:val="32"/>
        </w:rPr>
        <w:t>　本法下列术语的含义：</w:t>
      </w:r>
    </w:p>
    <w:p>
      <w:pPr>
        <w:spacing w:line="240" w:lineRule="auto"/>
        <w:ind w:firstLine="640"/>
        <w:jc w:val="both"/>
      </w:pPr>
      <w:r>
        <w:rPr>
          <w:rFonts w:ascii="仿宋_GB2312" w:hAnsi="仿宋_GB2312" w:eastAsia="仿宋_GB2312" w:cs="仿宋_GB2312"/>
          <w:sz w:val="32"/>
        </w:rPr>
        <w:t>（一）生物因子，是指动物、植物、微生物、生物毒素及其他生物活性物质。</w:t>
      </w:r>
    </w:p>
    <w:p>
      <w:pPr>
        <w:spacing w:line="240" w:lineRule="auto"/>
        <w:ind w:firstLine="640"/>
        <w:jc w:val="both"/>
      </w:pPr>
      <w:r>
        <w:rPr>
          <w:rFonts w:ascii="仿宋_GB2312" w:hAnsi="仿宋_GB2312" w:eastAsia="仿宋_GB2312" w:cs="仿宋_GB2312"/>
          <w:sz w:val="32"/>
        </w:rPr>
        <w:t>（二）重大新发突发传染病，是指我国境内首次出现或者已经宣布消灭再次发生，或者突然发生，造成或者可能造成公众健康和生命安全严重损害，引起社会恐慌，影响社会稳定的传染病。</w:t>
      </w:r>
    </w:p>
    <w:p>
      <w:pPr>
        <w:spacing w:line="240" w:lineRule="auto"/>
        <w:ind w:firstLine="640"/>
        <w:jc w:val="both"/>
      </w:pPr>
      <w:r>
        <w:rPr>
          <w:rFonts w:ascii="仿宋_GB2312" w:hAnsi="仿宋_GB2312" w:eastAsia="仿宋_GB2312" w:cs="仿宋_GB2312"/>
          <w:sz w:val="32"/>
        </w:rPr>
        <w:t>（三）重大新发突发动物疫情，是指我国境内首次发生或者已经宣布消灭的动物疫病再次发生，或者发病率、死亡率较高的潜伏动物疫病突然发生并迅速传播，给养殖业生产安全造成严重威胁、危害，以及可能对公众健康和生命安全造成危害的情形。</w:t>
      </w:r>
    </w:p>
    <w:p>
      <w:pPr>
        <w:spacing w:line="240" w:lineRule="auto"/>
        <w:ind w:firstLine="640"/>
        <w:jc w:val="both"/>
      </w:pPr>
      <w:r>
        <w:rPr>
          <w:rFonts w:ascii="仿宋_GB2312" w:hAnsi="仿宋_GB2312" w:eastAsia="仿宋_GB2312" w:cs="仿宋_GB2312"/>
          <w:sz w:val="32"/>
        </w:rPr>
        <w:t>（四）重大新发突发植物疫情，是指我国境内首次发生或者已经宣布消灭的严重危害植物的真菌、细菌、病毒、昆虫、线虫、杂草、害鼠、软体动物等再次引发病虫害，或者本地有害生物突然大范围发生并迅速传播，对农作物、林木等植物造成严重危害的情形。</w:t>
      </w:r>
    </w:p>
    <w:p>
      <w:pPr>
        <w:spacing w:line="240" w:lineRule="auto"/>
        <w:ind w:firstLine="640"/>
        <w:jc w:val="both"/>
      </w:pPr>
      <w:r>
        <w:rPr>
          <w:rFonts w:ascii="仿宋_GB2312" w:hAnsi="仿宋_GB2312" w:eastAsia="仿宋_GB2312" w:cs="仿宋_GB2312"/>
          <w:sz w:val="32"/>
        </w:rPr>
        <w:t>（五）生物技术研究、开发与应用，是指通过科学和工程原理认识、改造、合成、利用生物而从事的科学研究、技术开发与应用等活动。</w:t>
      </w:r>
    </w:p>
    <w:p>
      <w:pPr>
        <w:spacing w:line="240" w:lineRule="auto"/>
        <w:ind w:firstLine="640"/>
        <w:jc w:val="both"/>
      </w:pPr>
      <w:r>
        <w:rPr>
          <w:rFonts w:ascii="仿宋_GB2312" w:hAnsi="仿宋_GB2312" w:eastAsia="仿宋_GB2312" w:cs="仿宋_GB2312"/>
          <w:sz w:val="32"/>
        </w:rPr>
        <w:t>（六）病原微生物，是指可以侵犯人、动物引起感染甚至传染病的微生物，包括病毒、细菌、真菌、立克次体、寄生虫等。</w:t>
      </w:r>
    </w:p>
    <w:p>
      <w:pPr>
        <w:spacing w:line="240" w:lineRule="auto"/>
        <w:ind w:firstLine="640"/>
        <w:jc w:val="both"/>
      </w:pPr>
      <w:r>
        <w:rPr>
          <w:rFonts w:ascii="仿宋_GB2312" w:hAnsi="仿宋_GB2312" w:eastAsia="仿宋_GB2312" w:cs="仿宋_GB2312"/>
          <w:sz w:val="32"/>
        </w:rPr>
        <w:t>（七）植物有害生物，是指能够对农作物、林木等植物造成危害的真菌、细菌、病毒、昆虫、线虫、杂草、害鼠、软体动物等生物。</w:t>
      </w:r>
    </w:p>
    <w:p>
      <w:pPr>
        <w:spacing w:line="240" w:lineRule="auto"/>
        <w:ind w:firstLine="640"/>
        <w:jc w:val="both"/>
      </w:pPr>
      <w:r>
        <w:rPr>
          <w:rFonts w:ascii="仿宋_GB2312" w:hAnsi="仿宋_GB2312" w:eastAsia="仿宋_GB2312" w:cs="仿宋_GB2312"/>
          <w:sz w:val="32"/>
        </w:rPr>
        <w:t>（八）人类遗传资源，包括人类遗传资源材料和人类遗传资源信息。人类遗传资源材料是指含有人体基因组、基因等遗传物质的器官、组织、细胞等遗传材料。人类遗传资源信息是指利用人类遗传资源材料产生的数据等信息资料。</w:t>
      </w:r>
    </w:p>
    <w:p>
      <w:pPr>
        <w:spacing w:line="240" w:lineRule="auto"/>
        <w:ind w:firstLine="640"/>
        <w:jc w:val="both"/>
      </w:pPr>
      <w:r>
        <w:rPr>
          <w:rFonts w:ascii="仿宋_GB2312" w:hAnsi="仿宋_GB2312" w:eastAsia="仿宋_GB2312" w:cs="仿宋_GB2312"/>
          <w:sz w:val="32"/>
        </w:rPr>
        <w:t>（九）微生物耐药，是指微生物对抗微生物药物产生抗性，导致抗微生物药物不能有效控制微生物的感染。</w:t>
      </w:r>
    </w:p>
    <w:p>
      <w:pPr>
        <w:spacing w:line="240" w:lineRule="auto"/>
        <w:ind w:firstLine="640"/>
        <w:jc w:val="both"/>
      </w:pPr>
      <w:r>
        <w:rPr>
          <w:rFonts w:ascii="仿宋_GB2312" w:hAnsi="仿宋_GB2312" w:eastAsia="仿宋_GB2312" w:cs="仿宋_GB2312"/>
          <w:sz w:val="32"/>
        </w:rPr>
        <w:t>（十）生物武器，是指类型和数量不属于预防、保护或者其他和平用途所正当需要的、任何来源或者任何方法产生的微生物剂、其他生物剂以及生物毒素；也包括为将上述生物剂、生物毒素使用于敌对目的或者武装冲突而设计的武器、设备或者运载工具。</w:t>
      </w:r>
    </w:p>
    <w:p>
      <w:pPr>
        <w:spacing w:line="240" w:lineRule="auto"/>
        <w:ind w:firstLine="640"/>
        <w:jc w:val="both"/>
      </w:pPr>
      <w:r>
        <w:rPr>
          <w:rFonts w:ascii="仿宋_GB2312" w:hAnsi="仿宋_GB2312" w:eastAsia="仿宋_GB2312" w:cs="仿宋_GB2312"/>
          <w:sz w:val="32"/>
        </w:rPr>
        <w:t>（十一）生物恐怖，是指故意使用致病性微生物、生物毒素等实施袭击，损害人类或者动植物健康，引起社会恐慌，企图达到特定政治目的的行为。</w:t>
      </w:r>
    </w:p>
    <w:p>
      <w:pPr>
        <w:spacing w:line="240" w:lineRule="auto"/>
        <w:ind w:firstLine="640"/>
        <w:jc w:val="both"/>
      </w:pPr>
      <w:r>
        <w:rPr>
          <w:rFonts w:ascii="黑体" w:hAnsi="黑体" w:eastAsia="黑体" w:cs="黑体"/>
          <w:sz w:val="32"/>
        </w:rPr>
        <w:t>第八十六条</w:t>
      </w:r>
      <w:r>
        <w:rPr>
          <w:rFonts w:ascii="仿宋_GB2312" w:hAnsi="仿宋_GB2312" w:eastAsia="仿宋_GB2312" w:cs="仿宋_GB2312"/>
          <w:sz w:val="32"/>
        </w:rPr>
        <w:t>　生物安全信息属于国家秘密的，应当依照《中华人民共和国保守国家秘密法》和国家其他有关保密规定实施保密管理。</w:t>
      </w:r>
    </w:p>
    <w:p>
      <w:pPr>
        <w:spacing w:line="240" w:lineRule="auto"/>
        <w:ind w:firstLine="640"/>
        <w:jc w:val="both"/>
      </w:pPr>
      <w:r>
        <w:rPr>
          <w:rFonts w:ascii="黑体" w:hAnsi="黑体" w:eastAsia="黑体" w:cs="黑体"/>
          <w:sz w:val="32"/>
        </w:rPr>
        <w:t>第八十七条</w:t>
      </w:r>
      <w:r>
        <w:rPr>
          <w:rFonts w:ascii="仿宋_GB2312" w:hAnsi="仿宋_GB2312" w:eastAsia="仿宋_GB2312" w:cs="仿宋_GB2312"/>
          <w:sz w:val="32"/>
        </w:rPr>
        <w:t>　中国人民解放军、中国人民武装警察部队的生物安全活动，由中央军事委员会依照本法规定的原则另行规定。</w:t>
      </w:r>
    </w:p>
    <w:p>
      <w:pPr>
        <w:spacing w:line="240" w:lineRule="auto"/>
        <w:ind w:firstLine="640"/>
        <w:jc w:val="both"/>
      </w:pPr>
      <w:r>
        <w:rPr>
          <w:rFonts w:ascii="黑体" w:hAnsi="黑体" w:eastAsia="黑体" w:cs="黑体"/>
          <w:sz w:val="32"/>
        </w:rPr>
        <w:t>第八十八条</w:t>
      </w:r>
      <w:r>
        <w:rPr>
          <w:rFonts w:ascii="仿宋_GB2312" w:hAnsi="仿宋_GB2312" w:eastAsia="仿宋_GB2312" w:cs="仿宋_GB2312"/>
          <w:sz w:val="32"/>
        </w:rPr>
        <w:t>　本法自</w:t>
      </w:r>
      <w:r>
        <w:rPr>
          <w:rFonts w:hint="default" w:ascii="Times New Roman" w:hAnsi="Times New Roman" w:eastAsia="仿宋_GB2312" w:cs="Times New Roman"/>
          <w:sz w:val="32"/>
        </w:rPr>
        <w:t>2021</w:t>
      </w:r>
      <w:r>
        <w:rPr>
          <w:rFonts w:ascii="仿宋_GB2312" w:hAnsi="仿宋_GB2312" w:eastAsia="仿宋_GB2312" w:cs="仿宋_GB2312"/>
          <w:sz w:val="32"/>
        </w:rPr>
        <w:t>年</w:t>
      </w:r>
      <w:r>
        <w:rPr>
          <w:rFonts w:hint="default" w:ascii="Times New Roman" w:hAnsi="Times New Roman" w:eastAsia="仿宋_GB2312" w:cs="Times New Roman"/>
          <w:sz w:val="32"/>
        </w:rPr>
        <w:t>4</w:t>
      </w:r>
      <w:r>
        <w:rPr>
          <w:rFonts w:ascii="仿宋_GB2312" w:hAnsi="仿宋_GB2312" w:eastAsia="仿宋_GB2312" w:cs="仿宋_GB2312"/>
          <w:sz w:val="32"/>
        </w:rPr>
        <w:t>月</w:t>
      </w:r>
      <w:r>
        <w:rPr>
          <w:rFonts w:hint="default" w:ascii="Times New Roman" w:hAnsi="Times New Roman" w:eastAsia="仿宋_GB2312" w:cs="Times New Roman"/>
          <w:sz w:val="32"/>
        </w:rPr>
        <w:t>15</w:t>
      </w:r>
      <w:r>
        <w:rPr>
          <w:rFonts w:ascii="仿宋_GB2312" w:hAnsi="仿宋_GB2312" w:eastAsia="仿宋_GB2312" w:cs="仿宋_GB2312"/>
          <w:sz w:val="32"/>
        </w:rPr>
        <w:t>日起施行。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80" w:firstLineChars="200"/>
        <w:textAlignment w:val="auto"/>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80" w:firstLineChars="200"/>
        <w:textAlignment w:val="auto"/>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r>
        <w:rPr>
          <w:rFonts w:hint="eastAsia" w:ascii="宋体" w:hAnsi="宋体" w:eastAsia="宋体" w:cs="宋体"/>
          <w:b w:val="0"/>
          <w:bCs w:val="0"/>
          <w:kern w:val="0"/>
          <w:sz w:val="44"/>
          <w:szCs w:val="44"/>
          <w:lang w:val="en-US" w:eastAsia="zh-CN" w:bidi="ar-SA"/>
        </w:rPr>
        <w:br w:type="page"/>
      </w:r>
    </w:p>
    <w:p>
      <w:pPr>
        <w:pStyle w:val="18"/>
        <w:widowControl/>
        <w:pBdr>
          <w:top w:val="none" w:color="auto" w:sz="0" w:space="0"/>
        </w:pBdr>
        <w:wordWrap/>
        <w:adjustRightInd/>
        <w:snapToGrid/>
        <w:spacing w:beforeAutospacing="0" w:afterAutospacing="0" w:line="560" w:lineRule="exact"/>
        <w:ind w:left="0" w:leftChars="0" w:right="0" w:firstLine="0"/>
        <w:jc w:val="center"/>
        <w:textAlignment w:val="auto"/>
        <w:outlineLvl w:val="9"/>
        <w:rPr>
          <w:rFonts w:ascii="黑体" w:hAnsi="宋体" w:eastAsia="黑体" w:cs="黑体"/>
          <w:i w:val="0"/>
          <w:caps w:val="0"/>
          <w:color w:val="000000"/>
          <w:spacing w:val="0"/>
          <w:sz w:val="44"/>
          <w:szCs w:val="44"/>
        </w:rPr>
      </w:pPr>
      <w:r>
        <w:rPr>
          <w:rFonts w:hint="eastAsia" w:ascii="宋体" w:hAnsi="宋体" w:eastAsia="宋体" w:cs="宋体"/>
          <w:i w:val="0"/>
          <w:caps w:val="0"/>
          <w:color w:val="000000"/>
          <w:spacing w:val="0"/>
          <w:sz w:val="44"/>
          <w:szCs w:val="44"/>
        </w:rPr>
        <w:t>中华人民共和国反食品浪费法</w:t>
      </w:r>
    </w:p>
    <w:p>
      <w:pPr>
        <w:pStyle w:val="18"/>
        <w:widowControl/>
        <w:wordWrap/>
        <w:adjustRightInd/>
        <w:snapToGrid/>
        <w:spacing w:beforeAutospacing="0" w:afterAutospacing="0" w:line="560" w:lineRule="exact"/>
        <w:ind w:left="0" w:leftChars="0" w:right="0" w:firstLine="420"/>
        <w:jc w:val="both"/>
        <w:textAlignment w:val="auto"/>
        <w:outlineLvl w:val="9"/>
        <w:rPr>
          <w:rFonts w:hint="eastAsia" w:ascii="楷体" w:hAnsi="楷体" w:eastAsia="楷体" w:cs="楷体"/>
          <w:i w:val="0"/>
          <w:caps w:val="0"/>
          <w:color w:val="000000"/>
          <w:spacing w:val="0"/>
          <w:sz w:val="27"/>
          <w:szCs w:val="27"/>
        </w:rPr>
      </w:pPr>
    </w:p>
    <w:p>
      <w:pPr>
        <w:pStyle w:val="18"/>
        <w:widowControl/>
        <w:wordWrap/>
        <w:adjustRightInd/>
        <w:snapToGrid/>
        <w:spacing w:beforeAutospacing="0" w:afterAutospacing="0" w:line="560" w:lineRule="exact"/>
        <w:ind w:left="0" w:leftChars="0" w:right="0" w:firstLine="420"/>
        <w:jc w:val="both"/>
        <w:textAlignment w:val="auto"/>
        <w:outlineLvl w:val="9"/>
        <w:rPr>
          <w:rFonts w:ascii="楷体" w:hAnsi="楷体" w:eastAsia="楷体" w:cs="楷体"/>
          <w:i w:val="0"/>
          <w:caps w:val="0"/>
          <w:color w:val="000000"/>
          <w:spacing w:val="0"/>
          <w:sz w:val="27"/>
          <w:szCs w:val="27"/>
        </w:rPr>
      </w:pPr>
      <w:r>
        <w:rPr>
          <w:rFonts w:hint="eastAsia" w:ascii="楷体_GB2312" w:hAnsi="楷体_GB2312" w:eastAsia="楷体_GB2312" w:cs="楷体_GB2312"/>
          <w:i w:val="0"/>
          <w:caps w:val="0"/>
          <w:color w:val="000000"/>
          <w:spacing w:val="0"/>
          <w:sz w:val="32"/>
          <w:szCs w:val="32"/>
        </w:rPr>
        <w:t>（2021年4月29日第十三届全国人民代表大会常务委员会第二十八次会议通过）</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黑体" w:hAnsi="黑体" w:eastAsia="黑体" w:cs="黑体"/>
          <w:i w:val="0"/>
          <w:caps w:val="0"/>
          <w:color w:val="000000"/>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第一条</w:t>
      </w:r>
      <w:r>
        <w:rPr>
          <w:rFonts w:hint="eastAsia" w:ascii="仿宋_GB2312" w:hAnsi="仿宋_GB2312" w:eastAsia="仿宋_GB2312" w:cs="仿宋_GB2312"/>
          <w:i w:val="0"/>
          <w:caps w:val="0"/>
          <w:color w:val="000000"/>
          <w:spacing w:val="0"/>
          <w:sz w:val="32"/>
          <w:szCs w:val="32"/>
        </w:rPr>
        <w:t> 为了防止食品浪费，保障国家粮食安全，弘扬中华民族传统美德，践行社会主义核心价值观，节约资源，保护环境，促进经济社会可持续发展，根据宪法，制定本法。</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第二条</w:t>
      </w:r>
      <w:r>
        <w:rPr>
          <w:rFonts w:hint="eastAsia" w:ascii="仿宋_GB2312" w:hAnsi="仿宋_GB2312" w:eastAsia="仿宋_GB2312" w:cs="仿宋_GB2312"/>
          <w:i w:val="0"/>
          <w:caps w:val="0"/>
          <w:color w:val="000000"/>
          <w:spacing w:val="0"/>
          <w:sz w:val="32"/>
          <w:szCs w:val="32"/>
        </w:rPr>
        <w:t> 本法所称食品，是指《中华人民共和国食品安全法》规定的食品，包括各种供人食用或者饮用的食物。</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本法所称食品浪费，是指对可安全食用或者饮用的食品未能按照其功能目的合理利用，包括废弃、因不合理利用导致食品数量减少或者质量下降等。</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第三条</w:t>
      </w:r>
      <w:r>
        <w:rPr>
          <w:rFonts w:hint="eastAsia" w:ascii="仿宋_GB2312" w:hAnsi="仿宋_GB2312" w:eastAsia="仿宋_GB2312" w:cs="仿宋_GB2312"/>
          <w:i w:val="0"/>
          <w:caps w:val="0"/>
          <w:color w:val="000000"/>
          <w:spacing w:val="0"/>
          <w:sz w:val="32"/>
          <w:szCs w:val="32"/>
        </w:rPr>
        <w:t> 国家厉行节约，反对浪费。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国家坚持多措并举、精准施策、科学管理、社会共治的原则，采取技术上可行、经济上合理的措施防止和减少食品浪费。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国家倡导文明、健康、节约资源、保护环境的消费方式，提倡简约适度、绿色低碳的生活方式。</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第四条</w:t>
      </w:r>
      <w:r>
        <w:rPr>
          <w:rFonts w:hint="eastAsia" w:ascii="仿宋_GB2312" w:hAnsi="仿宋_GB2312" w:eastAsia="仿宋_GB2312" w:cs="仿宋_GB2312"/>
          <w:i w:val="0"/>
          <w:caps w:val="0"/>
          <w:color w:val="000000"/>
          <w:spacing w:val="0"/>
          <w:sz w:val="32"/>
          <w:szCs w:val="32"/>
        </w:rPr>
        <w:t> 各级人民政府应当加强对反食品浪费工作的领导，确定反食品浪费目标任务，建立健全反食品浪费工作机制，组织对食品浪费情况进行监测、调查、分析和评估，加强监督管理，推进反食品浪费工作。</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县级以上地方人民政府应当每年向社会公布反食品浪费情况，提出加强反食品浪费措施，持续推动全社会反食品浪费。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第五条</w:t>
      </w:r>
      <w:r>
        <w:rPr>
          <w:rFonts w:hint="eastAsia" w:ascii="仿宋_GB2312" w:hAnsi="仿宋_GB2312" w:eastAsia="仿宋_GB2312" w:cs="仿宋_GB2312"/>
          <w:i w:val="0"/>
          <w:caps w:val="0"/>
          <w:color w:val="000000"/>
          <w:spacing w:val="0"/>
          <w:sz w:val="32"/>
          <w:szCs w:val="32"/>
        </w:rPr>
        <w:t> 国务院发展改革部门应当加强对全国反食品浪费工作的组织协调；会同国务院有关部门每年分析评估食品浪费情况，整体部署反食品浪费工作，提出相关工作措施和意见，由各有关部门落实。</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务院商务主管部门应当加强对餐饮行业的管理，建立健全行业标准、服务规范；会同国务院市场监督管理部门等建立餐饮行业反食品浪费制度规范，采取措施鼓励餐饮服务经营者提供分餐服务、向社会公开其反食品浪费情况。</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国务院市场监督管理部门应当加强对食品生产经营者反食品浪费情况的监督，督促食品生产经营者落实反食品浪费措施。</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国家粮食和物资储备部门应当加强粮食仓储流通过程中的节粮减损管理，会同国务院有关部门组织实施粮食储存、运输、加工标准。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国务院有关部门依照本法和国务院规定的职责，采取措施开展反食品浪费工作。</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第六条</w:t>
      </w:r>
      <w:r>
        <w:rPr>
          <w:rFonts w:hint="eastAsia" w:ascii="仿宋_GB2312" w:hAnsi="仿宋_GB2312" w:eastAsia="仿宋_GB2312" w:cs="仿宋_GB2312"/>
          <w:i w:val="0"/>
          <w:caps w:val="0"/>
          <w:color w:val="000000"/>
          <w:spacing w:val="0"/>
          <w:sz w:val="32"/>
          <w:szCs w:val="32"/>
        </w:rPr>
        <w:t> 机关、人民团体、国有企业事业单位应当按照国家有关规定，细化完善公务接待、会议、培训等公务活动用餐规范，加强管理，带头厉行节约，反对浪费。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公务活动需要安排用餐的，应当根据实际情况，节俭安排用餐数量、形式，不得超过规定的标准。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第七条</w:t>
      </w:r>
      <w:r>
        <w:rPr>
          <w:rFonts w:hint="eastAsia" w:ascii="仿宋_GB2312" w:hAnsi="仿宋_GB2312" w:eastAsia="仿宋_GB2312" w:cs="仿宋_GB2312"/>
          <w:i w:val="0"/>
          <w:caps w:val="0"/>
          <w:color w:val="000000"/>
          <w:spacing w:val="0"/>
          <w:sz w:val="32"/>
          <w:szCs w:val="32"/>
        </w:rPr>
        <w:t> 餐饮服务经营者应当采取下列措施，防止食品浪费：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（一）建立健全食品采购、储存、加工管理制度，加强服务人员职业培训，将珍惜粮食、反对浪费纳入培训内容；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（二）主动对消费者进行防止食品浪费提示提醒，在醒目位置张贴或者摆放反食品浪费标识，或者由服务人员提示说明，引导消费者按需适量点餐；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（三）提升餐饮供给质量，按照标准规范制作食品，合理确定数量、分量，提供小份餐等不同规格选择；</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（四）提供团体用餐服务的，应当将防止食品浪费理念纳入菜单设计，按照用餐人数合理配置菜品、主食；</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（五）提供自助餐服务的，应当主动告知消费规则和防止食品浪费要求，提供不同规格餐具，提醒消费者适量取餐。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餐饮服务经营者不得诱导、误导消费者超量点餐。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餐饮服务经营者可以通过在菜单上标注食品分量、规格、建议消费人数等方式充实菜单信息，为消费者提供点餐提示，根据消费者需要提供公勺公筷和打包服务。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餐饮服务经营者可以对参与“光盘行动”的消费者给予奖励；也可以对造成明显浪费的消费者收取处理厨余垃圾的相应费用，收费标准应当明示。</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餐饮服务经营者可以运用信息化手段分析用餐需求，通过建设中央厨房、配送中心等措施，对食品采购、运输、储存、加工等进行科学管理。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第八条</w:t>
      </w:r>
      <w:r>
        <w:rPr>
          <w:rFonts w:hint="eastAsia" w:ascii="仿宋_GB2312" w:hAnsi="仿宋_GB2312" w:eastAsia="仿宋_GB2312" w:cs="仿宋_GB2312"/>
          <w:i w:val="0"/>
          <w:caps w:val="0"/>
          <w:color w:val="000000"/>
          <w:spacing w:val="0"/>
          <w:sz w:val="32"/>
          <w:szCs w:val="32"/>
        </w:rPr>
        <w:t> 设有食堂的单位应当建立健全食堂用餐管理制度，制定、实施防止食品浪费措施，加强宣传教育，增强反食品浪费意识。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单位食堂应当加强食品采购、储存、加工动态管理，根据用餐人数采购、做餐、配餐，提高原材料利用率和烹饪水平，按照健康、经济、规范的原则提供饮食，注重饮食平衡。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单位食堂应当改进供餐方式，在醒目位置张贴或者摆放反食品浪费标识，引导用餐人员适量点餐、取餐；对有浪费行为的，应当及时予以提醒、纠正。</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第九条</w:t>
      </w:r>
      <w:r>
        <w:rPr>
          <w:rFonts w:hint="eastAsia" w:ascii="仿宋_GB2312" w:hAnsi="仿宋_GB2312" w:eastAsia="仿宋_GB2312" w:cs="仿宋_GB2312"/>
          <w:i w:val="0"/>
          <w:caps w:val="0"/>
          <w:color w:val="000000"/>
          <w:spacing w:val="0"/>
          <w:sz w:val="32"/>
          <w:szCs w:val="32"/>
        </w:rPr>
        <w:t> 学校应当对用餐人员数量、结构进行监测、分析和评估,加强学校食堂餐饮服务管理；选择校外供餐单位的，应当建立健全引进和退出机制，择优选择。</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学校食堂、校外供餐单位应当加强精细化管理，按需供餐，改进供餐方式，科学营养配餐，丰富不同规格配餐和口味选择，定期听取用餐人员意见，保证菜品、主食质量。</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第十条</w:t>
      </w:r>
      <w:r>
        <w:rPr>
          <w:rFonts w:hint="eastAsia" w:ascii="仿宋_GB2312" w:hAnsi="仿宋_GB2312" w:eastAsia="仿宋_GB2312" w:cs="仿宋_GB2312"/>
          <w:i w:val="0"/>
          <w:caps w:val="0"/>
          <w:color w:val="000000"/>
          <w:spacing w:val="0"/>
          <w:sz w:val="32"/>
          <w:szCs w:val="32"/>
        </w:rPr>
        <w:t> 餐饮外卖平台应当以显著方式提示消费者适量点餐。餐饮服务经营者通过餐饮外卖平台提供服务的，应当在平台页面上向消费者提供食品分量、规格或者建议消费人数等信息。</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第十一条</w:t>
      </w:r>
      <w:r>
        <w:rPr>
          <w:rFonts w:hint="eastAsia" w:ascii="仿宋_GB2312" w:hAnsi="仿宋_GB2312" w:eastAsia="仿宋_GB2312" w:cs="仿宋_GB2312"/>
          <w:i w:val="0"/>
          <w:caps w:val="0"/>
          <w:color w:val="000000"/>
          <w:spacing w:val="0"/>
          <w:sz w:val="32"/>
          <w:szCs w:val="32"/>
        </w:rPr>
        <w:t> 旅游经营者应当引导旅游者文明、健康用餐。旅行社及导游应当合理安排团队用餐，提醒旅游者适量点餐、取餐。有关行业应当将旅游经营者反食品浪费工作情况纳入相关质量标准等级评定指标。</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第十二条</w:t>
      </w:r>
      <w:r>
        <w:rPr>
          <w:rFonts w:hint="eastAsia" w:ascii="仿宋_GB2312" w:hAnsi="仿宋_GB2312" w:eastAsia="仿宋_GB2312" w:cs="仿宋_GB2312"/>
          <w:i w:val="0"/>
          <w:caps w:val="0"/>
          <w:color w:val="000000"/>
          <w:spacing w:val="0"/>
          <w:sz w:val="32"/>
          <w:szCs w:val="32"/>
        </w:rPr>
        <w:t> 超市、商场等食品经营者应当对其经营的食品加强日常检查，对临近保质期的食品分类管理，作特别标示或者集中陈列出售。</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第十三条</w:t>
      </w:r>
      <w:r>
        <w:rPr>
          <w:rFonts w:hint="eastAsia" w:ascii="仿宋_GB2312" w:hAnsi="仿宋_GB2312" w:eastAsia="仿宋_GB2312" w:cs="仿宋_GB2312"/>
          <w:i w:val="0"/>
          <w:caps w:val="0"/>
          <w:color w:val="000000"/>
          <w:spacing w:val="0"/>
          <w:sz w:val="32"/>
          <w:szCs w:val="32"/>
        </w:rPr>
        <w:t> 各级人民政府及其有关部门应当采取措施，反对铺张浪费，鼓励和推动文明、节俭举办活动，形成浪费可耻、节约为荣的氛围。</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婚丧嫁娶、朋友和家庭聚会、商务活动等需要用餐的，组织者、参加者应当适度备餐、点餐，文明、健康用餐。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第十四条</w:t>
      </w:r>
      <w:r>
        <w:rPr>
          <w:rFonts w:hint="eastAsia" w:ascii="仿宋_GB2312" w:hAnsi="仿宋_GB2312" w:eastAsia="仿宋_GB2312" w:cs="仿宋_GB2312"/>
          <w:i w:val="0"/>
          <w:caps w:val="0"/>
          <w:color w:val="000000"/>
          <w:spacing w:val="0"/>
          <w:sz w:val="32"/>
          <w:szCs w:val="32"/>
        </w:rPr>
        <w:t> 个人应当树立文明、健康、理性、绿色的消费理念，外出就餐时根据个人健康状况、饮食习惯和用餐需求合理点餐、取餐。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家庭及成员在家庭生活中，应当培养形成科学健康、物尽其用、防止浪费的良好习惯，按照日常生活实际需要采购、储存和制作食品。</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第十五条</w:t>
      </w:r>
      <w:r>
        <w:rPr>
          <w:rFonts w:hint="eastAsia" w:ascii="仿宋_GB2312" w:hAnsi="仿宋_GB2312" w:eastAsia="仿宋_GB2312" w:cs="仿宋_GB2312"/>
          <w:i w:val="0"/>
          <w:caps w:val="0"/>
          <w:color w:val="000000"/>
          <w:spacing w:val="0"/>
          <w:sz w:val="32"/>
          <w:szCs w:val="32"/>
        </w:rPr>
        <w:t> 国家完善粮食和其他食用农产品的生产、储存、运输、加工标准，推广使用新技术、新工艺、新设备，引导适度加工和综合利用，降低损耗。</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食品生产经营者应当采取措施，改善食品储存、运输、加工条件，防止食品变质，降低储存、运输中的损耗；提高食品加工利用率，避免过度加工和过量使用原材料。</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第十六条</w:t>
      </w:r>
      <w:r>
        <w:rPr>
          <w:rFonts w:hint="eastAsia" w:ascii="仿宋_GB2312" w:hAnsi="仿宋_GB2312" w:eastAsia="仿宋_GB2312" w:cs="仿宋_GB2312"/>
          <w:i w:val="0"/>
          <w:caps w:val="0"/>
          <w:color w:val="000000"/>
          <w:spacing w:val="0"/>
          <w:sz w:val="32"/>
          <w:szCs w:val="32"/>
        </w:rPr>
        <w:t> 制定和修改有关国家标准、行业标准和地方标准，应当将防止食品浪费作为重要考虑因素，在保证食品安全的前提下，最大程度防止浪费。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食品保质期应当科学合理设置，显著标注，容易辨识。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第十七条</w:t>
      </w:r>
      <w:r>
        <w:rPr>
          <w:rFonts w:hint="eastAsia" w:ascii="仿宋_GB2312" w:hAnsi="仿宋_GB2312" w:eastAsia="仿宋_GB2312" w:cs="仿宋_GB2312"/>
          <w:i w:val="0"/>
          <w:caps w:val="0"/>
          <w:color w:val="000000"/>
          <w:spacing w:val="0"/>
          <w:sz w:val="32"/>
          <w:szCs w:val="32"/>
        </w:rPr>
        <w:t> 各级人民政府及其有关部门应当建立反食品浪费监督检查机制，对发现的食品浪费问题及时督促整改。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食品生产经营者在食品生产经营过程中严重浪费食品的，县级以上地方人民政府市场监督管理、商务等部门可以对其法定代表人或者主要负责人进行约谈。被约谈的食品生产经营者应当立即整改。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第十八条</w:t>
      </w:r>
      <w:r>
        <w:rPr>
          <w:rFonts w:hint="eastAsia" w:ascii="仿宋_GB2312" w:hAnsi="仿宋_GB2312" w:eastAsia="仿宋_GB2312" w:cs="仿宋_GB2312"/>
          <w:i w:val="0"/>
          <w:caps w:val="0"/>
          <w:color w:val="000000"/>
          <w:spacing w:val="0"/>
          <w:sz w:val="32"/>
          <w:szCs w:val="32"/>
        </w:rPr>
        <w:t> 机关事务管理部门会同有关部门建立机关食堂反食品浪费工作成效评估和通报制度，将反食品浪费纳入公共机构节约能源资源考核和节约型机关创建活动内容。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第十九条</w:t>
      </w:r>
      <w:r>
        <w:rPr>
          <w:rFonts w:hint="eastAsia" w:ascii="仿宋_GB2312" w:hAnsi="仿宋_GB2312" w:eastAsia="仿宋_GB2312" w:cs="仿宋_GB2312"/>
          <w:i w:val="0"/>
          <w:caps w:val="0"/>
          <w:color w:val="000000"/>
          <w:spacing w:val="0"/>
          <w:sz w:val="32"/>
          <w:szCs w:val="32"/>
        </w:rPr>
        <w:t> 食品、餐饮行业协会等应当加强行业自律，依法制定、实施反食品浪费等相关团体标准和行业自律规范，宣传、普及防止食品浪费知识，推广先进典型，引导会员自觉开展反食品浪费活动，对有浪费行为的会员采取必要的自律措施。</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食品、餐饮行业协会等应当开展食品浪费监测，加强分析评估，每年向社会公布有关反食品浪费情况及监测评估结果，为国家机关制定法律、法规、政策、标准和开展有关问题研究提供支持，接受社会监督。</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消费者协会和其他消费者组织应当对消费者加强饮食消费教育，引导形成自觉抵制浪费的消费习惯。</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第二十条</w:t>
      </w:r>
      <w:r>
        <w:rPr>
          <w:rFonts w:hint="eastAsia" w:ascii="仿宋_GB2312" w:hAnsi="仿宋_GB2312" w:eastAsia="仿宋_GB2312" w:cs="仿宋_GB2312"/>
          <w:i w:val="0"/>
          <w:caps w:val="0"/>
          <w:color w:val="000000"/>
          <w:spacing w:val="0"/>
          <w:sz w:val="32"/>
          <w:szCs w:val="32"/>
        </w:rPr>
        <w:t> 机关、人民团体、社会组织、企业事业单位和基层群众性自治组织应当将厉行节约、反对浪费作为群众性精神文明创建活动内容，纳入相关创建测评体系和各地市民公约、村规民约、行业规范等，加强反食品浪费宣传教育和科学普及，推动开展“光盘行动”，倡导文明、健康、科学的饮食文化，增强公众反食品浪费意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县级以上人民政府及其有关部门应当持续组织开展反食品浪费宣传教育，并将反食品浪费作为全国粮食安全宣传周的重要内容。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第二十一条</w:t>
      </w:r>
      <w:r>
        <w:rPr>
          <w:rFonts w:hint="eastAsia" w:ascii="仿宋_GB2312" w:hAnsi="仿宋_GB2312" w:eastAsia="仿宋_GB2312" w:cs="仿宋_GB2312"/>
          <w:i w:val="0"/>
          <w:caps w:val="0"/>
          <w:color w:val="000000"/>
          <w:spacing w:val="0"/>
          <w:sz w:val="32"/>
          <w:szCs w:val="32"/>
        </w:rPr>
        <w:t> 教育行政部门应当指导、督促学校加强反食品浪费教育和管理。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学校应当按照规定开展国情教育，将厉行节约、反对浪费纳入教育教学内容，通过学习实践、体验劳动等形式，开展反食品浪费专题教育活动，培养学生形成勤俭节约、珍惜粮食的习惯。</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学校应当建立防止食品浪费的监督检查机制，制定、实施相应的奖惩措施。</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第二十二条</w:t>
      </w:r>
      <w:r>
        <w:rPr>
          <w:rFonts w:hint="eastAsia" w:ascii="仿宋_GB2312" w:hAnsi="仿宋_GB2312" w:eastAsia="仿宋_GB2312" w:cs="仿宋_GB2312"/>
          <w:i w:val="0"/>
          <w:caps w:val="0"/>
          <w:color w:val="000000"/>
          <w:spacing w:val="0"/>
          <w:sz w:val="32"/>
          <w:szCs w:val="32"/>
        </w:rPr>
        <w:t> 新闻媒体应当开展反食品浪费法律、法规以及相关标准和知识的公益宣传，报道先进典型，曝光浪费现象，引导公众树立正确饮食消费观念，对食品浪费行为进行舆论监督。有关反食品浪费的宣传报道应当真实、公正。</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禁止制作、发布、传播宣扬量大多吃、暴饮暴食等浪费食品的节目或者音视频信息。</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网络音视频服务提供者发现用户有违反前款规定行为的，应当立即停止传输相关信息；情节严重的，应当停止提供信息服务。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第二十三条</w:t>
      </w:r>
      <w:r>
        <w:rPr>
          <w:rFonts w:hint="eastAsia" w:ascii="仿宋_GB2312" w:hAnsi="仿宋_GB2312" w:eastAsia="仿宋_GB2312" w:cs="仿宋_GB2312"/>
          <w:i w:val="0"/>
          <w:caps w:val="0"/>
          <w:color w:val="000000"/>
          <w:spacing w:val="0"/>
          <w:sz w:val="32"/>
          <w:szCs w:val="32"/>
        </w:rPr>
        <w:t> 县级以上地方人民政府民政、市场监督管理部门等建立捐赠需求对接机制，引导食品生产经营者等在保证食品安全的前提下向有关社会组织、福利机构、救助机构等组织或者个人捐赠食品。有关组织根据需要，及时接收、分发食品。</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国家鼓励社会力量参与食品捐赠活动。网络信息服务提供者可以搭建平台，为食品捐赠等提供服务。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第二十四条</w:t>
      </w:r>
      <w:r>
        <w:rPr>
          <w:rFonts w:hint="eastAsia" w:ascii="仿宋_GB2312" w:hAnsi="仿宋_GB2312" w:eastAsia="仿宋_GB2312" w:cs="仿宋_GB2312"/>
          <w:i w:val="0"/>
          <w:caps w:val="0"/>
          <w:color w:val="000000"/>
          <w:spacing w:val="0"/>
          <w:sz w:val="32"/>
          <w:szCs w:val="32"/>
        </w:rPr>
        <w:t> 产生厨余垃圾的单位、家庭和个人应当依法履行厨余垃圾源头减量义务。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第二十五条</w:t>
      </w:r>
      <w:r>
        <w:rPr>
          <w:rFonts w:hint="eastAsia" w:ascii="仿宋_GB2312" w:hAnsi="仿宋_GB2312" w:eastAsia="仿宋_GB2312" w:cs="仿宋_GB2312"/>
          <w:i w:val="0"/>
          <w:caps w:val="0"/>
          <w:color w:val="000000"/>
          <w:spacing w:val="0"/>
          <w:sz w:val="32"/>
          <w:szCs w:val="32"/>
        </w:rPr>
        <w:t> 国家组织开展营养状况监测、营养知识普及，引导公民形成科学的饮食习惯，减少不健康饮食引起的疾病风险。</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第二十六条</w:t>
      </w:r>
      <w:r>
        <w:rPr>
          <w:rFonts w:hint="eastAsia" w:ascii="仿宋_GB2312" w:hAnsi="仿宋_GB2312" w:eastAsia="仿宋_GB2312" w:cs="仿宋_GB2312"/>
          <w:i w:val="0"/>
          <w:caps w:val="0"/>
          <w:color w:val="000000"/>
          <w:spacing w:val="0"/>
          <w:sz w:val="32"/>
          <w:szCs w:val="32"/>
        </w:rPr>
        <w:t> 县级以上人民政府应当采取措施，对防止食品浪费的科学研究、技术开发等活动予以支持。</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政府采购有关商品和服务，应当有利于防止食品浪费。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国家实行有利于防止食品浪费的税收政策。</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第二十七条</w:t>
      </w:r>
      <w:r>
        <w:rPr>
          <w:rFonts w:hint="eastAsia" w:ascii="仿宋_GB2312" w:hAnsi="仿宋_GB2312" w:eastAsia="仿宋_GB2312" w:cs="仿宋_GB2312"/>
          <w:i w:val="0"/>
          <w:caps w:val="0"/>
          <w:color w:val="000000"/>
          <w:spacing w:val="0"/>
          <w:sz w:val="32"/>
          <w:szCs w:val="32"/>
        </w:rPr>
        <w:t> 任何单位和个人发现食品生产经营者等有食品浪费行为的，有权向有关部门和机关举报。接到举报的部门和机关应当及时依法处理。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第二十八条</w:t>
      </w:r>
      <w:r>
        <w:rPr>
          <w:rFonts w:hint="eastAsia" w:ascii="仿宋_GB2312" w:hAnsi="仿宋_GB2312" w:eastAsia="仿宋_GB2312" w:cs="仿宋_GB2312"/>
          <w:i w:val="0"/>
          <w:caps w:val="0"/>
          <w:color w:val="000000"/>
          <w:spacing w:val="0"/>
          <w:sz w:val="32"/>
          <w:szCs w:val="32"/>
        </w:rPr>
        <w:t> 违反本法规定，餐饮服务经营者未主动对消费者进行防止食品浪费提示提醒的，由县级以上地方人民政府市场监督管理部门或者县级以上地方人民政府指定的部门责令改正，给予警告。</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违反本法规定，餐饮服务经营者诱导、误导消费者超量点餐造成明显浪费的，由县级以上地方人民政府市场监督管理部门或者县级以上地方人民政府指定的部门责令改正，给予警告；拒不改正的，处一千元以上一万元以下罚款。</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违反本法规定，食品生产经营者在食品生产经营过程中造成严重食品浪费的，由县级以上地方人民政府市场监督管理部门或者县级以上地方人民政府指定的部门责令改正，拒不改正的，处五千元以上五万元以下罚款。</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第二十九条</w:t>
      </w:r>
      <w:r>
        <w:rPr>
          <w:rFonts w:hint="eastAsia" w:ascii="仿宋_GB2312" w:hAnsi="仿宋_GB2312" w:eastAsia="仿宋_GB2312" w:cs="仿宋_GB2312"/>
          <w:i w:val="0"/>
          <w:caps w:val="0"/>
          <w:color w:val="000000"/>
          <w:spacing w:val="0"/>
          <w:sz w:val="32"/>
          <w:szCs w:val="32"/>
        </w:rPr>
        <w:t> 违反本法规定，设有食堂的单位未制定或者未实施防止食品浪费措施的，由县级以上地方人民政府指定的部门责令改正，给予警告。</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第三十条</w:t>
      </w:r>
      <w:r>
        <w:rPr>
          <w:rFonts w:hint="eastAsia" w:ascii="仿宋_GB2312" w:hAnsi="仿宋_GB2312" w:eastAsia="仿宋_GB2312" w:cs="仿宋_GB2312"/>
          <w:i w:val="0"/>
          <w:caps w:val="0"/>
          <w:color w:val="000000"/>
          <w:spacing w:val="0"/>
          <w:sz w:val="32"/>
          <w:szCs w:val="32"/>
        </w:rPr>
        <w:t> 违反本法规定，广播电台、电视台、网络音视频服务提供者制作、发布、传播宣扬量大多吃、暴饮暴食等浪费食品的节目或者音视频信息的，由广播电视、网信等部门按照各自职责责令改正，给予警告；拒不改正或者情节严重的，处一万元以上十万元以下罚款，并可以责令暂停相关业务、停业整顿,对直接负责的主管人员和其他直接责任人员依法追究法律责任。</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第三十一条</w:t>
      </w:r>
      <w:r>
        <w:rPr>
          <w:rFonts w:hint="eastAsia" w:ascii="仿宋_GB2312" w:hAnsi="仿宋_GB2312" w:eastAsia="仿宋_GB2312" w:cs="仿宋_GB2312"/>
          <w:i w:val="0"/>
          <w:caps w:val="0"/>
          <w:color w:val="000000"/>
          <w:spacing w:val="0"/>
          <w:sz w:val="32"/>
          <w:szCs w:val="32"/>
        </w:rPr>
        <w:t> 省、自治区、直辖市或者设区的市、自治州根据具体情况和实际需要，制定本地方反食品浪费的具体办法。</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宋体" w:hAnsi="宋体" w:eastAsia="宋体" w:cs="宋体"/>
          <w:color w:val="000000"/>
          <w:sz w:val="24"/>
          <w:szCs w:val="24"/>
        </w:rPr>
      </w:pPr>
      <w:r>
        <w:rPr>
          <w:rFonts w:hint="eastAsia" w:ascii="黑体" w:hAnsi="黑体" w:eastAsia="黑体" w:cs="黑体"/>
          <w:i w:val="0"/>
          <w:caps w:val="0"/>
          <w:color w:val="000000"/>
          <w:spacing w:val="0"/>
          <w:sz w:val="32"/>
          <w:szCs w:val="32"/>
        </w:rPr>
        <w:t>第三十二条</w:t>
      </w:r>
      <w:r>
        <w:rPr>
          <w:rFonts w:hint="eastAsia" w:ascii="仿宋_GB2312" w:hAnsi="仿宋_GB2312" w:eastAsia="仿宋_GB2312" w:cs="仿宋_GB2312"/>
          <w:i w:val="0"/>
          <w:caps w:val="0"/>
          <w:color w:val="000000"/>
          <w:spacing w:val="0"/>
          <w:sz w:val="32"/>
          <w:szCs w:val="32"/>
        </w:rPr>
        <w:t> 本法自公布之日起施行。</w:t>
      </w:r>
    </w:p>
    <w:p>
      <w:pPr>
        <w:wordWrap/>
        <w:adjustRightInd/>
        <w:snapToGrid/>
        <w:spacing w:line="560" w:lineRule="exact"/>
        <w:ind w:left="0" w:leftChars="0" w:right="0"/>
        <w:jc w:val="both"/>
        <w:textAlignment w:val="auto"/>
        <w:outlineLvl w:val="9"/>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firstLineChars="0"/>
        <w:textAlignment w:val="auto"/>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80" w:firstLineChars="200"/>
        <w:textAlignment w:val="auto"/>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r>
        <w:rPr>
          <w:rFonts w:hint="eastAsia" w:ascii="宋体" w:hAnsi="宋体" w:eastAsia="宋体" w:cs="宋体"/>
          <w:b w:val="0"/>
          <w:bCs w:val="0"/>
          <w:kern w:val="0"/>
          <w:sz w:val="44"/>
          <w:szCs w:val="44"/>
          <w:lang w:val="en-US" w:eastAsia="zh-CN" w:bidi="ar-SA"/>
        </w:rPr>
        <w:br w:type="page"/>
      </w:r>
    </w:p>
    <w:p>
      <w:pPr>
        <w:rPr>
          <w:rFonts w:hint="eastAsia" w:ascii="宋体" w:hAnsi="宋体" w:eastAsia="宋体" w:cs="Arial"/>
          <w:kern w:val="0"/>
          <w:szCs w:val="32"/>
        </w:rPr>
      </w:pPr>
    </w:p>
    <w:p>
      <w:pPr>
        <w:rPr>
          <w:rFonts w:hint="eastAsia" w:ascii="宋体" w:hAnsi="宋体" w:eastAsia="宋体" w:cs="Arial"/>
          <w:kern w:val="0"/>
          <w:szCs w:val="32"/>
        </w:rPr>
      </w:pPr>
    </w:p>
    <w:p>
      <w:pPr>
        <w:jc w:val="center"/>
        <w:rPr>
          <w:rFonts w:ascii="宋体" w:hAnsi="宋体" w:eastAsia="宋体" w:cs="Arial"/>
          <w:bCs/>
          <w:sz w:val="44"/>
          <w:szCs w:val="44"/>
        </w:rPr>
      </w:pPr>
      <w:r>
        <w:rPr>
          <w:rFonts w:ascii="宋体" w:hAnsi="宋体" w:eastAsia="宋体" w:cs="Arial"/>
          <w:bCs/>
          <w:sz w:val="44"/>
          <w:szCs w:val="44"/>
        </w:rPr>
        <w:t>中华人民共和国出口管制法</w:t>
      </w:r>
    </w:p>
    <w:p>
      <w:pPr>
        <w:ind w:left="640" w:leftChars="200" w:right="640" w:rightChars="200"/>
        <w:rPr>
          <w:rFonts w:ascii="宋体" w:hAnsi="宋体" w:eastAsia="宋体" w:cs="Arial"/>
          <w:bCs/>
          <w:szCs w:val="32"/>
        </w:rPr>
      </w:pPr>
    </w:p>
    <w:p>
      <w:pPr>
        <w:ind w:left="640" w:leftChars="200" w:right="640" w:rightChars="200"/>
        <w:rPr>
          <w:rFonts w:hint="eastAsia" w:ascii="宋体" w:hAnsi="宋体" w:eastAsia="宋体" w:cs="Arial"/>
          <w:bCs/>
          <w:szCs w:val="32"/>
        </w:rPr>
      </w:pPr>
      <w:r>
        <w:rPr>
          <w:rFonts w:hint="eastAsia" w:ascii="楷体_GB2312" w:hAnsi="Arial" w:eastAsia="楷体_GB2312" w:cs="Arial"/>
          <w:szCs w:val="32"/>
        </w:rPr>
        <w:t>（</w:t>
      </w:r>
      <w:r>
        <w:rPr>
          <w:rFonts w:hint="default" w:ascii="Times New Roman" w:hAnsi="Times New Roman" w:eastAsia="楷体_GB2312" w:cs="Times New Roman"/>
          <w:szCs w:val="32"/>
        </w:rPr>
        <w:t>2020</w:t>
      </w:r>
      <w:r>
        <w:rPr>
          <w:rFonts w:hint="eastAsia" w:ascii="楷体_GB2312" w:hAnsi="Arial" w:eastAsia="楷体_GB2312" w:cs="Arial"/>
          <w:szCs w:val="32"/>
        </w:rPr>
        <w:t>年</w:t>
      </w:r>
      <w:r>
        <w:rPr>
          <w:rFonts w:hint="default" w:ascii="Times New Roman" w:hAnsi="Times New Roman" w:eastAsia="楷体_GB2312" w:cs="Times New Roman"/>
          <w:szCs w:val="32"/>
        </w:rPr>
        <w:t>10</w:t>
      </w:r>
      <w:r>
        <w:rPr>
          <w:rFonts w:hint="eastAsia" w:ascii="楷体_GB2312" w:hAnsi="Arial" w:eastAsia="楷体_GB2312" w:cs="Arial"/>
          <w:szCs w:val="32"/>
        </w:rPr>
        <w:t>月</w:t>
      </w:r>
      <w:r>
        <w:rPr>
          <w:rFonts w:hint="default" w:ascii="Times New Roman" w:hAnsi="Times New Roman" w:eastAsia="楷体_GB2312" w:cs="Times New Roman"/>
          <w:szCs w:val="32"/>
        </w:rPr>
        <w:t>17</w:t>
      </w:r>
      <w:r>
        <w:rPr>
          <w:rFonts w:hint="eastAsia" w:ascii="楷体_GB2312" w:hAnsi="Arial" w:eastAsia="楷体_GB2312" w:cs="Arial"/>
          <w:szCs w:val="32"/>
        </w:rPr>
        <w:t>日第十三届全国人民代表大会常务委员会第二十二次会议通过）</w:t>
      </w:r>
    </w:p>
    <w:p>
      <w:pPr>
        <w:spacing w:line="240" w:lineRule="auto"/>
        <w:ind w:firstLine="0"/>
        <w:jc w:val="center"/>
        <w:rPr>
          <w:rFonts w:hint="eastAsia" w:ascii="楷体_GB2312" w:hAnsi="楷体_GB2312" w:eastAsia="楷体_GB2312" w:cs="楷体_GB2312"/>
          <w:sz w:val="32"/>
          <w:lang w:eastAsia="zh-CN"/>
        </w:rPr>
      </w:pPr>
    </w:p>
    <w:p>
      <w:pPr>
        <w:spacing w:line="560" w:lineRule="exact"/>
        <w:ind w:firstLine="0"/>
        <w:jc w:val="center"/>
      </w:pPr>
      <w:r>
        <w:rPr>
          <w:rFonts w:ascii="楷体_GB2312" w:hAnsi="楷体_GB2312" w:eastAsia="楷体_GB2312" w:cs="楷体_GB2312"/>
          <w:sz w:val="32"/>
        </w:rPr>
        <w:t>目　　录</w:t>
      </w:r>
    </w:p>
    <w:p>
      <w:pPr>
        <w:spacing w:line="560" w:lineRule="exact"/>
        <w:ind w:firstLine="640"/>
        <w:jc w:val="both"/>
      </w:pPr>
      <w:r>
        <w:rPr>
          <w:rFonts w:ascii="楷体_GB2312" w:hAnsi="楷体_GB2312" w:eastAsia="楷体_GB2312" w:cs="楷体_GB2312"/>
          <w:sz w:val="32"/>
        </w:rPr>
        <w:t>第一章　总　　则</w:t>
      </w:r>
    </w:p>
    <w:p>
      <w:pPr>
        <w:spacing w:line="560" w:lineRule="exact"/>
        <w:ind w:firstLine="640"/>
        <w:jc w:val="both"/>
      </w:pPr>
      <w:r>
        <w:rPr>
          <w:rFonts w:ascii="楷体_GB2312" w:hAnsi="楷体_GB2312" w:eastAsia="楷体_GB2312" w:cs="楷体_GB2312"/>
          <w:sz w:val="32"/>
        </w:rPr>
        <w:t>第二章　管制政策、管制清单和管制措施</w:t>
      </w:r>
    </w:p>
    <w:p>
      <w:pPr>
        <w:spacing w:line="560" w:lineRule="exact"/>
        <w:ind w:firstLine="1280"/>
        <w:jc w:val="both"/>
      </w:pPr>
      <w:r>
        <w:rPr>
          <w:rFonts w:ascii="楷体_GB2312" w:hAnsi="楷体_GB2312" w:eastAsia="楷体_GB2312" w:cs="楷体_GB2312"/>
          <w:sz w:val="32"/>
        </w:rPr>
        <w:t>第一节　一般规定</w:t>
      </w:r>
    </w:p>
    <w:p>
      <w:pPr>
        <w:spacing w:line="560" w:lineRule="exact"/>
        <w:ind w:firstLine="1280"/>
        <w:jc w:val="both"/>
      </w:pPr>
      <w:r>
        <w:rPr>
          <w:rFonts w:ascii="楷体_GB2312" w:hAnsi="楷体_GB2312" w:eastAsia="楷体_GB2312" w:cs="楷体_GB2312"/>
          <w:sz w:val="32"/>
        </w:rPr>
        <w:t>第二节　两用物项出口管理</w:t>
      </w:r>
    </w:p>
    <w:p>
      <w:pPr>
        <w:spacing w:line="560" w:lineRule="exact"/>
        <w:ind w:firstLine="1280"/>
        <w:jc w:val="both"/>
      </w:pPr>
      <w:r>
        <w:rPr>
          <w:rFonts w:ascii="楷体_GB2312" w:hAnsi="楷体_GB2312" w:eastAsia="楷体_GB2312" w:cs="楷体_GB2312"/>
          <w:sz w:val="32"/>
        </w:rPr>
        <w:t>第三节　军品出口管理</w:t>
      </w:r>
    </w:p>
    <w:p>
      <w:pPr>
        <w:spacing w:line="560" w:lineRule="exact"/>
        <w:ind w:firstLine="640"/>
        <w:jc w:val="both"/>
      </w:pPr>
      <w:r>
        <w:rPr>
          <w:rFonts w:ascii="楷体_GB2312" w:hAnsi="楷体_GB2312" w:eastAsia="楷体_GB2312" w:cs="楷体_GB2312"/>
          <w:sz w:val="32"/>
        </w:rPr>
        <w:t>第三章　监督管理</w:t>
      </w:r>
    </w:p>
    <w:p>
      <w:pPr>
        <w:spacing w:line="560" w:lineRule="exact"/>
        <w:ind w:firstLine="640"/>
        <w:jc w:val="both"/>
      </w:pPr>
      <w:r>
        <w:rPr>
          <w:rFonts w:ascii="楷体_GB2312" w:hAnsi="楷体_GB2312" w:eastAsia="楷体_GB2312" w:cs="楷体_GB2312"/>
          <w:sz w:val="32"/>
        </w:rPr>
        <w:t>第四章　法律责任</w:t>
      </w:r>
    </w:p>
    <w:p>
      <w:pPr>
        <w:spacing w:line="560" w:lineRule="exact"/>
        <w:ind w:firstLine="640"/>
        <w:jc w:val="both"/>
      </w:pPr>
      <w:r>
        <w:rPr>
          <w:rFonts w:ascii="楷体_GB2312" w:hAnsi="楷体_GB2312" w:eastAsia="楷体_GB2312" w:cs="楷体_GB2312"/>
          <w:sz w:val="32"/>
        </w:rPr>
        <w:t>第五章　附　　则</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第一章　总　　则</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第一条</w:t>
      </w:r>
      <w:r>
        <w:rPr>
          <w:rFonts w:ascii="仿宋_GB2312" w:hAnsi="仿宋_GB2312" w:eastAsia="仿宋_GB2312" w:cs="仿宋_GB2312"/>
          <w:sz w:val="32"/>
        </w:rPr>
        <w:t>　为了维护国家安全和利益，履行防扩散等国际义务，加强和规范出口管制，制定本法。</w:t>
      </w:r>
    </w:p>
    <w:p>
      <w:pPr>
        <w:spacing w:line="560" w:lineRule="exact"/>
        <w:ind w:firstLine="640"/>
        <w:jc w:val="both"/>
      </w:pPr>
      <w:r>
        <w:rPr>
          <w:rFonts w:ascii="黑体" w:hAnsi="黑体" w:eastAsia="黑体" w:cs="黑体"/>
          <w:sz w:val="32"/>
        </w:rPr>
        <w:t>第二条</w:t>
      </w:r>
      <w:r>
        <w:rPr>
          <w:rFonts w:ascii="仿宋_GB2312" w:hAnsi="仿宋_GB2312" w:eastAsia="仿宋_GB2312" w:cs="仿宋_GB2312"/>
          <w:sz w:val="32"/>
        </w:rPr>
        <w:t>　国家对两用物项、军品、核以及其他与维护国家安全和利益、履行防扩散等国际义务相关的货物、技术、服务等物项（以下统称管制物项）的出口管制，适用本法。</w:t>
      </w:r>
    </w:p>
    <w:p>
      <w:pPr>
        <w:spacing w:line="560" w:lineRule="exact"/>
        <w:ind w:firstLine="640"/>
        <w:jc w:val="both"/>
      </w:pPr>
      <w:r>
        <w:rPr>
          <w:rFonts w:ascii="仿宋_GB2312" w:hAnsi="仿宋_GB2312" w:eastAsia="仿宋_GB2312" w:cs="仿宋_GB2312"/>
          <w:sz w:val="32"/>
        </w:rPr>
        <w:t>前款所称管制物项，包括物项相关的技术资料等数据。</w:t>
      </w:r>
    </w:p>
    <w:p>
      <w:pPr>
        <w:spacing w:line="560" w:lineRule="exact"/>
        <w:ind w:firstLine="640"/>
        <w:jc w:val="both"/>
      </w:pPr>
      <w:r>
        <w:rPr>
          <w:rFonts w:ascii="仿宋_GB2312" w:hAnsi="仿宋_GB2312" w:eastAsia="仿宋_GB2312" w:cs="仿宋_GB2312"/>
          <w:sz w:val="32"/>
        </w:rPr>
        <w:t>本法所称出口管制，是指国家对从中华人民共和国境内向境外转移管制物项，以及中华人民共和国公民、法人和非法人组织向外国组织和个人提供管制物项，采取禁止或者限制性措施。</w:t>
      </w:r>
    </w:p>
    <w:p>
      <w:pPr>
        <w:spacing w:line="560" w:lineRule="exact"/>
        <w:ind w:firstLine="640"/>
        <w:jc w:val="both"/>
      </w:pPr>
      <w:r>
        <w:rPr>
          <w:rFonts w:ascii="仿宋_GB2312" w:hAnsi="仿宋_GB2312" w:eastAsia="仿宋_GB2312" w:cs="仿宋_GB2312"/>
          <w:sz w:val="32"/>
        </w:rPr>
        <w:t>本法所称两用物项，是指既有民事用途，又有军事用途或者有助于提升军事潜力，特别是可以用于设计、开发、生产或者使用大规模杀伤性武器及其运载工具的货物、技术和服务。</w:t>
      </w:r>
    </w:p>
    <w:p>
      <w:pPr>
        <w:spacing w:line="560" w:lineRule="exact"/>
        <w:ind w:firstLine="640"/>
        <w:jc w:val="both"/>
      </w:pPr>
      <w:r>
        <w:rPr>
          <w:rFonts w:ascii="仿宋_GB2312" w:hAnsi="仿宋_GB2312" w:eastAsia="仿宋_GB2312" w:cs="仿宋_GB2312"/>
          <w:sz w:val="32"/>
        </w:rPr>
        <w:t>本法所称军品，是指用于军事目的的装备、专用生产设备以及其他相关货物、技术和服务。</w:t>
      </w:r>
    </w:p>
    <w:p>
      <w:pPr>
        <w:spacing w:line="560" w:lineRule="exact"/>
        <w:ind w:firstLine="640"/>
        <w:jc w:val="both"/>
      </w:pPr>
      <w:r>
        <w:rPr>
          <w:rFonts w:ascii="仿宋_GB2312" w:hAnsi="仿宋_GB2312" w:eastAsia="仿宋_GB2312" w:cs="仿宋_GB2312"/>
          <w:sz w:val="32"/>
        </w:rPr>
        <w:t>本法所称核，是指核材料、核设备、反应堆用非核材料以及相关技术和服务。</w:t>
      </w:r>
    </w:p>
    <w:p>
      <w:pPr>
        <w:spacing w:line="560" w:lineRule="exact"/>
        <w:ind w:firstLine="640"/>
        <w:jc w:val="both"/>
      </w:pPr>
      <w:r>
        <w:rPr>
          <w:rFonts w:ascii="黑体" w:hAnsi="黑体" w:eastAsia="黑体" w:cs="黑体"/>
          <w:sz w:val="32"/>
        </w:rPr>
        <w:t>第三条</w:t>
      </w:r>
      <w:r>
        <w:rPr>
          <w:rFonts w:ascii="仿宋_GB2312" w:hAnsi="仿宋_GB2312" w:eastAsia="仿宋_GB2312" w:cs="仿宋_GB2312"/>
          <w:sz w:val="32"/>
        </w:rPr>
        <w:t>　出口管制工作应当坚持总体国家安全观，维护国际和平，统筹安全和发展，完善出口管制管理和服务。</w:t>
      </w:r>
    </w:p>
    <w:p>
      <w:pPr>
        <w:spacing w:line="560" w:lineRule="exact"/>
        <w:ind w:firstLine="640"/>
        <w:jc w:val="both"/>
      </w:pPr>
      <w:r>
        <w:rPr>
          <w:rFonts w:ascii="黑体" w:hAnsi="黑体" w:eastAsia="黑体" w:cs="黑体"/>
          <w:sz w:val="32"/>
        </w:rPr>
        <w:t>第四条</w:t>
      </w:r>
      <w:r>
        <w:rPr>
          <w:rFonts w:ascii="仿宋_GB2312" w:hAnsi="仿宋_GB2312" w:eastAsia="仿宋_GB2312" w:cs="仿宋_GB2312"/>
          <w:sz w:val="32"/>
        </w:rPr>
        <w:t>　国家实行统一的出口管制制度，通过制定管制清单、名录或者目录（以下统称管制清单）、实施出口许可等方式进行管理。</w:t>
      </w:r>
    </w:p>
    <w:p>
      <w:pPr>
        <w:spacing w:line="560" w:lineRule="exact"/>
        <w:ind w:firstLine="640"/>
        <w:jc w:val="both"/>
      </w:pPr>
      <w:r>
        <w:rPr>
          <w:rFonts w:ascii="黑体" w:hAnsi="黑体" w:eastAsia="黑体" w:cs="黑体"/>
          <w:sz w:val="32"/>
        </w:rPr>
        <w:t>第五条</w:t>
      </w:r>
      <w:r>
        <w:rPr>
          <w:rFonts w:ascii="仿宋_GB2312" w:hAnsi="仿宋_GB2312" w:eastAsia="仿宋_GB2312" w:cs="仿宋_GB2312"/>
          <w:sz w:val="32"/>
        </w:rPr>
        <w:t>　国务院、中央军事委员会承担出口管制职能的部门（以下统称国家出口管制管理部门）按照职责分工负责出口管制工作。国务院、中央军事委员会其他有关部门按照职责分工负责出口管制有关工作。</w:t>
      </w:r>
    </w:p>
    <w:p>
      <w:pPr>
        <w:spacing w:line="560" w:lineRule="exact"/>
        <w:ind w:firstLine="640"/>
        <w:jc w:val="both"/>
      </w:pPr>
      <w:r>
        <w:rPr>
          <w:rFonts w:ascii="仿宋_GB2312" w:hAnsi="仿宋_GB2312" w:eastAsia="仿宋_GB2312" w:cs="仿宋_GB2312"/>
          <w:sz w:val="32"/>
        </w:rPr>
        <w:t>国家建立出口管制工作协调机制，统筹协调出口管制工作重大事项。国家出口管制管理部门和国务院有关部门应当密切配合，加强信息共享。</w:t>
      </w:r>
    </w:p>
    <w:p>
      <w:pPr>
        <w:spacing w:line="560" w:lineRule="exact"/>
        <w:ind w:firstLine="640"/>
        <w:jc w:val="both"/>
      </w:pPr>
      <w:r>
        <w:rPr>
          <w:rFonts w:ascii="仿宋_GB2312" w:hAnsi="仿宋_GB2312" w:eastAsia="仿宋_GB2312" w:cs="仿宋_GB2312"/>
          <w:sz w:val="32"/>
        </w:rPr>
        <w:t>国家出口管制管理部门会同有关部门建立出口管制专家咨询机制，为出口管制工作提供咨询意见。</w:t>
      </w:r>
    </w:p>
    <w:p>
      <w:pPr>
        <w:spacing w:line="560" w:lineRule="exact"/>
        <w:ind w:firstLine="640"/>
        <w:jc w:val="both"/>
      </w:pPr>
      <w:r>
        <w:rPr>
          <w:rFonts w:ascii="仿宋_GB2312" w:hAnsi="仿宋_GB2312" w:eastAsia="仿宋_GB2312" w:cs="仿宋_GB2312"/>
          <w:sz w:val="32"/>
        </w:rPr>
        <w:t>国家出口管制管理部门适时发布有关行业出口管制指南，引导出口经营者建立健全出口管制内部合规制度，规范经营。</w:t>
      </w:r>
    </w:p>
    <w:p>
      <w:pPr>
        <w:spacing w:line="560" w:lineRule="exact"/>
        <w:ind w:firstLine="640"/>
        <w:jc w:val="both"/>
      </w:pPr>
      <w:r>
        <w:rPr>
          <w:rFonts w:ascii="仿宋_GB2312" w:hAnsi="仿宋_GB2312" w:eastAsia="仿宋_GB2312" w:cs="仿宋_GB2312"/>
          <w:sz w:val="32"/>
        </w:rPr>
        <w:t>省、自治区、直辖市人民政府有关部门依照法律、行政法规的规定负责出口管制有关工作。</w:t>
      </w:r>
    </w:p>
    <w:p>
      <w:pPr>
        <w:spacing w:line="560" w:lineRule="exact"/>
        <w:ind w:firstLine="640"/>
        <w:jc w:val="both"/>
      </w:pPr>
      <w:r>
        <w:rPr>
          <w:rFonts w:ascii="黑体" w:hAnsi="黑体" w:eastAsia="黑体" w:cs="黑体"/>
          <w:sz w:val="32"/>
        </w:rPr>
        <w:t>第六条</w:t>
      </w:r>
      <w:r>
        <w:rPr>
          <w:rFonts w:ascii="仿宋_GB2312" w:hAnsi="仿宋_GB2312" w:eastAsia="仿宋_GB2312" w:cs="仿宋_GB2312"/>
          <w:sz w:val="32"/>
        </w:rPr>
        <w:t>　国家加强出口管制国际合作，参与出口管制有关国际规则的制定。</w:t>
      </w:r>
    </w:p>
    <w:p>
      <w:pPr>
        <w:spacing w:line="560" w:lineRule="exact"/>
        <w:ind w:firstLine="640"/>
        <w:jc w:val="both"/>
      </w:pPr>
      <w:r>
        <w:rPr>
          <w:rFonts w:ascii="黑体" w:hAnsi="黑体" w:eastAsia="黑体" w:cs="黑体"/>
          <w:sz w:val="32"/>
        </w:rPr>
        <w:t>第七条</w:t>
      </w:r>
      <w:r>
        <w:rPr>
          <w:rFonts w:ascii="仿宋_GB2312" w:hAnsi="仿宋_GB2312" w:eastAsia="仿宋_GB2312" w:cs="仿宋_GB2312"/>
          <w:sz w:val="32"/>
        </w:rPr>
        <w:t>　出口经营者可以依法成立和参加有关的商会、协会等行业自律组织。</w:t>
      </w:r>
    </w:p>
    <w:p>
      <w:pPr>
        <w:spacing w:line="560" w:lineRule="exact"/>
        <w:ind w:firstLine="640"/>
        <w:jc w:val="both"/>
      </w:pPr>
      <w:r>
        <w:rPr>
          <w:rFonts w:ascii="仿宋_GB2312" w:hAnsi="仿宋_GB2312" w:eastAsia="仿宋_GB2312" w:cs="仿宋_GB2312"/>
          <w:sz w:val="32"/>
        </w:rPr>
        <w:t>有关商会、协会等行业自律组织应当遵守法律、行政法规，按照章程对其成员提供与出口管制有关的服务，发挥协调和自律作用。</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第二章　管制政策、管制清单和管制措施</w:t>
      </w:r>
    </w:p>
    <w:p>
      <w:pPr>
        <w:spacing w:line="560" w:lineRule="exact"/>
        <w:ind w:firstLine="0"/>
        <w:jc w:val="center"/>
        <w:rPr>
          <w:rFonts w:hint="eastAsia" w:ascii="宋体" w:hAnsi="宋体" w:eastAsia="宋体" w:cs="宋体"/>
          <w:sz w:val="32"/>
          <w:lang w:eastAsia="zh-CN"/>
        </w:rPr>
      </w:pPr>
    </w:p>
    <w:p>
      <w:pPr>
        <w:spacing w:line="560" w:lineRule="exact"/>
        <w:ind w:firstLine="0"/>
        <w:jc w:val="center"/>
      </w:pPr>
      <w:r>
        <w:rPr>
          <w:rFonts w:ascii="宋体" w:hAnsi="宋体" w:eastAsia="宋体" w:cs="宋体"/>
          <w:sz w:val="32"/>
        </w:rPr>
        <w:t>第一节　一般规定</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第八条</w:t>
      </w:r>
      <w:r>
        <w:rPr>
          <w:rFonts w:ascii="仿宋_GB2312" w:hAnsi="仿宋_GB2312" w:eastAsia="仿宋_GB2312" w:cs="仿宋_GB2312"/>
          <w:sz w:val="32"/>
        </w:rPr>
        <w:t>　国家出口管制管理部门会同有关部门制定出口管制政策，其中重大政策应当报国务院批准，或者报国务院、中央军事委员会批准。</w:t>
      </w:r>
    </w:p>
    <w:p>
      <w:pPr>
        <w:spacing w:line="560" w:lineRule="exact"/>
        <w:ind w:firstLine="640"/>
        <w:jc w:val="both"/>
      </w:pPr>
      <w:r>
        <w:rPr>
          <w:rFonts w:ascii="仿宋_GB2312" w:hAnsi="仿宋_GB2312" w:eastAsia="仿宋_GB2312" w:cs="仿宋_GB2312"/>
          <w:sz w:val="32"/>
        </w:rPr>
        <w:t>国家出口管制管理部门可以对管制物项出口目的国家和地区进行评估，确定风险等级，采取相应的管制措施。</w:t>
      </w:r>
    </w:p>
    <w:p>
      <w:pPr>
        <w:spacing w:line="560" w:lineRule="exact"/>
        <w:ind w:firstLine="640"/>
        <w:jc w:val="both"/>
      </w:pPr>
      <w:r>
        <w:rPr>
          <w:rFonts w:ascii="黑体" w:hAnsi="黑体" w:eastAsia="黑体" w:cs="黑体"/>
          <w:sz w:val="32"/>
        </w:rPr>
        <w:t>第九条</w:t>
      </w:r>
      <w:r>
        <w:rPr>
          <w:rFonts w:ascii="仿宋_GB2312" w:hAnsi="仿宋_GB2312" w:eastAsia="仿宋_GB2312" w:cs="仿宋_GB2312"/>
          <w:sz w:val="32"/>
        </w:rPr>
        <w:t>　国家出口管制管理部门依据本法和有关法律、行政法规的规定，根据出口管制政策，按照规定程序会同有关部门制定、调整管制物项出口管制清单，并及时公布。</w:t>
      </w:r>
    </w:p>
    <w:p>
      <w:pPr>
        <w:spacing w:line="560" w:lineRule="exact"/>
        <w:ind w:firstLine="640"/>
        <w:jc w:val="both"/>
      </w:pPr>
      <w:r>
        <w:rPr>
          <w:rFonts w:ascii="仿宋_GB2312" w:hAnsi="仿宋_GB2312" w:eastAsia="仿宋_GB2312" w:cs="仿宋_GB2312"/>
          <w:sz w:val="32"/>
        </w:rPr>
        <w:t>根据维护国家安全和利益、履行防扩散等国际义务的需要，经国务院批准，或者经国务院、中央军事委员会批准，国家出口管制管理部门可以对出口管制清单以外的货物、技术和服务实施临时管制，并予以公告。临时管制的实施期限不超过二年。临时管制实施期限届满前应当及时进行评估，根据评估结果决定取消临时管制、延长临时管制或者将临时管制物项列入出口管制清单。</w:t>
      </w:r>
    </w:p>
    <w:p>
      <w:pPr>
        <w:spacing w:line="560" w:lineRule="exact"/>
        <w:ind w:firstLine="640"/>
        <w:jc w:val="both"/>
      </w:pPr>
      <w:r>
        <w:rPr>
          <w:rFonts w:ascii="黑体" w:hAnsi="黑体" w:eastAsia="黑体" w:cs="黑体"/>
          <w:sz w:val="32"/>
        </w:rPr>
        <w:t>第十条</w:t>
      </w:r>
      <w:r>
        <w:rPr>
          <w:rFonts w:ascii="仿宋_GB2312" w:hAnsi="仿宋_GB2312" w:eastAsia="仿宋_GB2312" w:cs="仿宋_GB2312"/>
          <w:sz w:val="32"/>
        </w:rPr>
        <w:t>　根据维护国家安全和利益、履行防扩散等国际义务的需要，经国务院批准，或者经国务院、中央军事委员会批准，国家出口管制管理部门会同有关部门可以禁止相关管制物项的出口，或者禁止相关管制物项向特定目的国家和地区、特定组织和个人出口。</w:t>
      </w:r>
    </w:p>
    <w:p>
      <w:pPr>
        <w:spacing w:line="560" w:lineRule="exact"/>
        <w:ind w:firstLine="640"/>
        <w:jc w:val="both"/>
      </w:pPr>
      <w:r>
        <w:rPr>
          <w:rFonts w:ascii="黑体" w:hAnsi="黑体" w:eastAsia="黑体" w:cs="黑体"/>
          <w:sz w:val="32"/>
        </w:rPr>
        <w:t>第十一条</w:t>
      </w:r>
      <w:r>
        <w:rPr>
          <w:rFonts w:ascii="仿宋_GB2312" w:hAnsi="仿宋_GB2312" w:eastAsia="仿宋_GB2312" w:cs="仿宋_GB2312"/>
          <w:sz w:val="32"/>
        </w:rPr>
        <w:t>　出口经营者从事管制物项出口，应当遵守本法和有关法律、行政法规的规定；依法需要取得相关管制物项出口经营资格的，应当取得相应的资格。</w:t>
      </w:r>
    </w:p>
    <w:p>
      <w:pPr>
        <w:spacing w:line="560" w:lineRule="exact"/>
        <w:ind w:firstLine="640"/>
        <w:jc w:val="both"/>
      </w:pPr>
      <w:r>
        <w:rPr>
          <w:rFonts w:ascii="黑体" w:hAnsi="黑体" w:eastAsia="黑体" w:cs="黑体"/>
          <w:sz w:val="32"/>
        </w:rPr>
        <w:t>第十二条</w:t>
      </w:r>
      <w:r>
        <w:rPr>
          <w:rFonts w:ascii="仿宋_GB2312" w:hAnsi="仿宋_GB2312" w:eastAsia="仿宋_GB2312" w:cs="仿宋_GB2312"/>
          <w:sz w:val="32"/>
        </w:rPr>
        <w:t>　国家对管制物项的出口实行许可制度。</w:t>
      </w:r>
    </w:p>
    <w:p>
      <w:pPr>
        <w:spacing w:line="560" w:lineRule="exact"/>
        <w:ind w:firstLine="640"/>
        <w:jc w:val="both"/>
      </w:pPr>
      <w:r>
        <w:rPr>
          <w:rFonts w:ascii="仿宋_GB2312" w:hAnsi="仿宋_GB2312" w:eastAsia="仿宋_GB2312" w:cs="仿宋_GB2312"/>
          <w:sz w:val="32"/>
        </w:rPr>
        <w:t>出口管制清单所列管制物项或者临时管制物项，出口经营者应当向国家出口管制管理部门申请许可。</w:t>
      </w:r>
    </w:p>
    <w:p>
      <w:pPr>
        <w:spacing w:line="560" w:lineRule="exact"/>
        <w:ind w:firstLine="640"/>
        <w:jc w:val="both"/>
      </w:pPr>
      <w:r>
        <w:rPr>
          <w:rFonts w:ascii="仿宋_GB2312" w:hAnsi="仿宋_GB2312" w:eastAsia="仿宋_GB2312" w:cs="仿宋_GB2312"/>
          <w:sz w:val="32"/>
        </w:rPr>
        <w:t>出口管制清单所列管制物项以及临时管制物项之外的货物、技术和服务，出口经营者知道或者应当知道，或者得到国家出口管制管理部门通知，相关货物、技术和服务可能存在以下风险的，应当向国家出口管制管理部门申请许可：</w:t>
      </w:r>
    </w:p>
    <w:p>
      <w:pPr>
        <w:spacing w:line="560" w:lineRule="exact"/>
        <w:ind w:firstLine="640"/>
        <w:jc w:val="both"/>
      </w:pPr>
      <w:r>
        <w:rPr>
          <w:rFonts w:ascii="仿宋_GB2312" w:hAnsi="仿宋_GB2312" w:eastAsia="仿宋_GB2312" w:cs="仿宋_GB2312"/>
          <w:sz w:val="32"/>
        </w:rPr>
        <w:t>（一）危害国家安全和利益；</w:t>
      </w:r>
    </w:p>
    <w:p>
      <w:pPr>
        <w:spacing w:line="560" w:lineRule="exact"/>
        <w:ind w:firstLine="640"/>
        <w:jc w:val="both"/>
      </w:pPr>
      <w:r>
        <w:rPr>
          <w:rFonts w:ascii="仿宋_GB2312" w:hAnsi="仿宋_GB2312" w:eastAsia="仿宋_GB2312" w:cs="仿宋_GB2312"/>
          <w:sz w:val="32"/>
        </w:rPr>
        <w:t>（二）被用于设计、开发、生产或者使用大规模杀伤性武器及其运载工具；</w:t>
      </w:r>
    </w:p>
    <w:p>
      <w:pPr>
        <w:spacing w:line="560" w:lineRule="exact"/>
        <w:ind w:firstLine="640"/>
        <w:jc w:val="both"/>
      </w:pPr>
      <w:r>
        <w:rPr>
          <w:rFonts w:ascii="仿宋_GB2312" w:hAnsi="仿宋_GB2312" w:eastAsia="仿宋_GB2312" w:cs="仿宋_GB2312"/>
          <w:sz w:val="32"/>
        </w:rPr>
        <w:t>（三）被用于恐怖主义目的。</w:t>
      </w:r>
    </w:p>
    <w:p>
      <w:pPr>
        <w:spacing w:line="560" w:lineRule="exact"/>
        <w:ind w:firstLine="640"/>
        <w:jc w:val="both"/>
      </w:pPr>
      <w:r>
        <w:rPr>
          <w:rFonts w:ascii="仿宋_GB2312" w:hAnsi="仿宋_GB2312" w:eastAsia="仿宋_GB2312" w:cs="仿宋_GB2312"/>
          <w:sz w:val="32"/>
        </w:rPr>
        <w:t>出口经营者无法确定拟出口的货物、技术和服务是否属于本法规定的管制物项，向国家出口管制管理部门提出咨询的，国家出口管制管理部门应当及时答复。</w:t>
      </w:r>
    </w:p>
    <w:p>
      <w:pPr>
        <w:spacing w:line="560" w:lineRule="exact"/>
        <w:ind w:firstLine="640"/>
        <w:jc w:val="both"/>
      </w:pPr>
      <w:r>
        <w:rPr>
          <w:rFonts w:ascii="黑体" w:hAnsi="黑体" w:eastAsia="黑体" w:cs="黑体"/>
          <w:sz w:val="32"/>
        </w:rPr>
        <w:t>第十三条</w:t>
      </w:r>
      <w:r>
        <w:rPr>
          <w:rFonts w:ascii="仿宋_GB2312" w:hAnsi="仿宋_GB2312" w:eastAsia="仿宋_GB2312" w:cs="仿宋_GB2312"/>
          <w:sz w:val="32"/>
        </w:rPr>
        <w:t>　国家出口管制管理部门综合考虑下列因素，对出口经营者出口管制物项的申请进行审查，作出准予或者不予许可的决定：</w:t>
      </w:r>
    </w:p>
    <w:p>
      <w:pPr>
        <w:spacing w:line="560" w:lineRule="exact"/>
        <w:ind w:firstLine="640"/>
        <w:jc w:val="both"/>
      </w:pPr>
      <w:r>
        <w:rPr>
          <w:rFonts w:ascii="仿宋_GB2312" w:hAnsi="仿宋_GB2312" w:eastAsia="仿宋_GB2312" w:cs="仿宋_GB2312"/>
          <w:sz w:val="32"/>
        </w:rPr>
        <w:t>（一）国家安全和利益；</w:t>
      </w:r>
    </w:p>
    <w:p>
      <w:pPr>
        <w:spacing w:line="560" w:lineRule="exact"/>
        <w:ind w:firstLine="640"/>
        <w:jc w:val="both"/>
      </w:pPr>
      <w:r>
        <w:rPr>
          <w:rFonts w:ascii="仿宋_GB2312" w:hAnsi="仿宋_GB2312" w:eastAsia="仿宋_GB2312" w:cs="仿宋_GB2312"/>
          <w:sz w:val="32"/>
        </w:rPr>
        <w:t>（二）国际义务和对外承诺；</w:t>
      </w:r>
    </w:p>
    <w:p>
      <w:pPr>
        <w:spacing w:line="560" w:lineRule="exact"/>
        <w:ind w:firstLine="640"/>
        <w:jc w:val="both"/>
      </w:pPr>
      <w:r>
        <w:rPr>
          <w:rFonts w:ascii="仿宋_GB2312" w:hAnsi="仿宋_GB2312" w:eastAsia="仿宋_GB2312" w:cs="仿宋_GB2312"/>
          <w:sz w:val="32"/>
        </w:rPr>
        <w:t>（三）出口类型；</w:t>
      </w:r>
    </w:p>
    <w:p>
      <w:pPr>
        <w:spacing w:line="560" w:lineRule="exact"/>
        <w:ind w:firstLine="640"/>
        <w:jc w:val="both"/>
      </w:pPr>
      <w:r>
        <w:rPr>
          <w:rFonts w:ascii="仿宋_GB2312" w:hAnsi="仿宋_GB2312" w:eastAsia="仿宋_GB2312" w:cs="仿宋_GB2312"/>
          <w:sz w:val="32"/>
        </w:rPr>
        <w:t>（四）管制物项敏感程度；</w:t>
      </w:r>
    </w:p>
    <w:p>
      <w:pPr>
        <w:spacing w:line="560" w:lineRule="exact"/>
        <w:ind w:firstLine="640"/>
        <w:jc w:val="both"/>
      </w:pPr>
      <w:r>
        <w:rPr>
          <w:rFonts w:ascii="仿宋_GB2312" w:hAnsi="仿宋_GB2312" w:eastAsia="仿宋_GB2312" w:cs="仿宋_GB2312"/>
          <w:sz w:val="32"/>
        </w:rPr>
        <w:t>（五）出口目的国家或者地区；</w:t>
      </w:r>
    </w:p>
    <w:p>
      <w:pPr>
        <w:spacing w:line="560" w:lineRule="exact"/>
        <w:ind w:firstLine="640"/>
        <w:jc w:val="both"/>
      </w:pPr>
      <w:r>
        <w:rPr>
          <w:rFonts w:ascii="仿宋_GB2312" w:hAnsi="仿宋_GB2312" w:eastAsia="仿宋_GB2312" w:cs="仿宋_GB2312"/>
          <w:sz w:val="32"/>
        </w:rPr>
        <w:t>（六）最终用户和最终用途；</w:t>
      </w:r>
    </w:p>
    <w:p>
      <w:pPr>
        <w:spacing w:line="560" w:lineRule="exact"/>
        <w:ind w:firstLine="640"/>
        <w:jc w:val="both"/>
      </w:pPr>
      <w:r>
        <w:rPr>
          <w:rFonts w:ascii="仿宋_GB2312" w:hAnsi="仿宋_GB2312" w:eastAsia="仿宋_GB2312" w:cs="仿宋_GB2312"/>
          <w:sz w:val="32"/>
        </w:rPr>
        <w:t>（七）出口经营者的相关信用记录；</w:t>
      </w:r>
    </w:p>
    <w:p>
      <w:pPr>
        <w:spacing w:line="560" w:lineRule="exact"/>
        <w:ind w:firstLine="640"/>
        <w:jc w:val="both"/>
      </w:pPr>
      <w:r>
        <w:rPr>
          <w:rFonts w:ascii="仿宋_GB2312" w:hAnsi="仿宋_GB2312" w:eastAsia="仿宋_GB2312" w:cs="仿宋_GB2312"/>
          <w:sz w:val="32"/>
        </w:rPr>
        <w:t>（八）法律、行政法规规定的其他因素。</w:t>
      </w:r>
    </w:p>
    <w:p>
      <w:pPr>
        <w:spacing w:line="560" w:lineRule="exact"/>
        <w:ind w:firstLine="640"/>
        <w:jc w:val="both"/>
      </w:pPr>
      <w:r>
        <w:rPr>
          <w:rFonts w:ascii="黑体" w:hAnsi="黑体" w:eastAsia="黑体" w:cs="黑体"/>
          <w:sz w:val="32"/>
        </w:rPr>
        <w:t>第十四条</w:t>
      </w:r>
      <w:r>
        <w:rPr>
          <w:rFonts w:ascii="仿宋_GB2312" w:hAnsi="仿宋_GB2312" w:eastAsia="仿宋_GB2312" w:cs="仿宋_GB2312"/>
          <w:sz w:val="32"/>
        </w:rPr>
        <w:t>　出口经营者建立出口管制内部合规制度，且运行情况良好的，国家出口管制管理部门可以对其出口有关管制物项给予通用许可等便利措施。具体办法由国家出口管制管理部门规定。</w:t>
      </w:r>
    </w:p>
    <w:p>
      <w:pPr>
        <w:spacing w:line="560" w:lineRule="exact"/>
        <w:ind w:firstLine="640"/>
        <w:jc w:val="both"/>
      </w:pPr>
      <w:r>
        <w:rPr>
          <w:rFonts w:ascii="黑体" w:hAnsi="黑体" w:eastAsia="黑体" w:cs="黑体"/>
          <w:sz w:val="32"/>
        </w:rPr>
        <w:t>第十五条</w:t>
      </w:r>
      <w:r>
        <w:rPr>
          <w:rFonts w:ascii="仿宋_GB2312" w:hAnsi="仿宋_GB2312" w:eastAsia="仿宋_GB2312" w:cs="仿宋_GB2312"/>
          <w:sz w:val="32"/>
        </w:rPr>
        <w:t>　出口经营者应当向国家出口管制管理部门提交管制物项的最终用户和最终用途证明文件，有关证明文件由最终用户或者最终用户所在国家和地区政府机构出具。</w:t>
      </w:r>
    </w:p>
    <w:p>
      <w:pPr>
        <w:spacing w:line="560" w:lineRule="exact"/>
        <w:ind w:firstLine="640"/>
        <w:jc w:val="both"/>
      </w:pPr>
      <w:r>
        <w:rPr>
          <w:rFonts w:ascii="黑体" w:hAnsi="黑体" w:eastAsia="黑体" w:cs="黑体"/>
          <w:sz w:val="32"/>
        </w:rPr>
        <w:t>第十六条</w:t>
      </w:r>
      <w:r>
        <w:rPr>
          <w:rFonts w:ascii="仿宋_GB2312" w:hAnsi="仿宋_GB2312" w:eastAsia="仿宋_GB2312" w:cs="仿宋_GB2312"/>
          <w:sz w:val="32"/>
        </w:rPr>
        <w:t>　管制物项的最终用户应当承诺，未经国家出口管制管理部门允许，不得擅自改变相关管制物项的最终用途或者向任何第三方转让。</w:t>
      </w:r>
    </w:p>
    <w:p>
      <w:pPr>
        <w:spacing w:line="560" w:lineRule="exact"/>
        <w:ind w:firstLine="640"/>
        <w:jc w:val="both"/>
      </w:pPr>
      <w:r>
        <w:rPr>
          <w:rFonts w:ascii="仿宋_GB2312" w:hAnsi="仿宋_GB2312" w:eastAsia="仿宋_GB2312" w:cs="仿宋_GB2312"/>
          <w:sz w:val="32"/>
        </w:rPr>
        <w:t>出口经营者、进口商发现最终用户或者最终用途有可能改变的，应当按照规定立即报告国家出口管制管理部门。</w:t>
      </w:r>
    </w:p>
    <w:p>
      <w:pPr>
        <w:spacing w:line="560" w:lineRule="exact"/>
        <w:ind w:firstLine="640"/>
        <w:jc w:val="both"/>
      </w:pPr>
      <w:r>
        <w:rPr>
          <w:rFonts w:ascii="黑体" w:hAnsi="黑体" w:eastAsia="黑体" w:cs="黑体"/>
          <w:sz w:val="32"/>
        </w:rPr>
        <w:t>第十七条</w:t>
      </w:r>
      <w:r>
        <w:rPr>
          <w:rFonts w:ascii="仿宋_GB2312" w:hAnsi="仿宋_GB2312" w:eastAsia="仿宋_GB2312" w:cs="仿宋_GB2312"/>
          <w:sz w:val="32"/>
        </w:rPr>
        <w:t>　国家出口管制管理部门建立管制物项最终用户和最终用途风险管理制度，对管制物项的最终用户和最终用途进行评估、核查，加强最终用户和最终用途管理。</w:t>
      </w:r>
    </w:p>
    <w:p>
      <w:pPr>
        <w:spacing w:line="560" w:lineRule="exact"/>
        <w:ind w:firstLine="640"/>
        <w:jc w:val="both"/>
      </w:pPr>
      <w:r>
        <w:rPr>
          <w:rFonts w:ascii="黑体" w:hAnsi="黑体" w:eastAsia="黑体" w:cs="黑体"/>
          <w:sz w:val="32"/>
        </w:rPr>
        <w:t>第十八条</w:t>
      </w:r>
      <w:r>
        <w:rPr>
          <w:rFonts w:ascii="仿宋_GB2312" w:hAnsi="仿宋_GB2312" w:eastAsia="仿宋_GB2312" w:cs="仿宋_GB2312"/>
          <w:sz w:val="32"/>
        </w:rPr>
        <w:t>　国家出口管制管理部门对有下列情形之一的进口商和最终用户，建立管控名单：</w:t>
      </w:r>
    </w:p>
    <w:p>
      <w:pPr>
        <w:spacing w:line="560" w:lineRule="exact"/>
        <w:ind w:firstLine="640"/>
        <w:jc w:val="both"/>
      </w:pPr>
      <w:r>
        <w:rPr>
          <w:rFonts w:ascii="仿宋_GB2312" w:hAnsi="仿宋_GB2312" w:eastAsia="仿宋_GB2312" w:cs="仿宋_GB2312"/>
          <w:sz w:val="32"/>
        </w:rPr>
        <w:t>（一）违反最终用户或者最终用途管理要求的；</w:t>
      </w:r>
    </w:p>
    <w:p>
      <w:pPr>
        <w:spacing w:line="560" w:lineRule="exact"/>
        <w:ind w:firstLine="640"/>
        <w:jc w:val="both"/>
      </w:pPr>
      <w:r>
        <w:rPr>
          <w:rFonts w:ascii="仿宋_GB2312" w:hAnsi="仿宋_GB2312" w:eastAsia="仿宋_GB2312" w:cs="仿宋_GB2312"/>
          <w:sz w:val="32"/>
        </w:rPr>
        <w:t>（二）可能危害国家安全和利益的；</w:t>
      </w:r>
    </w:p>
    <w:p>
      <w:pPr>
        <w:spacing w:line="560" w:lineRule="exact"/>
        <w:ind w:firstLine="640"/>
        <w:jc w:val="both"/>
      </w:pPr>
      <w:r>
        <w:rPr>
          <w:rFonts w:ascii="仿宋_GB2312" w:hAnsi="仿宋_GB2312" w:eastAsia="仿宋_GB2312" w:cs="仿宋_GB2312"/>
          <w:sz w:val="32"/>
        </w:rPr>
        <w:t>（三）将管制物项用于恐怖主义目的的。</w:t>
      </w:r>
    </w:p>
    <w:p>
      <w:pPr>
        <w:spacing w:line="560" w:lineRule="exact"/>
        <w:ind w:firstLine="640"/>
        <w:jc w:val="both"/>
      </w:pPr>
      <w:r>
        <w:rPr>
          <w:rFonts w:ascii="仿宋_GB2312" w:hAnsi="仿宋_GB2312" w:eastAsia="仿宋_GB2312" w:cs="仿宋_GB2312"/>
          <w:sz w:val="32"/>
        </w:rPr>
        <w:t>对列入管控名单的进口商和最终用户，国家出口管制管理部门可以采取禁止、限制有关管制物项交易，责令中止有关管制物项出口等必要的措施。</w:t>
      </w:r>
    </w:p>
    <w:p>
      <w:pPr>
        <w:spacing w:line="560" w:lineRule="exact"/>
        <w:ind w:firstLine="640"/>
        <w:jc w:val="both"/>
      </w:pPr>
      <w:r>
        <w:rPr>
          <w:rFonts w:ascii="仿宋_GB2312" w:hAnsi="仿宋_GB2312" w:eastAsia="仿宋_GB2312" w:cs="仿宋_GB2312"/>
          <w:sz w:val="32"/>
        </w:rPr>
        <w:t>出口经营者不得违反规定与列入管控名单的进口商、最终用户进行交易。出口经营者在特殊情况下确需与列入管控名单的进口商、最终用户进行交易的，可以向国家出口管制管理部门提出申请。</w:t>
      </w:r>
    </w:p>
    <w:p>
      <w:pPr>
        <w:spacing w:line="560" w:lineRule="exact"/>
        <w:ind w:firstLine="640"/>
        <w:jc w:val="both"/>
      </w:pPr>
      <w:r>
        <w:rPr>
          <w:rFonts w:ascii="仿宋_GB2312" w:hAnsi="仿宋_GB2312" w:eastAsia="仿宋_GB2312" w:cs="仿宋_GB2312"/>
          <w:sz w:val="32"/>
        </w:rPr>
        <w:t>列入管控名单的进口商、最终用户经采取措施，不再有第一款规定情形的，可以向国家出口管制管理部门申请移出管控名单；国家出口管制管理部门可以根据实际情况，决定将列入管控名单的进口商、最终用户移出管控名单。</w:t>
      </w:r>
    </w:p>
    <w:p>
      <w:pPr>
        <w:spacing w:line="560" w:lineRule="exact"/>
        <w:ind w:firstLine="640"/>
        <w:jc w:val="both"/>
      </w:pPr>
      <w:r>
        <w:rPr>
          <w:rFonts w:ascii="黑体" w:hAnsi="黑体" w:eastAsia="黑体" w:cs="黑体"/>
          <w:sz w:val="32"/>
        </w:rPr>
        <w:t>第十九条</w:t>
      </w:r>
      <w:r>
        <w:rPr>
          <w:rFonts w:ascii="仿宋_GB2312" w:hAnsi="仿宋_GB2312" w:eastAsia="仿宋_GB2312" w:cs="仿宋_GB2312"/>
          <w:sz w:val="32"/>
        </w:rPr>
        <w:t>　出口货物的发货人或者代理报关企业出口管制货物时，应当向海关交验由国家出口管制管理部门颁发的许可证件，并按照国家有关规定办理报关手续。</w:t>
      </w:r>
    </w:p>
    <w:p>
      <w:pPr>
        <w:spacing w:line="560" w:lineRule="exact"/>
        <w:ind w:firstLine="640"/>
        <w:jc w:val="both"/>
      </w:pPr>
      <w:r>
        <w:rPr>
          <w:rFonts w:ascii="仿宋_GB2312" w:hAnsi="仿宋_GB2312" w:eastAsia="仿宋_GB2312" w:cs="仿宋_GB2312"/>
          <w:sz w:val="32"/>
        </w:rPr>
        <w:t>出口货物的发货人未向海关交验由国家出口管制管理部门颁发的许可证件，海关有证据表明出口货物可能属于出口管制范围的，应当向出口货物发货人提出质疑；海关可以向国家出口管制管理部门提出组织鉴别，并根据国家出口管制管理部门作出的鉴别结论依法处置。在鉴别或者质疑期间，海关对出口货物不予放行。</w:t>
      </w:r>
    </w:p>
    <w:p>
      <w:pPr>
        <w:spacing w:line="560" w:lineRule="exact"/>
        <w:ind w:firstLine="640"/>
        <w:jc w:val="both"/>
      </w:pPr>
      <w:r>
        <w:rPr>
          <w:rFonts w:ascii="黑体" w:hAnsi="黑体" w:eastAsia="黑体" w:cs="黑体"/>
          <w:sz w:val="32"/>
        </w:rPr>
        <w:t>第二十条</w:t>
      </w:r>
      <w:r>
        <w:rPr>
          <w:rFonts w:ascii="仿宋_GB2312" w:hAnsi="仿宋_GB2312" w:eastAsia="仿宋_GB2312" w:cs="仿宋_GB2312"/>
          <w:sz w:val="32"/>
        </w:rPr>
        <w:t>　任何组织和个人不得为出口经营者从事出口管制违法行为提供代理、货运、寄递、报关、第三方电子商务交易平台和金融等服务。</w:t>
      </w:r>
    </w:p>
    <w:p>
      <w:pPr>
        <w:spacing w:line="560" w:lineRule="exact"/>
        <w:ind w:firstLine="0"/>
        <w:jc w:val="center"/>
        <w:rPr>
          <w:rFonts w:hint="eastAsia" w:ascii="宋体" w:hAnsi="宋体" w:eastAsia="宋体" w:cs="宋体"/>
          <w:sz w:val="32"/>
          <w:lang w:eastAsia="zh-CN"/>
        </w:rPr>
      </w:pPr>
    </w:p>
    <w:p>
      <w:pPr>
        <w:spacing w:line="560" w:lineRule="exact"/>
        <w:ind w:firstLine="0"/>
        <w:jc w:val="center"/>
      </w:pPr>
      <w:r>
        <w:rPr>
          <w:rFonts w:ascii="宋体" w:hAnsi="宋体" w:eastAsia="宋体" w:cs="宋体"/>
          <w:sz w:val="32"/>
        </w:rPr>
        <w:t>第二节　两用物项出口管理</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第二十一条</w:t>
      </w:r>
      <w:r>
        <w:rPr>
          <w:rFonts w:ascii="仿宋_GB2312" w:hAnsi="仿宋_GB2312" w:eastAsia="仿宋_GB2312" w:cs="仿宋_GB2312"/>
          <w:sz w:val="32"/>
        </w:rPr>
        <w:t>　出口经营者向国家两用物项出口管制管理部门申请出口两用物项时，应当依照法律、行政法规的规定如实提交相关材料。</w:t>
      </w:r>
    </w:p>
    <w:p>
      <w:pPr>
        <w:spacing w:line="560" w:lineRule="exact"/>
        <w:ind w:firstLine="640"/>
        <w:jc w:val="both"/>
      </w:pPr>
      <w:r>
        <w:rPr>
          <w:rFonts w:ascii="黑体" w:hAnsi="黑体" w:eastAsia="黑体" w:cs="黑体"/>
          <w:sz w:val="32"/>
        </w:rPr>
        <w:t>第二十二条</w:t>
      </w:r>
      <w:r>
        <w:rPr>
          <w:rFonts w:ascii="仿宋_GB2312" w:hAnsi="仿宋_GB2312" w:eastAsia="仿宋_GB2312" w:cs="仿宋_GB2312"/>
          <w:sz w:val="32"/>
        </w:rPr>
        <w:t>　国家两用物项出口管制管理部门受理两用物项出口申请，单独或者会同有关部门依照本法和有关法律、行政法规的规定对两用物项出口申请进行审查，并在法定期限内作出准予或者不予许可的决定。作出准予许可决定的，由发证机关统一颁发出口许可证。</w:t>
      </w:r>
    </w:p>
    <w:p>
      <w:pPr>
        <w:spacing w:line="560" w:lineRule="exact"/>
        <w:ind w:firstLine="0"/>
        <w:jc w:val="center"/>
        <w:rPr>
          <w:rFonts w:hint="eastAsia" w:ascii="宋体" w:hAnsi="宋体" w:eastAsia="宋体" w:cs="宋体"/>
          <w:sz w:val="32"/>
          <w:lang w:eastAsia="zh-CN"/>
        </w:rPr>
      </w:pPr>
    </w:p>
    <w:p>
      <w:pPr>
        <w:spacing w:line="560" w:lineRule="exact"/>
        <w:ind w:firstLine="0"/>
        <w:jc w:val="center"/>
      </w:pPr>
      <w:r>
        <w:rPr>
          <w:rFonts w:ascii="宋体" w:hAnsi="宋体" w:eastAsia="宋体" w:cs="宋体"/>
          <w:sz w:val="32"/>
        </w:rPr>
        <w:t>第三节　军品出口管理</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第二十三条</w:t>
      </w:r>
      <w:r>
        <w:rPr>
          <w:rFonts w:ascii="仿宋_GB2312" w:hAnsi="仿宋_GB2312" w:eastAsia="仿宋_GB2312" w:cs="仿宋_GB2312"/>
          <w:sz w:val="32"/>
        </w:rPr>
        <w:t>　国家实行军品出口专营制度。从事军品出口的经营者，应当获得军品出口专营资格并在核定的经营范围内从事军品出口经营活动。</w:t>
      </w:r>
    </w:p>
    <w:p>
      <w:pPr>
        <w:spacing w:line="560" w:lineRule="exact"/>
        <w:ind w:firstLine="640"/>
        <w:jc w:val="both"/>
      </w:pPr>
      <w:r>
        <w:rPr>
          <w:rFonts w:ascii="仿宋_GB2312" w:hAnsi="仿宋_GB2312" w:eastAsia="仿宋_GB2312" w:cs="仿宋_GB2312"/>
          <w:sz w:val="32"/>
        </w:rPr>
        <w:t>军品出口专营资格由国家军品出口管制管理部门审查批准。</w:t>
      </w:r>
    </w:p>
    <w:p>
      <w:pPr>
        <w:spacing w:line="560" w:lineRule="exact"/>
        <w:ind w:firstLine="640"/>
        <w:jc w:val="both"/>
      </w:pPr>
      <w:r>
        <w:rPr>
          <w:rFonts w:ascii="黑体" w:hAnsi="黑体" w:eastAsia="黑体" w:cs="黑体"/>
          <w:sz w:val="32"/>
        </w:rPr>
        <w:t>第二十四条</w:t>
      </w:r>
      <w:r>
        <w:rPr>
          <w:rFonts w:ascii="仿宋_GB2312" w:hAnsi="仿宋_GB2312" w:eastAsia="仿宋_GB2312" w:cs="仿宋_GB2312"/>
          <w:sz w:val="32"/>
        </w:rPr>
        <w:t>　军品出口经营者应当根据管制政策和产品属性，向国家军品出口管制管理部门申请办理军品出口立项、军品出口项目、军品出口合同审查批准手续。</w:t>
      </w:r>
    </w:p>
    <w:p>
      <w:pPr>
        <w:spacing w:line="560" w:lineRule="exact"/>
        <w:ind w:firstLine="640"/>
        <w:jc w:val="both"/>
      </w:pPr>
      <w:r>
        <w:rPr>
          <w:rFonts w:ascii="仿宋_GB2312" w:hAnsi="仿宋_GB2312" w:eastAsia="仿宋_GB2312" w:cs="仿宋_GB2312"/>
          <w:sz w:val="32"/>
        </w:rPr>
        <w:t>重大军品出口立项、重大军品出口项目、重大军品出口合同，应当经国家军品出口管制管理部门会同有关部门审查，报国务院、中央军事委员会批准。</w:t>
      </w:r>
    </w:p>
    <w:p>
      <w:pPr>
        <w:spacing w:line="560" w:lineRule="exact"/>
        <w:ind w:firstLine="640"/>
        <w:jc w:val="both"/>
      </w:pPr>
      <w:r>
        <w:rPr>
          <w:rFonts w:ascii="黑体" w:hAnsi="黑体" w:eastAsia="黑体" w:cs="黑体"/>
          <w:sz w:val="32"/>
        </w:rPr>
        <w:t>第二十五条</w:t>
      </w:r>
      <w:r>
        <w:rPr>
          <w:rFonts w:ascii="仿宋_GB2312" w:hAnsi="仿宋_GB2312" w:eastAsia="仿宋_GB2312" w:cs="仿宋_GB2312"/>
          <w:sz w:val="32"/>
        </w:rPr>
        <w:t>　军品出口经营者在出口军品前，应当向国家军品出口管制管理部门申请领取军品出口许可证。</w:t>
      </w:r>
    </w:p>
    <w:p>
      <w:pPr>
        <w:spacing w:line="560" w:lineRule="exact"/>
        <w:ind w:firstLine="640"/>
        <w:jc w:val="both"/>
      </w:pPr>
      <w:r>
        <w:rPr>
          <w:rFonts w:ascii="仿宋_GB2312" w:hAnsi="仿宋_GB2312" w:eastAsia="仿宋_GB2312" w:cs="仿宋_GB2312"/>
          <w:sz w:val="32"/>
        </w:rPr>
        <w:t>军品出口经营者出口军品时，应当向海关交验由国家军品出口管制管理部门颁发的许可证件，并按照国家有关规定办理报关手续。</w:t>
      </w:r>
    </w:p>
    <w:p>
      <w:pPr>
        <w:spacing w:line="560" w:lineRule="exact"/>
        <w:ind w:firstLine="640"/>
        <w:jc w:val="both"/>
      </w:pPr>
      <w:r>
        <w:rPr>
          <w:rFonts w:ascii="黑体" w:hAnsi="黑体" w:eastAsia="黑体" w:cs="黑体"/>
          <w:sz w:val="32"/>
        </w:rPr>
        <w:t>第二十六条</w:t>
      </w:r>
      <w:r>
        <w:rPr>
          <w:rFonts w:ascii="仿宋_GB2312" w:hAnsi="仿宋_GB2312" w:eastAsia="仿宋_GB2312" w:cs="仿宋_GB2312"/>
          <w:sz w:val="32"/>
        </w:rPr>
        <w:t>　军品出口经营者应当委托经批准的军品出口运输企业办理军品出口运输及相关业务。具体办法由国家军品出口管制管理部门会同有关部门规定。</w:t>
      </w:r>
    </w:p>
    <w:p>
      <w:pPr>
        <w:spacing w:line="560" w:lineRule="exact"/>
        <w:ind w:firstLine="640"/>
        <w:jc w:val="both"/>
      </w:pPr>
      <w:r>
        <w:rPr>
          <w:rFonts w:ascii="黑体" w:hAnsi="黑体" w:eastAsia="黑体" w:cs="黑体"/>
          <w:sz w:val="32"/>
        </w:rPr>
        <w:t>第二十七条</w:t>
      </w:r>
      <w:r>
        <w:rPr>
          <w:rFonts w:ascii="仿宋_GB2312" w:hAnsi="仿宋_GB2312" w:eastAsia="仿宋_GB2312" w:cs="仿宋_GB2312"/>
          <w:sz w:val="32"/>
        </w:rPr>
        <w:t>　军品出口经营者或者科研生产单位参加国际性军品展览，应当按照程序向国家军品出口管制管理部门办理审批手续。</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第三章　监督管理</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第二十八条</w:t>
      </w:r>
      <w:r>
        <w:rPr>
          <w:rFonts w:ascii="仿宋_GB2312" w:hAnsi="仿宋_GB2312" w:eastAsia="仿宋_GB2312" w:cs="仿宋_GB2312"/>
          <w:sz w:val="32"/>
        </w:rPr>
        <w:t>　国家出口管制管理部门依法对管制物项出口活动进行监督检查。</w:t>
      </w:r>
    </w:p>
    <w:p>
      <w:pPr>
        <w:spacing w:line="560" w:lineRule="exact"/>
        <w:ind w:firstLine="640"/>
        <w:jc w:val="both"/>
      </w:pPr>
      <w:r>
        <w:rPr>
          <w:rFonts w:ascii="仿宋_GB2312" w:hAnsi="仿宋_GB2312" w:eastAsia="仿宋_GB2312" w:cs="仿宋_GB2312"/>
          <w:sz w:val="32"/>
        </w:rPr>
        <w:t>国家出口管制管理部门对涉嫌违反本法规定的行为进行调查，可以采取下列措施：</w:t>
      </w:r>
    </w:p>
    <w:p>
      <w:pPr>
        <w:spacing w:line="560" w:lineRule="exact"/>
        <w:ind w:firstLine="640"/>
        <w:jc w:val="both"/>
      </w:pPr>
      <w:r>
        <w:rPr>
          <w:rFonts w:ascii="仿宋_GB2312" w:hAnsi="仿宋_GB2312" w:eastAsia="仿宋_GB2312" w:cs="仿宋_GB2312"/>
          <w:sz w:val="32"/>
        </w:rPr>
        <w:t>（一）进入被调查者营业场所或者其他有关场所进行检查；</w:t>
      </w:r>
    </w:p>
    <w:p>
      <w:pPr>
        <w:spacing w:line="560" w:lineRule="exact"/>
        <w:ind w:firstLine="640"/>
        <w:jc w:val="both"/>
      </w:pPr>
      <w:r>
        <w:rPr>
          <w:rFonts w:ascii="仿宋_GB2312" w:hAnsi="仿宋_GB2312" w:eastAsia="仿宋_GB2312" w:cs="仿宋_GB2312"/>
          <w:sz w:val="32"/>
        </w:rPr>
        <w:t>（二）询问被调查者、利害关系人以及其他有关组织或者个人，要求其对与被调查事件有关的事项作出说明；</w:t>
      </w:r>
    </w:p>
    <w:p>
      <w:pPr>
        <w:spacing w:line="560" w:lineRule="exact"/>
        <w:ind w:firstLine="640"/>
        <w:jc w:val="both"/>
      </w:pPr>
      <w:r>
        <w:rPr>
          <w:rFonts w:ascii="仿宋_GB2312" w:hAnsi="仿宋_GB2312" w:eastAsia="仿宋_GB2312" w:cs="仿宋_GB2312"/>
          <w:sz w:val="32"/>
        </w:rPr>
        <w:t>（三）查阅、复制被调查者、利害关系人以及其他有关组织或者个人的有关单证、协议、会计账簿、业务函电等文件、资料；</w:t>
      </w:r>
    </w:p>
    <w:p>
      <w:pPr>
        <w:spacing w:line="560" w:lineRule="exact"/>
        <w:ind w:firstLine="640"/>
        <w:jc w:val="both"/>
      </w:pPr>
      <w:r>
        <w:rPr>
          <w:rFonts w:ascii="仿宋_GB2312" w:hAnsi="仿宋_GB2312" w:eastAsia="仿宋_GB2312" w:cs="仿宋_GB2312"/>
          <w:sz w:val="32"/>
        </w:rPr>
        <w:t>（四）检查用于出口的运输工具，制止装载可疑的出口物项，责令运回非法出口的物项；</w:t>
      </w:r>
    </w:p>
    <w:p>
      <w:pPr>
        <w:spacing w:line="560" w:lineRule="exact"/>
        <w:ind w:firstLine="640"/>
        <w:jc w:val="both"/>
      </w:pPr>
      <w:r>
        <w:rPr>
          <w:rFonts w:ascii="仿宋_GB2312" w:hAnsi="仿宋_GB2312" w:eastAsia="仿宋_GB2312" w:cs="仿宋_GB2312"/>
          <w:sz w:val="32"/>
        </w:rPr>
        <w:t>（五）查封、扣押相关涉案物项；</w:t>
      </w:r>
    </w:p>
    <w:p>
      <w:pPr>
        <w:spacing w:line="560" w:lineRule="exact"/>
        <w:ind w:firstLine="640"/>
        <w:jc w:val="both"/>
      </w:pPr>
      <w:r>
        <w:rPr>
          <w:rFonts w:ascii="仿宋_GB2312" w:hAnsi="仿宋_GB2312" w:eastAsia="仿宋_GB2312" w:cs="仿宋_GB2312"/>
          <w:sz w:val="32"/>
        </w:rPr>
        <w:t>（六）查询被调查者的银行账户。</w:t>
      </w:r>
    </w:p>
    <w:p>
      <w:pPr>
        <w:spacing w:line="560" w:lineRule="exact"/>
        <w:ind w:firstLine="640"/>
        <w:jc w:val="both"/>
      </w:pPr>
      <w:r>
        <w:rPr>
          <w:rFonts w:ascii="仿宋_GB2312" w:hAnsi="仿宋_GB2312" w:eastAsia="仿宋_GB2312" w:cs="仿宋_GB2312"/>
          <w:sz w:val="32"/>
        </w:rPr>
        <w:t>采取前款第五项、第六项措施，应当经国家出口管制管理部门负责人书面批准。</w:t>
      </w:r>
    </w:p>
    <w:p>
      <w:pPr>
        <w:spacing w:line="560" w:lineRule="exact"/>
        <w:ind w:firstLine="640"/>
        <w:jc w:val="both"/>
      </w:pPr>
      <w:r>
        <w:rPr>
          <w:rFonts w:ascii="黑体" w:hAnsi="黑体" w:eastAsia="黑体" w:cs="黑体"/>
          <w:sz w:val="32"/>
        </w:rPr>
        <w:t>第二十九条</w:t>
      </w:r>
      <w:r>
        <w:rPr>
          <w:rFonts w:ascii="仿宋_GB2312" w:hAnsi="仿宋_GB2312" w:eastAsia="仿宋_GB2312" w:cs="仿宋_GB2312"/>
          <w:sz w:val="32"/>
        </w:rPr>
        <w:t>　国家出口管制管理部门依法履行职责，国务院有关部门、地方人民政府及其有关部门应当予以协助。</w:t>
      </w:r>
    </w:p>
    <w:p>
      <w:pPr>
        <w:spacing w:line="560" w:lineRule="exact"/>
        <w:ind w:firstLine="640"/>
        <w:jc w:val="both"/>
      </w:pPr>
      <w:r>
        <w:rPr>
          <w:rFonts w:ascii="仿宋_GB2312" w:hAnsi="仿宋_GB2312" w:eastAsia="仿宋_GB2312" w:cs="仿宋_GB2312"/>
          <w:sz w:val="32"/>
        </w:rPr>
        <w:t>国家出口管制管理部门单独或者会同有关部门依法开展监督检查和调查工作，有关组织和个人应当予以配合，不得拒绝、阻碍。</w:t>
      </w:r>
    </w:p>
    <w:p>
      <w:pPr>
        <w:spacing w:line="560" w:lineRule="exact"/>
        <w:ind w:firstLine="640"/>
        <w:jc w:val="both"/>
      </w:pPr>
      <w:r>
        <w:rPr>
          <w:rFonts w:ascii="仿宋_GB2312" w:hAnsi="仿宋_GB2312" w:eastAsia="仿宋_GB2312" w:cs="仿宋_GB2312"/>
          <w:sz w:val="32"/>
        </w:rPr>
        <w:t>有关国家机关及其工作人员对调查中知悉的国家秘密、商业秘密、个人隐私和个人信息依法负有保密义务。</w:t>
      </w:r>
    </w:p>
    <w:p>
      <w:pPr>
        <w:spacing w:line="560" w:lineRule="exact"/>
        <w:ind w:firstLine="640"/>
        <w:jc w:val="both"/>
      </w:pPr>
      <w:r>
        <w:rPr>
          <w:rFonts w:ascii="黑体" w:hAnsi="黑体" w:eastAsia="黑体" w:cs="黑体"/>
          <w:sz w:val="32"/>
        </w:rPr>
        <w:t>第三十条</w:t>
      </w:r>
      <w:r>
        <w:rPr>
          <w:rFonts w:ascii="仿宋_GB2312" w:hAnsi="仿宋_GB2312" w:eastAsia="仿宋_GB2312" w:cs="仿宋_GB2312"/>
          <w:sz w:val="32"/>
        </w:rPr>
        <w:t>　为加强管制物项出口管理，防范管制物项出口违法风险，国家出口管制管理部门可以采取监管谈话、出具警示函等措施。</w:t>
      </w:r>
    </w:p>
    <w:p>
      <w:pPr>
        <w:spacing w:line="560" w:lineRule="exact"/>
        <w:ind w:firstLine="640"/>
        <w:jc w:val="both"/>
      </w:pPr>
      <w:r>
        <w:rPr>
          <w:rFonts w:ascii="黑体" w:hAnsi="黑体" w:eastAsia="黑体" w:cs="黑体"/>
          <w:sz w:val="32"/>
        </w:rPr>
        <w:t>第三十一条</w:t>
      </w:r>
      <w:r>
        <w:rPr>
          <w:rFonts w:ascii="仿宋_GB2312" w:hAnsi="仿宋_GB2312" w:eastAsia="仿宋_GB2312" w:cs="仿宋_GB2312"/>
          <w:sz w:val="32"/>
        </w:rPr>
        <w:t>　对涉嫌违反本法规定的行为，任何组织和个人有权向国家出口管制管理部门举报，国家出口管制管理部门接到举报后应当依法及时处理，并为举报人保密。</w:t>
      </w:r>
    </w:p>
    <w:p>
      <w:pPr>
        <w:spacing w:line="560" w:lineRule="exact"/>
        <w:ind w:firstLine="640"/>
        <w:jc w:val="both"/>
      </w:pPr>
      <w:r>
        <w:rPr>
          <w:rFonts w:ascii="黑体" w:hAnsi="黑体" w:eastAsia="黑体" w:cs="黑体"/>
          <w:sz w:val="32"/>
        </w:rPr>
        <w:t>第三十二条</w:t>
      </w:r>
      <w:r>
        <w:rPr>
          <w:rFonts w:ascii="仿宋_GB2312" w:hAnsi="仿宋_GB2312" w:eastAsia="仿宋_GB2312" w:cs="仿宋_GB2312"/>
          <w:sz w:val="32"/>
        </w:rPr>
        <w:t>　国家出口管制管理部门根据缔结或者参加的国际条约，或者按照平等互惠原则，与其他国家或者地区、国际组织等开展出口管制合作与交流。</w:t>
      </w:r>
    </w:p>
    <w:p>
      <w:pPr>
        <w:spacing w:line="560" w:lineRule="exact"/>
        <w:ind w:firstLine="640"/>
        <w:jc w:val="both"/>
      </w:pPr>
      <w:r>
        <w:rPr>
          <w:rFonts w:ascii="仿宋_GB2312" w:hAnsi="仿宋_GB2312" w:eastAsia="仿宋_GB2312" w:cs="仿宋_GB2312"/>
          <w:sz w:val="32"/>
        </w:rPr>
        <w:t>中华人民共和国境内的组织和个人向境外提供出口管制相关信息，应当依法进行；可能危害国家安全和利益的，不得提供。</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第四章　法律责任</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第三十三条</w:t>
      </w:r>
      <w:r>
        <w:rPr>
          <w:rFonts w:ascii="仿宋_GB2312" w:hAnsi="仿宋_GB2312" w:eastAsia="仿宋_GB2312" w:cs="仿宋_GB2312"/>
          <w:sz w:val="32"/>
        </w:rPr>
        <w:t>　出口经营者未取得相关管制物项的出口经营资格从事有关管制物项出口的，给予警告，责令停止违法行为，没收违法所得，违法经营额五十万元以上的，并处违法经营额五倍以上十倍以下罚款；没有违法经营额或者违法经营额不足五十万元的，并处五十万元以上五百万元以下罚款。</w:t>
      </w:r>
    </w:p>
    <w:p>
      <w:pPr>
        <w:spacing w:line="560" w:lineRule="exact"/>
        <w:ind w:firstLine="640"/>
        <w:jc w:val="both"/>
      </w:pPr>
      <w:r>
        <w:rPr>
          <w:rFonts w:ascii="黑体" w:hAnsi="黑体" w:eastAsia="黑体" w:cs="黑体"/>
          <w:sz w:val="32"/>
        </w:rPr>
        <w:t>第三十四条</w:t>
      </w:r>
      <w:r>
        <w:rPr>
          <w:rFonts w:ascii="仿宋_GB2312" w:hAnsi="仿宋_GB2312" w:eastAsia="仿宋_GB2312" w:cs="仿宋_GB2312"/>
          <w:sz w:val="32"/>
        </w:rPr>
        <w:t>　出口经营者有下列行为之一的，责令停止违法行为，没收违法所得，违法经营额五十万元以上的，并处违法经营额五倍以上十倍以下罚款；没有违法经营额或者违法经营额不足五十万元的，并处五十万元以上五百万元以下罚款；情节严重的，责令停业整顿，直至吊销相关管制物项出口经营资格：</w:t>
      </w:r>
    </w:p>
    <w:p>
      <w:pPr>
        <w:spacing w:line="560" w:lineRule="exact"/>
        <w:ind w:firstLine="640"/>
        <w:jc w:val="both"/>
      </w:pPr>
      <w:r>
        <w:rPr>
          <w:rFonts w:ascii="仿宋_GB2312" w:hAnsi="仿宋_GB2312" w:eastAsia="仿宋_GB2312" w:cs="仿宋_GB2312"/>
          <w:sz w:val="32"/>
        </w:rPr>
        <w:t>（一）未经许可擅自出口管制物项；</w:t>
      </w:r>
    </w:p>
    <w:p>
      <w:pPr>
        <w:spacing w:line="560" w:lineRule="exact"/>
        <w:ind w:firstLine="640"/>
        <w:jc w:val="both"/>
      </w:pPr>
      <w:r>
        <w:rPr>
          <w:rFonts w:ascii="仿宋_GB2312" w:hAnsi="仿宋_GB2312" w:eastAsia="仿宋_GB2312" w:cs="仿宋_GB2312"/>
          <w:sz w:val="32"/>
        </w:rPr>
        <w:t>（二）超出出口许可证件规定的许可范围出口管制物项；</w:t>
      </w:r>
    </w:p>
    <w:p>
      <w:pPr>
        <w:spacing w:line="560" w:lineRule="exact"/>
        <w:ind w:firstLine="640"/>
        <w:jc w:val="both"/>
      </w:pPr>
      <w:r>
        <w:rPr>
          <w:rFonts w:ascii="仿宋_GB2312" w:hAnsi="仿宋_GB2312" w:eastAsia="仿宋_GB2312" w:cs="仿宋_GB2312"/>
          <w:sz w:val="32"/>
        </w:rPr>
        <w:t>（三）出口禁止出口的管制物项。</w:t>
      </w:r>
    </w:p>
    <w:p>
      <w:pPr>
        <w:spacing w:line="560" w:lineRule="exact"/>
        <w:ind w:firstLine="640"/>
        <w:jc w:val="both"/>
      </w:pPr>
      <w:r>
        <w:rPr>
          <w:rFonts w:ascii="黑体" w:hAnsi="黑体" w:eastAsia="黑体" w:cs="黑体"/>
          <w:sz w:val="32"/>
        </w:rPr>
        <w:t>第三十五条</w:t>
      </w:r>
      <w:r>
        <w:rPr>
          <w:rFonts w:ascii="仿宋_GB2312" w:hAnsi="仿宋_GB2312" w:eastAsia="仿宋_GB2312" w:cs="仿宋_GB2312"/>
          <w:sz w:val="32"/>
        </w:rPr>
        <w:t>　以欺骗、贿赂等不正当手段获取管制物项出口许可证件，或者非法转让管制物项出口许可证件的，撤销许可，收缴出口许可证，没收违法所得，违法经营额二十万元以上的，并处违法经营额五倍以上十倍以下罚款；没有违法经营额或者违法经营额不足二十万元的，并处二十万元以上二百万元以下罚款。</w:t>
      </w:r>
    </w:p>
    <w:p>
      <w:pPr>
        <w:spacing w:line="560" w:lineRule="exact"/>
        <w:ind w:firstLine="640"/>
        <w:jc w:val="both"/>
      </w:pPr>
      <w:r>
        <w:rPr>
          <w:rFonts w:ascii="仿宋_GB2312" w:hAnsi="仿宋_GB2312" w:eastAsia="仿宋_GB2312" w:cs="仿宋_GB2312"/>
          <w:sz w:val="32"/>
        </w:rPr>
        <w:t>伪造、变造、买卖管制物项出口许可证件的，没收违法所得，违法经营额五万元以上的，并处违法经营额五倍以上十倍以下罚款；没有违法经营额或者违法经营额不足五万元的，并处五万元以上五十万元以下罚款。</w:t>
      </w:r>
    </w:p>
    <w:p>
      <w:pPr>
        <w:spacing w:line="560" w:lineRule="exact"/>
        <w:ind w:firstLine="640"/>
        <w:jc w:val="both"/>
      </w:pPr>
      <w:r>
        <w:rPr>
          <w:rFonts w:ascii="黑体" w:hAnsi="黑体" w:eastAsia="黑体" w:cs="黑体"/>
          <w:sz w:val="32"/>
        </w:rPr>
        <w:t>第三十六条</w:t>
      </w:r>
      <w:r>
        <w:rPr>
          <w:rFonts w:ascii="仿宋_GB2312" w:hAnsi="仿宋_GB2312" w:eastAsia="仿宋_GB2312" w:cs="仿宋_GB2312"/>
          <w:sz w:val="32"/>
        </w:rPr>
        <w:t>　明知出口经营者从事出口管制违法行为仍为其提供代理、货运、寄递、报关、第三方电子商务交易平台和金融等服务的，给予警告，责令停止违法行为，没收违法所得，违法经营额十万元以上的，并处违法经营额三倍以上五倍以下罚款；没有违法经营额或者违法经营额不足十万元的，并处十万元以上五十万元以下罚款。</w:t>
      </w:r>
    </w:p>
    <w:p>
      <w:pPr>
        <w:spacing w:line="560" w:lineRule="exact"/>
        <w:ind w:firstLine="640"/>
        <w:jc w:val="both"/>
      </w:pPr>
      <w:r>
        <w:rPr>
          <w:rFonts w:ascii="黑体" w:hAnsi="黑体" w:eastAsia="黑体" w:cs="黑体"/>
          <w:sz w:val="32"/>
        </w:rPr>
        <w:t>第三十七条</w:t>
      </w:r>
      <w:r>
        <w:rPr>
          <w:rFonts w:ascii="仿宋_GB2312" w:hAnsi="仿宋_GB2312" w:eastAsia="仿宋_GB2312" w:cs="仿宋_GB2312"/>
          <w:sz w:val="32"/>
        </w:rPr>
        <w:t>　出口经营者违反本法规定与列入管控名单的进口商、最终用户进行交易的，给予警告，责令停止违法行为，没收违法所得，违法经营额五十万元以上的，并处违法经营额十倍以上二十倍以下罚款；没有违法经营额或者违法经营额不足五十万元的，并处五十万元以上五百万元以下罚款；情节严重的，责令停业整顿，直至吊销相关管制物项出口经营资格。</w:t>
      </w:r>
    </w:p>
    <w:p>
      <w:pPr>
        <w:spacing w:line="560" w:lineRule="exact"/>
        <w:ind w:firstLine="640"/>
        <w:jc w:val="both"/>
      </w:pPr>
      <w:r>
        <w:rPr>
          <w:rFonts w:ascii="黑体" w:hAnsi="黑体" w:eastAsia="黑体" w:cs="黑体"/>
          <w:sz w:val="32"/>
        </w:rPr>
        <w:t>第三十八条</w:t>
      </w:r>
      <w:r>
        <w:rPr>
          <w:rFonts w:ascii="仿宋_GB2312" w:hAnsi="仿宋_GB2312" w:eastAsia="仿宋_GB2312" w:cs="仿宋_GB2312"/>
          <w:sz w:val="32"/>
        </w:rPr>
        <w:t>　出口经营者拒绝、阻碍监督检查的，给予警告，并处十万元以上三十万元以下罚款；情节严重的，责令停业整顿，直至吊销相关管制物项出口经营资格。</w:t>
      </w:r>
    </w:p>
    <w:p>
      <w:pPr>
        <w:spacing w:line="560" w:lineRule="exact"/>
        <w:ind w:firstLine="640"/>
        <w:jc w:val="both"/>
      </w:pPr>
      <w:r>
        <w:rPr>
          <w:rFonts w:ascii="黑体" w:hAnsi="黑体" w:eastAsia="黑体" w:cs="黑体"/>
          <w:sz w:val="32"/>
        </w:rPr>
        <w:t>第三十九条</w:t>
      </w:r>
      <w:r>
        <w:rPr>
          <w:rFonts w:ascii="仿宋_GB2312" w:hAnsi="仿宋_GB2312" w:eastAsia="仿宋_GB2312" w:cs="仿宋_GB2312"/>
          <w:sz w:val="32"/>
        </w:rPr>
        <w:t>　违反本法规定受到处罚的出口经营者，自处罚决定生效之日起，国家出口管制管理部门可以在五年内不受理其提出的出口许可申请；对其直接负责的主管人员和其他直接责任人员，可以禁止其在五年内从事有关出口经营活动，因出口管制违法行为受到刑事处罚的，终身不得从事有关出口经营活动。</w:t>
      </w:r>
    </w:p>
    <w:p>
      <w:pPr>
        <w:spacing w:line="560" w:lineRule="exact"/>
        <w:ind w:firstLine="640"/>
        <w:jc w:val="both"/>
      </w:pPr>
      <w:r>
        <w:rPr>
          <w:rFonts w:ascii="仿宋_GB2312" w:hAnsi="仿宋_GB2312" w:eastAsia="仿宋_GB2312" w:cs="仿宋_GB2312"/>
          <w:sz w:val="32"/>
        </w:rPr>
        <w:t>国家出口管制管理部门依法将出口经营者违反本法的情况纳入信用记录。</w:t>
      </w:r>
    </w:p>
    <w:p>
      <w:pPr>
        <w:spacing w:line="560" w:lineRule="exact"/>
        <w:ind w:firstLine="640"/>
        <w:jc w:val="both"/>
      </w:pPr>
      <w:r>
        <w:rPr>
          <w:rFonts w:ascii="黑体" w:hAnsi="黑体" w:eastAsia="黑体" w:cs="黑体"/>
          <w:sz w:val="32"/>
        </w:rPr>
        <w:t>第四十条</w:t>
      </w:r>
      <w:r>
        <w:rPr>
          <w:rFonts w:ascii="仿宋_GB2312" w:hAnsi="仿宋_GB2312" w:eastAsia="仿宋_GB2312" w:cs="仿宋_GB2312"/>
          <w:sz w:val="32"/>
        </w:rPr>
        <w:t>　本法规定的出口管制违法行为，由国家出口管制管理部门进行处罚；法律、行政法规规定由海关处罚的，由其依照本法进行处罚。</w:t>
      </w:r>
    </w:p>
    <w:p>
      <w:pPr>
        <w:spacing w:line="560" w:lineRule="exact"/>
        <w:ind w:firstLine="640"/>
        <w:jc w:val="both"/>
      </w:pPr>
      <w:r>
        <w:rPr>
          <w:rFonts w:ascii="黑体" w:hAnsi="黑体" w:eastAsia="黑体" w:cs="黑体"/>
          <w:sz w:val="32"/>
        </w:rPr>
        <w:t>第四十一条</w:t>
      </w:r>
      <w:r>
        <w:rPr>
          <w:rFonts w:ascii="仿宋_GB2312" w:hAnsi="仿宋_GB2312" w:eastAsia="仿宋_GB2312" w:cs="仿宋_GB2312"/>
          <w:sz w:val="32"/>
        </w:rPr>
        <w:t>　有关组织或者个人对国家出口管制管理部门的不予许可决定不服的，可以依法申请行政复议。行政复议决定为最终裁决。</w:t>
      </w:r>
    </w:p>
    <w:p>
      <w:pPr>
        <w:spacing w:line="560" w:lineRule="exact"/>
        <w:ind w:firstLine="640"/>
        <w:jc w:val="both"/>
      </w:pPr>
      <w:r>
        <w:rPr>
          <w:rFonts w:ascii="黑体" w:hAnsi="黑体" w:eastAsia="黑体" w:cs="黑体"/>
          <w:sz w:val="32"/>
        </w:rPr>
        <w:t>第四十二条</w:t>
      </w:r>
      <w:r>
        <w:rPr>
          <w:rFonts w:ascii="仿宋_GB2312" w:hAnsi="仿宋_GB2312" w:eastAsia="仿宋_GB2312" w:cs="仿宋_GB2312"/>
          <w:sz w:val="32"/>
        </w:rPr>
        <w:t>　从事出口管制管理的国家工作人员玩忽职守、徇私舞弊、滥用职权的，依法给予处分。</w:t>
      </w:r>
    </w:p>
    <w:p>
      <w:pPr>
        <w:spacing w:line="560" w:lineRule="exact"/>
        <w:ind w:firstLine="640"/>
        <w:jc w:val="both"/>
      </w:pPr>
      <w:r>
        <w:rPr>
          <w:rFonts w:ascii="黑体" w:hAnsi="黑体" w:eastAsia="黑体" w:cs="黑体"/>
          <w:sz w:val="32"/>
        </w:rPr>
        <w:t>第四十三条</w:t>
      </w:r>
      <w:r>
        <w:rPr>
          <w:rFonts w:ascii="仿宋_GB2312" w:hAnsi="仿宋_GB2312" w:eastAsia="仿宋_GB2312" w:cs="仿宋_GB2312"/>
          <w:sz w:val="32"/>
        </w:rPr>
        <w:t>　违反本法有关出口管制管理规定，危害国家安全和利益的，除依照本法规定处罚外，还应当依照有关法律、行政法规的规定进行处理和处罚。</w:t>
      </w:r>
    </w:p>
    <w:p>
      <w:pPr>
        <w:spacing w:line="560" w:lineRule="exact"/>
        <w:ind w:firstLine="640"/>
        <w:jc w:val="both"/>
      </w:pPr>
      <w:r>
        <w:rPr>
          <w:rFonts w:ascii="仿宋_GB2312" w:hAnsi="仿宋_GB2312" w:eastAsia="仿宋_GB2312" w:cs="仿宋_GB2312"/>
          <w:sz w:val="32"/>
        </w:rPr>
        <w:t>违反本法规定，出口国家禁止出口的管制物项或者未经许可出口管制物项的，依法追究刑事责任。</w:t>
      </w:r>
    </w:p>
    <w:p>
      <w:pPr>
        <w:spacing w:line="560" w:lineRule="exact"/>
        <w:ind w:firstLine="640"/>
        <w:jc w:val="both"/>
      </w:pPr>
      <w:r>
        <w:rPr>
          <w:rFonts w:ascii="黑体" w:hAnsi="黑体" w:eastAsia="黑体" w:cs="黑体"/>
          <w:sz w:val="32"/>
        </w:rPr>
        <w:t>第四十四条</w:t>
      </w:r>
      <w:r>
        <w:rPr>
          <w:rFonts w:ascii="仿宋_GB2312" w:hAnsi="仿宋_GB2312" w:eastAsia="仿宋_GB2312" w:cs="仿宋_GB2312"/>
          <w:sz w:val="32"/>
        </w:rPr>
        <w:t>　中华人民共和国境外的组织和个人，违反本法有关出口管制管理规定，危害中华人民共和国国家安全和利益，妨碍履行防扩散等国际义务的，依法处理并追究其法律责任。</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第五章　附　　则</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第四十五条</w:t>
      </w:r>
      <w:r>
        <w:rPr>
          <w:rFonts w:ascii="仿宋_GB2312" w:hAnsi="仿宋_GB2312" w:eastAsia="仿宋_GB2312" w:cs="仿宋_GB2312"/>
          <w:sz w:val="32"/>
        </w:rPr>
        <w:t>　管制物项的过境、转运、通运、再出口或者从保税区、出口加工区等海关特殊监管区域和出口监管仓库、保税物流中心等保税监管场所向境外出口，依照本法的有关规定执行。</w:t>
      </w:r>
    </w:p>
    <w:p>
      <w:pPr>
        <w:spacing w:line="560" w:lineRule="exact"/>
        <w:ind w:firstLine="640"/>
        <w:jc w:val="both"/>
      </w:pPr>
      <w:r>
        <w:rPr>
          <w:rFonts w:ascii="黑体" w:hAnsi="黑体" w:eastAsia="黑体" w:cs="黑体"/>
          <w:sz w:val="32"/>
        </w:rPr>
        <w:t>第四十六条</w:t>
      </w:r>
      <w:r>
        <w:rPr>
          <w:rFonts w:ascii="仿宋_GB2312" w:hAnsi="仿宋_GB2312" w:eastAsia="仿宋_GB2312" w:cs="仿宋_GB2312"/>
          <w:sz w:val="32"/>
        </w:rPr>
        <w:t>　核以及其他管制物项的出口，本法未作规定的，依照有关法律、行政法规的规定执行。</w:t>
      </w:r>
    </w:p>
    <w:p>
      <w:pPr>
        <w:spacing w:line="560" w:lineRule="exact"/>
        <w:ind w:firstLine="640"/>
        <w:jc w:val="both"/>
      </w:pPr>
      <w:r>
        <w:rPr>
          <w:rFonts w:ascii="黑体" w:hAnsi="黑体" w:eastAsia="黑体" w:cs="黑体"/>
          <w:sz w:val="32"/>
        </w:rPr>
        <w:t>第四十七条</w:t>
      </w:r>
      <w:r>
        <w:rPr>
          <w:rFonts w:ascii="仿宋_GB2312" w:hAnsi="仿宋_GB2312" w:eastAsia="仿宋_GB2312" w:cs="仿宋_GB2312"/>
          <w:sz w:val="32"/>
        </w:rPr>
        <w:t>　用于武装力量海外运用、对外军事交流、军事援助等的军品出口，依照有关法律法规的规定执行。</w:t>
      </w:r>
    </w:p>
    <w:p>
      <w:pPr>
        <w:spacing w:line="560" w:lineRule="exact"/>
        <w:ind w:firstLine="640"/>
        <w:jc w:val="both"/>
      </w:pPr>
      <w:r>
        <w:rPr>
          <w:rFonts w:ascii="黑体" w:hAnsi="黑体" w:eastAsia="黑体" w:cs="黑体"/>
          <w:sz w:val="32"/>
        </w:rPr>
        <w:t>第四十八条</w:t>
      </w:r>
      <w:r>
        <w:rPr>
          <w:rFonts w:ascii="仿宋_GB2312" w:hAnsi="仿宋_GB2312" w:eastAsia="仿宋_GB2312" w:cs="仿宋_GB2312"/>
          <w:sz w:val="32"/>
        </w:rPr>
        <w:t>　任何国家或者地区滥用出口管制措施危害中华人民共和国国家安全和利益的，中华人民共和国可以根据实际情况对该国家或者地区对等采取措施。</w:t>
      </w:r>
    </w:p>
    <w:p>
      <w:pPr>
        <w:spacing w:line="560" w:lineRule="exact"/>
        <w:ind w:firstLine="640"/>
        <w:jc w:val="both"/>
      </w:pPr>
      <w:r>
        <w:rPr>
          <w:rFonts w:ascii="黑体" w:hAnsi="黑体" w:eastAsia="黑体" w:cs="黑体"/>
          <w:sz w:val="32"/>
        </w:rPr>
        <w:t>第四十九条</w:t>
      </w:r>
      <w:r>
        <w:rPr>
          <w:rFonts w:ascii="仿宋_GB2312" w:hAnsi="仿宋_GB2312" w:eastAsia="仿宋_GB2312" w:cs="仿宋_GB2312"/>
          <w:sz w:val="32"/>
        </w:rPr>
        <w:t>　本法自</w:t>
      </w:r>
      <w:r>
        <w:rPr>
          <w:rFonts w:hint="default" w:ascii="Times New Roman" w:hAnsi="Times New Roman" w:eastAsia="仿宋_GB2312" w:cs="Times New Roman"/>
          <w:sz w:val="32"/>
        </w:rPr>
        <w:t>2020</w:t>
      </w:r>
      <w:r>
        <w:rPr>
          <w:rFonts w:ascii="仿宋_GB2312" w:hAnsi="仿宋_GB2312" w:eastAsia="仿宋_GB2312" w:cs="仿宋_GB2312"/>
          <w:sz w:val="32"/>
        </w:rPr>
        <w:t>年</w:t>
      </w:r>
      <w:r>
        <w:rPr>
          <w:rFonts w:hint="default" w:ascii="Times New Roman" w:hAnsi="Times New Roman" w:eastAsia="仿宋_GB2312" w:cs="Times New Roman"/>
          <w:sz w:val="32"/>
        </w:rPr>
        <w:t>12</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日起施行。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firstLineChars="0"/>
        <w:textAlignment w:val="auto"/>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80" w:firstLineChars="200"/>
        <w:textAlignment w:val="auto"/>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r>
        <w:rPr>
          <w:rFonts w:hint="eastAsia" w:ascii="宋体" w:hAnsi="宋体" w:eastAsia="宋体" w:cs="宋体"/>
          <w:b w:val="0"/>
          <w:bCs w:val="0"/>
          <w:kern w:val="0"/>
          <w:sz w:val="44"/>
          <w:szCs w:val="44"/>
          <w:lang w:val="en-US" w:eastAsia="zh-CN" w:bidi="ar-SA"/>
        </w:rPr>
        <w:br w:type="page"/>
      </w: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widowControl w:val="0"/>
        <w:wordWrap/>
        <w:adjustRightInd/>
        <w:snapToGrid/>
        <w:spacing w:line="560" w:lineRule="exact"/>
        <w:jc w:val="center"/>
        <w:textAlignment w:val="auto"/>
        <w:outlineLvl w:val="0"/>
        <w:rPr>
          <w:rFonts w:hint="eastAsia" w:ascii="宋体" w:hAnsi="宋体" w:eastAsia="宋体" w:cs="宋体"/>
          <w:b w:val="0"/>
          <w:bCs w:val="0"/>
          <w:kern w:val="0"/>
          <w:sz w:val="44"/>
          <w:szCs w:val="44"/>
          <w:lang w:val="en-US" w:eastAsia="zh-CN" w:bidi="ar-SA"/>
        </w:rPr>
      </w:pPr>
      <w:bookmarkStart w:id="186" w:name="_Toc29243"/>
      <w:r>
        <w:rPr>
          <w:rFonts w:hint="eastAsia" w:ascii="宋体" w:hAnsi="宋体" w:eastAsia="宋体" w:cs="宋体"/>
          <w:b w:val="0"/>
          <w:bCs w:val="0"/>
          <w:kern w:val="0"/>
          <w:sz w:val="44"/>
          <w:szCs w:val="44"/>
          <w:lang w:val="en-US" w:eastAsia="zh-CN" w:bidi="ar-SA"/>
        </w:rPr>
        <w:t>中华人民共和国渔业法</w:t>
      </w:r>
      <w:bookmarkEnd w:id="186"/>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仿宋" w:hAnsi="仿宋" w:eastAsia="仿宋" w:cs="仿宋"/>
          <w:kern w:val="0"/>
          <w:sz w:val="32"/>
          <w:szCs w:val="32"/>
          <w:lang w:val="en-US" w:eastAsia="zh-CN"/>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楷体" w:hAnsi="楷体" w:eastAsia="楷体" w:cs="楷体"/>
          <w:kern w:val="0"/>
          <w:szCs w:val="32"/>
          <w:lang w:val="en-US" w:eastAsia="zh-CN"/>
        </w:rPr>
      </w:pPr>
      <w:r>
        <w:rPr>
          <w:rFonts w:hint="eastAsia" w:ascii="楷体" w:hAnsi="楷体" w:eastAsia="楷体" w:cs="楷体"/>
          <w:kern w:val="0"/>
          <w:szCs w:val="32"/>
          <w:lang w:val="en-US" w:eastAsia="zh-CN"/>
        </w:rPr>
        <w:t>（1986年1月20日第六届全国人民代表大会常务委员会第十四次会议通过 根据2000年10月31日第九届全国人民代表大会常务委员会第十八次会议《关于修改〈中华人民共和国渔业法〉的决定》第一次修正 根据2004年8月28日第十届全国人民代表大会常务委员会第十一次会议《关于修改〈中华人民共和国渔业法〉的决定》第二次修正 根据2009年8月27日第十一届全国人民代表大会常务委员会第十次会议《关于修改部分法律的决定》第三次修正 根据2013年12月28日第十二届全国人民代表大会常务委员会第六次会议《关于修改〈中华人民共和国海洋环境保护法〉等七部法律的决定》第四次修正）</w:t>
      </w:r>
    </w:p>
    <w:p>
      <w:pPr>
        <w:widowControl w:val="0"/>
        <w:wordWrap/>
        <w:adjustRightInd/>
        <w:snapToGrid/>
        <w:spacing w:line="560" w:lineRule="exact"/>
        <w:textAlignment w:val="auto"/>
        <w:rPr>
          <w:rFonts w:hint="eastAsia" w:ascii="仿宋" w:hAnsi="仿宋" w:eastAsia="仿宋" w:cs="仿宋"/>
          <w:b w:val="0"/>
          <w:bCs w:val="0"/>
          <w:kern w:val="0"/>
          <w:sz w:val="32"/>
          <w:szCs w:val="32"/>
          <w:lang w:val="en-US" w:eastAsia="zh-CN" w:bidi="ar-SA"/>
        </w:rPr>
      </w:pPr>
    </w:p>
    <w:p>
      <w:pPr>
        <w:widowControl w:val="0"/>
        <w:wordWrap/>
        <w:overflowPunct w:val="0"/>
        <w:adjustRightInd/>
        <w:snapToGrid/>
        <w:spacing w:beforeAutospacing="0" w:afterAutospacing="0" w:line="560" w:lineRule="exact"/>
        <w:ind w:right="640" w:rightChars="200"/>
        <w:jc w:val="center"/>
        <w:textAlignment w:val="auto"/>
        <w:outlineLvl w:val="9"/>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目  录</w:t>
      </w:r>
    </w:p>
    <w:p>
      <w:pPr>
        <w:widowControl w:val="0"/>
        <w:wordWrap/>
        <w:adjustRightInd/>
        <w:snapToGrid/>
        <w:spacing w:line="560" w:lineRule="exact"/>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第一章　总则</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第二章　养殖业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第三章　捕捞业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第四章　渔业资源的增殖和保护</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第五章　法律责任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第六章　附则</w:t>
      </w:r>
    </w:p>
    <w:p>
      <w:pPr>
        <w:widowControl w:val="0"/>
        <w:wordWrap/>
        <w:adjustRightInd/>
        <w:snapToGrid/>
        <w:spacing w:line="560" w:lineRule="exact"/>
        <w:textAlignment w:val="auto"/>
        <w:rPr>
          <w:rFonts w:hint="eastAsia" w:ascii="仿宋" w:hAnsi="仿宋" w:eastAsia="仿宋" w:cs="仿宋"/>
          <w:b w:val="0"/>
          <w:bCs w:val="0"/>
          <w:kern w:val="0"/>
          <w:sz w:val="32"/>
          <w:szCs w:val="32"/>
          <w:lang w:val="en-US" w:eastAsia="zh-CN" w:bidi="ar-SA"/>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第一章　总则</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第一条 </w:t>
      </w:r>
      <w:r>
        <w:rPr>
          <w:rFonts w:hint="eastAsia" w:ascii="仿宋" w:hAnsi="仿宋" w:eastAsia="仿宋" w:cs="仿宋"/>
          <w:b w:val="0"/>
          <w:bCs w:val="0"/>
          <w:kern w:val="0"/>
          <w:sz w:val="32"/>
          <w:szCs w:val="32"/>
          <w:lang w:val="en-US" w:eastAsia="zh-CN" w:bidi="ar-SA"/>
        </w:rPr>
        <w:t>为了加强渔业资源的保护、增殖、开发和合理利用，发展人工养殖，保障渔业生产者的合法权益，促进渔业生产的发展，适应社会主义建设和人民生活的需要，特制定本法。</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第二条</w:t>
      </w:r>
      <w:r>
        <w:rPr>
          <w:rFonts w:hint="eastAsia" w:ascii="仿宋" w:hAnsi="仿宋" w:eastAsia="仿宋" w:cs="仿宋"/>
          <w:b w:val="0"/>
          <w:bCs w:val="0"/>
          <w:kern w:val="0"/>
          <w:sz w:val="32"/>
          <w:szCs w:val="32"/>
          <w:lang w:val="en-US" w:eastAsia="zh-CN" w:bidi="ar-SA"/>
        </w:rPr>
        <w:t xml:space="preserve"> 在中华人民共和国的内水、滩涂、领海、专属经济区以及中华人民共和国管辖的一切其他海域从事养殖和捕捞水生动物、水生植物等渔业生产活动，都必须遵守本法。</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第三条 </w:t>
      </w:r>
      <w:r>
        <w:rPr>
          <w:rFonts w:hint="eastAsia" w:ascii="仿宋" w:hAnsi="仿宋" w:eastAsia="仿宋" w:cs="仿宋"/>
          <w:b w:val="0"/>
          <w:bCs w:val="0"/>
          <w:kern w:val="0"/>
          <w:sz w:val="32"/>
          <w:szCs w:val="32"/>
          <w:lang w:val="en-US" w:eastAsia="zh-CN" w:bidi="ar-SA"/>
        </w:rPr>
        <w:t>国家对渔业生产实行以养殖为主，养殖、捕捞、加工并举，因地制宜，各有侧重的方针。</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各级人民政府应当把渔业生产纳入国民经济发展计划，采取措施，加强水域的统一规划和综合利用。</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第四条 </w:t>
      </w:r>
      <w:r>
        <w:rPr>
          <w:rFonts w:hint="eastAsia" w:ascii="仿宋" w:hAnsi="仿宋" w:eastAsia="仿宋" w:cs="仿宋"/>
          <w:b w:val="0"/>
          <w:bCs w:val="0"/>
          <w:kern w:val="0"/>
          <w:sz w:val="32"/>
          <w:szCs w:val="32"/>
          <w:lang w:val="en-US" w:eastAsia="zh-CN" w:bidi="ar-SA"/>
        </w:rPr>
        <w:t>国家鼓励渔业科学技术研究，推广先进技术，提高渔业科学技术水平。</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第五条</w:t>
      </w:r>
      <w:r>
        <w:rPr>
          <w:rFonts w:hint="eastAsia" w:ascii="仿宋" w:hAnsi="仿宋" w:eastAsia="仿宋" w:cs="仿宋"/>
          <w:b w:val="0"/>
          <w:bCs w:val="0"/>
          <w:kern w:val="0"/>
          <w:sz w:val="32"/>
          <w:szCs w:val="32"/>
          <w:lang w:val="en-US" w:eastAsia="zh-CN" w:bidi="ar-SA"/>
        </w:rPr>
        <w:t xml:space="preserve"> 在增殖和保护渔业资源、发展渔业生产、进行渔业科学技术研究等方面成绩显著的单位和个人，由各级人民政府给予精神的或者物质的奖励。</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第六条</w:t>
      </w:r>
      <w:r>
        <w:rPr>
          <w:rFonts w:hint="eastAsia" w:ascii="仿宋" w:hAnsi="仿宋" w:eastAsia="仿宋" w:cs="仿宋"/>
          <w:b w:val="0"/>
          <w:bCs w:val="0"/>
          <w:kern w:val="0"/>
          <w:sz w:val="32"/>
          <w:szCs w:val="32"/>
          <w:lang w:val="en-US" w:eastAsia="zh-CN" w:bidi="ar-SA"/>
        </w:rPr>
        <w:t xml:space="preserve"> 国务院渔业行政主管部门主管全国的渔业工作。县级以上地方人民政府渔业行政主管部门主管本行政区域内的渔业工作。县级以上人民政府渔业行政主管部门可以在重要渔业水域、渔港设渔政监督管理机构。</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县级以上人民政府渔业行政主管部门及其所属的渔政监督管理机构可以设渔政检查人员。渔政检查人员执行渔业行政主管部门及其所属的渔政监督管理机构交付的任务。</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第七条</w:t>
      </w:r>
      <w:r>
        <w:rPr>
          <w:rFonts w:hint="eastAsia" w:ascii="仿宋" w:hAnsi="仿宋" w:eastAsia="仿宋" w:cs="仿宋"/>
          <w:b w:val="0"/>
          <w:bCs w:val="0"/>
          <w:kern w:val="0"/>
          <w:sz w:val="32"/>
          <w:szCs w:val="32"/>
          <w:lang w:val="en-US" w:eastAsia="zh-CN" w:bidi="ar-SA"/>
        </w:rPr>
        <w:t xml:space="preserve"> 国家对渔业的监督管理，实行统一领导、分级管理。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海洋渔业，除国务院划定由国务院渔业行政主管部门及其所属的渔政监督管理机构监督管理的海域和特定渔业资源渔场外，由毗邻海域的省、自治区、直辖市人民政府渔业行政主管部门监督管理。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江河、湖泊等水域的渔业，按照行政区划由有关县级以上人民政府渔业行政主管部门监督管理；跨行政区域的，由有关县级以上地方人民政府协商制定管理办法，或者由上一级人民政府渔业行政主管部门及其所属的渔政监督管理机构监督管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第八条 </w:t>
      </w:r>
      <w:r>
        <w:rPr>
          <w:rFonts w:hint="eastAsia" w:ascii="仿宋" w:hAnsi="仿宋" w:eastAsia="仿宋" w:cs="仿宋"/>
          <w:b w:val="0"/>
          <w:bCs w:val="0"/>
          <w:kern w:val="0"/>
          <w:sz w:val="32"/>
          <w:szCs w:val="32"/>
          <w:lang w:val="en-US" w:eastAsia="zh-CN" w:bidi="ar-SA"/>
        </w:rPr>
        <w:t>外国人、外国渔业船舶进入中华人民共和国管辖水域，从事渔业生产或者渔业资源调查活动，必须经国务院有关主管部门批准，并遵守本法和中华人民共和国其他有关法律、法规的规定；同中华人民共和国订有条约、协定的，按照条约、协定办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国家渔政渔港监督管理机构对外行使渔政渔港监督管理权。</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第九条 </w:t>
      </w:r>
      <w:r>
        <w:rPr>
          <w:rFonts w:hint="eastAsia" w:ascii="仿宋" w:hAnsi="仿宋" w:eastAsia="仿宋" w:cs="仿宋"/>
          <w:b w:val="0"/>
          <w:bCs w:val="0"/>
          <w:kern w:val="0"/>
          <w:sz w:val="32"/>
          <w:szCs w:val="32"/>
          <w:lang w:val="en-US" w:eastAsia="zh-CN" w:bidi="ar-SA"/>
        </w:rPr>
        <w:t>渔业行政主管部门和其所属的渔政监督管理机构及其工作人员不得参与和从事渔业生产经营活动。</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第二章　养殖业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第十条</w:t>
      </w:r>
      <w:r>
        <w:rPr>
          <w:rFonts w:hint="eastAsia" w:ascii="仿宋" w:hAnsi="仿宋" w:eastAsia="仿宋" w:cs="仿宋"/>
          <w:b w:val="0"/>
          <w:bCs w:val="0"/>
          <w:kern w:val="0"/>
          <w:sz w:val="32"/>
          <w:szCs w:val="32"/>
          <w:lang w:val="en-US" w:eastAsia="zh-CN" w:bidi="ar-SA"/>
        </w:rPr>
        <w:t xml:space="preserve"> 国家鼓励全民所有制单位、集体所有制单位和个人充分利用适于养殖的水域、滩涂，发展养殖业。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第十一条</w:t>
      </w:r>
      <w:r>
        <w:rPr>
          <w:rFonts w:hint="eastAsia" w:ascii="仿宋" w:hAnsi="仿宋" w:eastAsia="仿宋" w:cs="仿宋"/>
          <w:b w:val="0"/>
          <w:bCs w:val="0"/>
          <w:kern w:val="0"/>
          <w:sz w:val="32"/>
          <w:szCs w:val="32"/>
          <w:lang w:val="en-US" w:eastAsia="zh-CN" w:bidi="ar-SA"/>
        </w:rPr>
        <w:t xml:space="preserve"> 国家对水域利用进行统一规划，确定可以用于养殖业的水域和滩涂。单位和个人使用国家规划确定用于养殖业的全民所有的水域、滩涂的，使用者应当向县级以上地方人民政府渔业行政主管部门提出申请，由本级人民政府核发养殖证，许可其使用该水域、滩涂从事养殖生产。核发养殖证的具体办法由国务院规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集体所有的或者全民所有由农业集体经济组织使用的水域、滩涂，可以由个人或者集体承包，从事养殖生产。</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第十二条</w:t>
      </w:r>
      <w:r>
        <w:rPr>
          <w:rFonts w:hint="eastAsia" w:ascii="仿宋" w:hAnsi="仿宋" w:eastAsia="仿宋" w:cs="仿宋"/>
          <w:b w:val="0"/>
          <w:bCs w:val="0"/>
          <w:kern w:val="0"/>
          <w:sz w:val="32"/>
          <w:szCs w:val="32"/>
          <w:lang w:val="en-US" w:eastAsia="zh-CN" w:bidi="ar-SA"/>
        </w:rPr>
        <w:t xml:space="preserve"> 县级以上地方人民政府在核发养殖证时，应当优先安排当地的渔业生产者。</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第十三条 </w:t>
      </w:r>
      <w:r>
        <w:rPr>
          <w:rFonts w:hint="eastAsia" w:ascii="仿宋" w:hAnsi="仿宋" w:eastAsia="仿宋" w:cs="仿宋"/>
          <w:b w:val="0"/>
          <w:bCs w:val="0"/>
          <w:kern w:val="0"/>
          <w:sz w:val="32"/>
          <w:szCs w:val="32"/>
          <w:lang w:val="en-US" w:eastAsia="zh-CN" w:bidi="ar-SA"/>
        </w:rPr>
        <w:t>当事人因使用国家规划确定用于养殖业的水域、滩涂从事养殖生产发生争议的，按照有关法律规定的程序处理。在争议解决以前，任何一方不得破坏养殖生产。</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第十四条</w:t>
      </w:r>
      <w:r>
        <w:rPr>
          <w:rFonts w:hint="eastAsia" w:ascii="仿宋" w:hAnsi="仿宋" w:eastAsia="仿宋" w:cs="仿宋"/>
          <w:b w:val="0"/>
          <w:bCs w:val="0"/>
          <w:kern w:val="0"/>
          <w:sz w:val="32"/>
          <w:szCs w:val="32"/>
          <w:lang w:val="en-US" w:eastAsia="zh-CN" w:bidi="ar-SA"/>
        </w:rPr>
        <w:t xml:space="preserve"> 国家建设征收集体所有的水域、滩涂，按照《中华人民共和国土地管理法》有关征地的规定办理。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第十五条 </w:t>
      </w:r>
      <w:r>
        <w:rPr>
          <w:rFonts w:hint="eastAsia" w:ascii="仿宋" w:hAnsi="仿宋" w:eastAsia="仿宋" w:cs="仿宋"/>
          <w:b w:val="0"/>
          <w:bCs w:val="0"/>
          <w:kern w:val="0"/>
          <w:sz w:val="32"/>
          <w:szCs w:val="32"/>
          <w:lang w:val="en-US" w:eastAsia="zh-CN" w:bidi="ar-SA"/>
        </w:rPr>
        <w:t>县级以上地方人民政府应当采取措施，加强对商品鱼生产基地和城市郊区重要养殖水域的保护。</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第十六条</w:t>
      </w:r>
      <w:r>
        <w:rPr>
          <w:rFonts w:hint="eastAsia" w:ascii="仿宋" w:hAnsi="仿宋" w:eastAsia="仿宋" w:cs="仿宋"/>
          <w:b w:val="0"/>
          <w:bCs w:val="0"/>
          <w:kern w:val="0"/>
          <w:sz w:val="32"/>
          <w:szCs w:val="32"/>
          <w:lang w:val="en-US" w:eastAsia="zh-CN" w:bidi="ar-SA"/>
        </w:rPr>
        <w:t xml:space="preserve"> 国家鼓励和支持水产优良品种的选育、培育和推广。水产新品种必须经全国水产原种和良种审定委员会审定，由国务院渔业行政主管部门公告后推广。</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水产苗种的进口、出口由国务院渔业行政主管部门或者省、自治区、直辖市人民政府渔业行政主管部门审批。</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水产苗种的生产由县级以上地方人民政府渔业行政主管部门审批。但是，渔业生产者自育、自用水产苗种的除外。</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第十七条</w:t>
      </w:r>
      <w:r>
        <w:rPr>
          <w:rFonts w:hint="eastAsia" w:ascii="仿宋" w:hAnsi="仿宋" w:eastAsia="仿宋" w:cs="仿宋"/>
          <w:b w:val="0"/>
          <w:bCs w:val="0"/>
          <w:kern w:val="0"/>
          <w:sz w:val="32"/>
          <w:szCs w:val="32"/>
          <w:lang w:val="en-US" w:eastAsia="zh-CN" w:bidi="ar-SA"/>
        </w:rPr>
        <w:t xml:space="preserve"> 水产苗种的进口、出口必须实施检疫，防止病害传入境内和传出境外，具体检疫工作按照有关动植物进出境检疫法律、行政法规的规定执行。</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引进转基因水产苗种必须进行安全性评价，具体管理工作按照国务院有关规定执行。</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第十八条 </w:t>
      </w:r>
      <w:r>
        <w:rPr>
          <w:rFonts w:hint="eastAsia" w:ascii="仿宋" w:hAnsi="仿宋" w:eastAsia="仿宋" w:cs="仿宋"/>
          <w:b w:val="0"/>
          <w:bCs w:val="0"/>
          <w:kern w:val="0"/>
          <w:sz w:val="32"/>
          <w:szCs w:val="32"/>
          <w:lang w:val="en-US" w:eastAsia="zh-CN" w:bidi="ar-SA"/>
        </w:rPr>
        <w:t>县级以上人民政府渔业行政主管部门应当加强对养殖生产的技术指导和病害防治工作。</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第十九条</w:t>
      </w:r>
      <w:r>
        <w:rPr>
          <w:rFonts w:hint="eastAsia" w:ascii="仿宋" w:hAnsi="仿宋" w:eastAsia="仿宋" w:cs="仿宋"/>
          <w:b w:val="0"/>
          <w:bCs w:val="0"/>
          <w:kern w:val="0"/>
          <w:sz w:val="32"/>
          <w:szCs w:val="32"/>
          <w:lang w:val="en-US" w:eastAsia="zh-CN" w:bidi="ar-SA"/>
        </w:rPr>
        <w:t xml:space="preserve"> 从事养殖生产不得使用含有毒有害物质的饵料、饲料。</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第二十条</w:t>
      </w:r>
      <w:r>
        <w:rPr>
          <w:rFonts w:hint="eastAsia" w:ascii="仿宋" w:hAnsi="仿宋" w:eastAsia="仿宋" w:cs="仿宋"/>
          <w:b w:val="0"/>
          <w:bCs w:val="0"/>
          <w:kern w:val="0"/>
          <w:sz w:val="32"/>
          <w:szCs w:val="32"/>
          <w:lang w:val="en-US" w:eastAsia="zh-CN" w:bidi="ar-SA"/>
        </w:rPr>
        <w:t xml:space="preserve"> 从事养殖生产应当保护水域生态环境，科学确定养殖密度，合理投饵、施肥、使用药物，不得造成水域的环境污染。</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第三章　捕捞业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第二十一条</w:t>
      </w:r>
      <w:r>
        <w:rPr>
          <w:rFonts w:hint="eastAsia" w:ascii="仿宋" w:hAnsi="仿宋" w:eastAsia="仿宋" w:cs="仿宋"/>
          <w:b w:val="0"/>
          <w:bCs w:val="0"/>
          <w:kern w:val="0"/>
          <w:sz w:val="32"/>
          <w:szCs w:val="32"/>
          <w:lang w:val="en-US" w:eastAsia="zh-CN" w:bidi="ar-SA"/>
        </w:rPr>
        <w:t xml:space="preserve"> 国家在财政、信贷和税收等方面采取措施，鼓励、扶持远洋捕捞业的发展，并根据渔业资源的可捕捞量，安排内水和近海捕捞力量。</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第二十二条 </w:t>
      </w:r>
      <w:r>
        <w:rPr>
          <w:rFonts w:hint="eastAsia" w:ascii="仿宋" w:hAnsi="仿宋" w:eastAsia="仿宋" w:cs="仿宋"/>
          <w:b w:val="0"/>
          <w:bCs w:val="0"/>
          <w:kern w:val="0"/>
          <w:sz w:val="32"/>
          <w:szCs w:val="32"/>
          <w:lang w:val="en-US" w:eastAsia="zh-CN" w:bidi="ar-SA"/>
        </w:rPr>
        <w:t>国家根据捕捞量低于渔业资源增长量的原则，确定渔业资源的总可捕捞量，实行捕捞限额制度。国务院渔业行政主管部门负责组织渔业资源的调查和评估，为实行捕捞限额制度提供科学依据。中华人民共和国内海、领海、专属经济区和其他管辖海域的捕捞限额总量由国务院渔业行政主管部门确定，报国务院批准后逐级分解下达；国家确定的重要江河、湖泊的捕捞限额总量由有关省、自治区、直辖市人民政府确定或者协商确定，逐级分解下达。捕捞限额总量的分配应当体现公平、公正的原则，分配办法和分配结果必须向社会公开，并接受监督。</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国务院渔业行政主管部门和省、自治区、直辖市人民政府渔业行政主管部门应当加强对捕捞限额制度实施情况的监督检查，对超过上级下达的捕捞限额指标的，应当在其次年捕捞限额指标中予以核减。</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第二十三条</w:t>
      </w:r>
      <w:r>
        <w:rPr>
          <w:rFonts w:hint="eastAsia" w:ascii="仿宋" w:hAnsi="仿宋" w:eastAsia="仿宋" w:cs="仿宋"/>
          <w:b w:val="0"/>
          <w:bCs w:val="0"/>
          <w:kern w:val="0"/>
          <w:sz w:val="32"/>
          <w:szCs w:val="32"/>
          <w:lang w:val="en-US" w:eastAsia="zh-CN" w:bidi="ar-SA"/>
        </w:rPr>
        <w:t xml:space="preserve"> 国家对捕捞业实行捕捞许可证制度。</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到中华人民共和国与有关国家缔结的协定确定的共同管理的渔区或者公海从事捕捞作业的捕捞许可证，由国务院渔业行政主管部门批准发放。海洋大型拖网、围网作业的捕捞许可证，由省、自治区、直辖市人民政府渔业行政主管部门批准发放。其他作业的捕捞许可证，由县级以上地方人民政府渔业行政主管部门批准发放；但是，批准发放海洋作业的捕捞许可证不得超过国家下达的船网工具控制指标，具体办法由省、自治区、直辖市人民政府规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捕捞许可证不得买卖、出租和以其他形式转让，不得涂改、伪造、变造。</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到他国管辖海域从事捕捞作业的，应当经国务院渔业行政主管部门批准，并遵守中华人民共和国缔结的或者参加的有关条约、协定和有关国家的法律。</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第二十四条</w:t>
      </w:r>
      <w:r>
        <w:rPr>
          <w:rFonts w:hint="eastAsia" w:ascii="仿宋" w:hAnsi="仿宋" w:eastAsia="仿宋" w:cs="仿宋"/>
          <w:b w:val="0"/>
          <w:bCs w:val="0"/>
          <w:kern w:val="0"/>
          <w:sz w:val="32"/>
          <w:szCs w:val="32"/>
          <w:lang w:val="en-US" w:eastAsia="zh-CN" w:bidi="ar-SA"/>
        </w:rPr>
        <w:t xml:space="preserve"> 具备下列条件的，方可发给捕捞许可证：</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（一）有渔业船舶检验证书；</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（二）有渔业船舶登记证书；</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（三）符合国务院渔业行政主管部门规定的其他条件。</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县级以上地方人民政府渔业行政主管部门批准发放的捕捞许可证，应当与上级人民政府渔业行政主管部门下达的捕捞限额指标相适应。</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第二十五条</w:t>
      </w:r>
      <w:r>
        <w:rPr>
          <w:rFonts w:hint="eastAsia" w:ascii="仿宋" w:hAnsi="仿宋" w:eastAsia="仿宋" w:cs="仿宋"/>
          <w:b w:val="0"/>
          <w:bCs w:val="0"/>
          <w:kern w:val="0"/>
          <w:sz w:val="32"/>
          <w:szCs w:val="32"/>
          <w:lang w:val="en-US" w:eastAsia="zh-CN" w:bidi="ar-SA"/>
        </w:rPr>
        <w:t xml:space="preserve"> 从事捕捞作业的单位和个人，必须按照捕捞许可证关于作业类型、场所、时限、渔具数量和捕捞限额的规定进行作业，并遵守国家有关保护渔业资源的规定，大中型渔船应当填写渔捞日志。</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第二十六条</w:t>
      </w:r>
      <w:r>
        <w:rPr>
          <w:rFonts w:hint="eastAsia" w:ascii="仿宋" w:hAnsi="仿宋" w:eastAsia="仿宋" w:cs="仿宋"/>
          <w:b w:val="0"/>
          <w:bCs w:val="0"/>
          <w:kern w:val="0"/>
          <w:sz w:val="32"/>
          <w:szCs w:val="32"/>
          <w:lang w:val="en-US" w:eastAsia="zh-CN" w:bidi="ar-SA"/>
        </w:rPr>
        <w:t xml:space="preserve"> 制造、更新改造、购置、进口的从事捕捞作业的船舶必须经渔业船舶检验部门检验合格后，方可下水作业。具体管理办法由国务院规定。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第二十七条</w:t>
      </w:r>
      <w:r>
        <w:rPr>
          <w:rFonts w:hint="eastAsia" w:ascii="仿宋" w:hAnsi="仿宋" w:eastAsia="仿宋" w:cs="仿宋"/>
          <w:b w:val="0"/>
          <w:bCs w:val="0"/>
          <w:kern w:val="0"/>
          <w:sz w:val="32"/>
          <w:szCs w:val="32"/>
          <w:lang w:val="en-US" w:eastAsia="zh-CN" w:bidi="ar-SA"/>
        </w:rPr>
        <w:t xml:space="preserve"> 渔港建设应当遵守国家的统一规划，实行谁投资谁受益的原则。县级以上地方人民政府应当对位于本行政区域内的渔港加强监督管理，维护渔港的正常秩序。</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第四章　渔业资源的增殖和保护</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第二十八条 </w:t>
      </w:r>
      <w:r>
        <w:rPr>
          <w:rFonts w:hint="eastAsia" w:ascii="仿宋" w:hAnsi="仿宋" w:eastAsia="仿宋" w:cs="仿宋"/>
          <w:b w:val="0"/>
          <w:bCs w:val="0"/>
          <w:kern w:val="0"/>
          <w:sz w:val="32"/>
          <w:szCs w:val="32"/>
          <w:lang w:val="en-US" w:eastAsia="zh-CN" w:bidi="ar-SA"/>
        </w:rPr>
        <w:t>县级以上人民政府渔业行政主管部门应当对其管理的渔业水域统一规划，采取措施，增殖渔业资源。县级以上人民政府渔业行政主管部门可以向受益的单位和个人征收渔业资源增殖保护费，专门用于增殖和保护渔业资源。渔业资源增殖保护费的征收办法由国务院渔业行政主管部门会同财政部门制定，报国务院批准后施行。</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第二十九条</w:t>
      </w:r>
      <w:r>
        <w:rPr>
          <w:rFonts w:hint="eastAsia" w:ascii="仿宋" w:hAnsi="仿宋" w:eastAsia="仿宋" w:cs="仿宋"/>
          <w:b w:val="0"/>
          <w:bCs w:val="0"/>
          <w:kern w:val="0"/>
          <w:sz w:val="32"/>
          <w:szCs w:val="32"/>
          <w:lang w:val="en-US" w:eastAsia="zh-CN" w:bidi="ar-SA"/>
        </w:rPr>
        <w:t xml:space="preserve"> 国家保护水产种质资源及其生存环境，并在具有较高经济价值和遗传育种价值的水产种质资源的主要生长繁育区域建立水产种质资源保护区。未经国务院渔业行政主管部门批准，任何单位或者个人不得在水产种质资源保护区内从事捕捞活动。</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第三十条</w:t>
      </w:r>
      <w:r>
        <w:rPr>
          <w:rFonts w:hint="eastAsia" w:ascii="仿宋" w:hAnsi="仿宋" w:eastAsia="仿宋" w:cs="仿宋"/>
          <w:b w:val="0"/>
          <w:bCs w:val="0"/>
          <w:kern w:val="0"/>
          <w:sz w:val="32"/>
          <w:szCs w:val="32"/>
          <w:lang w:val="en-US" w:eastAsia="zh-CN" w:bidi="ar-SA"/>
        </w:rPr>
        <w:t xml:space="preserve"> 禁止使用炸鱼、毒鱼、电鱼等破坏渔业资源的方法进行捕捞。禁止制造、销售、使用禁用的渔具。禁止在禁渔区、禁渔期进行捕捞。禁止使用小于最小网目尺寸的网具进行捕捞。捕捞的渔获物中幼鱼不得超过规定的比例。在禁渔区或者禁渔期内禁止销售非法捕捞的渔获物。</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重点保护的渔业资源品种及其可捕捞标准，禁渔区和禁渔期，禁止使用或者限制使用的渔具和捕捞方法，最小网目尺寸以及其他保护渔业资源的措施，由国务院渔业行政主管部门或者省、自治区、直辖市人民政府渔业行政主管部门规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第三十一条</w:t>
      </w:r>
      <w:r>
        <w:rPr>
          <w:rFonts w:hint="eastAsia" w:ascii="仿宋" w:hAnsi="仿宋" w:eastAsia="仿宋" w:cs="仿宋"/>
          <w:b w:val="0"/>
          <w:bCs w:val="0"/>
          <w:kern w:val="0"/>
          <w:sz w:val="32"/>
          <w:szCs w:val="32"/>
          <w:lang w:val="en-US" w:eastAsia="zh-CN" w:bidi="ar-SA"/>
        </w:rPr>
        <w:t xml:space="preserve"> 禁止捕捞有重要经济价值的水生动物苗种。因养殖或者其他特殊需要，捕捞有重要经济价值的苗种或者禁捕的怀卵亲体的，必须经国务院渔业行政主管部门或者省、自治区、直辖市人民政府渔业行政主管部门批准，在指定的区域和时间内，按照限额捕捞。</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在水生动物苗种重点产区引水用水时，应当采取措施，保护苗种。</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第三十二条</w:t>
      </w:r>
      <w:r>
        <w:rPr>
          <w:rFonts w:hint="eastAsia" w:ascii="仿宋" w:hAnsi="仿宋" w:eastAsia="仿宋" w:cs="仿宋"/>
          <w:b w:val="0"/>
          <w:bCs w:val="0"/>
          <w:kern w:val="0"/>
          <w:sz w:val="32"/>
          <w:szCs w:val="32"/>
          <w:lang w:val="en-US" w:eastAsia="zh-CN" w:bidi="ar-SA"/>
        </w:rPr>
        <w:t xml:space="preserve"> 在鱼、虾、蟹洄游通道建闸、筑坝，对渔业资源有严重影响的，建设单位应当建造过鱼设施或者采取其他补救措施。</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第三十三条</w:t>
      </w:r>
      <w:r>
        <w:rPr>
          <w:rFonts w:hint="eastAsia" w:ascii="仿宋" w:hAnsi="仿宋" w:eastAsia="仿宋" w:cs="仿宋"/>
          <w:b w:val="0"/>
          <w:bCs w:val="0"/>
          <w:kern w:val="0"/>
          <w:sz w:val="32"/>
          <w:szCs w:val="32"/>
          <w:lang w:val="en-US" w:eastAsia="zh-CN" w:bidi="ar-SA"/>
        </w:rPr>
        <w:t xml:space="preserve"> 用于渔业并兼有调蓄、灌溉等功能的水体，有关主管部门应当确定渔业生产所需的最低水位线。</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第三十四条</w:t>
      </w:r>
      <w:r>
        <w:rPr>
          <w:rFonts w:hint="eastAsia" w:ascii="仿宋" w:hAnsi="仿宋" w:eastAsia="仿宋" w:cs="仿宋"/>
          <w:b w:val="0"/>
          <w:bCs w:val="0"/>
          <w:kern w:val="0"/>
          <w:sz w:val="32"/>
          <w:szCs w:val="32"/>
          <w:lang w:val="en-US" w:eastAsia="zh-CN" w:bidi="ar-SA"/>
        </w:rPr>
        <w:t xml:space="preserve"> 禁止围湖造田。沿海滩涂未经县级以上人民政府批准，不得围垦；重要的苗种基地和养殖场所不得围垦。</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第三十五条</w:t>
      </w:r>
      <w:r>
        <w:rPr>
          <w:rFonts w:hint="eastAsia" w:ascii="仿宋" w:hAnsi="仿宋" w:eastAsia="仿宋" w:cs="仿宋"/>
          <w:b w:val="0"/>
          <w:bCs w:val="0"/>
          <w:kern w:val="0"/>
          <w:sz w:val="32"/>
          <w:szCs w:val="32"/>
          <w:lang w:val="en-US" w:eastAsia="zh-CN" w:bidi="ar-SA"/>
        </w:rPr>
        <w:t xml:space="preserve"> 进行水下爆破、勘探、施工作业，对渔业资源有严重影响的，作业单位应当事先同有关县级以上人民政府渔业行政主管部门协商，采取措施，防止或者减少对渔业资源的损害；造成渔业资源损失的，由有关县级以上人民政府责令赔偿。</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第三十六条</w:t>
      </w:r>
      <w:r>
        <w:rPr>
          <w:rFonts w:hint="eastAsia" w:ascii="仿宋" w:hAnsi="仿宋" w:eastAsia="仿宋" w:cs="仿宋"/>
          <w:b w:val="0"/>
          <w:bCs w:val="0"/>
          <w:kern w:val="0"/>
          <w:sz w:val="32"/>
          <w:szCs w:val="32"/>
          <w:lang w:val="en-US" w:eastAsia="zh-CN" w:bidi="ar-SA"/>
        </w:rPr>
        <w:t xml:space="preserve"> 各级人民政府应当采取措施，保护和改善渔业水域的生态环境，防治污染。</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渔业水域生态环境的监督管理和渔业污染事故的调查处理，依照《中华人民共和国海洋环境保护法》和《中华人民共和国水污染防治法》的有关规定执行。</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第三十七条</w:t>
      </w:r>
      <w:r>
        <w:rPr>
          <w:rFonts w:hint="eastAsia" w:ascii="仿宋" w:hAnsi="仿宋" w:eastAsia="仿宋" w:cs="仿宋"/>
          <w:b w:val="0"/>
          <w:bCs w:val="0"/>
          <w:kern w:val="0"/>
          <w:sz w:val="32"/>
          <w:szCs w:val="32"/>
          <w:lang w:val="en-US" w:eastAsia="zh-CN" w:bidi="ar-SA"/>
        </w:rPr>
        <w:t xml:space="preserve"> 国家对白鳍豚等珍贵、濒危水生野生动物实行重点保护，防止其灭绝。禁止捕杀、伤害国家重点保护的水生野生动物。因科学研究、驯养繁殖、展览或者其他特殊情况，需要捕捞国家重点保护的水生野生动物的，依照《中华人民共和国野生动物保护法》的规定执行。</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第五章　法律责任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第三十八条</w:t>
      </w:r>
      <w:r>
        <w:rPr>
          <w:rFonts w:hint="eastAsia" w:ascii="仿宋" w:hAnsi="仿宋" w:eastAsia="仿宋" w:cs="仿宋"/>
          <w:b w:val="0"/>
          <w:bCs w:val="0"/>
          <w:kern w:val="0"/>
          <w:sz w:val="32"/>
          <w:szCs w:val="32"/>
          <w:lang w:val="en-US" w:eastAsia="zh-CN" w:bidi="ar-SA"/>
        </w:rPr>
        <w:t xml:space="preserve"> 使用炸鱼、毒鱼、电鱼等破坏渔业资源方法进行捕捞的，违反关于禁渔区、禁渔期的规定进行捕捞的，或者使用禁用的渔具、捕捞方法和小于最小网目尺寸的网具进行捕捞或者渔获物中幼鱼超过规定比例的，没收渔获物和违法所得，处五万元以下的罚款；情节严重的，没收渔具，吊销捕捞许可证；情节特别严重的，可以没收渔船；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在禁渔区或者禁渔期内销售非法捕捞的渔获物的，县级以上地方人民政府渔业行政主管部门应当及时进行调查处理。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制造、销售禁用的渔具的，没收非法制造、销售的渔具和违法所得，并处一万元以下的罚款。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第三十九条</w:t>
      </w:r>
      <w:r>
        <w:rPr>
          <w:rFonts w:hint="eastAsia" w:ascii="仿宋" w:hAnsi="仿宋" w:eastAsia="仿宋" w:cs="仿宋"/>
          <w:b w:val="0"/>
          <w:bCs w:val="0"/>
          <w:kern w:val="0"/>
          <w:sz w:val="32"/>
          <w:szCs w:val="32"/>
          <w:lang w:val="en-US" w:eastAsia="zh-CN" w:bidi="ar-SA"/>
        </w:rPr>
        <w:t xml:space="preserve"> 偷捕、抢夺他人养殖的水产品的，或者破坏他人养殖水体、养殖设施的，责令改正，可以处二万元以下的罚款；造成他人损失的，依法承担赔偿责任；构成犯罪的，依法追究刑事责任。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第四十条</w:t>
      </w:r>
      <w:r>
        <w:rPr>
          <w:rFonts w:hint="eastAsia" w:ascii="仿宋" w:hAnsi="仿宋" w:eastAsia="仿宋" w:cs="仿宋"/>
          <w:b w:val="0"/>
          <w:bCs w:val="0"/>
          <w:kern w:val="0"/>
          <w:sz w:val="32"/>
          <w:szCs w:val="32"/>
          <w:lang w:val="en-US" w:eastAsia="zh-CN" w:bidi="ar-SA"/>
        </w:rPr>
        <w:t xml:space="preserve"> 使用全民所有的水域、滩涂从事养殖生产，无正当理由使水域、滩涂荒芜满一年的，由发放养殖证的机关责令限期开发利用；逾期未开发利用的，吊销养殖证，可以并处一万元以下的罚款。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未依法取得养殖证擅自在全民所有的水域从事养殖生产的，责令改正，补办养殖证或者限期拆除养殖设施。</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未依法取得养殖证或者超越养殖证许可范围在全民所有的水域从事养殖生产，妨碍航运、行洪的，责令限期拆除养殖设施，可以并处一万元以下的罚款。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第四十一条 </w:t>
      </w:r>
      <w:r>
        <w:rPr>
          <w:rFonts w:hint="eastAsia" w:ascii="仿宋" w:hAnsi="仿宋" w:eastAsia="仿宋" w:cs="仿宋"/>
          <w:b w:val="0"/>
          <w:bCs w:val="0"/>
          <w:kern w:val="0"/>
          <w:sz w:val="32"/>
          <w:szCs w:val="32"/>
          <w:lang w:val="en-US" w:eastAsia="zh-CN" w:bidi="ar-SA"/>
        </w:rPr>
        <w:t>未依法取得捕捞许可证擅自进行捕捞的，没收渔获物和违法所得，并处十万元以下的罚款；情节严重的，并可以没收渔具和渔船。</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第四十二条</w:t>
      </w:r>
      <w:r>
        <w:rPr>
          <w:rFonts w:hint="eastAsia" w:ascii="仿宋" w:hAnsi="仿宋" w:eastAsia="仿宋" w:cs="仿宋"/>
          <w:b w:val="0"/>
          <w:bCs w:val="0"/>
          <w:kern w:val="0"/>
          <w:sz w:val="32"/>
          <w:szCs w:val="32"/>
          <w:lang w:val="en-US" w:eastAsia="zh-CN" w:bidi="ar-SA"/>
        </w:rPr>
        <w:t xml:space="preserve"> 违反捕捞许可证关于作业类型、场所、时限和渔具数量的规定进行捕捞的，没收渔获物和违法所得，可以并处五万元以下的罚款；情节严重的，并可以没收渔具，吊销捕捞许可证。</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第四十三条</w:t>
      </w:r>
      <w:r>
        <w:rPr>
          <w:rFonts w:hint="eastAsia" w:ascii="仿宋" w:hAnsi="仿宋" w:eastAsia="仿宋" w:cs="仿宋"/>
          <w:b w:val="0"/>
          <w:bCs w:val="0"/>
          <w:kern w:val="0"/>
          <w:sz w:val="32"/>
          <w:szCs w:val="32"/>
          <w:lang w:val="en-US" w:eastAsia="zh-CN" w:bidi="ar-SA"/>
        </w:rPr>
        <w:t xml:space="preserve"> 涂改、买卖、出租或者以其他形式转让捕捞许可证的，没收违法所得，吊销捕捞许可证，可以并处一万元以下的罚款；伪造、变造、买卖捕捞许可证，构成犯罪的，依法追究刑事责任。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第四十四条</w:t>
      </w:r>
      <w:r>
        <w:rPr>
          <w:rFonts w:hint="eastAsia" w:ascii="仿宋" w:hAnsi="仿宋" w:eastAsia="仿宋" w:cs="仿宋"/>
          <w:b w:val="0"/>
          <w:bCs w:val="0"/>
          <w:kern w:val="0"/>
          <w:sz w:val="32"/>
          <w:szCs w:val="32"/>
          <w:lang w:val="en-US" w:eastAsia="zh-CN" w:bidi="ar-SA"/>
        </w:rPr>
        <w:t xml:space="preserve"> 非法生产、进口、出口水产苗种的，没收苗种和违法所得，并处五万元以下的罚款。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经营未经审定的水产苗种的，责令立即停止经营，没收违法所得，可以并处五万元以下的罚款。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第四十五条</w:t>
      </w:r>
      <w:r>
        <w:rPr>
          <w:rFonts w:hint="eastAsia" w:ascii="仿宋" w:hAnsi="仿宋" w:eastAsia="仿宋" w:cs="仿宋"/>
          <w:b w:val="0"/>
          <w:bCs w:val="0"/>
          <w:kern w:val="0"/>
          <w:sz w:val="32"/>
          <w:szCs w:val="32"/>
          <w:lang w:val="en-US" w:eastAsia="zh-CN" w:bidi="ar-SA"/>
        </w:rPr>
        <w:t xml:space="preserve"> 未经批准在水产种质资源保护区内从事捕捞活动的，责令立即停止捕捞，没收渔获物和渔具，可以并处一万元以下的罚款。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第四十六条</w:t>
      </w:r>
      <w:r>
        <w:rPr>
          <w:rFonts w:hint="eastAsia" w:ascii="仿宋" w:hAnsi="仿宋" w:eastAsia="仿宋" w:cs="仿宋"/>
          <w:b w:val="0"/>
          <w:bCs w:val="0"/>
          <w:kern w:val="0"/>
          <w:sz w:val="32"/>
          <w:szCs w:val="32"/>
          <w:lang w:val="en-US" w:eastAsia="zh-CN" w:bidi="ar-SA"/>
        </w:rPr>
        <w:t xml:space="preserve"> 外国人、外国渔船违反本法规定，擅自进入中华人民共和国管辖水域从事渔业生产和渔业资源调查活动的，责令其离开或者将其驱逐，可以没收渔获物、渔具，并处五十万元以下的罚款；情节严重的，可以没收渔船；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第四十七条</w:t>
      </w:r>
      <w:r>
        <w:rPr>
          <w:rFonts w:hint="eastAsia" w:ascii="仿宋" w:hAnsi="仿宋" w:eastAsia="仿宋" w:cs="仿宋"/>
          <w:b w:val="0"/>
          <w:bCs w:val="0"/>
          <w:kern w:val="0"/>
          <w:sz w:val="32"/>
          <w:szCs w:val="32"/>
          <w:lang w:val="en-US" w:eastAsia="zh-CN" w:bidi="ar-SA"/>
        </w:rPr>
        <w:t xml:space="preserve"> 造成渔业水域生态环境破坏或者渔业污染事故的，依照《中华人民共和国海洋环境保护法》和《中华人民共和国水污染防治法》的规定追究法律责任。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第四十八条</w:t>
      </w:r>
      <w:r>
        <w:rPr>
          <w:rFonts w:hint="eastAsia" w:ascii="仿宋" w:hAnsi="仿宋" w:eastAsia="仿宋" w:cs="仿宋"/>
          <w:b w:val="0"/>
          <w:bCs w:val="0"/>
          <w:kern w:val="0"/>
          <w:sz w:val="32"/>
          <w:szCs w:val="32"/>
          <w:lang w:val="en-US" w:eastAsia="zh-CN" w:bidi="ar-SA"/>
        </w:rPr>
        <w:t xml:space="preserve"> 本法规定的行政处罚，由县级以上人民政府渔业行政主管部门或者其所属的渔政监督管理机构决定。但是，本法已对处罚机关作出规定的除外。</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在海上执法时，对违反禁渔区、禁渔期的规定或者使用禁用的渔具、捕捞方法进行捕捞，以及未取得捕捞许可证进行捕捞的，事实清楚、证据充分，但是当场不能按照法定程序作出和执行行政处罚决定的，可以先暂时扣押捕捞许可证、渔具或者渔船，回港后依法作出和执行行政处罚决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第四十九条</w:t>
      </w:r>
      <w:r>
        <w:rPr>
          <w:rFonts w:hint="eastAsia" w:ascii="仿宋" w:hAnsi="仿宋" w:eastAsia="仿宋" w:cs="仿宋"/>
          <w:b w:val="0"/>
          <w:bCs w:val="0"/>
          <w:kern w:val="0"/>
          <w:sz w:val="32"/>
          <w:szCs w:val="32"/>
          <w:lang w:val="en-US" w:eastAsia="zh-CN" w:bidi="ar-SA"/>
        </w:rPr>
        <w:t xml:space="preserve">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第六章　附则</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第五十条</w:t>
      </w:r>
      <w:r>
        <w:rPr>
          <w:rFonts w:hint="eastAsia" w:ascii="仿宋" w:hAnsi="仿宋" w:eastAsia="仿宋" w:cs="仿宋"/>
          <w:b w:val="0"/>
          <w:bCs w:val="0"/>
          <w:kern w:val="0"/>
          <w:sz w:val="32"/>
          <w:szCs w:val="32"/>
          <w:lang w:val="en-US" w:eastAsia="zh-CN" w:bidi="ar-SA"/>
        </w:rPr>
        <w:t xml:space="preserve"> 本法自1986年7月1日起施行。</w:t>
      </w:r>
      <w:r>
        <w:rPr>
          <w:rFonts w:hint="eastAsia" w:ascii="仿宋" w:hAnsi="仿宋" w:eastAsia="仿宋" w:cs="仿宋"/>
          <w:b w:val="0"/>
          <w:bCs w:val="0"/>
          <w:kern w:val="0"/>
          <w:sz w:val="32"/>
          <w:szCs w:val="32"/>
          <w:lang w:val="en-US" w:eastAsia="zh-CN" w:bidi="ar-SA"/>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187" w:name="_Toc12020"/>
      <w:r>
        <w:rPr>
          <w:rFonts w:hint="eastAsia" w:ascii="宋体" w:hAnsi="宋体" w:eastAsia="宋体" w:cs="宋体"/>
          <w:sz w:val="44"/>
          <w:szCs w:val="44"/>
        </w:rPr>
        <w:t>中华人民共和国畜牧法</w:t>
      </w:r>
      <w:bookmarkEnd w:id="187"/>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firstLine="0" w:firstLineChars="0"/>
        <w:textAlignment w:val="auto"/>
        <w:rPr>
          <w:rFonts w:hint="eastAsia" w:ascii="楷体" w:hAnsi="楷体" w:eastAsia="楷体" w:cs="楷体"/>
          <w:sz w:val="32"/>
          <w:szCs w:val="32"/>
        </w:rPr>
      </w:pPr>
      <w:r>
        <w:rPr>
          <w:rFonts w:hint="eastAsia" w:ascii="楷体" w:hAnsi="楷体" w:eastAsia="楷体" w:cs="楷体"/>
          <w:sz w:val="32"/>
          <w:szCs w:val="32"/>
        </w:rPr>
        <w:t>（2005年12月29日第十届全国人民代表大会常务委员会第十九次会议通过 根据2015年4月24日第十二届全国人民代表大会常务委员会第十四次会议《关于修改〈中华人民共和国计量法〉等五部法律的决定》修正）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楷体" w:hAnsi="楷体" w:eastAsia="楷体" w:cs="楷体"/>
          <w:sz w:val="32"/>
          <w:szCs w:val="32"/>
        </w:rPr>
      </w:pPr>
      <w:r>
        <w:rPr>
          <w:rFonts w:hint="eastAsia" w:ascii="楷体" w:hAnsi="楷体" w:eastAsia="楷体" w:cs="楷体"/>
          <w:sz w:val="32"/>
          <w:szCs w:val="32"/>
        </w:rPr>
        <w:t>目录</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第一章　总则</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第二章　畜禽遗传资源保护</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第三章　种畜禽品种选育与生产经营</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第四章　畜禽养殖</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第五章　畜禽交易与运输</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第六章　质量安全保障</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第七章　法律责任</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第八章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为了规范畜牧业生产经营行为，保障畜禽产品质量安全，保护和合理利用畜禽遗传资源，维护畜牧业生产经营者的合法权益，促进畜牧业持续健康发展，制定本法。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在中华人民共和国境内从事畜禽的遗传资源保护利用、繁育、饲养、经营、运输等活动，适用本法。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本法所称畜禽，是指列入依照本法第十一条规定公布的畜禽遗传资源目录的畜禽。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蜂、蚕的资源保护利用和生产经营，适用本法有关规定。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家支持畜牧业发展，发挥畜牧业在发展农业、农村经济和增加农民收入中的作用。县级以上人民政府应当采取措施，加强畜牧业基础设施建设，鼓励和扶持发展规模化养殖，推进畜牧产业化经营，提高畜牧业综合生产能力，发展优质、高效、生态、安全的畜牧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国家帮助和扶持少数民族地区、贫困地区畜牧业的发展，保护和合理利用草原，改善畜牧业生产条件。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国家采取措施，培养畜牧兽医专业人才，发展畜牧兽医科学技术研究和推广事业，开展畜牧兽医科学技术知识的教育宣传工作和畜牧兽医信息服务，推进畜牧业科技进步。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畜牧业生产经营者可以依法自愿成立行业协会，为成员提供信息、技术、营销、培训等服务，加强行业自律，维护成员和行业利益。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畜牧业生产经营者应当依法履行动物防疫和环境保护义务，接受有关主管部门依法实施的监督检查。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国务院畜牧兽医行政主管部门负责全国畜牧业的监督管理工作。县级以上地方人民政府畜牧兽医行政主管部门负责本行政区域内的畜牧业监督管理工作。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县级以上人民政府有关主管部门在各自的职责范围内，负责有关促进畜牧业发展的工作。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第八条 </w:t>
      </w:r>
      <w:r>
        <w:rPr>
          <w:rFonts w:hint="eastAsia" w:ascii="仿宋" w:hAnsi="仿宋" w:eastAsia="仿宋" w:cs="仿宋"/>
          <w:sz w:val="32"/>
          <w:szCs w:val="32"/>
        </w:rPr>
        <w:t>国务院畜牧兽医行政主管部门应当指导畜牧业生产经营者改善畜禽繁育、饲养、运输的条件和环境。</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畜禽遗传资源保护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国家建立畜禽遗传资源保护制度。各级人民政府应当采取措施，加强畜禽遗传资源保护，畜禽遗传资源保护经费列入财政预算。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畜禽遗传资源保护以国家为主，鼓励和支持有关单位、个人依法发展畜禽遗传资源保护事业。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国务院畜牧兽医行政主管部门设立由专业人员组成的国家畜禽遗传资源委员会，负责畜禽遗传资源的鉴定、评估和畜禽新品种、配套系的审定，承担畜禽遗传资源保护和利用规划论证及有关畜禽遗传资源保护的咨询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国务院畜牧兽医行政主管部门负责组织畜禽遗传资源的调查工作，发布国家畜禽遗传资源状况报告，公布经国务院批准的畜禽遗传资源目录。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国务院畜牧兽医行政主管部门根据畜禽遗传资源分布状况，制定全国畜禽遗传资源保护和利用规划，制定并公布国家级畜禽遗传资源保护名录，对原产我国的珍贵、稀有、濒危的畜禽遗传资源实行重点保护。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省级人民政府畜牧兽医行政主管部门根据全国畜禽遗传资源保护和利用规划及本行政区域内畜禽遗传资源状况，制定和公布省级畜禽遗传资源保护名录，并报国务院畜牧兽医行政主管部门备案。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国务院畜牧兽医行政主管部门根据全国畜禽遗传资源保护和利用规划及国家级畜禽遗传资源保护名录，省级人民政府畜牧兽医行政主管部门根据省级畜禽遗传资源保护名录，分别建立或者确定畜禽遗传资源保种场、保护区和基因库，承担畜禽遗传资源保护任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享受中央和省级财政资金支持的畜禽遗传资源保种场、保护区和基因库，未经国务院畜牧兽医行政主管部门或者省级人民政府畜牧兽医行政主管部门批准，不得擅自处理受保护的畜禽遗传资源。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遗传资源基因库应当按照国务院畜牧兽医行政主管部门或者省级人民政府畜牧兽医行政主管部门的规定，定期采集和更新畜禽遗传材料。有关单位、个人应当配合畜禽遗传资源基因库采集畜禽遗传材料，并有权获得适当的经济补偿。</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畜禽遗传资源保种场、保护区和基因库的管理办法由国务院畜牧兽医行政主管部门制定。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新发现的畜禽遗传资源在国家畜禽遗传资源委员会鉴定前，省级人民政府畜牧兽医行政主管部门应当制定保护方案，采取临时保护措施，并报国务院畜牧兽医行政主管部门备案。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从境外引进畜禽遗传资源的，应当向省级人民政府畜牧兽医行政主管部门提出申请；受理申请的畜牧兽医行政主管部门经审核，报国务院畜牧兽医行政主管部门经评估论证后批准。经批准的，依照《中华人民共和国进出境动植物检疫法》的规定办理相关手续并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从境外引进的畜禽遗传资源被发现对境内畜禽遗传资源、生态环境有危害或者可能产生危害的，国务院畜牧兽医行政主管部门应当商有关主管部门，采取相应的安全控制措施。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向境外输出或者在境内与境外机构、个人合作研究利用列入保护名录的畜禽遗传资源的，应当向省级人民政府畜牧兽医行政主管部门提出申请，同时提出国家共享惠益的方案；受理申请的畜牧兽医行政主管部门经审核，报国务院畜牧兽医行政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向境外输出畜禽遗传资源的，还应当依照《中华人民共和国进出境动植物检疫法》的规定办理相关手续并实施检疫。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新发现的畜禽遗传资源在国家畜禽遗传资源委员会鉴定前，不得向境外输出，不得与境外机构、个人合作研究利用。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畜禽遗传资源的进出境和对外合作研究利用的审批办法由国务院规定。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种畜禽品种选育与生产经营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国家扶持畜禽品种的选育和优良品种的推广使用，支持企业、院校、科研机构和技术推广单位开展联合育种，建立畜禽良种繁育体系。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培育的畜禽新品种、配套系和新发现的畜禽遗传资源在推广前，应当通过国家畜禽遗传资源委员会审定或者鉴定，并由国务院畜牧兽医行政主管部门公告。畜禽新品种、配套系的审定办法和畜禽遗传资源的鉴定办法，由国务院畜牧兽医行政主管部门制定。审定或者鉴定所需的试验、检测等费用由申请者承担，收费办法由国务院财政、价格部门会同国务院畜牧兽医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培育新的畜禽品种、配套系进行中间试验，应当经试验所在地省级人民政府畜牧兽医行政主管部门批准。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畜禽新品种、配套系培育者的合法权益受法律保护。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转基因畜禽品种的培育、试验、审定和推广，应当符合国家有关农业转基因生物管理的规定。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省级以上畜牧兽医技术推广机构可以组织开展种畜优良个体登记，向社会推荐优良种畜。优良种畜登记规则由国务院畜牧兽医行政主管部门制定。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从事种畜禽生产经营或者生产商品代仔畜、雏禽的单位、个人，应当取得种畜禽生产经营许可证。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申请取得种畜禽生产经营许可证，应当具备下列条件：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（一）生产经营的种畜禽必须是通过国家畜禽遗传资源委员会审定或者鉴定的品种、配套系，或者是经批准引进的境外品种、配套系；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（二）有与生产经营规模相适应的畜牧兽医技术人员；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（三）有与生产经营规模相适应的繁育设施设备；</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（四）具备法律、行政法规和国务院畜牧兽医行政主管部门规定的种畜禽防疫条件；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（五）有完善的质量管理和育种记录制度；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（六）具备法律、行政法规规定的其他条件。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申请取得生产家畜卵子、冷冻精液、胚胎等遗传材料的生产经营许可证，除应当符合本法第二十二条第二款规定的条件外，还应当具备下列条件：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（一）符合国务院畜牧兽医行政主管部门规定的实验室、保存和运输条件；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（二）符合国务院畜牧兽医行政主管部门规定的种畜数量和质量要求；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（三）体外授精取得的胚胎、使用的卵子来源明确，供体畜符合国家规定的种畜健康标准和质量要求；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（四）符合国务院畜牧兽医行政主管部门规定的其他技术要求。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申请取得生产家畜卵子、冷冻精液、胚胎等遗传材料的生产经营许可证，应当向省级人民政府畜牧兽医行政主管部门提出申请。受理申请的畜牧兽医行政主管部门应当自收到申请之日起六十个工作日内依法决定是否发给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其他种畜禽的生产经营许可证由县级以上地方人民政府畜牧兽医行政主管部门审核发放，具体审核发放办法由省级人民政府规定。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种畜禽生产经营许可证样式由国务院畜牧兽医行政主管部门制定，许可证有效期为三年。发放种畜禽生产经营许可证可以收取工本费，具体收费管理办法由国务院财政、价格部门制定。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种畜禽生产经营许可证应当注明生产经营者名称、场（厂）址、生产经营范围及许可证有效期的起止日期等。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禁止任何单位、个人无种畜禽生产经营许可证或者违反种畜禽生产经营许可证的规定生产经营种畜禽。禁止伪造、变造、转让、租借种畜禽生产经营许可证。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农户饲养的种畜禽用于自繁自养和有少量剩余仔畜、雏禽出售的，农户饲养种公畜进行互助配种的，不需要办理种畜禽生产经营许可证。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专门从事家畜人工授精、胚胎移植等繁殖工作的人员，应当取得相应的国家职业资格证书。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发布种畜禽广告的，广告主应当提供种畜禽生产经营许可证和营业执照。广告内容应当符合有关法律、行政法规的规定，并注明种畜禽品种、配套系的审定或者鉴定名称；对主要性状的描述应当符合该品种、配套系的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销售的种畜禽和家畜配种站（点）使用的种公畜，必须符合种用标准。销售种畜禽时，应当附具种畜禽场出具的种畜禽合格证明、动物防疫监督机构出具的检疫合格证明，销售的种畜还应当附具种畜禽场出具的家畜系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生产家畜卵子、冷冻精液、胚胎等遗传材料，应当有完整的采集、销售、移植等记录，记录应当保存二年。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第三十条 </w:t>
      </w:r>
      <w:r>
        <w:rPr>
          <w:rFonts w:hint="eastAsia" w:ascii="仿宋" w:hAnsi="仿宋" w:eastAsia="仿宋" w:cs="仿宋"/>
          <w:sz w:val="32"/>
          <w:szCs w:val="32"/>
        </w:rPr>
        <w:t>销售种畜禽，不得有下列行为：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（一）以其他畜禽品种、配套系冒充所销售的种畜禽品种、配套系；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（二）以低代别种畜禽冒充高代别种畜禽；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（三）以不符合种用标准的畜禽冒充种畜禽；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（四）销售未经批准进口的种畜禽；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（五）销售未附具本法第二十九条规定的种畜禽合格证明、检疫合格证明的种畜禽或者未附具家畜系谱的种畜；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（六）销售未经审定或者鉴定的种畜禽品种、配套系。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申请进口种畜禽的，应当持有种畜禽生产经营许可证。进口种畜禽的批准文件有效期为六个月。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进口的种畜禽应当符合国务院畜牧兽医行政主管部门规定的技术要求。首次进口的种畜禽还应当由国家畜禽遗传资源委员会进行种用性能的评估。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种畜禽的进出口管理除适用前两款的规定外，还适用本法第十五条和第十六条的相关规定。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国家鼓励畜禽养殖者对进口的畜禽进行新品种、配套系的选育；选育的新品种、配套系在推广前，应当经国家畜禽遗传资源委员会审定。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种畜禽场和孵化场（厂）销售商品代仔畜、雏禽的，应当向购买者提供其销售的商品代仔畜、雏禽的主要生产性能指标、免疫情况、饲养技术要求和有关咨询服务，并附具动物防疫监督机构出具的检疫合格证明。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销售种畜禽和商品代仔畜、雏禽，因质量问题给畜禽养殖者造成损失的，应当依法赔偿损失。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第三十三条 </w:t>
      </w:r>
      <w:r>
        <w:rPr>
          <w:rFonts w:hint="eastAsia" w:ascii="仿宋" w:hAnsi="仿宋" w:eastAsia="仿宋" w:cs="仿宋"/>
          <w:sz w:val="32"/>
          <w:szCs w:val="32"/>
        </w:rPr>
        <w:t>县级以上人民政府畜牧兽医行政主管部门负责种畜禽质量安全的监督管理工作。种畜禽质量安全的监督检验应当委托具有法定资质的种畜禽质量检验机构进行；所需检验费用按照国务院规定列支，不得向被检验人收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蚕种的资源保护、新品种选育、生产经营和推广适用本法有关规定，具体管理办法由国务院农业行政主管部门制定。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畜禽养殖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县级以上人民政府畜牧兽医行政主管部门应当根据畜牧业发展规划和市场需求，引导和支持畜牧业结构调整，发展优势畜禽生产，提高畜禽产品市场竞争力。</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国家支持草原牧区开展草原围栏、草原水利、草原改良、饲草饲料基地等草原基本建设，优化畜群结构，改良牲畜品种，转变生产方式，发展舍饲圈养、划区轮牧，逐步实现畜草平衡，改善草原生态环境。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国务院和省级人民政府应当在其财政预算内安排支持畜牧业发展的良种补贴、贴息补助等资金，并鼓励有关金融机构通过提供贷款、保险服务等形式，支持畜禽养殖者购买优良畜禽、繁育良种、改善生产设施、扩大养殖规模，提高养殖效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第三十七条</w:t>
      </w:r>
      <w:r>
        <w:rPr>
          <w:rFonts w:hint="eastAsia" w:ascii="仿宋" w:hAnsi="仿宋" w:eastAsia="仿宋" w:cs="仿宋"/>
          <w:sz w:val="32"/>
          <w:szCs w:val="32"/>
        </w:rPr>
        <w:t xml:space="preserve"> 国家支持农村集体经济组织、农民和畜牧业合作经济组织建立畜禽养殖场、养殖小区，发展规模化、标准化养殖。乡（镇）土地利用总体规划应当根据本地实际情况安排畜禽养殖用地。农村集体经济组织、农民、畜牧业合作经济组织按照乡（镇）土地利用总体规划建立的畜禽养殖场、养殖小区用地按农业用地管理。畜禽养殖场、养殖小区用地使用权期限届满，需要恢复为原用途的，由畜禽养殖场、养殖小区土地使用权人负责恢复。在畜禽养殖场、养殖小区用地范围内需要兴建永久性建（构）筑物，涉及农用地转用的，依照《中华人民共和国土地管理法》的规定办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国家设立的畜牧兽医技术推广机构，应当向农民提供畜禽养殖技术培训、良种推广、疫病防治等服务。县级以上人民政府应当保障国家设立的畜牧兽医技术推广机构从事公益性技术服务的工作经费。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国家鼓励畜禽产品加工企业和其他相关生产经营者为畜禽养殖者提供所需的服务。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畜禽养殖场、养殖小区应当具备下列条件：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（一）有与其饲养规模相适应的生产场所和配套的生产设施；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（二）有为其服务的畜牧兽医技术人员；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（三）具备法律、行政法规和国务院畜牧兽医行政主管部门规定的防疫条件；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（四）有对畜禽粪便、废水和其他固体废弃物进行综合利用的沼气池等设施或者其他无害化处理设施；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（五）具备法律、行政法规规定的其他条件。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养殖场、养殖小区兴办者应当将养殖场、养殖小区的名称、养殖地址、畜禽品种和养殖规模，向养殖场、养殖小区所在地县级人民政府畜牧兽医行政主管部门备案，取得畜禽标识代码。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省级人民政府根据本行政区域畜牧业发展状况制定畜禽养殖场、养殖小区的规模标准和备案程序。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第四十条</w:t>
      </w:r>
      <w:r>
        <w:rPr>
          <w:rFonts w:hint="eastAsia" w:ascii="仿宋" w:hAnsi="仿宋" w:eastAsia="仿宋" w:cs="仿宋"/>
          <w:sz w:val="32"/>
          <w:szCs w:val="32"/>
        </w:rPr>
        <w:t xml:space="preserve"> 禁止在下列区域内建设畜禽养殖场、养殖小区：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（一）生活饮用水的水源保护区，风景名胜区，以及自然保护区的核心区和缓冲区；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（二）城镇居民区、文化教育科学研究区等人口集中区域；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（三）法律、法规规定的其他禁养区域。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畜禽养殖场应当建立养殖档案，载明以下内容：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（一）畜禽的品种、数量、繁殖记录、标识情况、来源和进出场日期；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（二）饲料、饲料添加剂、兽药等投入品的来源、名称、使用对象、时间和用量；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（三）检疫、免疫、消毒情况；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（四）畜禽发病、死亡和无害化处理情况；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（五）国务院畜牧兽医行政主管部门规定的其他内容。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畜禽养殖场应当为其饲养的畜禽提供适当的繁殖条件和生存、生长环境。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第四十三条</w:t>
      </w:r>
      <w:r>
        <w:rPr>
          <w:rFonts w:hint="eastAsia" w:ascii="仿宋" w:hAnsi="仿宋" w:eastAsia="仿宋" w:cs="仿宋"/>
          <w:sz w:val="32"/>
          <w:szCs w:val="32"/>
        </w:rPr>
        <w:t xml:space="preserve"> 从事畜禽养殖，不得有下列行为：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（一）违反法律、行政法规的规定和国家技术规范的强制性要求使用饲料、饲料添加剂、兽药；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（二）使用未经高温处理的餐馆、食堂的泔水饲喂家畜；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（三）在垃圾场或者使用垃圾场中的物质饲养畜禽；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（四）法律、行政法规和国务院畜牧兽医行政主管部门规定的危害人和畜禽健康的其他行为。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第四十四条</w:t>
      </w:r>
      <w:r>
        <w:rPr>
          <w:rFonts w:hint="eastAsia" w:ascii="仿宋" w:hAnsi="仿宋" w:eastAsia="仿宋" w:cs="仿宋"/>
          <w:sz w:val="32"/>
          <w:szCs w:val="32"/>
        </w:rPr>
        <w:t xml:space="preserve"> 从事畜禽养殖，应当依照《中华人民共和国动物防疫法》的规定，做好畜禽疫病的防治工作。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第四十五条</w:t>
      </w:r>
      <w:r>
        <w:rPr>
          <w:rFonts w:hint="eastAsia" w:ascii="仿宋" w:hAnsi="仿宋" w:eastAsia="仿宋" w:cs="仿宋"/>
          <w:sz w:val="32"/>
          <w:szCs w:val="32"/>
        </w:rPr>
        <w:t xml:space="preserve"> 畜禽养殖者应当按照国家关于畜禽标识管理的规定，在应当加施标识的畜禽的指定部位加施标识。畜牧兽医行政主管部门提供标识不得收费，所需费用列入省级人民政府财政预算。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畜禽标识不得重复使用。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第四十六条</w:t>
      </w:r>
      <w:r>
        <w:rPr>
          <w:rFonts w:hint="eastAsia" w:ascii="仿宋" w:hAnsi="仿宋" w:eastAsia="仿宋" w:cs="仿宋"/>
          <w:sz w:val="32"/>
          <w:szCs w:val="32"/>
        </w:rPr>
        <w:t xml:space="preserve"> 畜禽养殖场、养殖小区应当保证畜禽粪便、废水及其他固体废弃物综合利用或者无害化处理设施的正常运转，保证污染物达标排放，防止污染环境。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畜禽养殖场、养殖小区违法排放畜禽粪便、废水及其他固体废弃物，造成环境污染危害的，应当排除危害，依法赔偿损失。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国家支持畜禽养殖场、养殖小区建设畜禽粪便、废水及其他固体废弃物的综合利用设施。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第四十七条</w:t>
      </w:r>
      <w:r>
        <w:rPr>
          <w:rFonts w:hint="eastAsia" w:ascii="仿宋" w:hAnsi="仿宋" w:eastAsia="仿宋" w:cs="仿宋"/>
          <w:sz w:val="32"/>
          <w:szCs w:val="32"/>
        </w:rPr>
        <w:t xml:space="preserve"> 国家鼓励发展养蜂业，维护养蜂生产者的合法权益。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有关部门应当积极宣传和推广蜜蜂授粉农艺措施。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第四十八条</w:t>
      </w:r>
      <w:r>
        <w:rPr>
          <w:rFonts w:hint="eastAsia" w:ascii="仿宋" w:hAnsi="仿宋" w:eastAsia="仿宋" w:cs="仿宋"/>
          <w:sz w:val="32"/>
          <w:szCs w:val="32"/>
        </w:rPr>
        <w:t xml:space="preserve"> 养蜂生产者在生产过程中，不得使用危害蜂产品质量安全的药品和容器，确保蜂产品质量。养蜂器具应当符合国家技术规范的强制性要求。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第四十九条</w:t>
      </w:r>
      <w:r>
        <w:rPr>
          <w:rFonts w:hint="eastAsia" w:ascii="仿宋" w:hAnsi="仿宋" w:eastAsia="仿宋" w:cs="仿宋"/>
          <w:sz w:val="32"/>
          <w:szCs w:val="32"/>
        </w:rPr>
        <w:t xml:space="preserve"> 养蜂生产者在转地放蜂时，当地公安、交通运输、畜牧兽医等有关部门应当为其提供必要的便利。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养蜂生产者在国内转地放蜂，凭国务院畜牧兽医行政主管部门统一格式印制的检疫合格证明运输蜂群，在检疫合格证明有效期内不得重复检疫。</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畜禽交易与运输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第五十条</w:t>
      </w:r>
      <w:r>
        <w:rPr>
          <w:rFonts w:hint="eastAsia" w:ascii="仿宋" w:hAnsi="仿宋" w:eastAsia="仿宋" w:cs="仿宋"/>
          <w:sz w:val="32"/>
          <w:szCs w:val="32"/>
        </w:rPr>
        <w:t xml:space="preserve"> 县级以上人民政府应当促进开放统一、竞争有序的畜禽交易市场建设。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县级以上人民政府畜牧兽医行政主管部门和其他有关主管部门应当组织搜集、整理、发布畜禽产销信息，为生产者提供信息服务。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第五十一条</w:t>
      </w:r>
      <w:r>
        <w:rPr>
          <w:rFonts w:hint="eastAsia" w:ascii="仿宋" w:hAnsi="仿宋" w:eastAsia="仿宋" w:cs="仿宋"/>
          <w:sz w:val="32"/>
          <w:szCs w:val="32"/>
        </w:rPr>
        <w:t xml:space="preserve"> 县级以上地方人民政府根据农产品批发市场发展规划，对在畜禽集散地建立畜禽批发市场给予扶持。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畜禽批发市场选址，应当符合法律、行政法规和国务院畜牧兽医行政主管部门规定的动物防疫条件，并距离种畜禽场和大型畜禽养殖场三公里以外。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第五十二条</w:t>
      </w:r>
      <w:r>
        <w:rPr>
          <w:rFonts w:hint="eastAsia" w:ascii="仿宋" w:hAnsi="仿宋" w:eastAsia="仿宋" w:cs="仿宋"/>
          <w:sz w:val="32"/>
          <w:szCs w:val="32"/>
        </w:rPr>
        <w:t xml:space="preserve"> 进行交易的畜禽必须符合国家技术规范的强制性要求。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国务院畜牧兽医行政主管部门规定应当加施标识而没有标识的畜禽，不得销售和收购。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第五十三条</w:t>
      </w:r>
      <w:r>
        <w:rPr>
          <w:rFonts w:hint="eastAsia" w:ascii="仿宋" w:hAnsi="仿宋" w:eastAsia="仿宋" w:cs="仿宋"/>
          <w:sz w:val="32"/>
          <w:szCs w:val="32"/>
        </w:rPr>
        <w:t xml:space="preserve"> 运输畜禽，必须符合法律、行政法规和国务院畜牧兽医行政主管部门规定的动物防疫条件，采取措施保护畜禽安全，并为运输的畜禽提供必要的空间和饲喂饮水条件。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有关部门对运输中的畜禽进行检查，应当有法律、行政法规的依据。</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质量安全保障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第五十四条</w:t>
      </w:r>
      <w:r>
        <w:rPr>
          <w:rFonts w:hint="eastAsia" w:ascii="仿宋" w:hAnsi="仿宋" w:eastAsia="仿宋" w:cs="仿宋"/>
          <w:sz w:val="32"/>
          <w:szCs w:val="32"/>
        </w:rPr>
        <w:t xml:space="preserve"> 县级以上人民政府应当组织畜牧兽医行政主管部门和其他有关主管部门，依照本法和有关法律、行政法规的规定，加强对畜禽饲养环境、种畜禽质量、饲料和兽药等投入品的使用以及畜禽交易与运输的监督管理。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第五十五条</w:t>
      </w:r>
      <w:r>
        <w:rPr>
          <w:rFonts w:hint="eastAsia" w:ascii="仿宋" w:hAnsi="仿宋" w:eastAsia="仿宋" w:cs="仿宋"/>
          <w:sz w:val="32"/>
          <w:szCs w:val="32"/>
        </w:rPr>
        <w:t xml:space="preserve"> 国务院畜牧兽医行政主管部门应当制定畜禽标识和养殖档案管理办法，采取措施落实畜禽产品质量责任追究制度。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第五十六条</w:t>
      </w:r>
      <w:r>
        <w:rPr>
          <w:rFonts w:hint="eastAsia" w:ascii="仿宋" w:hAnsi="仿宋" w:eastAsia="仿宋" w:cs="仿宋"/>
          <w:sz w:val="32"/>
          <w:szCs w:val="32"/>
        </w:rPr>
        <w:t xml:space="preserve"> 县级以上人民政府畜牧兽医行政主管部门应当制定畜禽质量安全监督检查计划，按计划开展监督抽查工作。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第五十七条</w:t>
      </w:r>
      <w:r>
        <w:rPr>
          <w:rFonts w:hint="eastAsia" w:ascii="仿宋" w:hAnsi="仿宋" w:eastAsia="仿宋" w:cs="仿宋"/>
          <w:sz w:val="32"/>
          <w:szCs w:val="32"/>
        </w:rPr>
        <w:t xml:space="preserve"> 省级以上人民政府畜牧兽医行政主管部门应当组织制定畜禽生产规范，指导畜禽的安全生产。</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第五十八条</w:t>
      </w:r>
      <w:r>
        <w:rPr>
          <w:rFonts w:hint="eastAsia" w:ascii="仿宋" w:hAnsi="仿宋" w:eastAsia="仿宋" w:cs="仿宋"/>
          <w:sz w:val="32"/>
          <w:szCs w:val="32"/>
        </w:rPr>
        <w:t xml:space="preserve"> 违反本法第十三条第二款规定，擅自处理受保护的畜禽遗传资源，造成畜禽遗传资源损失的，由省级以上人民政府畜牧兽医行政主管部门处五万元以上五十万元以下罚款。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第五十九条</w:t>
      </w:r>
      <w:r>
        <w:rPr>
          <w:rFonts w:hint="eastAsia" w:ascii="仿宋" w:hAnsi="仿宋" w:eastAsia="仿宋" w:cs="仿宋"/>
          <w:sz w:val="32"/>
          <w:szCs w:val="32"/>
        </w:rPr>
        <w:t xml:space="preserve"> 违反本法有关规定，有下列行为之一的，由省级以上人民政府畜牧兽医行政主管部门责令停止违法行为，没收畜禽遗传资源和违法所得，并处一万元以上五万元以下罚款：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（一）未经审核批准，从境外引进畜禽遗传资源的；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（二）未经审核批准，在境内与境外机构、个人合作研究利用列入保护名录的畜禽遗传资源的；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（三）在境内与境外机构、个人合作研究利用未经国家畜禽遗传资源委员会鉴定的新发现的畜禽遗传资源的。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第六十条</w:t>
      </w:r>
      <w:r>
        <w:rPr>
          <w:rFonts w:hint="eastAsia" w:ascii="仿宋" w:hAnsi="仿宋" w:eastAsia="仿宋" w:cs="仿宋"/>
          <w:sz w:val="32"/>
          <w:szCs w:val="32"/>
        </w:rPr>
        <w:t xml:space="preserve"> 未经国务院畜牧兽医行政主管部门批准，向境外输出畜禽遗传资源的，依照《中华人民共和国海关法》的有关规定追究法律责任。海关应当将扣留的畜禽遗传资源移送省级人民政府畜牧兽医行政主管部门处理。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第六十一条</w:t>
      </w:r>
      <w:r>
        <w:rPr>
          <w:rFonts w:hint="eastAsia" w:ascii="仿宋" w:hAnsi="仿宋" w:eastAsia="仿宋" w:cs="仿宋"/>
          <w:sz w:val="32"/>
          <w:szCs w:val="32"/>
        </w:rPr>
        <w:t xml:space="preserve"> 违反本法有关规定，销售、推广未经审定或者鉴定的畜禽品种的，由县级以上人民政府畜牧兽医行政主管部门责令停止违法行为，没收畜禽和违法所得；违法所得在五万元以上的，并处违法所得一倍以上三倍以下罚款；没有违法所得或者违法所得不足五万元的，并处五千元以上五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第六十二条 </w:t>
      </w:r>
      <w:r>
        <w:rPr>
          <w:rFonts w:hint="eastAsia" w:ascii="仿宋" w:hAnsi="仿宋" w:eastAsia="仿宋" w:cs="仿宋"/>
          <w:sz w:val="32"/>
          <w:szCs w:val="32"/>
        </w:rPr>
        <w:t>违反本法有关规定，无种畜禽生产经营许可证或者违反种畜禽生产经营许可证的规定生产经营种畜禽的，转让、租借种畜禽生产经营许可证的，由县级以上人民政府畜牧兽医行政主管部门责令停止违法行为，没收违法所得；违法所得在三万元以上的，并处违法所得一倍以上三倍以下罚款；没有违法所得或者违法所得不足三万元的，并处三千元以上三万元以下罚款。违反种畜禽生产经营许可证的规定生产经营种畜禽或者转让、租借种畜禽生产经营许可证，情节严重的，并处吊销种畜禽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第六十三条</w:t>
      </w:r>
      <w:r>
        <w:rPr>
          <w:rFonts w:hint="eastAsia" w:ascii="仿宋" w:hAnsi="仿宋" w:eastAsia="仿宋" w:cs="仿宋"/>
          <w:sz w:val="32"/>
          <w:szCs w:val="32"/>
        </w:rPr>
        <w:t xml:space="preserve"> 违反本法第二十八条规定的，依照《中华人民共和国广告法》的有关规定追究法律责任。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第六十四条</w:t>
      </w:r>
      <w:r>
        <w:rPr>
          <w:rFonts w:hint="eastAsia" w:ascii="仿宋" w:hAnsi="仿宋" w:eastAsia="仿宋" w:cs="仿宋"/>
          <w:sz w:val="32"/>
          <w:szCs w:val="32"/>
        </w:rPr>
        <w:t xml:space="preserve"> 违反本法有关规定，使用的种畜禽不符合种用标准的，由县级以上地方人民政府畜牧兽医行政主管部门责令停止违法行为，没收违法所得；违法所得在五千元以上的，并处违法所得一倍以上二倍以下罚款；没有违法所得或者违法所得不足五千元的，并处一千元以上五千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第六十五条</w:t>
      </w:r>
      <w:r>
        <w:rPr>
          <w:rFonts w:hint="eastAsia" w:ascii="仿宋" w:hAnsi="仿宋" w:eastAsia="仿宋" w:cs="仿宋"/>
          <w:sz w:val="32"/>
          <w:szCs w:val="32"/>
        </w:rPr>
        <w:t xml:space="preserve"> 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第六十六条</w:t>
      </w:r>
      <w:r>
        <w:rPr>
          <w:rFonts w:hint="eastAsia" w:ascii="仿宋" w:hAnsi="仿宋" w:eastAsia="仿宋" w:cs="仿宋"/>
          <w:sz w:val="32"/>
          <w:szCs w:val="32"/>
        </w:rPr>
        <w:t xml:space="preserve"> 违反本法第四十一条规定，畜禽养殖场未建立养殖档案的，或者未按照规定保存养殖档案的，由县级以上人民政府畜牧兽医行政主管部门责令限期改正，可以处一万元以下罚款。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第六十七条</w:t>
      </w:r>
      <w:r>
        <w:rPr>
          <w:rFonts w:hint="eastAsia" w:ascii="仿宋" w:hAnsi="仿宋" w:eastAsia="仿宋" w:cs="仿宋"/>
          <w:sz w:val="32"/>
          <w:szCs w:val="32"/>
        </w:rPr>
        <w:t xml:space="preserve"> 违反本法第四十三条规定养殖畜禽的，依照有关法律、行政法规的规定处罚。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第六十八条</w:t>
      </w:r>
      <w:r>
        <w:rPr>
          <w:rFonts w:hint="eastAsia" w:ascii="仿宋" w:hAnsi="仿宋" w:eastAsia="仿宋" w:cs="仿宋"/>
          <w:sz w:val="32"/>
          <w:szCs w:val="32"/>
        </w:rPr>
        <w:t xml:space="preserve"> 违反本法有关规定，销售的种畜禽未附具种畜禽合格证明、检疫合格证明、家畜系谱的，销售、收购国务院畜牧兽医行政主管部门规定应当加施标识而没有标识的畜禽的，或者重复使用畜禽标识的，由县级以上地方人民政府畜牧兽医行政主管部门或者工商行政管理部门责令改正，可以处二千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违反本法有关规定，使用伪造、变造的畜禽标识的，由县级以上人民政府畜牧兽医行政主管部门没收伪造、变造的畜禽标识和违法所得，并处三千元以上三万元以下罚款。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第六十九条</w:t>
      </w:r>
      <w:r>
        <w:rPr>
          <w:rFonts w:hint="eastAsia" w:ascii="仿宋" w:hAnsi="仿宋" w:eastAsia="仿宋" w:cs="仿宋"/>
          <w:sz w:val="32"/>
          <w:szCs w:val="32"/>
        </w:rPr>
        <w:t xml:space="preserve"> 销售不符合国家技术规范的强制性要求的畜禽的，由县级以上地方人民政府畜牧兽医行政主管部门或者工商行政管理部门责令停止违法行为，没收违法销售的畜禽和违法所得，并处违法所得一倍以上三倍以下罚款；情节严重的，由工商行政管理部门并处吊销营业执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第七十条 </w:t>
      </w:r>
      <w:r>
        <w:rPr>
          <w:rFonts w:hint="eastAsia" w:ascii="仿宋" w:hAnsi="仿宋" w:eastAsia="仿宋" w:cs="仿宋"/>
          <w:sz w:val="32"/>
          <w:szCs w:val="32"/>
        </w:rPr>
        <w:t>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第七十一条</w:t>
      </w:r>
      <w:r>
        <w:rPr>
          <w:rFonts w:hint="eastAsia" w:ascii="仿宋" w:hAnsi="仿宋" w:eastAsia="仿宋" w:cs="仿宋"/>
          <w:sz w:val="32"/>
          <w:szCs w:val="32"/>
        </w:rPr>
        <w:t xml:space="preserve"> 违反本法规定，构成犯罪的，依法追究刑事责任。</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第七十二条</w:t>
      </w:r>
      <w:r>
        <w:rPr>
          <w:rFonts w:hint="eastAsia" w:ascii="仿宋" w:hAnsi="仿宋" w:eastAsia="仿宋" w:cs="仿宋"/>
          <w:sz w:val="32"/>
          <w:szCs w:val="32"/>
        </w:rPr>
        <w:t xml:space="preserve"> 本法所称畜禽遗传资源，是指畜禽及其卵子（蛋）、胚胎、精液、基因物质等遗传材料。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本法所称种畜禽，是指经过选育、具有种用价值、适于繁殖后代的畜禽及其卵子（蛋）、胚胎、精液等。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第七十三条</w:t>
      </w:r>
      <w:r>
        <w:rPr>
          <w:rFonts w:hint="eastAsia" w:ascii="仿宋" w:hAnsi="仿宋" w:eastAsia="仿宋" w:cs="仿宋"/>
          <w:sz w:val="32"/>
          <w:szCs w:val="32"/>
        </w:rPr>
        <w:t xml:space="preserve"> 本法自2006年7月1日起施行。</w:t>
      </w:r>
    </w:p>
    <w:p>
      <w:pPr>
        <w:widowControl w:val="0"/>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rPr>
          <w:rFonts w:hint="eastAsia" w:ascii="宋体" w:hAnsi="宋体" w:eastAsia="宋体" w:cs="宋体"/>
          <w:b w:val="0"/>
          <w:bCs w:val="0"/>
          <w:kern w:val="0"/>
          <w:sz w:val="44"/>
          <w:szCs w:val="44"/>
          <w:lang w:val="en-US" w:eastAsia="zh-CN" w:bidi="ar-SA"/>
        </w:rPr>
      </w:pPr>
      <w:r>
        <w:rPr>
          <w:rFonts w:hint="eastAsia" w:ascii="宋体" w:hAnsi="宋体" w:eastAsia="宋体" w:cs="宋体"/>
          <w:b w:val="0"/>
          <w:bCs w:val="0"/>
          <w:kern w:val="0"/>
          <w:sz w:val="44"/>
          <w:szCs w:val="44"/>
          <w:lang w:val="en-US" w:eastAsia="zh-CN" w:bidi="ar-SA"/>
        </w:rPr>
        <w:br w:type="page"/>
      </w:r>
    </w:p>
    <w:p>
      <w:pPr>
        <w:rPr>
          <w:rFonts w:hint="eastAsia" w:ascii="宋体" w:hAnsi="宋体" w:eastAsia="宋体" w:cs="Arial"/>
          <w:kern w:val="0"/>
          <w:szCs w:val="32"/>
        </w:rPr>
      </w:pPr>
      <w:bookmarkStart w:id="188" w:name="_Toc18365"/>
    </w:p>
    <w:p>
      <w:pPr>
        <w:rPr>
          <w:rFonts w:hint="eastAsia" w:ascii="宋体" w:hAnsi="宋体" w:eastAsia="宋体" w:cs="Arial"/>
          <w:kern w:val="0"/>
          <w:szCs w:val="32"/>
        </w:rPr>
      </w:pPr>
    </w:p>
    <w:p>
      <w:pPr>
        <w:jc w:val="center"/>
        <w:rPr>
          <w:rFonts w:ascii="宋体" w:hAnsi="宋体" w:eastAsia="宋体" w:cs="Arial"/>
          <w:bCs/>
          <w:sz w:val="44"/>
          <w:szCs w:val="44"/>
        </w:rPr>
      </w:pPr>
      <w:r>
        <w:rPr>
          <w:rFonts w:ascii="宋体" w:hAnsi="宋体" w:eastAsia="宋体" w:cs="Arial"/>
          <w:bCs/>
          <w:sz w:val="44"/>
          <w:szCs w:val="44"/>
        </w:rPr>
        <w:t>中华人民共和国动物防疫法</w:t>
      </w:r>
    </w:p>
    <w:p>
      <w:pPr>
        <w:ind w:left="640" w:leftChars="200" w:right="640" w:rightChars="200"/>
        <w:rPr>
          <w:rFonts w:ascii="宋体" w:hAnsi="宋体" w:eastAsia="宋体" w:cs="Arial"/>
          <w:bCs/>
          <w:szCs w:val="32"/>
        </w:rPr>
      </w:pPr>
    </w:p>
    <w:p>
      <w:pPr>
        <w:spacing w:line="560" w:lineRule="exact"/>
        <w:ind w:left="640" w:leftChars="200" w:right="640" w:rightChars="200"/>
        <w:rPr>
          <w:rFonts w:hint="eastAsia" w:ascii="宋体" w:hAnsi="宋体" w:eastAsia="宋体" w:cs="Arial"/>
          <w:bCs/>
          <w:szCs w:val="32"/>
        </w:rPr>
      </w:pPr>
      <w:r>
        <w:rPr>
          <w:rFonts w:hint="eastAsia" w:ascii="楷体_GB2312" w:hAnsi="Arial" w:eastAsia="楷体_GB2312" w:cs="Arial"/>
          <w:szCs w:val="32"/>
        </w:rPr>
        <w:t>（</w:t>
      </w:r>
      <w:r>
        <w:rPr>
          <w:rFonts w:hint="default" w:ascii="Times New Roman" w:hAnsi="Times New Roman" w:eastAsia="楷体_GB2312" w:cs="Times New Roman"/>
          <w:szCs w:val="32"/>
        </w:rPr>
        <w:t>1997</w:t>
      </w:r>
      <w:r>
        <w:rPr>
          <w:rFonts w:hint="eastAsia" w:ascii="楷体_GB2312" w:hAnsi="Arial" w:eastAsia="楷体_GB2312" w:cs="Arial"/>
          <w:szCs w:val="32"/>
        </w:rPr>
        <w:t>年</w:t>
      </w:r>
      <w:r>
        <w:rPr>
          <w:rFonts w:hint="default" w:ascii="Times New Roman" w:hAnsi="Times New Roman" w:eastAsia="楷体_GB2312" w:cs="Times New Roman"/>
          <w:szCs w:val="32"/>
        </w:rPr>
        <w:t>7</w:t>
      </w:r>
      <w:r>
        <w:rPr>
          <w:rFonts w:hint="eastAsia" w:ascii="楷体_GB2312" w:hAnsi="Arial" w:eastAsia="楷体_GB2312" w:cs="Arial"/>
          <w:szCs w:val="32"/>
        </w:rPr>
        <w:t>月</w:t>
      </w:r>
      <w:r>
        <w:rPr>
          <w:rFonts w:hint="default" w:ascii="Times New Roman" w:hAnsi="Times New Roman" w:eastAsia="楷体_GB2312" w:cs="Times New Roman"/>
          <w:szCs w:val="32"/>
        </w:rPr>
        <w:t>3</w:t>
      </w:r>
      <w:r>
        <w:rPr>
          <w:rFonts w:hint="eastAsia" w:ascii="楷体_GB2312" w:hAnsi="Arial" w:eastAsia="楷体_GB2312" w:cs="Arial"/>
          <w:szCs w:val="32"/>
        </w:rPr>
        <w:t>日第八届全国人民代表大会常务委员会第二十六次会议通过　</w:t>
      </w:r>
      <w:r>
        <w:rPr>
          <w:rFonts w:hint="default" w:ascii="Times New Roman" w:hAnsi="Times New Roman" w:eastAsia="楷体_GB2312" w:cs="Times New Roman"/>
          <w:szCs w:val="32"/>
        </w:rPr>
        <w:t>2007</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30</w:t>
      </w:r>
      <w:r>
        <w:rPr>
          <w:rFonts w:hint="eastAsia" w:ascii="楷体_GB2312" w:hAnsi="Arial" w:eastAsia="楷体_GB2312" w:cs="Arial"/>
          <w:szCs w:val="32"/>
        </w:rPr>
        <w:t>日第十届全国人民代表大会常务委员会第二十九次会议第一次修订　根据</w:t>
      </w:r>
      <w:r>
        <w:rPr>
          <w:rFonts w:hint="default" w:ascii="Times New Roman" w:hAnsi="Times New Roman" w:eastAsia="楷体_GB2312" w:cs="Times New Roman"/>
          <w:szCs w:val="32"/>
        </w:rPr>
        <w:t>2013</w:t>
      </w:r>
      <w:r>
        <w:rPr>
          <w:rFonts w:hint="eastAsia" w:ascii="楷体_GB2312" w:hAnsi="Arial" w:eastAsia="楷体_GB2312" w:cs="Arial"/>
          <w:szCs w:val="32"/>
        </w:rPr>
        <w:t>年</w:t>
      </w:r>
      <w:r>
        <w:rPr>
          <w:rFonts w:hint="default" w:ascii="Times New Roman" w:hAnsi="Times New Roman" w:eastAsia="楷体_GB2312" w:cs="Times New Roman"/>
          <w:szCs w:val="32"/>
        </w:rPr>
        <w:t>6</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日第十二届全国人民代表大会常务委员会第三次会议《关于修改〈中华人民共和国文物保护法〉等十二部法律的决定》第一次修正　根据</w:t>
      </w:r>
      <w:r>
        <w:rPr>
          <w:rFonts w:hint="default" w:ascii="Times New Roman" w:hAnsi="Times New Roman" w:eastAsia="楷体_GB2312" w:cs="Times New Roman"/>
          <w:szCs w:val="32"/>
        </w:rPr>
        <w:t>2015</w:t>
      </w:r>
      <w:r>
        <w:rPr>
          <w:rFonts w:hint="eastAsia" w:ascii="楷体_GB2312" w:hAnsi="Arial" w:eastAsia="楷体_GB2312" w:cs="Arial"/>
          <w:szCs w:val="32"/>
        </w:rPr>
        <w:t>年</w:t>
      </w:r>
      <w:r>
        <w:rPr>
          <w:rFonts w:hint="default" w:ascii="Times New Roman" w:hAnsi="Times New Roman" w:eastAsia="楷体_GB2312" w:cs="Times New Roman"/>
          <w:szCs w:val="32"/>
        </w:rPr>
        <w:t>4</w:t>
      </w:r>
      <w:r>
        <w:rPr>
          <w:rFonts w:hint="eastAsia" w:ascii="楷体_GB2312" w:hAnsi="Arial" w:eastAsia="楷体_GB2312" w:cs="Arial"/>
          <w:szCs w:val="32"/>
        </w:rPr>
        <w:t>月</w:t>
      </w:r>
      <w:r>
        <w:rPr>
          <w:rFonts w:hint="default" w:ascii="Times New Roman" w:hAnsi="Times New Roman" w:eastAsia="楷体_GB2312" w:cs="Times New Roman"/>
          <w:szCs w:val="32"/>
        </w:rPr>
        <w:t>24</w:t>
      </w:r>
      <w:r>
        <w:rPr>
          <w:rFonts w:hint="eastAsia" w:ascii="楷体_GB2312" w:hAnsi="Arial" w:eastAsia="楷体_GB2312" w:cs="Arial"/>
          <w:szCs w:val="32"/>
        </w:rPr>
        <w:t>日第十二届全国人民代表大会常务委员会第十四次会议《关于修改〈中华人民共和国电力法〉等六部法律的决定》第二次修正　</w:t>
      </w:r>
      <w:r>
        <w:rPr>
          <w:rFonts w:hint="default" w:ascii="Times New Roman" w:hAnsi="Times New Roman" w:eastAsia="楷体_GB2312" w:cs="Times New Roman"/>
          <w:szCs w:val="32"/>
        </w:rPr>
        <w:t>2021</w:t>
      </w:r>
      <w:r>
        <w:rPr>
          <w:rFonts w:hint="eastAsia" w:ascii="楷体_GB2312" w:hAnsi="Arial" w:eastAsia="楷体_GB2312" w:cs="Arial"/>
          <w:szCs w:val="32"/>
        </w:rPr>
        <w:t>年</w:t>
      </w:r>
      <w:r>
        <w:rPr>
          <w:rFonts w:hint="default" w:ascii="Times New Roman" w:hAnsi="Times New Roman" w:eastAsia="楷体_GB2312" w:cs="Times New Roman"/>
          <w:szCs w:val="32"/>
        </w:rPr>
        <w:t>1</w:t>
      </w:r>
      <w:r>
        <w:rPr>
          <w:rFonts w:hint="eastAsia" w:ascii="楷体_GB2312" w:hAnsi="Arial" w:eastAsia="楷体_GB2312" w:cs="Arial"/>
          <w:szCs w:val="32"/>
        </w:rPr>
        <w:t>月</w:t>
      </w:r>
      <w:r>
        <w:rPr>
          <w:rFonts w:hint="default" w:ascii="Times New Roman" w:hAnsi="Times New Roman" w:eastAsia="楷体_GB2312" w:cs="Times New Roman"/>
          <w:szCs w:val="32"/>
        </w:rPr>
        <w:t>22</w:t>
      </w:r>
      <w:r>
        <w:rPr>
          <w:rFonts w:hint="eastAsia" w:ascii="楷体_GB2312" w:hAnsi="Arial" w:eastAsia="楷体_GB2312" w:cs="Arial"/>
          <w:szCs w:val="32"/>
        </w:rPr>
        <w:t>日第十三届全国人民代表大会常务委员会第二十五次会议第二次修订）</w:t>
      </w:r>
    </w:p>
    <w:p>
      <w:pPr>
        <w:spacing w:line="560" w:lineRule="exact"/>
        <w:ind w:firstLine="0"/>
        <w:jc w:val="both"/>
      </w:pPr>
      <w:r>
        <w:rPr>
          <w:rFonts w:ascii="宋体" w:hAnsi="宋体" w:eastAsia="宋体" w:cs="宋体"/>
          <w:sz w:val="32"/>
        </w:rPr>
        <w:t xml:space="preserve"> </w:t>
      </w:r>
    </w:p>
    <w:p>
      <w:pPr>
        <w:spacing w:line="560" w:lineRule="exact"/>
        <w:ind w:firstLine="0"/>
        <w:jc w:val="center"/>
      </w:pPr>
      <w:r>
        <w:rPr>
          <w:rFonts w:ascii="楷体_GB2312" w:hAnsi="楷体_GB2312" w:eastAsia="楷体_GB2312" w:cs="楷体_GB2312"/>
          <w:sz w:val="32"/>
        </w:rPr>
        <w:t>目　　录</w:t>
      </w:r>
    </w:p>
    <w:p>
      <w:pPr>
        <w:spacing w:line="560" w:lineRule="exact"/>
        <w:ind w:firstLine="640"/>
        <w:jc w:val="both"/>
      </w:pPr>
      <w:r>
        <w:rPr>
          <w:rFonts w:ascii="楷体_GB2312" w:hAnsi="楷体_GB2312" w:eastAsia="楷体_GB2312" w:cs="楷体_GB2312"/>
          <w:sz w:val="32"/>
        </w:rPr>
        <w:t>第一章　总则</w:t>
      </w:r>
    </w:p>
    <w:p>
      <w:pPr>
        <w:spacing w:line="560" w:lineRule="exact"/>
        <w:ind w:firstLine="640"/>
        <w:jc w:val="both"/>
      </w:pPr>
      <w:r>
        <w:rPr>
          <w:rFonts w:ascii="楷体_GB2312" w:hAnsi="楷体_GB2312" w:eastAsia="楷体_GB2312" w:cs="楷体_GB2312"/>
          <w:sz w:val="32"/>
        </w:rPr>
        <w:t>第二章　动物疫病的预防</w:t>
      </w:r>
    </w:p>
    <w:p>
      <w:pPr>
        <w:spacing w:line="560" w:lineRule="exact"/>
        <w:ind w:firstLine="640"/>
        <w:jc w:val="both"/>
      </w:pPr>
      <w:r>
        <w:rPr>
          <w:rFonts w:ascii="楷体_GB2312" w:hAnsi="楷体_GB2312" w:eastAsia="楷体_GB2312" w:cs="楷体_GB2312"/>
          <w:sz w:val="32"/>
        </w:rPr>
        <w:t>第三章　动物疫情的报告、通报和公布</w:t>
      </w:r>
    </w:p>
    <w:p>
      <w:pPr>
        <w:spacing w:line="560" w:lineRule="exact"/>
        <w:ind w:firstLine="640"/>
        <w:jc w:val="both"/>
      </w:pPr>
      <w:r>
        <w:rPr>
          <w:rFonts w:ascii="楷体_GB2312" w:hAnsi="楷体_GB2312" w:eastAsia="楷体_GB2312" w:cs="楷体_GB2312"/>
          <w:sz w:val="32"/>
        </w:rPr>
        <w:t>第四章　动物疫病的控制</w:t>
      </w:r>
    </w:p>
    <w:p>
      <w:pPr>
        <w:spacing w:line="560" w:lineRule="exact"/>
        <w:ind w:firstLine="640"/>
        <w:jc w:val="both"/>
      </w:pPr>
      <w:r>
        <w:rPr>
          <w:rFonts w:ascii="楷体_GB2312" w:hAnsi="楷体_GB2312" w:eastAsia="楷体_GB2312" w:cs="楷体_GB2312"/>
          <w:sz w:val="32"/>
        </w:rPr>
        <w:t>第五章　动物和动物产品的检疫</w:t>
      </w:r>
    </w:p>
    <w:p>
      <w:pPr>
        <w:spacing w:line="560" w:lineRule="exact"/>
        <w:ind w:firstLine="640"/>
        <w:jc w:val="both"/>
      </w:pPr>
      <w:r>
        <w:rPr>
          <w:rFonts w:ascii="楷体_GB2312" w:hAnsi="楷体_GB2312" w:eastAsia="楷体_GB2312" w:cs="楷体_GB2312"/>
          <w:sz w:val="32"/>
        </w:rPr>
        <w:t>第六章　病死动物和病害动物产品的无害化处理</w:t>
      </w:r>
    </w:p>
    <w:p>
      <w:pPr>
        <w:spacing w:line="560" w:lineRule="exact"/>
        <w:ind w:firstLine="640"/>
        <w:jc w:val="both"/>
      </w:pPr>
      <w:r>
        <w:rPr>
          <w:rFonts w:ascii="楷体_GB2312" w:hAnsi="楷体_GB2312" w:eastAsia="楷体_GB2312" w:cs="楷体_GB2312"/>
          <w:sz w:val="32"/>
        </w:rPr>
        <w:t>第七章　动物诊疗</w:t>
      </w:r>
    </w:p>
    <w:p>
      <w:pPr>
        <w:spacing w:line="560" w:lineRule="exact"/>
        <w:ind w:firstLine="640"/>
        <w:jc w:val="both"/>
      </w:pPr>
      <w:r>
        <w:rPr>
          <w:rFonts w:ascii="楷体_GB2312" w:hAnsi="楷体_GB2312" w:eastAsia="楷体_GB2312" w:cs="楷体_GB2312"/>
          <w:sz w:val="32"/>
        </w:rPr>
        <w:t>第八章　兽医管理</w:t>
      </w:r>
    </w:p>
    <w:p>
      <w:pPr>
        <w:spacing w:line="560" w:lineRule="exact"/>
        <w:ind w:firstLine="640"/>
        <w:jc w:val="both"/>
      </w:pPr>
      <w:r>
        <w:rPr>
          <w:rFonts w:ascii="楷体_GB2312" w:hAnsi="楷体_GB2312" w:eastAsia="楷体_GB2312" w:cs="楷体_GB2312"/>
          <w:sz w:val="32"/>
        </w:rPr>
        <w:t>第九章　监督管理</w:t>
      </w:r>
    </w:p>
    <w:p>
      <w:pPr>
        <w:spacing w:line="560" w:lineRule="exact"/>
        <w:ind w:firstLine="640"/>
        <w:jc w:val="both"/>
      </w:pPr>
      <w:r>
        <w:rPr>
          <w:rFonts w:ascii="楷体_GB2312" w:hAnsi="楷体_GB2312" w:eastAsia="楷体_GB2312" w:cs="楷体_GB2312"/>
          <w:sz w:val="32"/>
        </w:rPr>
        <w:t>第十章　保障措施</w:t>
      </w:r>
    </w:p>
    <w:p>
      <w:pPr>
        <w:spacing w:line="560" w:lineRule="exact"/>
        <w:ind w:firstLine="640"/>
        <w:jc w:val="both"/>
      </w:pPr>
      <w:r>
        <w:rPr>
          <w:rFonts w:ascii="楷体_GB2312" w:hAnsi="楷体_GB2312" w:eastAsia="楷体_GB2312" w:cs="楷体_GB2312"/>
          <w:sz w:val="32"/>
        </w:rPr>
        <w:t>第十一章　法律责任</w:t>
      </w:r>
    </w:p>
    <w:p>
      <w:pPr>
        <w:spacing w:line="560" w:lineRule="exact"/>
        <w:ind w:firstLine="640"/>
        <w:jc w:val="both"/>
      </w:pPr>
      <w:r>
        <w:rPr>
          <w:rFonts w:ascii="楷体_GB2312" w:hAnsi="楷体_GB2312" w:eastAsia="楷体_GB2312" w:cs="楷体_GB2312"/>
          <w:sz w:val="32"/>
        </w:rPr>
        <w:t>第十二章　附则</w:t>
      </w:r>
    </w:p>
    <w:p>
      <w:pPr>
        <w:spacing w:line="560" w:lineRule="exact"/>
        <w:ind w:firstLine="0"/>
        <w:jc w:val="both"/>
      </w:pPr>
      <w:r>
        <w:rPr>
          <w:rFonts w:ascii="宋体" w:hAnsi="宋体" w:eastAsia="宋体" w:cs="宋体"/>
          <w:sz w:val="32"/>
        </w:rPr>
        <w:t xml:space="preserve"> </w:t>
      </w:r>
    </w:p>
    <w:p>
      <w:pPr>
        <w:spacing w:line="560" w:lineRule="exact"/>
        <w:ind w:firstLine="0"/>
        <w:jc w:val="center"/>
      </w:pPr>
      <w:r>
        <w:rPr>
          <w:rFonts w:ascii="黑体" w:hAnsi="黑体" w:eastAsia="黑体" w:cs="黑体"/>
          <w:sz w:val="32"/>
        </w:rPr>
        <w:t>第一章　总则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第一条</w:t>
      </w:r>
      <w:r>
        <w:rPr>
          <w:rFonts w:ascii="仿宋_GB2312" w:hAnsi="仿宋_GB2312" w:eastAsia="仿宋_GB2312" w:cs="仿宋_GB2312"/>
          <w:sz w:val="32"/>
        </w:rPr>
        <w:t>　为了加强对动物防疫活动的管理，预防、控制、净化、消灭动物疫病，促进养殖业发展，防控人畜共患传染病，保障公共卫生安全和人体健康，制定本法。</w:t>
      </w:r>
    </w:p>
    <w:p>
      <w:pPr>
        <w:spacing w:line="560" w:lineRule="exact"/>
        <w:ind w:firstLine="640"/>
        <w:jc w:val="both"/>
      </w:pPr>
      <w:r>
        <w:rPr>
          <w:rFonts w:ascii="黑体" w:hAnsi="黑体" w:eastAsia="黑体" w:cs="黑体"/>
          <w:sz w:val="32"/>
        </w:rPr>
        <w:t>第二条</w:t>
      </w:r>
      <w:r>
        <w:rPr>
          <w:rFonts w:ascii="仿宋_GB2312" w:hAnsi="仿宋_GB2312" w:eastAsia="仿宋_GB2312" w:cs="仿宋_GB2312"/>
          <w:sz w:val="32"/>
        </w:rPr>
        <w:t>　本法适用于在中华人民共和国领域内的动物防疫及其监督管理活动。</w:t>
      </w:r>
    </w:p>
    <w:p>
      <w:pPr>
        <w:spacing w:line="560" w:lineRule="exact"/>
        <w:ind w:firstLine="640"/>
        <w:jc w:val="both"/>
      </w:pPr>
      <w:r>
        <w:rPr>
          <w:rFonts w:ascii="仿宋_GB2312" w:hAnsi="仿宋_GB2312" w:eastAsia="仿宋_GB2312" w:cs="仿宋_GB2312"/>
          <w:sz w:val="32"/>
        </w:rPr>
        <w:t>进出境动物、动物产品的检疫，适用《中华人民共和国进出境动植物检疫法》。</w:t>
      </w:r>
    </w:p>
    <w:p>
      <w:pPr>
        <w:spacing w:line="560" w:lineRule="exact"/>
        <w:ind w:firstLine="640"/>
        <w:jc w:val="both"/>
      </w:pPr>
      <w:r>
        <w:rPr>
          <w:rFonts w:ascii="黑体" w:hAnsi="黑体" w:eastAsia="黑体" w:cs="黑体"/>
          <w:sz w:val="32"/>
        </w:rPr>
        <w:t>第三条</w:t>
      </w:r>
      <w:r>
        <w:rPr>
          <w:rFonts w:ascii="仿宋_GB2312" w:hAnsi="仿宋_GB2312" w:eastAsia="仿宋_GB2312" w:cs="仿宋_GB2312"/>
          <w:sz w:val="32"/>
        </w:rPr>
        <w:t>　本法所称动物，是指家畜家禽和人工饲养、捕获的其他动物。</w:t>
      </w:r>
    </w:p>
    <w:p>
      <w:pPr>
        <w:spacing w:line="560" w:lineRule="exact"/>
        <w:ind w:firstLine="640"/>
        <w:jc w:val="both"/>
      </w:pPr>
      <w:r>
        <w:rPr>
          <w:rFonts w:ascii="仿宋_GB2312" w:hAnsi="仿宋_GB2312" w:eastAsia="仿宋_GB2312" w:cs="仿宋_GB2312"/>
          <w:sz w:val="32"/>
        </w:rPr>
        <w:t>本法所称动物产品，是指动物的肉、生皮、原毛、绒、脏器、脂、血液、精液、卵、胚胎、骨、蹄、头、角、筋以及可能传播动物疫病的奶、蛋等。</w:t>
      </w:r>
    </w:p>
    <w:p>
      <w:pPr>
        <w:spacing w:line="560" w:lineRule="exact"/>
        <w:ind w:firstLine="640"/>
        <w:jc w:val="both"/>
      </w:pPr>
      <w:r>
        <w:rPr>
          <w:rFonts w:ascii="仿宋_GB2312" w:hAnsi="仿宋_GB2312" w:eastAsia="仿宋_GB2312" w:cs="仿宋_GB2312"/>
          <w:sz w:val="32"/>
        </w:rPr>
        <w:t>本法所称动物疫病，是指动物传染病，包括寄生虫病。</w:t>
      </w:r>
    </w:p>
    <w:p>
      <w:pPr>
        <w:spacing w:line="560" w:lineRule="exact"/>
        <w:ind w:firstLine="640"/>
        <w:jc w:val="both"/>
      </w:pPr>
      <w:r>
        <w:rPr>
          <w:rFonts w:ascii="仿宋_GB2312" w:hAnsi="仿宋_GB2312" w:eastAsia="仿宋_GB2312" w:cs="仿宋_GB2312"/>
          <w:sz w:val="32"/>
        </w:rPr>
        <w:t>本法所称动物防疫，是指动物疫病的预防、控制、诊疗、净化、消灭和动物、动物产品的检疫，以及病死动物、病害动物产品的无害化处理。</w:t>
      </w:r>
    </w:p>
    <w:p>
      <w:pPr>
        <w:spacing w:line="560" w:lineRule="exact"/>
        <w:ind w:firstLine="640"/>
        <w:jc w:val="both"/>
      </w:pPr>
      <w:r>
        <w:rPr>
          <w:rFonts w:ascii="黑体" w:hAnsi="黑体" w:eastAsia="黑体" w:cs="黑体"/>
          <w:sz w:val="32"/>
        </w:rPr>
        <w:t>第四条</w:t>
      </w:r>
      <w:r>
        <w:rPr>
          <w:rFonts w:ascii="仿宋_GB2312" w:hAnsi="仿宋_GB2312" w:eastAsia="仿宋_GB2312" w:cs="仿宋_GB2312"/>
          <w:sz w:val="32"/>
        </w:rPr>
        <w:t>　根据动物疫病对养殖业生产和人体健康的危害程度，本法规定的动物疫病分为下列三类：</w:t>
      </w:r>
    </w:p>
    <w:p>
      <w:pPr>
        <w:spacing w:line="560" w:lineRule="exact"/>
        <w:ind w:firstLine="640"/>
        <w:jc w:val="both"/>
      </w:pPr>
      <w:r>
        <w:rPr>
          <w:rFonts w:ascii="仿宋_GB2312" w:hAnsi="仿宋_GB2312" w:eastAsia="仿宋_GB2312" w:cs="仿宋_GB2312"/>
          <w:sz w:val="32"/>
        </w:rPr>
        <w:t>（一）一类疫病，是指口蹄疫、非洲猪瘟、高致病性禽流感等对人、动物构成特别严重危害，可能造成重大经济损失和社会影响，需要采取紧急、严厉的强制预防、控制等措施的；</w:t>
      </w:r>
    </w:p>
    <w:p>
      <w:pPr>
        <w:spacing w:line="560" w:lineRule="exact"/>
        <w:ind w:firstLine="640"/>
        <w:jc w:val="both"/>
      </w:pPr>
      <w:r>
        <w:rPr>
          <w:rFonts w:ascii="仿宋_GB2312" w:hAnsi="仿宋_GB2312" w:eastAsia="仿宋_GB2312" w:cs="仿宋_GB2312"/>
          <w:sz w:val="32"/>
        </w:rPr>
        <w:t>（二）二类疫病，是指狂犬病、布鲁氏菌病、草鱼出血病等对人、动物构成严重危害，可能造成较大经济损失和社会影响，需要采取严格预防、控制等措施的；</w:t>
      </w:r>
    </w:p>
    <w:p>
      <w:pPr>
        <w:spacing w:line="560" w:lineRule="exact"/>
        <w:ind w:firstLine="640"/>
        <w:jc w:val="both"/>
      </w:pPr>
      <w:r>
        <w:rPr>
          <w:rFonts w:ascii="仿宋_GB2312" w:hAnsi="仿宋_GB2312" w:eastAsia="仿宋_GB2312" w:cs="仿宋_GB2312"/>
          <w:sz w:val="32"/>
        </w:rPr>
        <w:t>（三）三类疫病，是指大肠杆菌病、禽结核病、鳖腮腺炎病等常见多发，对人、动物构成危害，可能造成一定程度的经济损失和社会影响，需要及时预防、控制的。</w:t>
      </w:r>
    </w:p>
    <w:p>
      <w:pPr>
        <w:spacing w:line="560" w:lineRule="exact"/>
        <w:ind w:firstLine="640"/>
        <w:jc w:val="both"/>
      </w:pPr>
      <w:r>
        <w:rPr>
          <w:rFonts w:ascii="仿宋_GB2312" w:hAnsi="仿宋_GB2312" w:eastAsia="仿宋_GB2312" w:cs="仿宋_GB2312"/>
          <w:sz w:val="32"/>
        </w:rPr>
        <w:t>前款一、二、三类动物疫病具体病种名录由国务院农业农村主管部门制定并公布。国务院农业农村主管部门应当根据动物疫病发生、流行情况和危害程度，及时增加、减少或者调整一、二、三类动物疫病具体病种并予以公布。</w:t>
      </w:r>
    </w:p>
    <w:p>
      <w:pPr>
        <w:spacing w:line="560" w:lineRule="exact"/>
        <w:ind w:firstLine="640"/>
        <w:jc w:val="both"/>
      </w:pPr>
      <w:r>
        <w:rPr>
          <w:rFonts w:ascii="仿宋_GB2312" w:hAnsi="仿宋_GB2312" w:eastAsia="仿宋_GB2312" w:cs="仿宋_GB2312"/>
          <w:sz w:val="32"/>
        </w:rPr>
        <w:t>人畜共患传染病名录由国务院农业农村主管部门会同国务院卫生健康、野生动物保护等主管部门制定并公布。</w:t>
      </w:r>
    </w:p>
    <w:p>
      <w:pPr>
        <w:spacing w:line="560" w:lineRule="exact"/>
        <w:ind w:firstLine="640"/>
        <w:jc w:val="both"/>
      </w:pPr>
      <w:r>
        <w:rPr>
          <w:rFonts w:ascii="黑体" w:hAnsi="黑体" w:eastAsia="黑体" w:cs="黑体"/>
          <w:sz w:val="32"/>
        </w:rPr>
        <w:t>第五条</w:t>
      </w:r>
      <w:r>
        <w:rPr>
          <w:rFonts w:ascii="仿宋_GB2312" w:hAnsi="仿宋_GB2312" w:eastAsia="仿宋_GB2312" w:cs="仿宋_GB2312"/>
          <w:sz w:val="32"/>
        </w:rPr>
        <w:t>　动物防疫实行预防为主，预防与控制、净化、消灭相结合的方针。</w:t>
      </w:r>
    </w:p>
    <w:p>
      <w:pPr>
        <w:spacing w:line="560" w:lineRule="exact"/>
        <w:ind w:firstLine="640"/>
        <w:jc w:val="both"/>
      </w:pPr>
      <w:r>
        <w:rPr>
          <w:rFonts w:ascii="黑体" w:hAnsi="黑体" w:eastAsia="黑体" w:cs="黑体"/>
          <w:sz w:val="32"/>
        </w:rPr>
        <w:t>第六条</w:t>
      </w:r>
      <w:r>
        <w:rPr>
          <w:rFonts w:ascii="仿宋_GB2312" w:hAnsi="仿宋_GB2312" w:eastAsia="仿宋_GB2312" w:cs="仿宋_GB2312"/>
          <w:sz w:val="32"/>
        </w:rPr>
        <w:t>　国家鼓励社会力量参与动物防疫工作。各级人民政府采取措施，支持单位和个人参与动物防疫的宣传教育、疫情报告、志愿服务和捐赠等活动。</w:t>
      </w:r>
    </w:p>
    <w:p>
      <w:pPr>
        <w:spacing w:line="560" w:lineRule="exact"/>
        <w:ind w:firstLine="640"/>
        <w:jc w:val="both"/>
      </w:pPr>
      <w:r>
        <w:rPr>
          <w:rFonts w:ascii="黑体" w:hAnsi="黑体" w:eastAsia="黑体" w:cs="黑体"/>
          <w:sz w:val="32"/>
        </w:rPr>
        <w:t>第七条</w:t>
      </w:r>
      <w:r>
        <w:rPr>
          <w:rFonts w:ascii="仿宋_GB2312" w:hAnsi="仿宋_GB2312" w:eastAsia="仿宋_GB2312" w:cs="仿宋_GB2312"/>
          <w:sz w:val="32"/>
        </w:rPr>
        <w:t>　从事动物饲养、屠宰、经营、隔离、运输以及动物产品生产、经营、加工、贮藏等活动的单位和个人，依照本法和国务院农业农村主管部门的规定，做好免疫、消毒、检测、隔离、净化、消灭、无害化处理等动物防疫工作，承担动物防疫相关责任。</w:t>
      </w:r>
    </w:p>
    <w:p>
      <w:pPr>
        <w:spacing w:line="560" w:lineRule="exact"/>
        <w:ind w:firstLine="640"/>
        <w:jc w:val="both"/>
      </w:pPr>
      <w:r>
        <w:rPr>
          <w:rFonts w:ascii="黑体" w:hAnsi="黑体" w:eastAsia="黑体" w:cs="黑体"/>
          <w:sz w:val="32"/>
        </w:rPr>
        <w:t>第八条</w:t>
      </w:r>
      <w:r>
        <w:rPr>
          <w:rFonts w:ascii="仿宋_GB2312" w:hAnsi="仿宋_GB2312" w:eastAsia="仿宋_GB2312" w:cs="仿宋_GB2312"/>
          <w:sz w:val="32"/>
        </w:rPr>
        <w:t>　县级以上人民政府对动物防疫工作实行统一领导，采取有效措施稳定基层机构队伍，加强动物防疫队伍建设，建立健全动物防疫体系，制定并组织实施动物疫病防治规划。</w:t>
      </w:r>
    </w:p>
    <w:p>
      <w:pPr>
        <w:spacing w:line="560" w:lineRule="exact"/>
        <w:ind w:firstLine="640"/>
        <w:jc w:val="both"/>
      </w:pPr>
      <w:r>
        <w:rPr>
          <w:rFonts w:ascii="仿宋_GB2312" w:hAnsi="仿宋_GB2312" w:eastAsia="仿宋_GB2312" w:cs="仿宋_GB2312"/>
          <w:sz w:val="32"/>
        </w:rPr>
        <w:t>乡级人民政府、街道办事处组织群众做好本辖区的动物疫病预防与控制工作，村民委员会、居民委员会予以协助。</w:t>
      </w:r>
    </w:p>
    <w:p>
      <w:pPr>
        <w:spacing w:line="560" w:lineRule="exact"/>
        <w:ind w:firstLine="640"/>
        <w:jc w:val="both"/>
      </w:pPr>
      <w:r>
        <w:rPr>
          <w:rFonts w:ascii="黑体" w:hAnsi="黑体" w:eastAsia="黑体" w:cs="黑体"/>
          <w:sz w:val="32"/>
        </w:rPr>
        <w:t>第九条</w:t>
      </w:r>
      <w:r>
        <w:rPr>
          <w:rFonts w:ascii="仿宋_GB2312" w:hAnsi="仿宋_GB2312" w:eastAsia="仿宋_GB2312" w:cs="仿宋_GB2312"/>
          <w:sz w:val="32"/>
        </w:rPr>
        <w:t>　国务院农业农村主管部门主管全国的动物防疫工作。</w:t>
      </w:r>
    </w:p>
    <w:p>
      <w:pPr>
        <w:spacing w:line="560" w:lineRule="exact"/>
        <w:ind w:firstLine="640"/>
        <w:jc w:val="both"/>
      </w:pPr>
      <w:r>
        <w:rPr>
          <w:rFonts w:ascii="仿宋_GB2312" w:hAnsi="仿宋_GB2312" w:eastAsia="仿宋_GB2312" w:cs="仿宋_GB2312"/>
          <w:sz w:val="32"/>
        </w:rPr>
        <w:t>县级以上地方人民政府农业农村主管部门主管本行政区域的动物防疫工作。</w:t>
      </w:r>
    </w:p>
    <w:p>
      <w:pPr>
        <w:spacing w:line="560" w:lineRule="exact"/>
        <w:ind w:firstLine="640"/>
        <w:jc w:val="both"/>
      </w:pPr>
      <w:r>
        <w:rPr>
          <w:rFonts w:ascii="仿宋_GB2312" w:hAnsi="仿宋_GB2312" w:eastAsia="仿宋_GB2312" w:cs="仿宋_GB2312"/>
          <w:sz w:val="32"/>
        </w:rPr>
        <w:t>县级以上人民政府其他有关部门在各自职责范围内做好动物防疫工作。</w:t>
      </w:r>
    </w:p>
    <w:p>
      <w:pPr>
        <w:spacing w:line="560" w:lineRule="exact"/>
        <w:ind w:firstLine="640"/>
        <w:jc w:val="both"/>
      </w:pPr>
      <w:r>
        <w:rPr>
          <w:rFonts w:ascii="仿宋_GB2312" w:hAnsi="仿宋_GB2312" w:eastAsia="仿宋_GB2312" w:cs="仿宋_GB2312"/>
          <w:sz w:val="32"/>
        </w:rPr>
        <w:t>军队动物卫生监督职能部门负责军队现役动物和饲养自用动物的防疫工作。</w:t>
      </w:r>
    </w:p>
    <w:p>
      <w:pPr>
        <w:spacing w:line="560" w:lineRule="exact"/>
        <w:ind w:firstLine="640"/>
        <w:jc w:val="both"/>
      </w:pPr>
      <w:r>
        <w:rPr>
          <w:rFonts w:ascii="黑体" w:hAnsi="黑体" w:eastAsia="黑体" w:cs="黑体"/>
          <w:sz w:val="32"/>
        </w:rPr>
        <w:t>第十条</w:t>
      </w:r>
      <w:r>
        <w:rPr>
          <w:rFonts w:ascii="仿宋_GB2312" w:hAnsi="仿宋_GB2312" w:eastAsia="仿宋_GB2312" w:cs="仿宋_GB2312"/>
          <w:sz w:val="32"/>
        </w:rPr>
        <w:t>　县级以上人民政府卫生健康主管部门和本级人民政府农业农村、野生动物保护等主管部门应当建立人畜共患传染病防治的协作机制。</w:t>
      </w:r>
    </w:p>
    <w:p>
      <w:pPr>
        <w:spacing w:line="560" w:lineRule="exact"/>
        <w:ind w:firstLine="640"/>
        <w:jc w:val="both"/>
      </w:pPr>
      <w:r>
        <w:rPr>
          <w:rFonts w:ascii="仿宋_GB2312" w:hAnsi="仿宋_GB2312" w:eastAsia="仿宋_GB2312" w:cs="仿宋_GB2312"/>
          <w:sz w:val="32"/>
        </w:rPr>
        <w:t>国务院农业农村主管部门和海关总署等部门应当建立防止境外动物疫病输入的协作机制。</w:t>
      </w:r>
    </w:p>
    <w:p>
      <w:pPr>
        <w:spacing w:line="560" w:lineRule="exact"/>
        <w:ind w:firstLine="640"/>
        <w:jc w:val="both"/>
      </w:pPr>
      <w:r>
        <w:rPr>
          <w:rFonts w:ascii="黑体" w:hAnsi="黑体" w:eastAsia="黑体" w:cs="黑体"/>
          <w:sz w:val="32"/>
        </w:rPr>
        <w:t>第十一条</w:t>
      </w:r>
      <w:r>
        <w:rPr>
          <w:rFonts w:ascii="仿宋_GB2312" w:hAnsi="仿宋_GB2312" w:eastAsia="仿宋_GB2312" w:cs="仿宋_GB2312"/>
          <w:sz w:val="32"/>
        </w:rPr>
        <w:t>　县级以上地方人民政府的动物卫生监督机构依照本法规定，负责动物、动物产品的检疫工作。</w:t>
      </w:r>
    </w:p>
    <w:p>
      <w:pPr>
        <w:spacing w:line="560" w:lineRule="exact"/>
        <w:ind w:firstLine="640"/>
        <w:jc w:val="both"/>
      </w:pPr>
      <w:r>
        <w:rPr>
          <w:rFonts w:ascii="黑体" w:hAnsi="黑体" w:eastAsia="黑体" w:cs="黑体"/>
          <w:sz w:val="32"/>
        </w:rPr>
        <w:t>第十二条</w:t>
      </w:r>
      <w:r>
        <w:rPr>
          <w:rFonts w:ascii="仿宋_GB2312" w:hAnsi="仿宋_GB2312" w:eastAsia="仿宋_GB2312" w:cs="仿宋_GB2312"/>
          <w:sz w:val="32"/>
        </w:rPr>
        <w:t>　县级以上人民政府按照国务院的规定，根据统筹规划、合理布局、综合设置的原则建立动物疫病预防控制机构。</w:t>
      </w:r>
    </w:p>
    <w:p>
      <w:pPr>
        <w:spacing w:line="560" w:lineRule="exact"/>
        <w:ind w:firstLine="640"/>
        <w:jc w:val="both"/>
      </w:pPr>
      <w:r>
        <w:rPr>
          <w:rFonts w:ascii="仿宋_GB2312" w:hAnsi="仿宋_GB2312" w:eastAsia="仿宋_GB2312" w:cs="仿宋_GB2312"/>
          <w:sz w:val="32"/>
        </w:rPr>
        <w:t>动物疫病预防控制机构承担动物疫病的监测、检测、诊断、流行病学调查、疫情报告以及其他预防、控制等技术工作；承担动物疫病净化、消灭的技术工作。</w:t>
      </w:r>
    </w:p>
    <w:p>
      <w:pPr>
        <w:spacing w:line="560" w:lineRule="exact"/>
        <w:ind w:firstLine="640"/>
        <w:jc w:val="both"/>
      </w:pPr>
      <w:r>
        <w:rPr>
          <w:rFonts w:ascii="黑体" w:hAnsi="黑体" w:eastAsia="黑体" w:cs="黑体"/>
          <w:sz w:val="32"/>
        </w:rPr>
        <w:t>第十三条</w:t>
      </w:r>
      <w:r>
        <w:rPr>
          <w:rFonts w:ascii="仿宋_GB2312" w:hAnsi="仿宋_GB2312" w:eastAsia="仿宋_GB2312" w:cs="仿宋_GB2312"/>
          <w:sz w:val="32"/>
        </w:rPr>
        <w:t>　国家鼓励和支持开展动物疫病的科学研究以及国际合作与交流，推广先进适用的科学研究成果，提高动物疫病防治的科学技术水平。</w:t>
      </w:r>
    </w:p>
    <w:p>
      <w:pPr>
        <w:spacing w:line="560" w:lineRule="exact"/>
        <w:ind w:firstLine="640"/>
        <w:jc w:val="both"/>
      </w:pPr>
      <w:r>
        <w:rPr>
          <w:rFonts w:ascii="仿宋_GB2312" w:hAnsi="仿宋_GB2312" w:eastAsia="仿宋_GB2312" w:cs="仿宋_GB2312"/>
          <w:sz w:val="32"/>
        </w:rPr>
        <w:t>各级人民政府和有关部门、新闻媒体，应当加强对动物防疫法律法规和动物防疫知识的宣传。</w:t>
      </w:r>
    </w:p>
    <w:p>
      <w:pPr>
        <w:spacing w:line="560" w:lineRule="exact"/>
        <w:ind w:firstLine="640"/>
        <w:jc w:val="both"/>
      </w:pPr>
      <w:r>
        <w:rPr>
          <w:rFonts w:ascii="黑体" w:hAnsi="黑体" w:eastAsia="黑体" w:cs="黑体"/>
          <w:sz w:val="32"/>
        </w:rPr>
        <w:t>第十四条</w:t>
      </w:r>
      <w:r>
        <w:rPr>
          <w:rFonts w:ascii="仿宋_GB2312" w:hAnsi="仿宋_GB2312" w:eastAsia="仿宋_GB2312" w:cs="仿宋_GB2312"/>
          <w:sz w:val="32"/>
        </w:rPr>
        <w:t>　对在动物防疫工作、相关科学研究、动物疫情扑灭中做出贡献的单位和个人，各级人民政府和有关部门按照国家有关规定给予表彰、奖励。</w:t>
      </w:r>
    </w:p>
    <w:p>
      <w:pPr>
        <w:spacing w:line="560" w:lineRule="exact"/>
        <w:ind w:firstLine="640"/>
        <w:jc w:val="both"/>
      </w:pPr>
      <w:r>
        <w:rPr>
          <w:rFonts w:ascii="仿宋_GB2312" w:hAnsi="仿宋_GB2312" w:eastAsia="仿宋_GB2312" w:cs="仿宋_GB2312"/>
          <w:sz w:val="32"/>
        </w:rPr>
        <w:t>有关单位应当依法为动物防疫人员缴纳工伤保险费。对因参与动物防疫工作致病、致残、死亡的人员，按照国家有关规定给予补助或者抚恤。</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第二章　动物疫病的预防</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第十五条</w:t>
      </w:r>
      <w:r>
        <w:rPr>
          <w:rFonts w:ascii="仿宋_GB2312" w:hAnsi="仿宋_GB2312" w:eastAsia="仿宋_GB2312" w:cs="仿宋_GB2312"/>
          <w:sz w:val="32"/>
        </w:rPr>
        <w:t>　国家建立动物疫病风险评估制度。</w:t>
      </w:r>
    </w:p>
    <w:p>
      <w:pPr>
        <w:spacing w:line="560" w:lineRule="exact"/>
        <w:ind w:firstLine="640"/>
        <w:jc w:val="both"/>
      </w:pPr>
      <w:r>
        <w:rPr>
          <w:rFonts w:ascii="仿宋_GB2312" w:hAnsi="仿宋_GB2312" w:eastAsia="仿宋_GB2312" w:cs="仿宋_GB2312"/>
          <w:sz w:val="32"/>
        </w:rPr>
        <w:t>国务院农业农村主管部门根据国内外动物疫情以及保护养殖业生产和人体健康的需要，及时会同国务院卫生健康等有关部门对动物疫病进行风险评估，并制定、公布动物疫病预防、控制、净化、消灭措施和技术规范。</w:t>
      </w:r>
    </w:p>
    <w:p>
      <w:pPr>
        <w:spacing w:line="560" w:lineRule="exact"/>
        <w:ind w:firstLine="640"/>
        <w:jc w:val="both"/>
      </w:pPr>
      <w:r>
        <w:rPr>
          <w:rFonts w:ascii="仿宋_GB2312" w:hAnsi="仿宋_GB2312" w:eastAsia="仿宋_GB2312" w:cs="仿宋_GB2312"/>
          <w:sz w:val="32"/>
        </w:rPr>
        <w:t>省、自治区、直辖市人民政府农业农村主管部门会同本级人民政府卫生健康等有关部门开展本行政区域的动物疫病风险评估，并落实动物疫病预防、控制、净化、消灭措施。</w:t>
      </w:r>
    </w:p>
    <w:p>
      <w:pPr>
        <w:spacing w:line="560" w:lineRule="exact"/>
        <w:ind w:firstLine="640"/>
        <w:jc w:val="both"/>
      </w:pPr>
      <w:r>
        <w:rPr>
          <w:rFonts w:ascii="黑体" w:hAnsi="黑体" w:eastAsia="黑体" w:cs="黑体"/>
          <w:sz w:val="32"/>
        </w:rPr>
        <w:t>第十六条</w:t>
      </w:r>
      <w:r>
        <w:rPr>
          <w:rFonts w:ascii="仿宋_GB2312" w:hAnsi="仿宋_GB2312" w:eastAsia="仿宋_GB2312" w:cs="仿宋_GB2312"/>
          <w:sz w:val="32"/>
        </w:rPr>
        <w:t>　国家对严重危害养殖业生产和人体健康的动物疫病实施强制免疫。</w:t>
      </w:r>
    </w:p>
    <w:p>
      <w:pPr>
        <w:spacing w:line="560" w:lineRule="exact"/>
        <w:ind w:firstLine="640"/>
        <w:jc w:val="both"/>
      </w:pPr>
      <w:r>
        <w:rPr>
          <w:rFonts w:ascii="仿宋_GB2312" w:hAnsi="仿宋_GB2312" w:eastAsia="仿宋_GB2312" w:cs="仿宋_GB2312"/>
          <w:sz w:val="32"/>
        </w:rPr>
        <w:t>国务院农业农村主管部门确定强制免疫的动物疫病病种和区域。</w:t>
      </w:r>
    </w:p>
    <w:p>
      <w:pPr>
        <w:spacing w:line="560" w:lineRule="exact"/>
        <w:ind w:firstLine="640"/>
        <w:jc w:val="both"/>
      </w:pPr>
      <w:r>
        <w:rPr>
          <w:rFonts w:ascii="仿宋_GB2312" w:hAnsi="仿宋_GB2312" w:eastAsia="仿宋_GB2312" w:cs="仿宋_GB2312"/>
          <w:sz w:val="32"/>
        </w:rPr>
        <w:t>省、自治区、直辖市人民政府农业农村主管部门制定本行政区域的强制免疫计划；根据本行政区域动物疫病流行情况增加实施强制免疫的动物疫病病种和区域，报本级人民政府批准后执行，并报国务院农业农村主管部门备案。</w:t>
      </w:r>
    </w:p>
    <w:p>
      <w:pPr>
        <w:spacing w:line="560" w:lineRule="exact"/>
        <w:ind w:firstLine="640"/>
        <w:jc w:val="both"/>
      </w:pPr>
      <w:r>
        <w:rPr>
          <w:rFonts w:ascii="黑体" w:hAnsi="黑体" w:eastAsia="黑体" w:cs="黑体"/>
          <w:sz w:val="32"/>
        </w:rPr>
        <w:t>第十七条</w:t>
      </w:r>
      <w:r>
        <w:rPr>
          <w:rFonts w:ascii="仿宋_GB2312" w:hAnsi="仿宋_GB2312" w:eastAsia="仿宋_GB2312" w:cs="仿宋_GB2312"/>
          <w:sz w:val="32"/>
        </w:rPr>
        <w:t>　饲养动物的单位和个人应当履行动物疫病强制免疫义务，按照强制免疫计划和技术规范，对动物实施免疫接种，并按照国家有关规定建立免疫档案、加施畜禽标识，保证可追溯。</w:t>
      </w:r>
    </w:p>
    <w:p>
      <w:pPr>
        <w:spacing w:line="560" w:lineRule="exact"/>
        <w:ind w:firstLine="640"/>
        <w:jc w:val="both"/>
      </w:pPr>
      <w:r>
        <w:rPr>
          <w:rFonts w:ascii="仿宋_GB2312" w:hAnsi="仿宋_GB2312" w:eastAsia="仿宋_GB2312" w:cs="仿宋_GB2312"/>
          <w:sz w:val="32"/>
        </w:rPr>
        <w:t>实施强制免疫接种的动物未达到免疫质量要求，实施补充免疫接种后仍不符合免疫质量要求的，有关单位和个人应当按照国家有关规定处理。</w:t>
      </w:r>
    </w:p>
    <w:p>
      <w:pPr>
        <w:spacing w:line="560" w:lineRule="exact"/>
        <w:ind w:firstLine="640"/>
        <w:jc w:val="both"/>
      </w:pPr>
      <w:r>
        <w:rPr>
          <w:rFonts w:ascii="仿宋_GB2312" w:hAnsi="仿宋_GB2312" w:eastAsia="仿宋_GB2312" w:cs="仿宋_GB2312"/>
          <w:sz w:val="32"/>
        </w:rPr>
        <w:t>用于预防接种的疫苗应当符合国家质量标准。</w:t>
      </w:r>
    </w:p>
    <w:p>
      <w:pPr>
        <w:spacing w:line="560" w:lineRule="exact"/>
        <w:ind w:firstLine="640"/>
        <w:jc w:val="both"/>
      </w:pPr>
      <w:r>
        <w:rPr>
          <w:rFonts w:ascii="黑体" w:hAnsi="黑体" w:eastAsia="黑体" w:cs="黑体"/>
          <w:sz w:val="32"/>
        </w:rPr>
        <w:t>第十八条</w:t>
      </w:r>
      <w:r>
        <w:rPr>
          <w:rFonts w:ascii="仿宋_GB2312" w:hAnsi="仿宋_GB2312" w:eastAsia="仿宋_GB2312" w:cs="仿宋_GB2312"/>
          <w:sz w:val="32"/>
        </w:rPr>
        <w:t>　县级以上地方人民政府农业农村主管部门负责组织实施动物疫病强制免疫计划，并对饲养动物的单位和个人履行强制免疫义务的情况进行监督检查。</w:t>
      </w:r>
    </w:p>
    <w:p>
      <w:pPr>
        <w:spacing w:line="560" w:lineRule="exact"/>
        <w:ind w:firstLine="640"/>
        <w:jc w:val="both"/>
      </w:pPr>
      <w:r>
        <w:rPr>
          <w:rFonts w:ascii="仿宋_GB2312" w:hAnsi="仿宋_GB2312" w:eastAsia="仿宋_GB2312" w:cs="仿宋_GB2312"/>
          <w:sz w:val="32"/>
        </w:rPr>
        <w:t>乡级人民政府、街道办事处组织本辖区饲养动物的单位和个人做好强制免疫，协助做好监督检查；村民委员会、居民委员会协助做好相关工作。</w:t>
      </w:r>
    </w:p>
    <w:p>
      <w:pPr>
        <w:spacing w:line="560" w:lineRule="exact"/>
        <w:ind w:firstLine="640"/>
        <w:jc w:val="both"/>
      </w:pPr>
      <w:r>
        <w:rPr>
          <w:rFonts w:ascii="仿宋_GB2312" w:hAnsi="仿宋_GB2312" w:eastAsia="仿宋_GB2312" w:cs="仿宋_GB2312"/>
          <w:sz w:val="32"/>
        </w:rPr>
        <w:t>县级以上地方人民政府农业农村主管部门应当定期对本行政区域的强制免疫计划实施情况和效果进行评估，并向社会公布评估结果。</w:t>
      </w:r>
    </w:p>
    <w:p>
      <w:pPr>
        <w:spacing w:line="560" w:lineRule="exact"/>
        <w:ind w:firstLine="640"/>
        <w:jc w:val="both"/>
      </w:pPr>
      <w:r>
        <w:rPr>
          <w:rFonts w:ascii="黑体" w:hAnsi="黑体" w:eastAsia="黑体" w:cs="黑体"/>
          <w:sz w:val="32"/>
        </w:rPr>
        <w:t>第十九条</w:t>
      </w:r>
      <w:r>
        <w:rPr>
          <w:rFonts w:ascii="仿宋_GB2312" w:hAnsi="仿宋_GB2312" w:eastAsia="仿宋_GB2312" w:cs="仿宋_GB2312"/>
          <w:sz w:val="32"/>
        </w:rPr>
        <w:t>　国家实行动物疫病监测和疫情预警制度。</w:t>
      </w:r>
    </w:p>
    <w:p>
      <w:pPr>
        <w:spacing w:line="560" w:lineRule="exact"/>
        <w:ind w:firstLine="640"/>
        <w:jc w:val="both"/>
      </w:pPr>
      <w:r>
        <w:rPr>
          <w:rFonts w:ascii="仿宋_GB2312" w:hAnsi="仿宋_GB2312" w:eastAsia="仿宋_GB2312" w:cs="仿宋_GB2312"/>
          <w:sz w:val="32"/>
        </w:rPr>
        <w:t>县级以上人民政府建立健全动物疫病监测网络，加强动物疫病监测。</w:t>
      </w:r>
    </w:p>
    <w:p>
      <w:pPr>
        <w:spacing w:line="560" w:lineRule="exact"/>
        <w:ind w:firstLine="640"/>
        <w:jc w:val="both"/>
      </w:pPr>
      <w:r>
        <w:rPr>
          <w:rFonts w:ascii="仿宋_GB2312" w:hAnsi="仿宋_GB2312" w:eastAsia="仿宋_GB2312" w:cs="仿宋_GB2312"/>
          <w:sz w:val="32"/>
        </w:rPr>
        <w:t>国务院农业农村主管部门会同国务院有关部门制定国家动物疫病监测计划。省、自治区、直辖市人民政府农业农村主管部门根据国家动物疫病监测计划，制定本行政区域的动物疫病监测计划。</w:t>
      </w:r>
    </w:p>
    <w:p>
      <w:pPr>
        <w:spacing w:line="560" w:lineRule="exact"/>
        <w:ind w:firstLine="640"/>
        <w:jc w:val="both"/>
      </w:pPr>
      <w:r>
        <w:rPr>
          <w:rFonts w:ascii="仿宋_GB2312" w:hAnsi="仿宋_GB2312" w:eastAsia="仿宋_GB2312" w:cs="仿宋_GB2312"/>
          <w:sz w:val="32"/>
        </w:rPr>
        <w:t>动物疫病预防控制机构按照国务院农业农村主管部门的规定和动物疫病监测计划，对动物疫病的发生、流行等情况进行监测；从事动物饲养、屠宰、经营、隔离、运输以及动物产品生产、经营、加工、贮藏、无害化处理等活动的单位和个人不得拒绝或者阻碍。</w:t>
      </w:r>
    </w:p>
    <w:p>
      <w:pPr>
        <w:spacing w:line="560" w:lineRule="exact"/>
        <w:ind w:firstLine="640"/>
        <w:jc w:val="both"/>
      </w:pPr>
      <w:r>
        <w:rPr>
          <w:rFonts w:ascii="仿宋_GB2312" w:hAnsi="仿宋_GB2312" w:eastAsia="仿宋_GB2312" w:cs="仿宋_GB2312"/>
          <w:sz w:val="32"/>
        </w:rPr>
        <w:t>国务院农业农村主管部门和省、自治区、直辖市人民政府农业农村主管部门根据对动物疫病发生、流行趋势的预测，及时发出动物疫情预警。地方各级人民政府接到动物疫情预警后，应当及时采取预防、控制措施。</w:t>
      </w:r>
    </w:p>
    <w:p>
      <w:pPr>
        <w:spacing w:line="560" w:lineRule="exact"/>
        <w:ind w:firstLine="640"/>
        <w:jc w:val="both"/>
      </w:pPr>
      <w:r>
        <w:rPr>
          <w:rFonts w:ascii="黑体" w:hAnsi="黑体" w:eastAsia="黑体" w:cs="黑体"/>
          <w:sz w:val="32"/>
        </w:rPr>
        <w:t>第二十条</w:t>
      </w:r>
      <w:r>
        <w:rPr>
          <w:rFonts w:ascii="仿宋_GB2312" w:hAnsi="仿宋_GB2312" w:eastAsia="仿宋_GB2312" w:cs="仿宋_GB2312"/>
          <w:sz w:val="32"/>
        </w:rPr>
        <w:t>　陆路边境省、自治区人民政府根据动物疫病防控需要，合理设置动物疫病监测站点，健全监测工作机制，防范境外动物疫病传入。</w:t>
      </w:r>
    </w:p>
    <w:p>
      <w:pPr>
        <w:spacing w:line="560" w:lineRule="exact"/>
        <w:ind w:firstLine="640"/>
        <w:jc w:val="both"/>
      </w:pPr>
      <w:r>
        <w:rPr>
          <w:rFonts w:ascii="仿宋_GB2312" w:hAnsi="仿宋_GB2312" w:eastAsia="仿宋_GB2312" w:cs="仿宋_GB2312"/>
          <w:sz w:val="32"/>
        </w:rPr>
        <w:t>科技、海关等部门按照本法和有关法律法规的规定做好动物疫病监测预警工作，并定期与农业农村主管部门互通情况，紧急情况及时通报。</w:t>
      </w:r>
    </w:p>
    <w:p>
      <w:pPr>
        <w:spacing w:line="560" w:lineRule="exact"/>
        <w:ind w:firstLine="640"/>
        <w:jc w:val="both"/>
      </w:pPr>
      <w:r>
        <w:rPr>
          <w:rFonts w:ascii="仿宋_GB2312" w:hAnsi="仿宋_GB2312" w:eastAsia="仿宋_GB2312" w:cs="仿宋_GB2312"/>
          <w:sz w:val="32"/>
        </w:rPr>
        <w:t>县级以上人民政府应当完善野生动物疫源疫病监测体系和工作机制，根据需要合理布局监测站点；野生动物保护、农业农村主管部门按照职责分工做好野生动物疫源疫病监测等工作，并定期互通情况，紧急情况及时通报。</w:t>
      </w:r>
    </w:p>
    <w:p>
      <w:pPr>
        <w:spacing w:line="560" w:lineRule="exact"/>
        <w:ind w:firstLine="640"/>
        <w:jc w:val="both"/>
      </w:pPr>
      <w:r>
        <w:rPr>
          <w:rFonts w:ascii="黑体" w:hAnsi="黑体" w:eastAsia="黑体" w:cs="黑体"/>
          <w:sz w:val="32"/>
        </w:rPr>
        <w:t>第二十一条</w:t>
      </w:r>
      <w:r>
        <w:rPr>
          <w:rFonts w:ascii="仿宋_GB2312" w:hAnsi="仿宋_GB2312" w:eastAsia="仿宋_GB2312" w:cs="仿宋_GB2312"/>
          <w:sz w:val="32"/>
        </w:rPr>
        <w:t>　国家支持地方建立无规定动物疫病区，鼓励动物饲养场建设无规定动物疫病生物安全隔离区。对符合国务院农业农村主管部门规定标准的无规定动物疫病区和无规定动物疫病生物安全隔离区，国务院农业农村主管部门验收合格予以公布，并对其维持情况进行监督检查。</w:t>
      </w:r>
    </w:p>
    <w:p>
      <w:pPr>
        <w:spacing w:line="560" w:lineRule="exact"/>
        <w:ind w:firstLine="640"/>
        <w:jc w:val="both"/>
      </w:pPr>
      <w:r>
        <w:rPr>
          <w:rFonts w:ascii="仿宋_GB2312" w:hAnsi="仿宋_GB2312" w:eastAsia="仿宋_GB2312" w:cs="仿宋_GB2312"/>
          <w:sz w:val="32"/>
        </w:rPr>
        <w:t>省、自治区、直辖市人民政府制定并组织实施本行政区域的无规定动物疫病区建设方案。国务院农业农村主管部门指导跨省、自治区、直辖市无规定动物疫病区建设。</w:t>
      </w:r>
    </w:p>
    <w:p>
      <w:pPr>
        <w:spacing w:line="560" w:lineRule="exact"/>
        <w:ind w:firstLine="640"/>
        <w:jc w:val="both"/>
      </w:pPr>
      <w:r>
        <w:rPr>
          <w:rFonts w:ascii="仿宋_GB2312" w:hAnsi="仿宋_GB2312" w:eastAsia="仿宋_GB2312" w:cs="仿宋_GB2312"/>
          <w:sz w:val="32"/>
        </w:rPr>
        <w:t>国务院农业农村主管部门根据行政区划、养殖屠宰产业布局、风险评估情况等对动物疫病实施分区防控，可以采取禁止或者限制特定动物、动物产品跨区域调运等措施。</w:t>
      </w:r>
    </w:p>
    <w:p>
      <w:pPr>
        <w:spacing w:line="560" w:lineRule="exact"/>
        <w:ind w:firstLine="640"/>
        <w:jc w:val="both"/>
      </w:pPr>
      <w:r>
        <w:rPr>
          <w:rFonts w:ascii="黑体" w:hAnsi="黑体" w:eastAsia="黑体" w:cs="黑体"/>
          <w:sz w:val="32"/>
        </w:rPr>
        <w:t>第二十二条</w:t>
      </w:r>
      <w:r>
        <w:rPr>
          <w:rFonts w:ascii="仿宋_GB2312" w:hAnsi="仿宋_GB2312" w:eastAsia="仿宋_GB2312" w:cs="仿宋_GB2312"/>
          <w:sz w:val="32"/>
        </w:rPr>
        <w:t>　国务院农业农村主管部门制定并组织实施动物疫病净化、消灭规划。</w:t>
      </w:r>
    </w:p>
    <w:p>
      <w:pPr>
        <w:spacing w:line="560" w:lineRule="exact"/>
        <w:ind w:firstLine="640"/>
        <w:jc w:val="both"/>
      </w:pPr>
      <w:r>
        <w:rPr>
          <w:rFonts w:ascii="仿宋_GB2312" w:hAnsi="仿宋_GB2312" w:eastAsia="仿宋_GB2312" w:cs="仿宋_GB2312"/>
          <w:sz w:val="32"/>
        </w:rPr>
        <w:t>县级以上地方人民政府根据动物疫病净化、消灭规划，制定并组织实施本行政区域的动物疫病净化、消灭计划。</w:t>
      </w:r>
    </w:p>
    <w:p>
      <w:pPr>
        <w:spacing w:line="560" w:lineRule="exact"/>
        <w:ind w:firstLine="640"/>
        <w:jc w:val="both"/>
      </w:pPr>
      <w:r>
        <w:rPr>
          <w:rFonts w:ascii="仿宋_GB2312" w:hAnsi="仿宋_GB2312" w:eastAsia="仿宋_GB2312" w:cs="仿宋_GB2312"/>
          <w:sz w:val="32"/>
        </w:rPr>
        <w:t>动物疫病预防控制机构按照动物疫病净化、消灭规划、计划，开展动物疫病净化技术指导、培训，对动物疫病净化效果进行监测、评估。</w:t>
      </w:r>
    </w:p>
    <w:p>
      <w:pPr>
        <w:spacing w:line="560" w:lineRule="exact"/>
        <w:ind w:firstLine="640"/>
        <w:jc w:val="both"/>
      </w:pPr>
      <w:r>
        <w:rPr>
          <w:rFonts w:ascii="仿宋_GB2312" w:hAnsi="仿宋_GB2312" w:eastAsia="仿宋_GB2312" w:cs="仿宋_GB2312"/>
          <w:sz w:val="32"/>
        </w:rPr>
        <w:t>国家推进动物疫病净化，鼓励和支持饲养动物的单位和个人开展动物疫病净化。饲养动物的单位和个人达到国务院农业农村主管部门规定的净化标准的，由省级以上人民政府农业农村主管部门予以公布。</w:t>
      </w:r>
    </w:p>
    <w:p>
      <w:pPr>
        <w:spacing w:line="560" w:lineRule="exact"/>
        <w:ind w:firstLine="640"/>
        <w:jc w:val="both"/>
      </w:pPr>
      <w:r>
        <w:rPr>
          <w:rFonts w:ascii="黑体" w:hAnsi="黑体" w:eastAsia="黑体" w:cs="黑体"/>
          <w:sz w:val="32"/>
        </w:rPr>
        <w:t>第二十三条</w:t>
      </w:r>
      <w:r>
        <w:rPr>
          <w:rFonts w:ascii="仿宋_GB2312" w:hAnsi="仿宋_GB2312" w:eastAsia="仿宋_GB2312" w:cs="仿宋_GB2312"/>
          <w:sz w:val="32"/>
        </w:rPr>
        <w:t>　种用、乳用动物应当符合国务院农业农村主管部门规定的健康标准。</w:t>
      </w:r>
    </w:p>
    <w:p>
      <w:pPr>
        <w:spacing w:line="560" w:lineRule="exact"/>
        <w:ind w:firstLine="640"/>
        <w:jc w:val="both"/>
      </w:pPr>
      <w:r>
        <w:rPr>
          <w:rFonts w:ascii="仿宋_GB2312" w:hAnsi="仿宋_GB2312" w:eastAsia="仿宋_GB2312" w:cs="仿宋_GB2312"/>
          <w:sz w:val="32"/>
        </w:rPr>
        <w:t>饲养种用、乳用动物的单位和个人，应当按照国务院农业农村主管部门的要求，定期开展动物疫病检测；检测不合格的，应当按照国家有关规定处理。</w:t>
      </w:r>
    </w:p>
    <w:p>
      <w:pPr>
        <w:spacing w:line="560" w:lineRule="exact"/>
        <w:ind w:firstLine="640"/>
        <w:jc w:val="both"/>
      </w:pPr>
      <w:r>
        <w:rPr>
          <w:rFonts w:ascii="黑体" w:hAnsi="黑体" w:eastAsia="黑体" w:cs="黑体"/>
          <w:sz w:val="32"/>
        </w:rPr>
        <w:t>第二十四条</w:t>
      </w:r>
      <w:r>
        <w:rPr>
          <w:rFonts w:ascii="仿宋_GB2312" w:hAnsi="仿宋_GB2312" w:eastAsia="仿宋_GB2312" w:cs="仿宋_GB2312"/>
          <w:sz w:val="32"/>
        </w:rPr>
        <w:t>　动物饲养场和隔离场所、动物屠宰加工场所以及动物和动物产品无害化处理场所，应当符合下列动物防疫条件：</w:t>
      </w:r>
    </w:p>
    <w:p>
      <w:pPr>
        <w:spacing w:line="560" w:lineRule="exact"/>
        <w:ind w:firstLine="640"/>
        <w:jc w:val="both"/>
      </w:pPr>
      <w:r>
        <w:rPr>
          <w:rFonts w:ascii="仿宋_GB2312" w:hAnsi="仿宋_GB2312" w:eastAsia="仿宋_GB2312" w:cs="仿宋_GB2312"/>
          <w:sz w:val="32"/>
        </w:rPr>
        <w:t>（一）场所的位置与居民生活区、生活饮用水水源地、学校、医院等公共场所的距离符合国务院农业农村主管部门的规定；</w:t>
      </w:r>
    </w:p>
    <w:p>
      <w:pPr>
        <w:spacing w:line="560" w:lineRule="exact"/>
        <w:ind w:firstLine="640"/>
        <w:jc w:val="both"/>
      </w:pPr>
      <w:r>
        <w:rPr>
          <w:rFonts w:ascii="仿宋_GB2312" w:hAnsi="仿宋_GB2312" w:eastAsia="仿宋_GB2312" w:cs="仿宋_GB2312"/>
          <w:sz w:val="32"/>
        </w:rPr>
        <w:t>（二）生产经营区域封闭隔离，工程设计和有关流程符合动物防疫要求；</w:t>
      </w:r>
    </w:p>
    <w:p>
      <w:pPr>
        <w:spacing w:line="560" w:lineRule="exact"/>
        <w:ind w:firstLine="640"/>
        <w:jc w:val="both"/>
      </w:pPr>
      <w:r>
        <w:rPr>
          <w:rFonts w:ascii="仿宋_GB2312" w:hAnsi="仿宋_GB2312" w:eastAsia="仿宋_GB2312" w:cs="仿宋_GB2312"/>
          <w:sz w:val="32"/>
        </w:rPr>
        <w:t>（三）有与其规模相适应的污水、污物处理设施，病死动物、病害动物产品无害化处理设施设备或者冷藏冷冻设施设备，以及清洗消毒设施设备；</w:t>
      </w:r>
    </w:p>
    <w:p>
      <w:pPr>
        <w:spacing w:line="560" w:lineRule="exact"/>
        <w:ind w:firstLine="640"/>
        <w:jc w:val="both"/>
      </w:pPr>
      <w:r>
        <w:rPr>
          <w:rFonts w:ascii="仿宋_GB2312" w:hAnsi="仿宋_GB2312" w:eastAsia="仿宋_GB2312" w:cs="仿宋_GB2312"/>
          <w:sz w:val="32"/>
        </w:rPr>
        <w:t>（四）有与其规模相适应的执业兽医或者动物防疫技术人员；</w:t>
      </w:r>
    </w:p>
    <w:p>
      <w:pPr>
        <w:spacing w:line="560" w:lineRule="exact"/>
        <w:ind w:firstLine="640"/>
        <w:jc w:val="both"/>
      </w:pPr>
      <w:r>
        <w:rPr>
          <w:rFonts w:ascii="仿宋_GB2312" w:hAnsi="仿宋_GB2312" w:eastAsia="仿宋_GB2312" w:cs="仿宋_GB2312"/>
          <w:sz w:val="32"/>
        </w:rPr>
        <w:t>（五）有完善的隔离消毒、购销台账、日常巡查等动物防疫制度；</w:t>
      </w:r>
    </w:p>
    <w:p>
      <w:pPr>
        <w:spacing w:line="560" w:lineRule="exact"/>
        <w:ind w:firstLine="640"/>
        <w:jc w:val="both"/>
      </w:pPr>
      <w:r>
        <w:rPr>
          <w:rFonts w:ascii="仿宋_GB2312" w:hAnsi="仿宋_GB2312" w:eastAsia="仿宋_GB2312" w:cs="仿宋_GB2312"/>
          <w:sz w:val="32"/>
        </w:rPr>
        <w:t>（六）具备国务院农业农村主管部门规定的其他动物防疫条件。</w:t>
      </w:r>
    </w:p>
    <w:p>
      <w:pPr>
        <w:spacing w:line="560" w:lineRule="exact"/>
        <w:ind w:firstLine="640"/>
        <w:jc w:val="both"/>
      </w:pPr>
      <w:r>
        <w:rPr>
          <w:rFonts w:ascii="仿宋_GB2312" w:hAnsi="仿宋_GB2312" w:eastAsia="仿宋_GB2312" w:cs="仿宋_GB2312"/>
          <w:sz w:val="32"/>
        </w:rPr>
        <w:t>动物和动物产品无害化处理场所除应当符合前款规定的条件外，还应当具有病原检测设备、检测能力和符合动物防疫要求的专用运输车辆。</w:t>
      </w:r>
    </w:p>
    <w:p>
      <w:pPr>
        <w:spacing w:line="560" w:lineRule="exact"/>
        <w:ind w:firstLine="640"/>
        <w:jc w:val="both"/>
      </w:pPr>
      <w:r>
        <w:rPr>
          <w:rFonts w:ascii="黑体" w:hAnsi="黑体" w:eastAsia="黑体" w:cs="黑体"/>
          <w:sz w:val="32"/>
        </w:rPr>
        <w:t>第二十五条</w:t>
      </w:r>
      <w:r>
        <w:rPr>
          <w:rFonts w:ascii="仿宋_GB2312" w:hAnsi="仿宋_GB2312" w:eastAsia="仿宋_GB2312" w:cs="仿宋_GB2312"/>
          <w:sz w:val="32"/>
        </w:rPr>
        <w:t>　国家实行动物防疫条件审查制度。</w:t>
      </w:r>
    </w:p>
    <w:p>
      <w:pPr>
        <w:spacing w:line="560" w:lineRule="exact"/>
        <w:ind w:firstLine="640"/>
        <w:jc w:val="both"/>
      </w:pPr>
      <w:r>
        <w:rPr>
          <w:rFonts w:ascii="仿宋_GB2312" w:hAnsi="仿宋_GB2312" w:eastAsia="仿宋_GB2312" w:cs="仿宋_GB2312"/>
          <w:sz w:val="32"/>
        </w:rPr>
        <w:t>开办动物饲养场和隔离场所、动物屠宰加工场所以及动物和动物产品无害化处理场所，应当向县级以上地方人民政府农业农村主管部门提出申请，并附具相关材料。受理申请的农业农村主管部门应当依照本法和《中华人民共和国行政许可法》的规定进行审查。经审查合格的，发给动物防疫条件合格证；不合格的，应当通知申请人并说明理由。</w:t>
      </w:r>
    </w:p>
    <w:p>
      <w:pPr>
        <w:spacing w:line="560" w:lineRule="exact"/>
        <w:ind w:firstLine="640"/>
        <w:jc w:val="both"/>
      </w:pPr>
      <w:r>
        <w:rPr>
          <w:rFonts w:ascii="仿宋_GB2312" w:hAnsi="仿宋_GB2312" w:eastAsia="仿宋_GB2312" w:cs="仿宋_GB2312"/>
          <w:sz w:val="32"/>
        </w:rPr>
        <w:t>动物防疫条件合格证应当载明申请人的名称（姓名）、场（厂）址、动物（动物产品）种类等事项。</w:t>
      </w:r>
    </w:p>
    <w:p>
      <w:pPr>
        <w:spacing w:line="560" w:lineRule="exact"/>
        <w:ind w:firstLine="640"/>
        <w:jc w:val="both"/>
      </w:pPr>
      <w:r>
        <w:rPr>
          <w:rFonts w:ascii="黑体" w:hAnsi="黑体" w:eastAsia="黑体" w:cs="黑体"/>
          <w:sz w:val="32"/>
        </w:rPr>
        <w:t>第二十六条</w:t>
      </w:r>
      <w:r>
        <w:rPr>
          <w:rFonts w:ascii="仿宋_GB2312" w:hAnsi="仿宋_GB2312" w:eastAsia="仿宋_GB2312" w:cs="仿宋_GB2312"/>
          <w:sz w:val="32"/>
        </w:rPr>
        <w:t>　经营动物、动物产品的集贸市场应当具备国务院农业农村主管部门规定的动物防疫条件，并接受农业农村主管部门的监督检查。具体办法由国务院农业农村主管部门制定。</w:t>
      </w:r>
    </w:p>
    <w:p>
      <w:pPr>
        <w:spacing w:line="560" w:lineRule="exact"/>
        <w:ind w:firstLine="640"/>
        <w:jc w:val="both"/>
      </w:pPr>
      <w:r>
        <w:rPr>
          <w:rFonts w:ascii="仿宋_GB2312" w:hAnsi="仿宋_GB2312" w:eastAsia="仿宋_GB2312" w:cs="仿宋_GB2312"/>
          <w:sz w:val="32"/>
        </w:rPr>
        <w:t>县级以上地方人民政府应当根据本地情况，决定在城市特定区域禁止家畜家禽活体交易。</w:t>
      </w:r>
    </w:p>
    <w:p>
      <w:pPr>
        <w:spacing w:line="560" w:lineRule="exact"/>
        <w:ind w:firstLine="640"/>
        <w:jc w:val="both"/>
      </w:pPr>
      <w:r>
        <w:rPr>
          <w:rFonts w:ascii="黑体" w:hAnsi="黑体" w:eastAsia="黑体" w:cs="黑体"/>
          <w:sz w:val="32"/>
        </w:rPr>
        <w:t>第二十七条</w:t>
      </w:r>
      <w:r>
        <w:rPr>
          <w:rFonts w:ascii="仿宋_GB2312" w:hAnsi="仿宋_GB2312" w:eastAsia="仿宋_GB2312" w:cs="仿宋_GB2312"/>
          <w:sz w:val="32"/>
        </w:rPr>
        <w:t>　动物、动物产品的运载工具、垫料、包装物、容器等应当符合国务院农业农村主管部门规定的动物防疫要求。</w:t>
      </w:r>
    </w:p>
    <w:p>
      <w:pPr>
        <w:spacing w:line="560" w:lineRule="exact"/>
        <w:ind w:firstLine="640"/>
        <w:jc w:val="both"/>
      </w:pPr>
      <w:r>
        <w:rPr>
          <w:rFonts w:ascii="仿宋_GB2312" w:hAnsi="仿宋_GB2312" w:eastAsia="仿宋_GB2312" w:cs="仿宋_GB2312"/>
          <w:sz w:val="32"/>
        </w:rPr>
        <w:t>染疫动物及其排泄物、染疫动物产品，运载工具中的动物排泄物以及垫料、包装物、容器等被污染的物品，应当按照国家有关规定处理，不得随意处置。</w:t>
      </w:r>
    </w:p>
    <w:p>
      <w:pPr>
        <w:spacing w:line="560" w:lineRule="exact"/>
        <w:ind w:firstLine="640"/>
        <w:jc w:val="both"/>
      </w:pPr>
      <w:r>
        <w:rPr>
          <w:rFonts w:ascii="黑体" w:hAnsi="黑体" w:eastAsia="黑体" w:cs="黑体"/>
          <w:sz w:val="32"/>
        </w:rPr>
        <w:t>第二十八条</w:t>
      </w:r>
      <w:r>
        <w:rPr>
          <w:rFonts w:ascii="仿宋_GB2312" w:hAnsi="仿宋_GB2312" w:eastAsia="仿宋_GB2312" w:cs="仿宋_GB2312"/>
          <w:sz w:val="32"/>
        </w:rPr>
        <w:t>　采集、保存、运输动物病料或者病原微生物以及从事病原微生物研究、教学、检测、诊断等活动，应当遵守国家有关病原微生物实验室管理的规定。</w:t>
      </w:r>
    </w:p>
    <w:p>
      <w:pPr>
        <w:spacing w:line="560" w:lineRule="exact"/>
        <w:ind w:firstLine="640"/>
        <w:jc w:val="both"/>
      </w:pPr>
      <w:r>
        <w:rPr>
          <w:rFonts w:ascii="黑体" w:hAnsi="黑体" w:eastAsia="黑体" w:cs="黑体"/>
          <w:sz w:val="32"/>
        </w:rPr>
        <w:t>第二十九条</w:t>
      </w:r>
      <w:r>
        <w:rPr>
          <w:rFonts w:ascii="仿宋_GB2312" w:hAnsi="仿宋_GB2312" w:eastAsia="仿宋_GB2312" w:cs="仿宋_GB2312"/>
          <w:sz w:val="32"/>
        </w:rPr>
        <w:t>　禁止屠宰、经营、运输下列动物和生产、经营、加工、贮藏、运输下列动物产品：</w:t>
      </w:r>
    </w:p>
    <w:p>
      <w:pPr>
        <w:spacing w:line="560" w:lineRule="exact"/>
        <w:ind w:firstLine="640"/>
        <w:jc w:val="both"/>
      </w:pPr>
      <w:r>
        <w:rPr>
          <w:rFonts w:ascii="仿宋_GB2312" w:hAnsi="仿宋_GB2312" w:eastAsia="仿宋_GB2312" w:cs="仿宋_GB2312"/>
          <w:sz w:val="32"/>
        </w:rPr>
        <w:t>（一）封锁疫区内与所发生动物疫病有关的；</w:t>
      </w:r>
    </w:p>
    <w:p>
      <w:pPr>
        <w:spacing w:line="560" w:lineRule="exact"/>
        <w:ind w:firstLine="640"/>
        <w:jc w:val="both"/>
      </w:pPr>
      <w:r>
        <w:rPr>
          <w:rFonts w:ascii="仿宋_GB2312" w:hAnsi="仿宋_GB2312" w:eastAsia="仿宋_GB2312" w:cs="仿宋_GB2312"/>
          <w:sz w:val="32"/>
        </w:rPr>
        <w:t>（二）疫区内易感染的；</w:t>
      </w:r>
    </w:p>
    <w:p>
      <w:pPr>
        <w:spacing w:line="560" w:lineRule="exact"/>
        <w:ind w:firstLine="640"/>
        <w:jc w:val="both"/>
      </w:pPr>
      <w:r>
        <w:rPr>
          <w:rFonts w:ascii="仿宋_GB2312" w:hAnsi="仿宋_GB2312" w:eastAsia="仿宋_GB2312" w:cs="仿宋_GB2312"/>
          <w:sz w:val="32"/>
        </w:rPr>
        <w:t>（三）依法应当检疫而未经检疫或者检疫不合格的；</w:t>
      </w:r>
    </w:p>
    <w:p>
      <w:pPr>
        <w:spacing w:line="560" w:lineRule="exact"/>
        <w:ind w:firstLine="640"/>
        <w:jc w:val="both"/>
      </w:pPr>
      <w:r>
        <w:rPr>
          <w:rFonts w:ascii="仿宋_GB2312" w:hAnsi="仿宋_GB2312" w:eastAsia="仿宋_GB2312" w:cs="仿宋_GB2312"/>
          <w:sz w:val="32"/>
        </w:rPr>
        <w:t>（四）染疫或者疑似染疫的；</w:t>
      </w:r>
    </w:p>
    <w:p>
      <w:pPr>
        <w:spacing w:line="560" w:lineRule="exact"/>
        <w:ind w:firstLine="640"/>
        <w:jc w:val="both"/>
      </w:pPr>
      <w:r>
        <w:rPr>
          <w:rFonts w:ascii="仿宋_GB2312" w:hAnsi="仿宋_GB2312" w:eastAsia="仿宋_GB2312" w:cs="仿宋_GB2312"/>
          <w:sz w:val="32"/>
        </w:rPr>
        <w:t>（五）病死或者死因不明的；</w:t>
      </w:r>
    </w:p>
    <w:p>
      <w:pPr>
        <w:spacing w:line="560" w:lineRule="exact"/>
        <w:ind w:firstLine="640"/>
        <w:jc w:val="both"/>
      </w:pPr>
      <w:r>
        <w:rPr>
          <w:rFonts w:ascii="仿宋_GB2312" w:hAnsi="仿宋_GB2312" w:eastAsia="仿宋_GB2312" w:cs="仿宋_GB2312"/>
          <w:sz w:val="32"/>
        </w:rPr>
        <w:t>（六）其他不符合国务院农业农村主管部门有关动物防疫规定的。</w:t>
      </w:r>
    </w:p>
    <w:p>
      <w:pPr>
        <w:spacing w:line="560" w:lineRule="exact"/>
        <w:ind w:firstLine="640"/>
        <w:jc w:val="both"/>
      </w:pPr>
      <w:r>
        <w:rPr>
          <w:rFonts w:ascii="仿宋_GB2312" w:hAnsi="仿宋_GB2312" w:eastAsia="仿宋_GB2312" w:cs="仿宋_GB2312"/>
          <w:sz w:val="32"/>
        </w:rPr>
        <w:t>因实施集中无害化处理需要暂存、运输动物和动物产品并按照规定采取防疫措施的，不适用前款规定。</w:t>
      </w:r>
    </w:p>
    <w:p>
      <w:pPr>
        <w:spacing w:line="560" w:lineRule="exact"/>
        <w:ind w:firstLine="640"/>
        <w:jc w:val="both"/>
      </w:pPr>
      <w:r>
        <w:rPr>
          <w:rFonts w:ascii="黑体" w:hAnsi="黑体" w:eastAsia="黑体" w:cs="黑体"/>
          <w:sz w:val="32"/>
        </w:rPr>
        <w:t>第三十条</w:t>
      </w:r>
      <w:r>
        <w:rPr>
          <w:rFonts w:ascii="仿宋_GB2312" w:hAnsi="仿宋_GB2312" w:eastAsia="仿宋_GB2312" w:cs="仿宋_GB2312"/>
          <w:sz w:val="32"/>
        </w:rPr>
        <w:t>　单位和个人饲养犬只，应当按照规定定期免疫接种狂犬病疫苗，凭动物诊疗机构出具的免疫证明向所在地养犬登记机关申请登记。</w:t>
      </w:r>
    </w:p>
    <w:p>
      <w:pPr>
        <w:spacing w:line="560" w:lineRule="exact"/>
        <w:ind w:firstLine="640"/>
        <w:jc w:val="both"/>
      </w:pPr>
      <w:r>
        <w:rPr>
          <w:rFonts w:ascii="仿宋_GB2312" w:hAnsi="仿宋_GB2312" w:eastAsia="仿宋_GB2312" w:cs="仿宋_GB2312"/>
          <w:sz w:val="32"/>
        </w:rPr>
        <w:t>携带犬只出户的，应当按照规定佩戴犬牌并采取系犬绳等措施，防止犬只伤人、疫病传播。</w:t>
      </w:r>
    </w:p>
    <w:p>
      <w:pPr>
        <w:spacing w:line="560" w:lineRule="exact"/>
        <w:ind w:firstLine="640"/>
        <w:jc w:val="both"/>
      </w:pPr>
      <w:r>
        <w:rPr>
          <w:rFonts w:ascii="仿宋_GB2312" w:hAnsi="仿宋_GB2312" w:eastAsia="仿宋_GB2312" w:cs="仿宋_GB2312"/>
          <w:sz w:val="32"/>
        </w:rPr>
        <w:t>街道办事处、乡级人民政府组织协调居民委员会、村民委员会，做好本辖区流浪犬、猫的控制和处置，防止疫病传播。</w:t>
      </w:r>
    </w:p>
    <w:p>
      <w:pPr>
        <w:spacing w:line="560" w:lineRule="exact"/>
        <w:ind w:firstLine="640"/>
        <w:jc w:val="both"/>
      </w:pPr>
      <w:r>
        <w:rPr>
          <w:rFonts w:ascii="仿宋_GB2312" w:hAnsi="仿宋_GB2312" w:eastAsia="仿宋_GB2312" w:cs="仿宋_GB2312"/>
          <w:sz w:val="32"/>
        </w:rPr>
        <w:t>县级人民政府和乡级人民政府、街道办事处应当结合本地实际，做好农村地区饲养犬只的防疫管理工作。</w:t>
      </w:r>
    </w:p>
    <w:p>
      <w:pPr>
        <w:spacing w:line="560" w:lineRule="exact"/>
        <w:ind w:firstLine="640"/>
        <w:jc w:val="both"/>
      </w:pPr>
      <w:r>
        <w:rPr>
          <w:rFonts w:ascii="仿宋_GB2312" w:hAnsi="仿宋_GB2312" w:eastAsia="仿宋_GB2312" w:cs="仿宋_GB2312"/>
          <w:sz w:val="32"/>
        </w:rPr>
        <w:t>饲养犬只防疫管理的具体办法，由省、自治区、直辖市制定。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第三章　动物疫情的报告、通报和公布</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第三十一条</w:t>
      </w:r>
      <w:r>
        <w:rPr>
          <w:rFonts w:ascii="仿宋_GB2312" w:hAnsi="仿宋_GB2312" w:eastAsia="仿宋_GB2312" w:cs="仿宋_GB2312"/>
          <w:sz w:val="32"/>
        </w:rPr>
        <w:t>　从事动物疫病监测、检测、检验检疫、研究、诊疗以及动物饲养、屠宰、经营、隔离、运输等活动的单位和个人，发现动物染疫或者疑似染疫的，应当立即向所在地农业农村主管部门或者动物疫病预防控制机构报告，并迅速采取隔离等控制措施，防止动物疫情扩散。其他单位和个人发现动物染疫或者疑似染疫的，应当及时报告。</w:t>
      </w:r>
    </w:p>
    <w:p>
      <w:pPr>
        <w:spacing w:line="560" w:lineRule="exact"/>
        <w:ind w:firstLine="640"/>
        <w:jc w:val="both"/>
      </w:pPr>
      <w:r>
        <w:rPr>
          <w:rFonts w:ascii="仿宋_GB2312" w:hAnsi="仿宋_GB2312" w:eastAsia="仿宋_GB2312" w:cs="仿宋_GB2312"/>
          <w:sz w:val="32"/>
        </w:rPr>
        <w:t>接到动物疫情报告的单位，应当及时采取临时隔离控制等必要措施，防止延误防控时机，并及时按照国家规定的程序上报。</w:t>
      </w:r>
    </w:p>
    <w:p>
      <w:pPr>
        <w:spacing w:line="560" w:lineRule="exact"/>
        <w:ind w:firstLine="640"/>
        <w:jc w:val="both"/>
      </w:pPr>
      <w:r>
        <w:rPr>
          <w:rFonts w:ascii="黑体" w:hAnsi="黑体" w:eastAsia="黑体" w:cs="黑体"/>
          <w:sz w:val="32"/>
        </w:rPr>
        <w:t>第三十二条</w:t>
      </w:r>
      <w:r>
        <w:rPr>
          <w:rFonts w:ascii="仿宋_GB2312" w:hAnsi="仿宋_GB2312" w:eastAsia="仿宋_GB2312" w:cs="仿宋_GB2312"/>
          <w:sz w:val="32"/>
        </w:rPr>
        <w:t>　动物疫情由县级以上人民政府农业农村主管部门认定；其中重大动物疫情由省、自治区、直辖市人民政府农业农村主管部门认定，必要时报国务院农业农村主管部门认定。</w:t>
      </w:r>
    </w:p>
    <w:p>
      <w:pPr>
        <w:spacing w:line="560" w:lineRule="exact"/>
        <w:ind w:firstLine="640"/>
        <w:jc w:val="both"/>
      </w:pPr>
      <w:r>
        <w:rPr>
          <w:rFonts w:ascii="仿宋_GB2312" w:hAnsi="仿宋_GB2312" w:eastAsia="仿宋_GB2312" w:cs="仿宋_GB2312"/>
          <w:sz w:val="32"/>
        </w:rPr>
        <w:t>本法所称重大动物疫情，是指一、二、三类动物疫病突然发生，迅速传播，给养殖业生产安全造成严重威胁、危害，以及可能对公众身体健康与生命安全造成危害的情形。</w:t>
      </w:r>
    </w:p>
    <w:p>
      <w:pPr>
        <w:spacing w:line="560" w:lineRule="exact"/>
        <w:ind w:firstLine="640"/>
        <w:jc w:val="both"/>
      </w:pPr>
      <w:r>
        <w:rPr>
          <w:rFonts w:ascii="仿宋_GB2312" w:hAnsi="仿宋_GB2312" w:eastAsia="仿宋_GB2312" w:cs="仿宋_GB2312"/>
          <w:sz w:val="32"/>
        </w:rPr>
        <w:t>在重大动物疫情报告期间，必要时，所在地县级以上地方人民政府可以作出封锁决定并采取扑杀、销毁等措施。</w:t>
      </w:r>
    </w:p>
    <w:p>
      <w:pPr>
        <w:spacing w:line="560" w:lineRule="exact"/>
        <w:ind w:firstLine="640"/>
        <w:jc w:val="both"/>
      </w:pPr>
      <w:r>
        <w:rPr>
          <w:rFonts w:ascii="黑体" w:hAnsi="黑体" w:eastAsia="黑体" w:cs="黑体"/>
          <w:sz w:val="32"/>
        </w:rPr>
        <w:t>第三十三条</w:t>
      </w:r>
      <w:r>
        <w:rPr>
          <w:rFonts w:ascii="仿宋_GB2312" w:hAnsi="仿宋_GB2312" w:eastAsia="仿宋_GB2312" w:cs="仿宋_GB2312"/>
          <w:sz w:val="32"/>
        </w:rPr>
        <w:t>　国家实行动物疫情通报制度。</w:t>
      </w:r>
    </w:p>
    <w:p>
      <w:pPr>
        <w:spacing w:line="560" w:lineRule="exact"/>
        <w:ind w:firstLine="640"/>
        <w:jc w:val="both"/>
      </w:pPr>
      <w:r>
        <w:rPr>
          <w:rFonts w:ascii="仿宋_GB2312" w:hAnsi="仿宋_GB2312" w:eastAsia="仿宋_GB2312" w:cs="仿宋_GB2312"/>
          <w:sz w:val="32"/>
        </w:rPr>
        <w:t>国务院农业农村主管部门应当及时向国务院卫生健康等有关部门和军队有关部门以及省、自治区、直辖市人民政府农业农村主管部门通报重大动物疫情的发生和处置情况。</w:t>
      </w:r>
    </w:p>
    <w:p>
      <w:pPr>
        <w:spacing w:line="560" w:lineRule="exact"/>
        <w:ind w:firstLine="640"/>
        <w:jc w:val="both"/>
      </w:pPr>
      <w:r>
        <w:rPr>
          <w:rFonts w:ascii="仿宋_GB2312" w:hAnsi="仿宋_GB2312" w:eastAsia="仿宋_GB2312" w:cs="仿宋_GB2312"/>
          <w:sz w:val="32"/>
        </w:rPr>
        <w:t>海关发现进出境动物和动物产品染疫或者疑似染疫的，应当及时处置并向农业农村主管部门通报。</w:t>
      </w:r>
    </w:p>
    <w:p>
      <w:pPr>
        <w:spacing w:line="560" w:lineRule="exact"/>
        <w:ind w:firstLine="640"/>
        <w:jc w:val="both"/>
      </w:pPr>
      <w:r>
        <w:rPr>
          <w:rFonts w:ascii="仿宋_GB2312" w:hAnsi="仿宋_GB2312" w:eastAsia="仿宋_GB2312" w:cs="仿宋_GB2312"/>
          <w:sz w:val="32"/>
        </w:rPr>
        <w:t>县级以上地方人民政府野生动物保护主管部门发现野生动物染疫或者疑似染疫的，应当及时处置并向本级人民政府农业农村主管部门通报。</w:t>
      </w:r>
    </w:p>
    <w:p>
      <w:pPr>
        <w:spacing w:line="560" w:lineRule="exact"/>
        <w:ind w:firstLine="640"/>
        <w:jc w:val="both"/>
      </w:pPr>
      <w:r>
        <w:rPr>
          <w:rFonts w:ascii="仿宋_GB2312" w:hAnsi="仿宋_GB2312" w:eastAsia="仿宋_GB2312" w:cs="仿宋_GB2312"/>
          <w:sz w:val="32"/>
        </w:rPr>
        <w:t>国务院农业农村主管部门应当依照我国缔结或者参加的条约、协定，及时向有关国际组织或者贸易方通报重大动物疫情的发生和处置情况。</w:t>
      </w:r>
    </w:p>
    <w:p>
      <w:pPr>
        <w:spacing w:line="560" w:lineRule="exact"/>
        <w:ind w:firstLine="640"/>
        <w:jc w:val="both"/>
      </w:pPr>
      <w:r>
        <w:rPr>
          <w:rFonts w:ascii="黑体" w:hAnsi="黑体" w:eastAsia="黑体" w:cs="黑体"/>
          <w:sz w:val="32"/>
        </w:rPr>
        <w:t>第三十四条</w:t>
      </w:r>
      <w:r>
        <w:rPr>
          <w:rFonts w:ascii="仿宋_GB2312" w:hAnsi="仿宋_GB2312" w:eastAsia="仿宋_GB2312" w:cs="仿宋_GB2312"/>
          <w:sz w:val="32"/>
        </w:rPr>
        <w:t>　发生人畜共患传染病疫情时，县级以上人民政府农业农村主管部门与本级人民政府卫生健康、野生动物保护等主管部门应当及时相互通报。</w:t>
      </w:r>
    </w:p>
    <w:p>
      <w:pPr>
        <w:spacing w:line="560" w:lineRule="exact"/>
        <w:ind w:firstLine="640"/>
        <w:jc w:val="both"/>
      </w:pPr>
      <w:r>
        <w:rPr>
          <w:rFonts w:ascii="仿宋_GB2312" w:hAnsi="仿宋_GB2312" w:eastAsia="仿宋_GB2312" w:cs="仿宋_GB2312"/>
          <w:sz w:val="32"/>
        </w:rPr>
        <w:t>发生人畜共患传染病时，卫生健康主管部门应当对疫区易感染的人群进行监测，并应当依照《中华人民共和国传染病防治法》的规定及时公布疫情，采取相应的预防、控制措施。</w:t>
      </w:r>
    </w:p>
    <w:p>
      <w:pPr>
        <w:spacing w:line="560" w:lineRule="exact"/>
        <w:ind w:firstLine="640"/>
        <w:jc w:val="both"/>
      </w:pPr>
      <w:r>
        <w:rPr>
          <w:rFonts w:ascii="黑体" w:hAnsi="黑体" w:eastAsia="黑体" w:cs="黑体"/>
          <w:sz w:val="32"/>
        </w:rPr>
        <w:t>第三十五条</w:t>
      </w:r>
      <w:r>
        <w:rPr>
          <w:rFonts w:ascii="仿宋_GB2312" w:hAnsi="仿宋_GB2312" w:eastAsia="仿宋_GB2312" w:cs="仿宋_GB2312"/>
          <w:sz w:val="32"/>
        </w:rPr>
        <w:t>　患有人畜共患传染病的人员不得直接从事动物疫病监测、检测、检验检疫、诊疗以及易感染动物的饲养、屠宰、经营、隔离、运输等活动。</w:t>
      </w:r>
    </w:p>
    <w:p>
      <w:pPr>
        <w:spacing w:line="560" w:lineRule="exact"/>
        <w:ind w:firstLine="640"/>
        <w:jc w:val="both"/>
      </w:pPr>
      <w:r>
        <w:rPr>
          <w:rFonts w:ascii="黑体" w:hAnsi="黑体" w:eastAsia="黑体" w:cs="黑体"/>
          <w:sz w:val="32"/>
        </w:rPr>
        <w:t>第三十六条</w:t>
      </w:r>
      <w:r>
        <w:rPr>
          <w:rFonts w:ascii="仿宋_GB2312" w:hAnsi="仿宋_GB2312" w:eastAsia="仿宋_GB2312" w:cs="仿宋_GB2312"/>
          <w:sz w:val="32"/>
        </w:rPr>
        <w:t>　国务院农业农村主管部门向社会及时公布全国动物疫情，也可以根据需要授权省、自治区、直辖市人民政府农业农村主管部门公布本行政区域的动物疫情。其他单位和个人不得发布动物疫情。</w:t>
      </w:r>
    </w:p>
    <w:p>
      <w:pPr>
        <w:spacing w:line="560" w:lineRule="exact"/>
        <w:ind w:firstLine="640"/>
        <w:jc w:val="both"/>
      </w:pPr>
      <w:r>
        <w:rPr>
          <w:rFonts w:ascii="黑体" w:hAnsi="黑体" w:eastAsia="黑体" w:cs="黑体"/>
          <w:sz w:val="32"/>
        </w:rPr>
        <w:t>第三十七条</w:t>
      </w:r>
      <w:r>
        <w:rPr>
          <w:rFonts w:ascii="仿宋_GB2312" w:hAnsi="仿宋_GB2312" w:eastAsia="仿宋_GB2312" w:cs="仿宋_GB2312"/>
          <w:sz w:val="32"/>
        </w:rPr>
        <w:t>　任何单位和个人不得瞒报、谎报、迟报、漏报动物疫情，不得授意他人瞒报、谎报、迟报动物疫情，不得阻碍他人报告动物疫情。</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第四章　动物疫病的控制</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第三十八条</w:t>
      </w:r>
      <w:r>
        <w:rPr>
          <w:rFonts w:ascii="仿宋_GB2312" w:hAnsi="仿宋_GB2312" w:eastAsia="仿宋_GB2312" w:cs="仿宋_GB2312"/>
          <w:sz w:val="32"/>
        </w:rPr>
        <w:t>　发生一类动物疫病时，应当采取下列控制措施：</w:t>
      </w:r>
    </w:p>
    <w:p>
      <w:pPr>
        <w:spacing w:line="560" w:lineRule="exact"/>
        <w:ind w:firstLine="640"/>
        <w:jc w:val="both"/>
      </w:pPr>
      <w:r>
        <w:rPr>
          <w:rFonts w:ascii="仿宋_GB2312" w:hAnsi="仿宋_GB2312" w:eastAsia="仿宋_GB2312" w:cs="仿宋_GB2312"/>
          <w:sz w:val="32"/>
        </w:rPr>
        <w:t>（一）所在地县级以上地方人民政府农业农村主管部门应当立即派人到现场，划定疫点、疫区、受威胁区，调查疫源，及时报请本级人民政府对疫区实行封锁。疫区范围涉及两个以上行政区域的，由有关行政区域共同的上一级人民政府对疫区实行封锁，或者由各有关行政区域的上一级人民政府共同对疫区实行封锁。必要时，上级人民政府可以责成下级人民政府对疫区实行封锁；</w:t>
      </w:r>
    </w:p>
    <w:p>
      <w:pPr>
        <w:spacing w:line="560" w:lineRule="exact"/>
        <w:ind w:firstLine="640"/>
        <w:jc w:val="both"/>
      </w:pPr>
      <w:r>
        <w:rPr>
          <w:rFonts w:ascii="仿宋_GB2312" w:hAnsi="仿宋_GB2312" w:eastAsia="仿宋_GB2312" w:cs="仿宋_GB2312"/>
          <w:sz w:val="32"/>
        </w:rPr>
        <w:t>（二）县级以上地方人民政府应当立即组织有关部门和单位采取封锁、隔离、扑杀、销毁、消毒、无害化处理、紧急免疫接种等强制性措施；</w:t>
      </w:r>
    </w:p>
    <w:p>
      <w:pPr>
        <w:spacing w:line="560" w:lineRule="exact"/>
        <w:ind w:firstLine="640"/>
        <w:jc w:val="both"/>
      </w:pPr>
      <w:r>
        <w:rPr>
          <w:rFonts w:ascii="仿宋_GB2312" w:hAnsi="仿宋_GB2312" w:eastAsia="仿宋_GB2312" w:cs="仿宋_GB2312"/>
          <w:sz w:val="32"/>
        </w:rPr>
        <w:t>（三）在封锁期间，禁止染疫、疑似染疫和易感染的动物、动物产品流出疫区，禁止非疫区的易感染动物进入疫区，并根据需要对出入疫区的人员、运输工具及有关物品采取消毒和其他限制性措施。</w:t>
      </w:r>
    </w:p>
    <w:p>
      <w:pPr>
        <w:spacing w:line="560" w:lineRule="exact"/>
        <w:ind w:firstLine="640"/>
        <w:jc w:val="both"/>
      </w:pPr>
      <w:r>
        <w:rPr>
          <w:rFonts w:ascii="黑体" w:hAnsi="黑体" w:eastAsia="黑体" w:cs="黑体"/>
          <w:sz w:val="32"/>
        </w:rPr>
        <w:t>第三十九条</w:t>
      </w:r>
      <w:r>
        <w:rPr>
          <w:rFonts w:ascii="仿宋_GB2312" w:hAnsi="仿宋_GB2312" w:eastAsia="仿宋_GB2312" w:cs="仿宋_GB2312"/>
          <w:sz w:val="32"/>
        </w:rPr>
        <w:t>　发生二类动物疫病时，应当采取下列控制措施：</w:t>
      </w:r>
    </w:p>
    <w:p>
      <w:pPr>
        <w:spacing w:line="560" w:lineRule="exact"/>
        <w:ind w:firstLine="640"/>
        <w:jc w:val="both"/>
      </w:pPr>
      <w:r>
        <w:rPr>
          <w:rFonts w:ascii="仿宋_GB2312" w:hAnsi="仿宋_GB2312" w:eastAsia="仿宋_GB2312" w:cs="仿宋_GB2312"/>
          <w:sz w:val="32"/>
        </w:rPr>
        <w:t>（一）所在地县级以上地方人民政府农业农村主管部门应当划定疫点、疫区、受威胁区；</w:t>
      </w:r>
    </w:p>
    <w:p>
      <w:pPr>
        <w:spacing w:line="560" w:lineRule="exact"/>
        <w:ind w:firstLine="640"/>
        <w:jc w:val="both"/>
      </w:pPr>
      <w:r>
        <w:rPr>
          <w:rFonts w:ascii="仿宋_GB2312" w:hAnsi="仿宋_GB2312" w:eastAsia="仿宋_GB2312" w:cs="仿宋_GB2312"/>
          <w:sz w:val="32"/>
        </w:rPr>
        <w:t>（二）县级以上地方人民政府根据需要组织有关部门和单位采取隔离、扑杀、销毁、消毒、无害化处理、紧急免疫接种、限制易感染的动物和动物产品及有关物品出入等措施。</w:t>
      </w:r>
    </w:p>
    <w:p>
      <w:pPr>
        <w:spacing w:line="560" w:lineRule="exact"/>
        <w:ind w:firstLine="640"/>
        <w:jc w:val="both"/>
      </w:pPr>
      <w:r>
        <w:rPr>
          <w:rFonts w:ascii="黑体" w:hAnsi="黑体" w:eastAsia="黑体" w:cs="黑体"/>
          <w:sz w:val="32"/>
        </w:rPr>
        <w:t>第四十条</w:t>
      </w:r>
      <w:r>
        <w:rPr>
          <w:rFonts w:ascii="仿宋_GB2312" w:hAnsi="仿宋_GB2312" w:eastAsia="仿宋_GB2312" w:cs="仿宋_GB2312"/>
          <w:sz w:val="32"/>
        </w:rPr>
        <w:t>　疫点、疫区、受威胁区的撤销和疫区封锁的解除，按照国务院农业农村主管部门规定的标准和程序评估后，由原决定机关决定并宣布。</w:t>
      </w:r>
    </w:p>
    <w:p>
      <w:pPr>
        <w:spacing w:line="560" w:lineRule="exact"/>
        <w:ind w:firstLine="640"/>
        <w:jc w:val="both"/>
      </w:pPr>
      <w:r>
        <w:rPr>
          <w:rFonts w:ascii="黑体" w:hAnsi="黑体" w:eastAsia="黑体" w:cs="黑体"/>
          <w:sz w:val="32"/>
        </w:rPr>
        <w:t>第四十一条</w:t>
      </w:r>
      <w:r>
        <w:rPr>
          <w:rFonts w:ascii="仿宋_GB2312" w:hAnsi="仿宋_GB2312" w:eastAsia="仿宋_GB2312" w:cs="仿宋_GB2312"/>
          <w:sz w:val="32"/>
        </w:rPr>
        <w:t>　发生三类动物疫病时，所在地县级、乡级人民政府应当按照国务院农业农村主管部门的规定组织防治。</w:t>
      </w:r>
    </w:p>
    <w:p>
      <w:pPr>
        <w:spacing w:line="560" w:lineRule="exact"/>
        <w:ind w:firstLine="640"/>
        <w:jc w:val="both"/>
      </w:pPr>
      <w:r>
        <w:rPr>
          <w:rFonts w:ascii="黑体" w:hAnsi="黑体" w:eastAsia="黑体" w:cs="黑体"/>
          <w:sz w:val="32"/>
        </w:rPr>
        <w:t>第四十二条</w:t>
      </w:r>
      <w:r>
        <w:rPr>
          <w:rFonts w:ascii="仿宋_GB2312" w:hAnsi="仿宋_GB2312" w:eastAsia="仿宋_GB2312" w:cs="仿宋_GB2312"/>
          <w:sz w:val="32"/>
        </w:rPr>
        <w:t>　二、三类动物疫病呈暴发性流行时，按照一类动物疫病处理。</w:t>
      </w:r>
    </w:p>
    <w:p>
      <w:pPr>
        <w:spacing w:line="560" w:lineRule="exact"/>
        <w:ind w:firstLine="640"/>
        <w:jc w:val="both"/>
      </w:pPr>
      <w:r>
        <w:rPr>
          <w:rFonts w:ascii="黑体" w:hAnsi="黑体" w:eastAsia="黑体" w:cs="黑体"/>
          <w:sz w:val="32"/>
        </w:rPr>
        <w:t>第四十三条</w:t>
      </w:r>
      <w:r>
        <w:rPr>
          <w:rFonts w:ascii="仿宋_GB2312" w:hAnsi="仿宋_GB2312" w:eastAsia="仿宋_GB2312" w:cs="仿宋_GB2312"/>
          <w:sz w:val="32"/>
        </w:rPr>
        <w:t>　疫区内有关单位和个人，应当遵守县级以上人民政府及其农业农村主管部门依法作出的有关控制动物疫病的规定。</w:t>
      </w:r>
    </w:p>
    <w:p>
      <w:pPr>
        <w:spacing w:line="560" w:lineRule="exact"/>
        <w:ind w:firstLine="640"/>
        <w:jc w:val="both"/>
      </w:pPr>
      <w:r>
        <w:rPr>
          <w:rFonts w:ascii="仿宋_GB2312" w:hAnsi="仿宋_GB2312" w:eastAsia="仿宋_GB2312" w:cs="仿宋_GB2312"/>
          <w:sz w:val="32"/>
        </w:rPr>
        <w:t>任何单位和个人不得藏匿、转移、盗掘已被依法隔离、封存、处理的动物和动物产品。</w:t>
      </w:r>
    </w:p>
    <w:p>
      <w:pPr>
        <w:spacing w:line="560" w:lineRule="exact"/>
        <w:ind w:firstLine="640"/>
        <w:jc w:val="both"/>
      </w:pPr>
      <w:r>
        <w:rPr>
          <w:rFonts w:ascii="黑体" w:hAnsi="黑体" w:eastAsia="黑体" w:cs="黑体"/>
          <w:sz w:val="32"/>
        </w:rPr>
        <w:t>第四十四条</w:t>
      </w:r>
      <w:r>
        <w:rPr>
          <w:rFonts w:ascii="仿宋_GB2312" w:hAnsi="仿宋_GB2312" w:eastAsia="仿宋_GB2312" w:cs="仿宋_GB2312"/>
          <w:sz w:val="32"/>
        </w:rPr>
        <w:t>　发生动物疫情时，航空、铁路、道路、水路运输企业应当优先组织运送防疫人员和物资。</w:t>
      </w:r>
    </w:p>
    <w:p>
      <w:pPr>
        <w:spacing w:line="560" w:lineRule="exact"/>
        <w:ind w:firstLine="640"/>
        <w:jc w:val="both"/>
      </w:pPr>
      <w:r>
        <w:rPr>
          <w:rFonts w:ascii="黑体" w:hAnsi="黑体" w:eastAsia="黑体" w:cs="黑体"/>
          <w:sz w:val="32"/>
        </w:rPr>
        <w:t>第四十五条</w:t>
      </w:r>
      <w:r>
        <w:rPr>
          <w:rFonts w:ascii="仿宋_GB2312" w:hAnsi="仿宋_GB2312" w:eastAsia="仿宋_GB2312" w:cs="仿宋_GB2312"/>
          <w:sz w:val="32"/>
        </w:rPr>
        <w:t>　国务院农业农村主管部门根据动物疫病的性质、特点和可能造成的社会危害，制定国家重大动物疫情应急预案报国务院批准，并按照不同动物疫病病种、流行特点和危害程度，分别制定实施方案。</w:t>
      </w:r>
    </w:p>
    <w:p>
      <w:pPr>
        <w:spacing w:line="560" w:lineRule="exact"/>
        <w:ind w:firstLine="640"/>
        <w:jc w:val="both"/>
      </w:pPr>
      <w:r>
        <w:rPr>
          <w:rFonts w:ascii="仿宋_GB2312" w:hAnsi="仿宋_GB2312" w:eastAsia="仿宋_GB2312" w:cs="仿宋_GB2312"/>
          <w:sz w:val="32"/>
        </w:rPr>
        <w:t>县级以上地方人民政府根据上级重大动物疫情应急预案和本地区的实际情况，制定本行政区域的重大动物疫情应急预案，报上一级人民政府农业农村主管部门备案，并抄送上一级人民政府应急管理部门。县级以上地方人民政府农业农村主管部门按照不同动物疫病病种、流行特点和危害程度，分别制定实施方案。</w:t>
      </w:r>
    </w:p>
    <w:p>
      <w:pPr>
        <w:spacing w:line="560" w:lineRule="exact"/>
        <w:ind w:firstLine="640"/>
        <w:jc w:val="both"/>
      </w:pPr>
      <w:r>
        <w:rPr>
          <w:rFonts w:ascii="仿宋_GB2312" w:hAnsi="仿宋_GB2312" w:eastAsia="仿宋_GB2312" w:cs="仿宋_GB2312"/>
          <w:sz w:val="32"/>
        </w:rPr>
        <w:t>重大动物疫情应急预案和实施方案根据疫情状况及时调整。</w:t>
      </w:r>
    </w:p>
    <w:p>
      <w:pPr>
        <w:spacing w:line="560" w:lineRule="exact"/>
        <w:ind w:firstLine="640"/>
        <w:jc w:val="both"/>
      </w:pPr>
      <w:r>
        <w:rPr>
          <w:rFonts w:ascii="黑体" w:hAnsi="黑体" w:eastAsia="黑体" w:cs="黑体"/>
          <w:sz w:val="32"/>
        </w:rPr>
        <w:t>第四十六条</w:t>
      </w:r>
      <w:r>
        <w:rPr>
          <w:rFonts w:ascii="仿宋_GB2312" w:hAnsi="仿宋_GB2312" w:eastAsia="仿宋_GB2312" w:cs="仿宋_GB2312"/>
          <w:sz w:val="32"/>
        </w:rPr>
        <w:t>　发生重大动物疫情时，国务院农业农村主管部门负责划定动物疫病风险区，禁止或者限制特定动物、动物产品由高风险区向低风险区调运。</w:t>
      </w:r>
    </w:p>
    <w:p>
      <w:pPr>
        <w:spacing w:line="560" w:lineRule="exact"/>
        <w:ind w:firstLine="640"/>
        <w:jc w:val="both"/>
      </w:pPr>
      <w:r>
        <w:rPr>
          <w:rFonts w:ascii="黑体" w:hAnsi="黑体" w:eastAsia="黑体" w:cs="黑体"/>
          <w:sz w:val="32"/>
        </w:rPr>
        <w:t>第四十七条</w:t>
      </w:r>
      <w:r>
        <w:rPr>
          <w:rFonts w:ascii="仿宋_GB2312" w:hAnsi="仿宋_GB2312" w:eastAsia="仿宋_GB2312" w:cs="仿宋_GB2312"/>
          <w:sz w:val="32"/>
        </w:rPr>
        <w:t>　发生重大动物疫情时，依照法律和国务院的规定以及应急预案采取应急处置措施。</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第五章　动物和动物产品的检疫</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第四十八条</w:t>
      </w:r>
      <w:r>
        <w:rPr>
          <w:rFonts w:ascii="仿宋_GB2312" w:hAnsi="仿宋_GB2312" w:eastAsia="仿宋_GB2312" w:cs="仿宋_GB2312"/>
          <w:sz w:val="32"/>
        </w:rPr>
        <w:t>　动物卫生监督机构依照本法和国务院农业农村主管部门的规定对动物、动物产品实施检疫。</w:t>
      </w:r>
    </w:p>
    <w:p>
      <w:pPr>
        <w:spacing w:line="560" w:lineRule="exact"/>
        <w:ind w:firstLine="640"/>
        <w:jc w:val="both"/>
      </w:pPr>
      <w:r>
        <w:rPr>
          <w:rFonts w:ascii="仿宋_GB2312" w:hAnsi="仿宋_GB2312" w:eastAsia="仿宋_GB2312" w:cs="仿宋_GB2312"/>
          <w:sz w:val="32"/>
        </w:rPr>
        <w:t>动物卫生监督机构的官方兽医具体实施动物、动物产品检疫。</w:t>
      </w:r>
    </w:p>
    <w:p>
      <w:pPr>
        <w:spacing w:line="560" w:lineRule="exact"/>
        <w:ind w:firstLine="640"/>
        <w:jc w:val="both"/>
      </w:pPr>
      <w:r>
        <w:rPr>
          <w:rFonts w:ascii="黑体" w:hAnsi="黑体" w:eastAsia="黑体" w:cs="黑体"/>
          <w:sz w:val="32"/>
        </w:rPr>
        <w:t>第四十九条</w:t>
      </w:r>
      <w:r>
        <w:rPr>
          <w:rFonts w:ascii="仿宋_GB2312" w:hAnsi="仿宋_GB2312" w:eastAsia="仿宋_GB2312" w:cs="仿宋_GB2312"/>
          <w:sz w:val="32"/>
        </w:rPr>
        <w:t>　屠宰、出售或者运输动物以及出售或者运输动物产品前，货主应当按照国务院农业农村主管部门的规定向所在地动物卫生监督机构申报检疫。</w:t>
      </w:r>
    </w:p>
    <w:p>
      <w:pPr>
        <w:spacing w:line="560" w:lineRule="exact"/>
        <w:ind w:firstLine="640"/>
        <w:jc w:val="both"/>
      </w:pPr>
      <w:r>
        <w:rPr>
          <w:rFonts w:ascii="仿宋_GB2312" w:hAnsi="仿宋_GB2312" w:eastAsia="仿宋_GB2312" w:cs="仿宋_GB2312"/>
          <w:sz w:val="32"/>
        </w:rPr>
        <w:t>动物卫生监督机构接到检疫申报后，应当及时指派官方兽医对动物、动物产品实施检疫；检疫合格的，出具检疫证明、加施检疫标志。实施检疫的官方兽医应当在检疫证明、检疫标志上签字或者盖章，并对检疫结论负责。</w:t>
      </w:r>
    </w:p>
    <w:p>
      <w:pPr>
        <w:spacing w:line="560" w:lineRule="exact"/>
        <w:ind w:firstLine="640"/>
        <w:jc w:val="both"/>
      </w:pPr>
      <w:r>
        <w:rPr>
          <w:rFonts w:ascii="仿宋_GB2312" w:hAnsi="仿宋_GB2312" w:eastAsia="仿宋_GB2312" w:cs="仿宋_GB2312"/>
          <w:sz w:val="32"/>
        </w:rPr>
        <w:t>动物饲养场、屠宰企业的执业兽医或者动物防疫技术人员，应当协助官方兽医实施检疫。</w:t>
      </w:r>
    </w:p>
    <w:p>
      <w:pPr>
        <w:spacing w:line="560" w:lineRule="exact"/>
        <w:ind w:firstLine="640"/>
        <w:jc w:val="both"/>
      </w:pPr>
      <w:r>
        <w:rPr>
          <w:rFonts w:ascii="黑体" w:hAnsi="黑体" w:eastAsia="黑体" w:cs="黑体"/>
          <w:sz w:val="32"/>
        </w:rPr>
        <w:t>第五十条</w:t>
      </w:r>
      <w:r>
        <w:rPr>
          <w:rFonts w:ascii="仿宋_GB2312" w:hAnsi="仿宋_GB2312" w:eastAsia="仿宋_GB2312" w:cs="仿宋_GB2312"/>
          <w:sz w:val="32"/>
        </w:rPr>
        <w:t>　因科研、药用、展示等特殊情形需要非食用性利用的野生动物，应当按照国家有关规定报动物卫生监督机构检疫，检疫合格的，方可利用。</w:t>
      </w:r>
    </w:p>
    <w:p>
      <w:pPr>
        <w:spacing w:line="560" w:lineRule="exact"/>
        <w:ind w:firstLine="640"/>
        <w:jc w:val="both"/>
      </w:pPr>
      <w:r>
        <w:rPr>
          <w:rFonts w:ascii="仿宋_GB2312" w:hAnsi="仿宋_GB2312" w:eastAsia="仿宋_GB2312" w:cs="仿宋_GB2312"/>
          <w:sz w:val="32"/>
        </w:rPr>
        <w:t>人工捕获的野生动物，应当按照国家有关规定报捕获地动物卫生监督机构检疫，检疫合格的，方可饲养、经营和运输。</w:t>
      </w:r>
    </w:p>
    <w:p>
      <w:pPr>
        <w:spacing w:line="560" w:lineRule="exact"/>
        <w:ind w:firstLine="640"/>
        <w:jc w:val="both"/>
      </w:pPr>
      <w:r>
        <w:rPr>
          <w:rFonts w:ascii="仿宋_GB2312" w:hAnsi="仿宋_GB2312" w:eastAsia="仿宋_GB2312" w:cs="仿宋_GB2312"/>
          <w:sz w:val="32"/>
        </w:rPr>
        <w:t>国务院农业农村主管部门会同国务院野生动物保护主管部门制定野生动物检疫办法。</w:t>
      </w:r>
    </w:p>
    <w:p>
      <w:pPr>
        <w:spacing w:line="560" w:lineRule="exact"/>
        <w:ind w:firstLine="640"/>
        <w:jc w:val="both"/>
      </w:pPr>
      <w:r>
        <w:rPr>
          <w:rFonts w:ascii="黑体" w:hAnsi="黑体" w:eastAsia="黑体" w:cs="黑体"/>
          <w:sz w:val="32"/>
        </w:rPr>
        <w:t>第五十一条</w:t>
      </w:r>
      <w:r>
        <w:rPr>
          <w:rFonts w:ascii="仿宋_GB2312" w:hAnsi="仿宋_GB2312" w:eastAsia="仿宋_GB2312" w:cs="仿宋_GB2312"/>
          <w:sz w:val="32"/>
        </w:rPr>
        <w:t>　屠宰、经营、运输的动物，以及用于科研、展示、演出和比赛等非食用性利用的动物，应当附有检疫证明；经营和运输的动物产品，应当附有检疫证明、检疫标志。</w:t>
      </w:r>
    </w:p>
    <w:p>
      <w:pPr>
        <w:spacing w:line="560" w:lineRule="exact"/>
        <w:ind w:firstLine="640"/>
        <w:jc w:val="both"/>
      </w:pPr>
      <w:r>
        <w:rPr>
          <w:rFonts w:ascii="黑体" w:hAnsi="黑体" w:eastAsia="黑体" w:cs="黑体"/>
          <w:sz w:val="32"/>
        </w:rPr>
        <w:t>第五十二条</w:t>
      </w:r>
      <w:r>
        <w:rPr>
          <w:rFonts w:ascii="仿宋_GB2312" w:hAnsi="仿宋_GB2312" w:eastAsia="仿宋_GB2312" w:cs="仿宋_GB2312"/>
          <w:sz w:val="32"/>
        </w:rPr>
        <w:t>　经航空、铁路、道路、水路运输动物和动物产品的，托运人托运时应当提供检疫证明；没有检疫证明的，承运人不得承运。</w:t>
      </w:r>
    </w:p>
    <w:p>
      <w:pPr>
        <w:spacing w:line="560" w:lineRule="exact"/>
        <w:ind w:firstLine="640"/>
        <w:jc w:val="both"/>
      </w:pPr>
      <w:r>
        <w:rPr>
          <w:rFonts w:ascii="仿宋_GB2312" w:hAnsi="仿宋_GB2312" w:eastAsia="仿宋_GB2312" w:cs="仿宋_GB2312"/>
          <w:sz w:val="32"/>
        </w:rPr>
        <w:t>进出口动物和动物产品，承运人凭进口报关单证或者海关签发的检疫单证运递。</w:t>
      </w:r>
    </w:p>
    <w:p>
      <w:pPr>
        <w:spacing w:line="560" w:lineRule="exact"/>
        <w:ind w:firstLine="640"/>
        <w:jc w:val="both"/>
      </w:pPr>
      <w:r>
        <w:rPr>
          <w:rFonts w:ascii="仿宋_GB2312" w:hAnsi="仿宋_GB2312" w:eastAsia="仿宋_GB2312" w:cs="仿宋_GB2312"/>
          <w:sz w:val="32"/>
        </w:rPr>
        <w:t>从事动物运输的单位、个人以及车辆，应当向所在地县级人民政府农业农村主管部门备案，妥善保存行程路线和托运人提供的动物名称、检疫证明编号、数量等信息。具体办法由国务院农业农村主管部门制定。</w:t>
      </w:r>
    </w:p>
    <w:p>
      <w:pPr>
        <w:spacing w:line="560" w:lineRule="exact"/>
        <w:ind w:firstLine="640"/>
        <w:jc w:val="both"/>
      </w:pPr>
      <w:r>
        <w:rPr>
          <w:rFonts w:ascii="仿宋_GB2312" w:hAnsi="仿宋_GB2312" w:eastAsia="仿宋_GB2312" w:cs="仿宋_GB2312"/>
          <w:sz w:val="32"/>
        </w:rPr>
        <w:t>运载工具在装载前和卸载后应当及时清洗、消毒。</w:t>
      </w:r>
    </w:p>
    <w:p>
      <w:pPr>
        <w:spacing w:line="560" w:lineRule="exact"/>
        <w:ind w:firstLine="640"/>
        <w:jc w:val="both"/>
      </w:pPr>
      <w:r>
        <w:rPr>
          <w:rFonts w:ascii="黑体" w:hAnsi="黑体" w:eastAsia="黑体" w:cs="黑体"/>
          <w:sz w:val="32"/>
        </w:rPr>
        <w:t>第五十三条</w:t>
      </w:r>
      <w:r>
        <w:rPr>
          <w:rFonts w:ascii="仿宋_GB2312" w:hAnsi="仿宋_GB2312" w:eastAsia="仿宋_GB2312" w:cs="仿宋_GB2312"/>
          <w:sz w:val="32"/>
        </w:rPr>
        <w:t>　省、自治区、直辖市人民政府确定并公布道路运输的动物进入本行政区域的指定通道，设置引导标志。跨省、自治区、直辖市通过道路运输动物的，应当经省、自治区、直辖市人民政府设立的指定通道入省境或者过省境。</w:t>
      </w:r>
    </w:p>
    <w:p>
      <w:pPr>
        <w:spacing w:line="560" w:lineRule="exact"/>
        <w:ind w:firstLine="640"/>
        <w:jc w:val="both"/>
      </w:pPr>
      <w:r>
        <w:rPr>
          <w:rFonts w:ascii="黑体" w:hAnsi="黑体" w:eastAsia="黑体" w:cs="黑体"/>
          <w:sz w:val="32"/>
        </w:rPr>
        <w:t>第五十四条</w:t>
      </w:r>
      <w:r>
        <w:rPr>
          <w:rFonts w:ascii="仿宋_GB2312" w:hAnsi="仿宋_GB2312" w:eastAsia="仿宋_GB2312" w:cs="仿宋_GB2312"/>
          <w:sz w:val="32"/>
        </w:rPr>
        <w:t>　输入到无规定动物疫病区的动物、动物产品，货主应当按照国务院农业农村主管部门的规定向无规定动物疫病区所在地动物卫生监督机构申报检疫，经检疫合格的，方可进入。</w:t>
      </w:r>
    </w:p>
    <w:p>
      <w:pPr>
        <w:spacing w:line="560" w:lineRule="exact"/>
        <w:ind w:firstLine="640"/>
        <w:jc w:val="both"/>
      </w:pPr>
      <w:r>
        <w:rPr>
          <w:rFonts w:ascii="黑体" w:hAnsi="黑体" w:eastAsia="黑体" w:cs="黑体"/>
          <w:sz w:val="32"/>
        </w:rPr>
        <w:t>第五十五条</w:t>
      </w:r>
      <w:r>
        <w:rPr>
          <w:rFonts w:ascii="仿宋_GB2312" w:hAnsi="仿宋_GB2312" w:eastAsia="仿宋_GB2312" w:cs="仿宋_GB2312"/>
          <w:sz w:val="32"/>
        </w:rPr>
        <w:t>　跨省、自治区、直辖市引进的种用、乳用动物到达输入地后，货主应当按照国务院农业农村主管部门的规定对引进的种用、乳用动物进行隔离观察。</w:t>
      </w:r>
    </w:p>
    <w:p>
      <w:pPr>
        <w:spacing w:line="560" w:lineRule="exact"/>
        <w:ind w:firstLine="640"/>
        <w:jc w:val="both"/>
      </w:pPr>
      <w:r>
        <w:rPr>
          <w:rFonts w:ascii="黑体" w:hAnsi="黑体" w:eastAsia="黑体" w:cs="黑体"/>
          <w:sz w:val="32"/>
        </w:rPr>
        <w:t>第五十六条</w:t>
      </w:r>
      <w:r>
        <w:rPr>
          <w:rFonts w:ascii="仿宋_GB2312" w:hAnsi="仿宋_GB2312" w:eastAsia="仿宋_GB2312" w:cs="仿宋_GB2312"/>
          <w:sz w:val="32"/>
        </w:rPr>
        <w:t>　经检疫不合格的动物、动物产品，货主应当在农业农村主管部门的监督下按照国家有关规定处理，处理费用由货主承担。</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第六章　病死动物和病害动物产品的无害化处理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第五十七条</w:t>
      </w:r>
      <w:r>
        <w:rPr>
          <w:rFonts w:ascii="仿宋_GB2312" w:hAnsi="仿宋_GB2312" w:eastAsia="仿宋_GB2312" w:cs="仿宋_GB2312"/>
          <w:sz w:val="32"/>
        </w:rPr>
        <w:t>　从事动物饲养、屠宰、经营、隔离以及动物产品生产、经营、加工、贮藏等活动的单位和个人，应当按照国家有关规定做好病死动物、病害动物产品的无害化处理，或者委托动物和动物产品无害化处理场所处理。</w:t>
      </w:r>
    </w:p>
    <w:p>
      <w:pPr>
        <w:spacing w:line="560" w:lineRule="exact"/>
        <w:ind w:firstLine="640"/>
        <w:jc w:val="both"/>
      </w:pPr>
      <w:r>
        <w:rPr>
          <w:rFonts w:ascii="仿宋_GB2312" w:hAnsi="仿宋_GB2312" w:eastAsia="仿宋_GB2312" w:cs="仿宋_GB2312"/>
          <w:sz w:val="32"/>
        </w:rPr>
        <w:t>从事动物、动物产品运输的单位和个人，应当配合做好病死动物和病害动物产品的无害化处理，不得在途中擅自弃置和处理有关动物和动物产品。</w:t>
      </w:r>
    </w:p>
    <w:p>
      <w:pPr>
        <w:spacing w:line="560" w:lineRule="exact"/>
        <w:ind w:firstLine="640"/>
        <w:jc w:val="both"/>
      </w:pPr>
      <w:r>
        <w:rPr>
          <w:rFonts w:ascii="仿宋_GB2312" w:hAnsi="仿宋_GB2312" w:eastAsia="仿宋_GB2312" w:cs="仿宋_GB2312"/>
          <w:sz w:val="32"/>
        </w:rPr>
        <w:t>任何单位和个人不得买卖、加工、随意弃置病死动物和病害动物产品。</w:t>
      </w:r>
    </w:p>
    <w:p>
      <w:pPr>
        <w:spacing w:line="560" w:lineRule="exact"/>
        <w:ind w:firstLine="640"/>
        <w:jc w:val="both"/>
      </w:pPr>
      <w:r>
        <w:rPr>
          <w:rFonts w:ascii="仿宋_GB2312" w:hAnsi="仿宋_GB2312" w:eastAsia="仿宋_GB2312" w:cs="仿宋_GB2312"/>
          <w:sz w:val="32"/>
        </w:rPr>
        <w:t>动物和动物产品无害化处理管理办法由国务院农业农村、野生动物保护主管部门按照职责制定。</w:t>
      </w:r>
    </w:p>
    <w:p>
      <w:pPr>
        <w:spacing w:line="560" w:lineRule="exact"/>
        <w:ind w:firstLine="640"/>
        <w:jc w:val="both"/>
      </w:pPr>
      <w:r>
        <w:rPr>
          <w:rFonts w:ascii="黑体" w:hAnsi="黑体" w:eastAsia="黑体" w:cs="黑体"/>
          <w:sz w:val="32"/>
        </w:rPr>
        <w:t>第五十八条</w:t>
      </w:r>
      <w:r>
        <w:rPr>
          <w:rFonts w:ascii="仿宋_GB2312" w:hAnsi="仿宋_GB2312" w:eastAsia="仿宋_GB2312" w:cs="仿宋_GB2312"/>
          <w:sz w:val="32"/>
        </w:rPr>
        <w:t>　在江河、湖泊、水库等水域发现的死亡畜禽，由所在地县级人民政府组织收集、处理并溯源。</w:t>
      </w:r>
    </w:p>
    <w:p>
      <w:pPr>
        <w:spacing w:line="560" w:lineRule="exact"/>
        <w:ind w:firstLine="640"/>
        <w:jc w:val="both"/>
      </w:pPr>
      <w:r>
        <w:rPr>
          <w:rFonts w:ascii="仿宋_GB2312" w:hAnsi="仿宋_GB2312" w:eastAsia="仿宋_GB2312" w:cs="仿宋_GB2312"/>
          <w:sz w:val="32"/>
        </w:rPr>
        <w:t>在城市公共场所和乡村发现的死亡畜禽，由所在地街道办事处、乡级人民政府组织收集、处理并溯源。</w:t>
      </w:r>
    </w:p>
    <w:p>
      <w:pPr>
        <w:spacing w:line="560" w:lineRule="exact"/>
        <w:ind w:firstLine="640"/>
        <w:jc w:val="both"/>
      </w:pPr>
      <w:r>
        <w:rPr>
          <w:rFonts w:ascii="仿宋_GB2312" w:hAnsi="仿宋_GB2312" w:eastAsia="仿宋_GB2312" w:cs="仿宋_GB2312"/>
          <w:sz w:val="32"/>
        </w:rPr>
        <w:t>在野外环境发现的死亡野生动物，由所在地野生动物保护主管部门收集、处理。</w:t>
      </w:r>
    </w:p>
    <w:p>
      <w:pPr>
        <w:spacing w:line="560" w:lineRule="exact"/>
        <w:ind w:firstLine="640"/>
        <w:jc w:val="both"/>
      </w:pPr>
      <w:r>
        <w:rPr>
          <w:rFonts w:ascii="黑体" w:hAnsi="黑体" w:eastAsia="黑体" w:cs="黑体"/>
          <w:sz w:val="32"/>
        </w:rPr>
        <w:t>第五十九条</w:t>
      </w:r>
      <w:r>
        <w:rPr>
          <w:rFonts w:ascii="仿宋_GB2312" w:hAnsi="仿宋_GB2312" w:eastAsia="仿宋_GB2312" w:cs="仿宋_GB2312"/>
          <w:sz w:val="32"/>
        </w:rPr>
        <w:t>　省、自治区、直辖市人民政府制定动物和动物产品集中无害化处理场所建设规划，建立政府主导、市场运作的无害化处理机制。</w:t>
      </w:r>
    </w:p>
    <w:p>
      <w:pPr>
        <w:spacing w:line="560" w:lineRule="exact"/>
        <w:ind w:firstLine="640"/>
        <w:jc w:val="both"/>
      </w:pPr>
      <w:r>
        <w:rPr>
          <w:rFonts w:ascii="黑体" w:hAnsi="黑体" w:eastAsia="黑体" w:cs="黑体"/>
          <w:sz w:val="32"/>
        </w:rPr>
        <w:t>第六十条</w:t>
      </w:r>
      <w:r>
        <w:rPr>
          <w:rFonts w:ascii="仿宋_GB2312" w:hAnsi="仿宋_GB2312" w:eastAsia="仿宋_GB2312" w:cs="仿宋_GB2312"/>
          <w:sz w:val="32"/>
        </w:rPr>
        <w:t>　各级财政对病死动物无害化处理提供补助。具体补助标准和办法由县级以上人民政府财政部门会同本级人民政府农业农村、野生动物保护等有关部门制定。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第七章　动物诊疗</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第六十一条</w:t>
      </w:r>
      <w:r>
        <w:rPr>
          <w:rFonts w:ascii="仿宋_GB2312" w:hAnsi="仿宋_GB2312" w:eastAsia="仿宋_GB2312" w:cs="仿宋_GB2312"/>
          <w:sz w:val="32"/>
        </w:rPr>
        <w:t>　从事动物诊疗活动的机构，应当具备下列条件：</w:t>
      </w:r>
    </w:p>
    <w:p>
      <w:pPr>
        <w:spacing w:line="560" w:lineRule="exact"/>
        <w:ind w:firstLine="640"/>
        <w:jc w:val="both"/>
      </w:pPr>
      <w:r>
        <w:rPr>
          <w:rFonts w:ascii="仿宋_GB2312" w:hAnsi="仿宋_GB2312" w:eastAsia="仿宋_GB2312" w:cs="仿宋_GB2312"/>
          <w:sz w:val="32"/>
        </w:rPr>
        <w:t>（一）有与动物诊疗活动相适应并符合动物防疫条件的场所；</w:t>
      </w:r>
    </w:p>
    <w:p>
      <w:pPr>
        <w:spacing w:line="560" w:lineRule="exact"/>
        <w:ind w:firstLine="640"/>
        <w:jc w:val="both"/>
      </w:pPr>
      <w:r>
        <w:rPr>
          <w:rFonts w:ascii="仿宋_GB2312" w:hAnsi="仿宋_GB2312" w:eastAsia="仿宋_GB2312" w:cs="仿宋_GB2312"/>
          <w:sz w:val="32"/>
        </w:rPr>
        <w:t>（二）有与动物诊疗活动相适应的执业兽医；</w:t>
      </w:r>
    </w:p>
    <w:p>
      <w:pPr>
        <w:spacing w:line="560" w:lineRule="exact"/>
        <w:ind w:firstLine="640"/>
        <w:jc w:val="both"/>
      </w:pPr>
      <w:r>
        <w:rPr>
          <w:rFonts w:ascii="仿宋_GB2312" w:hAnsi="仿宋_GB2312" w:eastAsia="仿宋_GB2312" w:cs="仿宋_GB2312"/>
          <w:sz w:val="32"/>
        </w:rPr>
        <w:t>（三）有与动物诊疗活动相适应的兽医器械和设备；</w:t>
      </w:r>
    </w:p>
    <w:p>
      <w:pPr>
        <w:spacing w:line="560" w:lineRule="exact"/>
        <w:ind w:firstLine="640"/>
        <w:jc w:val="both"/>
      </w:pPr>
      <w:r>
        <w:rPr>
          <w:rFonts w:ascii="仿宋_GB2312" w:hAnsi="仿宋_GB2312" w:eastAsia="仿宋_GB2312" w:cs="仿宋_GB2312"/>
          <w:sz w:val="32"/>
        </w:rPr>
        <w:t>（四）有完善的管理制度。</w:t>
      </w:r>
    </w:p>
    <w:p>
      <w:pPr>
        <w:spacing w:line="560" w:lineRule="exact"/>
        <w:ind w:firstLine="640"/>
        <w:jc w:val="both"/>
      </w:pPr>
      <w:r>
        <w:rPr>
          <w:rFonts w:ascii="仿宋_GB2312" w:hAnsi="仿宋_GB2312" w:eastAsia="仿宋_GB2312" w:cs="仿宋_GB2312"/>
          <w:sz w:val="32"/>
        </w:rPr>
        <w:t>动物诊疗机构包括动物医院、动物诊所以及其他提供动物诊疗服务的机构。</w:t>
      </w:r>
    </w:p>
    <w:p>
      <w:pPr>
        <w:spacing w:line="560" w:lineRule="exact"/>
        <w:ind w:firstLine="640"/>
        <w:jc w:val="both"/>
      </w:pPr>
      <w:r>
        <w:rPr>
          <w:rFonts w:ascii="黑体" w:hAnsi="黑体" w:eastAsia="黑体" w:cs="黑体"/>
          <w:sz w:val="32"/>
        </w:rPr>
        <w:t>第六十二条</w:t>
      </w:r>
      <w:r>
        <w:rPr>
          <w:rFonts w:ascii="仿宋_GB2312" w:hAnsi="仿宋_GB2312" w:eastAsia="仿宋_GB2312" w:cs="仿宋_GB2312"/>
          <w:sz w:val="32"/>
        </w:rPr>
        <w:t>　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不合格的，应当通知申请人并说明理由。</w:t>
      </w:r>
    </w:p>
    <w:p>
      <w:pPr>
        <w:spacing w:line="560" w:lineRule="exact"/>
        <w:ind w:firstLine="640"/>
        <w:jc w:val="both"/>
      </w:pPr>
      <w:r>
        <w:rPr>
          <w:rFonts w:ascii="黑体" w:hAnsi="黑体" w:eastAsia="黑体" w:cs="黑体"/>
          <w:sz w:val="32"/>
        </w:rPr>
        <w:t>第六十三条</w:t>
      </w:r>
      <w:r>
        <w:rPr>
          <w:rFonts w:ascii="仿宋_GB2312" w:hAnsi="仿宋_GB2312" w:eastAsia="仿宋_GB2312" w:cs="仿宋_GB2312"/>
          <w:sz w:val="32"/>
        </w:rPr>
        <w:t>　动物诊疗许可证应当载明诊疗机构名称、诊疗活动范围、从业地点和法定代表人（负责人）等事项。</w:t>
      </w:r>
    </w:p>
    <w:p>
      <w:pPr>
        <w:spacing w:line="560" w:lineRule="exact"/>
        <w:ind w:firstLine="640"/>
        <w:jc w:val="both"/>
      </w:pPr>
      <w:r>
        <w:rPr>
          <w:rFonts w:ascii="仿宋_GB2312" w:hAnsi="仿宋_GB2312" w:eastAsia="仿宋_GB2312" w:cs="仿宋_GB2312"/>
          <w:sz w:val="32"/>
        </w:rPr>
        <w:t>动物诊疗许可证载明事项变更的，应当申请变更或者换发动物诊疗许可证。</w:t>
      </w:r>
    </w:p>
    <w:p>
      <w:pPr>
        <w:spacing w:line="560" w:lineRule="exact"/>
        <w:ind w:firstLine="640"/>
        <w:jc w:val="both"/>
      </w:pPr>
      <w:r>
        <w:rPr>
          <w:rFonts w:ascii="黑体" w:hAnsi="黑体" w:eastAsia="黑体" w:cs="黑体"/>
          <w:sz w:val="32"/>
        </w:rPr>
        <w:t>第六十四条</w:t>
      </w:r>
      <w:r>
        <w:rPr>
          <w:rFonts w:ascii="仿宋_GB2312" w:hAnsi="仿宋_GB2312" w:eastAsia="仿宋_GB2312" w:cs="仿宋_GB2312"/>
          <w:sz w:val="32"/>
        </w:rPr>
        <w:t>　动物诊疗机构应当按照国务院农业农村主管部门的规定，做好诊疗活动中的卫生安全防护、消毒、隔离和诊疗废弃物处置等工作。</w:t>
      </w:r>
    </w:p>
    <w:p>
      <w:pPr>
        <w:spacing w:line="560" w:lineRule="exact"/>
        <w:ind w:firstLine="640"/>
        <w:jc w:val="both"/>
      </w:pPr>
      <w:r>
        <w:rPr>
          <w:rFonts w:ascii="黑体" w:hAnsi="黑体" w:eastAsia="黑体" w:cs="黑体"/>
          <w:sz w:val="32"/>
        </w:rPr>
        <w:t>第六十五条</w:t>
      </w:r>
      <w:r>
        <w:rPr>
          <w:rFonts w:ascii="仿宋_GB2312" w:hAnsi="仿宋_GB2312" w:eastAsia="仿宋_GB2312" w:cs="仿宋_GB2312"/>
          <w:sz w:val="32"/>
        </w:rPr>
        <w:t>　从事动物诊疗活动，应当遵守有关动物诊疗的操作技术规范，使用符合规定的兽药和兽医器械。</w:t>
      </w:r>
    </w:p>
    <w:p>
      <w:pPr>
        <w:spacing w:line="560" w:lineRule="exact"/>
        <w:ind w:firstLine="640"/>
        <w:jc w:val="both"/>
      </w:pPr>
      <w:r>
        <w:rPr>
          <w:rFonts w:ascii="仿宋_GB2312" w:hAnsi="仿宋_GB2312" w:eastAsia="仿宋_GB2312" w:cs="仿宋_GB2312"/>
          <w:sz w:val="32"/>
        </w:rPr>
        <w:t>兽药和兽医器械的管理办法由国务院规定。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第八章　兽医管理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第六十六条</w:t>
      </w:r>
      <w:r>
        <w:rPr>
          <w:rFonts w:ascii="仿宋_GB2312" w:hAnsi="仿宋_GB2312" w:eastAsia="仿宋_GB2312" w:cs="仿宋_GB2312"/>
          <w:sz w:val="32"/>
        </w:rPr>
        <w:t>　国家实行官方兽医任命制度。</w:t>
      </w:r>
    </w:p>
    <w:p>
      <w:pPr>
        <w:spacing w:line="560" w:lineRule="exact"/>
        <w:ind w:firstLine="640"/>
        <w:jc w:val="both"/>
      </w:pPr>
      <w:r>
        <w:rPr>
          <w:rFonts w:ascii="仿宋_GB2312" w:hAnsi="仿宋_GB2312" w:eastAsia="仿宋_GB2312" w:cs="仿宋_GB2312"/>
          <w:sz w:val="32"/>
        </w:rPr>
        <w:t>官方兽医应当具备国务院农业农村主管部门规定的条件，由省、自治区、直辖市人民政府农业农村主管部门按照程序确认，由所在地县级以上人民政府农业农村主管部门任命。具体办法由国务院农业农村主管部门制定。</w:t>
      </w:r>
    </w:p>
    <w:p>
      <w:pPr>
        <w:spacing w:line="560" w:lineRule="exact"/>
        <w:ind w:firstLine="640"/>
        <w:jc w:val="both"/>
      </w:pPr>
      <w:r>
        <w:rPr>
          <w:rFonts w:ascii="仿宋_GB2312" w:hAnsi="仿宋_GB2312" w:eastAsia="仿宋_GB2312" w:cs="仿宋_GB2312"/>
          <w:sz w:val="32"/>
        </w:rPr>
        <w:t>海关的官方兽医应当具备规定的条件，由海关总署任命。具体办法由海关总署会同国务院农业农村主管部门制定。</w:t>
      </w:r>
    </w:p>
    <w:p>
      <w:pPr>
        <w:spacing w:line="560" w:lineRule="exact"/>
        <w:ind w:firstLine="640"/>
        <w:jc w:val="both"/>
      </w:pPr>
      <w:r>
        <w:rPr>
          <w:rFonts w:ascii="黑体" w:hAnsi="黑体" w:eastAsia="黑体" w:cs="黑体"/>
          <w:sz w:val="32"/>
        </w:rPr>
        <w:t>第六十七条</w:t>
      </w:r>
      <w:r>
        <w:rPr>
          <w:rFonts w:ascii="仿宋_GB2312" w:hAnsi="仿宋_GB2312" w:eastAsia="仿宋_GB2312" w:cs="仿宋_GB2312"/>
          <w:sz w:val="32"/>
        </w:rPr>
        <w:t>　官方兽医依法履行动物、动物产品检疫职责，任何单位和个人不得拒绝或者阻碍。</w:t>
      </w:r>
    </w:p>
    <w:p>
      <w:pPr>
        <w:spacing w:line="560" w:lineRule="exact"/>
        <w:ind w:firstLine="640"/>
        <w:jc w:val="both"/>
      </w:pPr>
      <w:r>
        <w:rPr>
          <w:rFonts w:ascii="黑体" w:hAnsi="黑体" w:eastAsia="黑体" w:cs="黑体"/>
          <w:sz w:val="32"/>
        </w:rPr>
        <w:t>第六十八条</w:t>
      </w:r>
      <w:r>
        <w:rPr>
          <w:rFonts w:ascii="仿宋_GB2312" w:hAnsi="仿宋_GB2312" w:eastAsia="仿宋_GB2312" w:cs="仿宋_GB2312"/>
          <w:sz w:val="32"/>
        </w:rPr>
        <w:t>　县级以上人民政府农业农村主管部门制定官方兽医培训计划，提供培训条件，定期对官方兽医进行培训和考核。</w:t>
      </w:r>
    </w:p>
    <w:p>
      <w:pPr>
        <w:spacing w:line="560" w:lineRule="exact"/>
        <w:ind w:firstLine="640"/>
        <w:jc w:val="both"/>
      </w:pPr>
      <w:r>
        <w:rPr>
          <w:rFonts w:ascii="黑体" w:hAnsi="黑体" w:eastAsia="黑体" w:cs="黑体"/>
          <w:sz w:val="32"/>
        </w:rPr>
        <w:t>第六十九条</w:t>
      </w:r>
      <w:r>
        <w:rPr>
          <w:rFonts w:ascii="仿宋_GB2312" w:hAnsi="仿宋_GB2312" w:eastAsia="仿宋_GB2312" w:cs="仿宋_GB2312"/>
          <w:sz w:val="32"/>
        </w:rPr>
        <w:t>　国家实行执业兽医资格考试制度。具有兽医相关专业大学专科以上学历的人员或者符合条件的乡村兽医，通过执业兽医资格考试的，由省、自治区、直辖市人民政府农业农村主管部门颁发执业兽医资格证书；从事动物诊疗等经营活动的，还应当向所在地县级人民政府农业农村主管部门备案。</w:t>
      </w:r>
    </w:p>
    <w:p>
      <w:pPr>
        <w:spacing w:line="560" w:lineRule="exact"/>
        <w:ind w:firstLine="640"/>
        <w:jc w:val="both"/>
      </w:pPr>
      <w:r>
        <w:rPr>
          <w:rFonts w:ascii="仿宋_GB2312" w:hAnsi="仿宋_GB2312" w:eastAsia="仿宋_GB2312" w:cs="仿宋_GB2312"/>
          <w:sz w:val="32"/>
        </w:rPr>
        <w:t>执业兽医资格考试办法由国务院农业农村主管部门商国务院人力资源主管部门制定。</w:t>
      </w:r>
    </w:p>
    <w:p>
      <w:pPr>
        <w:spacing w:line="560" w:lineRule="exact"/>
        <w:ind w:firstLine="640"/>
        <w:jc w:val="both"/>
      </w:pPr>
      <w:r>
        <w:rPr>
          <w:rFonts w:ascii="黑体" w:hAnsi="黑体" w:eastAsia="黑体" w:cs="黑体"/>
          <w:sz w:val="32"/>
        </w:rPr>
        <w:t>第七十条</w:t>
      </w:r>
      <w:r>
        <w:rPr>
          <w:rFonts w:ascii="仿宋_GB2312" w:hAnsi="仿宋_GB2312" w:eastAsia="仿宋_GB2312" w:cs="仿宋_GB2312"/>
          <w:sz w:val="32"/>
        </w:rPr>
        <w:t>　执业兽医开具兽医处方应当亲自诊断，并对诊断结论负责。</w:t>
      </w:r>
    </w:p>
    <w:p>
      <w:pPr>
        <w:spacing w:line="560" w:lineRule="exact"/>
        <w:ind w:firstLine="640"/>
        <w:jc w:val="both"/>
      </w:pPr>
      <w:r>
        <w:rPr>
          <w:rFonts w:ascii="仿宋_GB2312" w:hAnsi="仿宋_GB2312" w:eastAsia="仿宋_GB2312" w:cs="仿宋_GB2312"/>
          <w:sz w:val="32"/>
        </w:rPr>
        <w:t>国家鼓励执业兽医接受继续教育。执业兽医所在机构应当支持执业兽医参加继续教育。</w:t>
      </w:r>
    </w:p>
    <w:p>
      <w:pPr>
        <w:spacing w:line="560" w:lineRule="exact"/>
        <w:ind w:firstLine="640"/>
        <w:jc w:val="both"/>
      </w:pPr>
      <w:r>
        <w:rPr>
          <w:rFonts w:ascii="黑体" w:hAnsi="黑体" w:eastAsia="黑体" w:cs="黑体"/>
          <w:sz w:val="32"/>
        </w:rPr>
        <w:t>第七十一条</w:t>
      </w:r>
      <w:r>
        <w:rPr>
          <w:rFonts w:ascii="仿宋_GB2312" w:hAnsi="仿宋_GB2312" w:eastAsia="仿宋_GB2312" w:cs="仿宋_GB2312"/>
          <w:sz w:val="32"/>
        </w:rPr>
        <w:t>　乡村兽医可以在乡村从事动物诊疗活动。具体管理办法由国务院农业农村主管部门制定。</w:t>
      </w:r>
    </w:p>
    <w:p>
      <w:pPr>
        <w:spacing w:line="560" w:lineRule="exact"/>
        <w:ind w:firstLine="640"/>
        <w:jc w:val="both"/>
      </w:pPr>
      <w:r>
        <w:rPr>
          <w:rFonts w:ascii="黑体" w:hAnsi="黑体" w:eastAsia="黑体" w:cs="黑体"/>
          <w:sz w:val="32"/>
        </w:rPr>
        <w:t>第七十二条</w:t>
      </w:r>
      <w:r>
        <w:rPr>
          <w:rFonts w:ascii="仿宋_GB2312" w:hAnsi="仿宋_GB2312" w:eastAsia="仿宋_GB2312" w:cs="仿宋_GB2312"/>
          <w:sz w:val="32"/>
        </w:rPr>
        <w:t>　执业兽医、乡村兽医应当按照所在地人民政府和农业农村主管部门的要求，参加动物疫病预防、控制和动物疫情扑灭等活动。</w:t>
      </w:r>
    </w:p>
    <w:p>
      <w:pPr>
        <w:spacing w:line="560" w:lineRule="exact"/>
        <w:ind w:firstLine="640"/>
        <w:jc w:val="both"/>
      </w:pPr>
      <w:r>
        <w:rPr>
          <w:rFonts w:ascii="黑体" w:hAnsi="黑体" w:eastAsia="黑体" w:cs="黑体"/>
          <w:sz w:val="32"/>
        </w:rPr>
        <w:t>第七十三条</w:t>
      </w:r>
      <w:r>
        <w:rPr>
          <w:rFonts w:ascii="仿宋_GB2312" w:hAnsi="仿宋_GB2312" w:eastAsia="仿宋_GB2312" w:cs="仿宋_GB2312"/>
          <w:sz w:val="32"/>
        </w:rPr>
        <w:t>　兽医行业协会提供兽医信息、技术、培训等服务，维护成员合法权益，按照章程建立健全行业规范和奖惩机制，加强行业自律，推动行业诚信建设，宣传动物防疫和兽医知识。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第九章　监督管理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第七十四条</w:t>
      </w:r>
      <w:r>
        <w:rPr>
          <w:rFonts w:ascii="仿宋_GB2312" w:hAnsi="仿宋_GB2312" w:eastAsia="仿宋_GB2312" w:cs="仿宋_GB2312"/>
          <w:sz w:val="32"/>
        </w:rPr>
        <w:t>　县级以上地方人民政府农业农村主管部门依照本法规定，对动物饲养、屠宰、经营、隔离、运输以及动物产品生产、经营、加工、贮藏、运输等活动中的动物防疫实施监督管理。</w:t>
      </w:r>
    </w:p>
    <w:p>
      <w:pPr>
        <w:spacing w:line="560" w:lineRule="exact"/>
        <w:ind w:firstLine="640"/>
        <w:jc w:val="both"/>
      </w:pPr>
      <w:r>
        <w:rPr>
          <w:rFonts w:ascii="黑体" w:hAnsi="黑体" w:eastAsia="黑体" w:cs="黑体"/>
          <w:sz w:val="32"/>
        </w:rPr>
        <w:t>第七十五条</w:t>
      </w:r>
      <w:r>
        <w:rPr>
          <w:rFonts w:ascii="仿宋_GB2312" w:hAnsi="仿宋_GB2312" w:eastAsia="仿宋_GB2312" w:cs="仿宋_GB2312"/>
          <w:sz w:val="32"/>
        </w:rPr>
        <w:t>　为控制动物疫病，县级人民政府农业农村主管部门应当派人在所在地依法设立的现有检查站执行监督检查任务；必要时，经省、自治区、直辖市人民政府批准，可以设立临时性的动物防疫检查站，执行监督检查任务。</w:t>
      </w:r>
    </w:p>
    <w:p>
      <w:pPr>
        <w:spacing w:line="560" w:lineRule="exact"/>
        <w:ind w:firstLine="640"/>
        <w:jc w:val="both"/>
      </w:pPr>
      <w:r>
        <w:rPr>
          <w:rFonts w:ascii="黑体" w:hAnsi="黑体" w:eastAsia="黑体" w:cs="黑体"/>
          <w:sz w:val="32"/>
        </w:rPr>
        <w:t>第七十六条</w:t>
      </w:r>
      <w:r>
        <w:rPr>
          <w:rFonts w:ascii="仿宋_GB2312" w:hAnsi="仿宋_GB2312" w:eastAsia="仿宋_GB2312" w:cs="仿宋_GB2312"/>
          <w:sz w:val="32"/>
        </w:rPr>
        <w:t>　县级以上地方人民政府农业农村主管部门执行监督检查任务，可以采取下列措施，有关单位和个人不得拒绝或者阻碍：</w:t>
      </w:r>
    </w:p>
    <w:p>
      <w:pPr>
        <w:spacing w:line="560" w:lineRule="exact"/>
        <w:ind w:firstLine="640"/>
        <w:jc w:val="both"/>
      </w:pPr>
      <w:r>
        <w:rPr>
          <w:rFonts w:ascii="仿宋_GB2312" w:hAnsi="仿宋_GB2312" w:eastAsia="仿宋_GB2312" w:cs="仿宋_GB2312"/>
          <w:sz w:val="32"/>
        </w:rPr>
        <w:t>（一）对动物、动物产品按照规定采样、留验、抽检；</w:t>
      </w:r>
    </w:p>
    <w:p>
      <w:pPr>
        <w:spacing w:line="560" w:lineRule="exact"/>
        <w:ind w:firstLine="640"/>
        <w:jc w:val="both"/>
      </w:pPr>
      <w:r>
        <w:rPr>
          <w:rFonts w:ascii="仿宋_GB2312" w:hAnsi="仿宋_GB2312" w:eastAsia="仿宋_GB2312" w:cs="仿宋_GB2312"/>
          <w:sz w:val="32"/>
        </w:rPr>
        <w:t>（二）对染疫或者疑似染疫的动物、动物产品及相关物品进行隔离、查封、扣押和处理；</w:t>
      </w:r>
    </w:p>
    <w:p>
      <w:pPr>
        <w:spacing w:line="560" w:lineRule="exact"/>
        <w:ind w:firstLine="640"/>
        <w:jc w:val="both"/>
      </w:pPr>
      <w:r>
        <w:rPr>
          <w:rFonts w:ascii="仿宋_GB2312" w:hAnsi="仿宋_GB2312" w:eastAsia="仿宋_GB2312" w:cs="仿宋_GB2312"/>
          <w:sz w:val="32"/>
        </w:rPr>
        <w:t>（三）对依法应当检疫而未经检疫的动物和动物产品，具备补检条件的实施补检，不具备补检条件的予以收缴销毁；</w:t>
      </w:r>
    </w:p>
    <w:p>
      <w:pPr>
        <w:spacing w:line="560" w:lineRule="exact"/>
        <w:ind w:firstLine="640"/>
        <w:jc w:val="both"/>
      </w:pPr>
      <w:r>
        <w:rPr>
          <w:rFonts w:ascii="仿宋_GB2312" w:hAnsi="仿宋_GB2312" w:eastAsia="仿宋_GB2312" w:cs="仿宋_GB2312"/>
          <w:sz w:val="32"/>
        </w:rPr>
        <w:t>（四）查验检疫证明、检疫标志和畜禽标识；</w:t>
      </w:r>
    </w:p>
    <w:p>
      <w:pPr>
        <w:spacing w:line="560" w:lineRule="exact"/>
        <w:ind w:firstLine="640"/>
        <w:jc w:val="both"/>
      </w:pPr>
      <w:r>
        <w:rPr>
          <w:rFonts w:ascii="仿宋_GB2312" w:hAnsi="仿宋_GB2312" w:eastAsia="仿宋_GB2312" w:cs="仿宋_GB2312"/>
          <w:sz w:val="32"/>
        </w:rPr>
        <w:t>（五）进入有关场所调查取证，查阅、复制与动物防疫有关的资料。</w:t>
      </w:r>
    </w:p>
    <w:p>
      <w:pPr>
        <w:spacing w:line="560" w:lineRule="exact"/>
        <w:ind w:firstLine="640"/>
        <w:jc w:val="both"/>
      </w:pPr>
      <w:r>
        <w:rPr>
          <w:rFonts w:ascii="仿宋_GB2312" w:hAnsi="仿宋_GB2312" w:eastAsia="仿宋_GB2312" w:cs="仿宋_GB2312"/>
          <w:sz w:val="32"/>
        </w:rPr>
        <w:t>县级以上地方人民政府农业农村主管部门根据动物疫病预防、控制需要，经所在地县级以上地方人民政府批准，可以在车站、港口、机场等相关场所派驻官方兽医或者工作人员。</w:t>
      </w:r>
    </w:p>
    <w:p>
      <w:pPr>
        <w:spacing w:line="560" w:lineRule="exact"/>
        <w:ind w:firstLine="640"/>
        <w:jc w:val="both"/>
      </w:pPr>
      <w:r>
        <w:rPr>
          <w:rFonts w:ascii="黑体" w:hAnsi="黑体" w:eastAsia="黑体" w:cs="黑体"/>
          <w:sz w:val="32"/>
        </w:rPr>
        <w:t>第七十七条</w:t>
      </w:r>
      <w:r>
        <w:rPr>
          <w:rFonts w:ascii="仿宋_GB2312" w:hAnsi="仿宋_GB2312" w:eastAsia="仿宋_GB2312" w:cs="仿宋_GB2312"/>
          <w:sz w:val="32"/>
        </w:rPr>
        <w:t>　执法人员执行动物防疫监督检查任务，应当出示行政执法证件，佩带统一标志。</w:t>
      </w:r>
    </w:p>
    <w:p>
      <w:pPr>
        <w:spacing w:line="560" w:lineRule="exact"/>
        <w:ind w:firstLine="640"/>
        <w:jc w:val="both"/>
      </w:pPr>
      <w:r>
        <w:rPr>
          <w:rFonts w:ascii="仿宋_GB2312" w:hAnsi="仿宋_GB2312" w:eastAsia="仿宋_GB2312" w:cs="仿宋_GB2312"/>
          <w:sz w:val="32"/>
        </w:rPr>
        <w:t>县级以上人民政府农业农村主管部门及其工作人员不得从事与动物防疫有关的经营性活动，进行监督检查不得收取任何费用。</w:t>
      </w:r>
    </w:p>
    <w:p>
      <w:pPr>
        <w:spacing w:line="560" w:lineRule="exact"/>
        <w:ind w:firstLine="640"/>
        <w:jc w:val="both"/>
      </w:pPr>
      <w:r>
        <w:rPr>
          <w:rFonts w:ascii="黑体" w:hAnsi="黑体" w:eastAsia="黑体" w:cs="黑体"/>
          <w:sz w:val="32"/>
        </w:rPr>
        <w:t>第七十八条</w:t>
      </w:r>
      <w:r>
        <w:rPr>
          <w:rFonts w:ascii="仿宋_GB2312" w:hAnsi="仿宋_GB2312" w:eastAsia="仿宋_GB2312" w:cs="仿宋_GB2312"/>
          <w:sz w:val="32"/>
        </w:rPr>
        <w:t>　禁止转让、伪造或者变造检疫证明、检疫标志或者畜禽标识。</w:t>
      </w:r>
    </w:p>
    <w:p>
      <w:pPr>
        <w:spacing w:line="560" w:lineRule="exact"/>
        <w:ind w:firstLine="640"/>
        <w:jc w:val="both"/>
      </w:pPr>
      <w:r>
        <w:rPr>
          <w:rFonts w:ascii="仿宋_GB2312" w:hAnsi="仿宋_GB2312" w:eastAsia="仿宋_GB2312" w:cs="仿宋_GB2312"/>
          <w:sz w:val="32"/>
        </w:rPr>
        <w:t>禁止持有、使用伪造或者变造的检疫证明、检疫标志或者畜禽标识。</w:t>
      </w:r>
    </w:p>
    <w:p>
      <w:pPr>
        <w:spacing w:line="560" w:lineRule="exact"/>
        <w:ind w:firstLine="640"/>
        <w:jc w:val="both"/>
      </w:pPr>
      <w:r>
        <w:rPr>
          <w:rFonts w:ascii="仿宋_GB2312" w:hAnsi="仿宋_GB2312" w:eastAsia="仿宋_GB2312" w:cs="仿宋_GB2312"/>
          <w:sz w:val="32"/>
        </w:rPr>
        <w:t>检疫证明、检疫标志的管理办法由国务院农业农村主管部门制定。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第十章　保障措施</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第七十九条</w:t>
      </w:r>
      <w:r>
        <w:rPr>
          <w:rFonts w:ascii="仿宋_GB2312" w:hAnsi="仿宋_GB2312" w:eastAsia="仿宋_GB2312" w:cs="仿宋_GB2312"/>
          <w:sz w:val="32"/>
        </w:rPr>
        <w:t>　县级以上人民政府应当将动物防疫工作纳入本级国民经济和社会发展规划及年度计划。</w:t>
      </w:r>
    </w:p>
    <w:p>
      <w:pPr>
        <w:spacing w:line="560" w:lineRule="exact"/>
        <w:ind w:firstLine="640"/>
        <w:jc w:val="both"/>
      </w:pPr>
      <w:r>
        <w:rPr>
          <w:rFonts w:ascii="黑体" w:hAnsi="黑体" w:eastAsia="黑体" w:cs="黑体"/>
          <w:sz w:val="32"/>
        </w:rPr>
        <w:t>第八十条</w:t>
      </w:r>
      <w:r>
        <w:rPr>
          <w:rFonts w:ascii="仿宋_GB2312" w:hAnsi="仿宋_GB2312" w:eastAsia="仿宋_GB2312" w:cs="仿宋_GB2312"/>
          <w:sz w:val="32"/>
        </w:rPr>
        <w:t>　国家鼓励和支持动物防疫领域新技术、新设备、新产品等科学技术研究开发。</w:t>
      </w:r>
    </w:p>
    <w:p>
      <w:pPr>
        <w:spacing w:line="560" w:lineRule="exact"/>
        <w:ind w:firstLine="640"/>
        <w:jc w:val="both"/>
      </w:pPr>
      <w:r>
        <w:rPr>
          <w:rFonts w:ascii="黑体" w:hAnsi="黑体" w:eastAsia="黑体" w:cs="黑体"/>
          <w:sz w:val="32"/>
        </w:rPr>
        <w:t>第八十一条</w:t>
      </w:r>
      <w:r>
        <w:rPr>
          <w:rFonts w:ascii="仿宋_GB2312" w:hAnsi="仿宋_GB2312" w:eastAsia="仿宋_GB2312" w:cs="仿宋_GB2312"/>
          <w:sz w:val="32"/>
        </w:rPr>
        <w:t>　县级人民政府应当为动物卫生监督机构配备与动物、动物产品检疫工作相适应的官方兽医，保障检疫工作条件。</w:t>
      </w:r>
    </w:p>
    <w:p>
      <w:pPr>
        <w:spacing w:line="560" w:lineRule="exact"/>
        <w:ind w:firstLine="640"/>
        <w:jc w:val="both"/>
      </w:pPr>
      <w:r>
        <w:rPr>
          <w:rFonts w:ascii="仿宋_GB2312" w:hAnsi="仿宋_GB2312" w:eastAsia="仿宋_GB2312" w:cs="仿宋_GB2312"/>
          <w:sz w:val="32"/>
        </w:rPr>
        <w:t>县级人民政府农业农村主管部门可以根据动物防疫工作需要，向乡、镇或者特定区域派驻兽医机构或者工作人员。</w:t>
      </w:r>
    </w:p>
    <w:p>
      <w:pPr>
        <w:spacing w:line="560" w:lineRule="exact"/>
        <w:ind w:firstLine="640"/>
        <w:jc w:val="both"/>
      </w:pPr>
      <w:r>
        <w:rPr>
          <w:rFonts w:ascii="黑体" w:hAnsi="黑体" w:eastAsia="黑体" w:cs="黑体"/>
          <w:sz w:val="32"/>
        </w:rPr>
        <w:t>第八十二条</w:t>
      </w:r>
      <w:r>
        <w:rPr>
          <w:rFonts w:ascii="仿宋_GB2312" w:hAnsi="仿宋_GB2312" w:eastAsia="仿宋_GB2312" w:cs="仿宋_GB2312"/>
          <w:sz w:val="32"/>
        </w:rPr>
        <w:t>　国家鼓励和支持执业兽医、乡村兽医和动物诊疗机构开展动物防疫和疫病诊疗活动；鼓励养殖企业、兽药及饲料生产企业组建动物防疫服务团队，提供防疫服务。地方人民政府组织村级防疫员参加动物疫病防治工作的，应当保障村级防疫员合理劳务报酬。</w:t>
      </w:r>
    </w:p>
    <w:p>
      <w:pPr>
        <w:spacing w:line="560" w:lineRule="exact"/>
        <w:ind w:firstLine="640"/>
        <w:jc w:val="both"/>
      </w:pPr>
      <w:r>
        <w:rPr>
          <w:rFonts w:ascii="黑体" w:hAnsi="黑体" w:eastAsia="黑体" w:cs="黑体"/>
          <w:sz w:val="32"/>
        </w:rPr>
        <w:t>第八十三条</w:t>
      </w:r>
      <w:r>
        <w:rPr>
          <w:rFonts w:ascii="仿宋_GB2312" w:hAnsi="仿宋_GB2312" w:eastAsia="仿宋_GB2312" w:cs="仿宋_GB2312"/>
          <w:sz w:val="32"/>
        </w:rPr>
        <w:t>　县级以上人民政府按照本级政府职责，将动物疫病的监测、预防、控制、净化、消灭，动物、动物产品的检疫和病死动物的无害化处理，以及监督管理所需经费纳入本级预算。</w:t>
      </w:r>
    </w:p>
    <w:p>
      <w:pPr>
        <w:spacing w:line="560" w:lineRule="exact"/>
        <w:ind w:firstLine="640"/>
        <w:jc w:val="both"/>
      </w:pPr>
      <w:r>
        <w:rPr>
          <w:rFonts w:ascii="黑体" w:hAnsi="黑体" w:eastAsia="黑体" w:cs="黑体"/>
          <w:sz w:val="32"/>
        </w:rPr>
        <w:t>第八十四条</w:t>
      </w:r>
      <w:r>
        <w:rPr>
          <w:rFonts w:ascii="仿宋_GB2312" w:hAnsi="仿宋_GB2312" w:eastAsia="仿宋_GB2312" w:cs="仿宋_GB2312"/>
          <w:sz w:val="32"/>
        </w:rPr>
        <w:t>　县级以上人民政府应当储备动物疫情应急处置所需的防疫物资。</w:t>
      </w:r>
    </w:p>
    <w:p>
      <w:pPr>
        <w:spacing w:line="560" w:lineRule="exact"/>
        <w:ind w:firstLine="640"/>
        <w:jc w:val="both"/>
      </w:pPr>
      <w:r>
        <w:rPr>
          <w:rFonts w:ascii="黑体" w:hAnsi="黑体" w:eastAsia="黑体" w:cs="黑体"/>
          <w:sz w:val="32"/>
        </w:rPr>
        <w:t>第八十五条</w:t>
      </w:r>
      <w:r>
        <w:rPr>
          <w:rFonts w:ascii="仿宋_GB2312" w:hAnsi="仿宋_GB2312" w:eastAsia="仿宋_GB2312" w:cs="仿宋_GB2312"/>
          <w:sz w:val="32"/>
        </w:rPr>
        <w:t>　对在动物疫病预防、控制、净化、消灭过程中强制扑杀的动物、销毁的动物产品和相关物品，县级以上人民政府给予补偿。具体补偿标准和办法由国务院财政部门会同有关部门制定。</w:t>
      </w:r>
    </w:p>
    <w:p>
      <w:pPr>
        <w:spacing w:line="560" w:lineRule="exact"/>
        <w:ind w:firstLine="640"/>
        <w:jc w:val="both"/>
      </w:pPr>
      <w:r>
        <w:rPr>
          <w:rFonts w:ascii="黑体" w:hAnsi="黑体" w:eastAsia="黑体" w:cs="黑体"/>
          <w:sz w:val="32"/>
        </w:rPr>
        <w:t>第八十六条</w:t>
      </w:r>
      <w:r>
        <w:rPr>
          <w:rFonts w:ascii="仿宋_GB2312" w:hAnsi="仿宋_GB2312" w:eastAsia="仿宋_GB2312" w:cs="仿宋_GB2312"/>
          <w:sz w:val="32"/>
        </w:rPr>
        <w:t>　对从事动物疫病预防、检疫、监督检查、现场处理疫情以及在工作中接触动物疫病病原体的人员，有关单位按照国家规定，采取有效的卫生防护、医疗保健措施，给予畜牧兽医医疗卫生津贴等相关待遇。</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第十一章　法律责任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第八十七条</w:t>
      </w:r>
      <w:r>
        <w:rPr>
          <w:rFonts w:ascii="仿宋_GB2312" w:hAnsi="仿宋_GB2312" w:eastAsia="仿宋_GB2312" w:cs="仿宋_GB2312"/>
          <w:sz w:val="32"/>
        </w:rPr>
        <w:t>　地方各级人民政府及其工作人员未依照本法规定履行职责的，对直接负责的主管人员和其他直接责任人员依法给予处分。</w:t>
      </w:r>
    </w:p>
    <w:p>
      <w:pPr>
        <w:spacing w:line="560" w:lineRule="exact"/>
        <w:ind w:firstLine="640"/>
        <w:jc w:val="both"/>
      </w:pPr>
      <w:r>
        <w:rPr>
          <w:rFonts w:ascii="黑体" w:hAnsi="黑体" w:eastAsia="黑体" w:cs="黑体"/>
          <w:sz w:val="32"/>
        </w:rPr>
        <w:t>第八十八条</w:t>
      </w:r>
      <w:r>
        <w:rPr>
          <w:rFonts w:ascii="仿宋_GB2312" w:hAnsi="仿宋_GB2312" w:eastAsia="仿宋_GB2312" w:cs="仿宋_GB2312"/>
          <w:sz w:val="32"/>
        </w:rPr>
        <w:t>　县级以上人民政府农业农村主管部门及其工作人员违反本法规定，有下列行为之一的，由本级人民政府责令改正，通报批评；对直接负责的主管人员和其他直接责任人员依法给予处分：</w:t>
      </w:r>
    </w:p>
    <w:p>
      <w:pPr>
        <w:spacing w:line="560" w:lineRule="exact"/>
        <w:ind w:firstLine="640"/>
        <w:jc w:val="both"/>
      </w:pPr>
      <w:r>
        <w:rPr>
          <w:rFonts w:ascii="仿宋_GB2312" w:hAnsi="仿宋_GB2312" w:eastAsia="仿宋_GB2312" w:cs="仿宋_GB2312"/>
          <w:sz w:val="32"/>
        </w:rPr>
        <w:t>（一）未及时采取预防、控制、扑灭等措施的；</w:t>
      </w:r>
    </w:p>
    <w:p>
      <w:pPr>
        <w:spacing w:line="560" w:lineRule="exact"/>
        <w:ind w:firstLine="640"/>
        <w:jc w:val="both"/>
      </w:pPr>
      <w:r>
        <w:rPr>
          <w:rFonts w:ascii="仿宋_GB2312" w:hAnsi="仿宋_GB2312" w:eastAsia="仿宋_GB2312" w:cs="仿宋_GB2312"/>
          <w:sz w:val="32"/>
        </w:rPr>
        <w:t>（二）对不符合条件的颁发动物防疫条件合格证、动物诊疗许可证，或者对符合条件的拒不颁发动物防疫条件合格证、动物诊疗许可证的；</w:t>
      </w:r>
    </w:p>
    <w:p>
      <w:pPr>
        <w:spacing w:line="560" w:lineRule="exact"/>
        <w:ind w:firstLine="640"/>
        <w:jc w:val="both"/>
      </w:pPr>
      <w:r>
        <w:rPr>
          <w:rFonts w:ascii="仿宋_GB2312" w:hAnsi="仿宋_GB2312" w:eastAsia="仿宋_GB2312" w:cs="仿宋_GB2312"/>
          <w:sz w:val="32"/>
        </w:rPr>
        <w:t>（三）从事与动物防疫有关的经营性活动，或者违法收取费用的；</w:t>
      </w:r>
    </w:p>
    <w:p>
      <w:pPr>
        <w:spacing w:line="560" w:lineRule="exact"/>
        <w:ind w:firstLine="640"/>
        <w:jc w:val="both"/>
      </w:pPr>
      <w:r>
        <w:rPr>
          <w:rFonts w:ascii="仿宋_GB2312" w:hAnsi="仿宋_GB2312" w:eastAsia="仿宋_GB2312" w:cs="仿宋_GB2312"/>
          <w:sz w:val="32"/>
        </w:rPr>
        <w:t>（四）其他未依照本法规定履行职责的行为。</w:t>
      </w:r>
    </w:p>
    <w:p>
      <w:pPr>
        <w:spacing w:line="560" w:lineRule="exact"/>
        <w:ind w:firstLine="640"/>
        <w:jc w:val="both"/>
      </w:pPr>
      <w:r>
        <w:rPr>
          <w:rFonts w:ascii="黑体" w:hAnsi="黑体" w:eastAsia="黑体" w:cs="黑体"/>
          <w:sz w:val="32"/>
        </w:rPr>
        <w:t>第八十九条</w:t>
      </w:r>
      <w:r>
        <w:rPr>
          <w:rFonts w:ascii="仿宋_GB2312" w:hAnsi="仿宋_GB2312" w:eastAsia="仿宋_GB2312" w:cs="仿宋_GB2312"/>
          <w:sz w:val="32"/>
        </w:rPr>
        <w:t>　动物卫生监督机构及其工作人员违反本法规定，有下列行为之一的，由本级人民政府或者农业农村主管部门责令改正，通报批评；对直接负责的主管人员和其他直接责任人员依法给予处分：</w:t>
      </w:r>
    </w:p>
    <w:p>
      <w:pPr>
        <w:spacing w:line="560" w:lineRule="exact"/>
        <w:ind w:firstLine="640"/>
        <w:jc w:val="both"/>
      </w:pPr>
      <w:r>
        <w:rPr>
          <w:rFonts w:ascii="仿宋_GB2312" w:hAnsi="仿宋_GB2312" w:eastAsia="仿宋_GB2312" w:cs="仿宋_GB2312"/>
          <w:sz w:val="32"/>
        </w:rPr>
        <w:t>（一）对未经检疫或者检疫不合格的动物、动物产品出具检疫证明、加施检疫标志，或者对检疫合格的动物、动物产品拒不出具检疫证明、加施检疫标志的；</w:t>
      </w:r>
    </w:p>
    <w:p>
      <w:pPr>
        <w:spacing w:line="560" w:lineRule="exact"/>
        <w:ind w:firstLine="640"/>
        <w:jc w:val="both"/>
      </w:pPr>
      <w:r>
        <w:rPr>
          <w:rFonts w:ascii="仿宋_GB2312" w:hAnsi="仿宋_GB2312" w:eastAsia="仿宋_GB2312" w:cs="仿宋_GB2312"/>
          <w:sz w:val="32"/>
        </w:rPr>
        <w:t>（二）对附有检疫证明、检疫标志的动物、动物产品重复检疫的；</w:t>
      </w:r>
    </w:p>
    <w:p>
      <w:pPr>
        <w:spacing w:line="560" w:lineRule="exact"/>
        <w:ind w:firstLine="640"/>
        <w:jc w:val="both"/>
      </w:pPr>
      <w:r>
        <w:rPr>
          <w:rFonts w:ascii="仿宋_GB2312" w:hAnsi="仿宋_GB2312" w:eastAsia="仿宋_GB2312" w:cs="仿宋_GB2312"/>
          <w:sz w:val="32"/>
        </w:rPr>
        <w:t>（三）从事与动物防疫有关的经营性活动，或者违法收取费用的；</w:t>
      </w:r>
    </w:p>
    <w:p>
      <w:pPr>
        <w:spacing w:line="560" w:lineRule="exact"/>
        <w:ind w:firstLine="640"/>
        <w:jc w:val="both"/>
      </w:pPr>
      <w:r>
        <w:rPr>
          <w:rFonts w:ascii="仿宋_GB2312" w:hAnsi="仿宋_GB2312" w:eastAsia="仿宋_GB2312" w:cs="仿宋_GB2312"/>
          <w:sz w:val="32"/>
        </w:rPr>
        <w:t>（四）其他未依照本法规定履行职责的行为。</w:t>
      </w:r>
    </w:p>
    <w:p>
      <w:pPr>
        <w:spacing w:line="560" w:lineRule="exact"/>
        <w:ind w:firstLine="640"/>
        <w:jc w:val="both"/>
      </w:pPr>
      <w:r>
        <w:rPr>
          <w:rFonts w:ascii="黑体" w:hAnsi="黑体" w:eastAsia="黑体" w:cs="黑体"/>
          <w:sz w:val="32"/>
        </w:rPr>
        <w:t>第九十条</w:t>
      </w:r>
      <w:r>
        <w:rPr>
          <w:rFonts w:ascii="仿宋_GB2312" w:hAnsi="仿宋_GB2312" w:eastAsia="仿宋_GB2312" w:cs="仿宋_GB2312"/>
          <w:sz w:val="32"/>
        </w:rPr>
        <w:t>　动物疫病预防控制机构及其工作人员违反本法规定，有下列行为之一的，由本级人民政府或者农业农村主管部门责令改正，通报批评；对直接负责的主管人员和其他直接责任人员依法给予处分：</w:t>
      </w:r>
    </w:p>
    <w:p>
      <w:pPr>
        <w:spacing w:line="560" w:lineRule="exact"/>
        <w:ind w:firstLine="640"/>
        <w:jc w:val="both"/>
      </w:pPr>
      <w:r>
        <w:rPr>
          <w:rFonts w:ascii="仿宋_GB2312" w:hAnsi="仿宋_GB2312" w:eastAsia="仿宋_GB2312" w:cs="仿宋_GB2312"/>
          <w:sz w:val="32"/>
        </w:rPr>
        <w:t>（一）未履行动物疫病监测、检测、评估职责或者伪造监测、检测、评估结果的；</w:t>
      </w:r>
    </w:p>
    <w:p>
      <w:pPr>
        <w:spacing w:line="560" w:lineRule="exact"/>
        <w:ind w:firstLine="640"/>
        <w:jc w:val="both"/>
      </w:pPr>
      <w:r>
        <w:rPr>
          <w:rFonts w:ascii="仿宋_GB2312" w:hAnsi="仿宋_GB2312" w:eastAsia="仿宋_GB2312" w:cs="仿宋_GB2312"/>
          <w:sz w:val="32"/>
        </w:rPr>
        <w:t>（二）发生动物疫情时未及时进行诊断、调查的；</w:t>
      </w:r>
    </w:p>
    <w:p>
      <w:pPr>
        <w:spacing w:line="560" w:lineRule="exact"/>
        <w:ind w:firstLine="640"/>
        <w:jc w:val="both"/>
      </w:pPr>
      <w:r>
        <w:rPr>
          <w:rFonts w:ascii="仿宋_GB2312" w:hAnsi="仿宋_GB2312" w:eastAsia="仿宋_GB2312" w:cs="仿宋_GB2312"/>
          <w:sz w:val="32"/>
        </w:rPr>
        <w:t>（三）接到染疫或者疑似染疫报告后，未及时按照国家规定采取措施、上报的；</w:t>
      </w:r>
    </w:p>
    <w:p>
      <w:pPr>
        <w:spacing w:line="560" w:lineRule="exact"/>
        <w:ind w:firstLine="640"/>
        <w:jc w:val="both"/>
      </w:pPr>
      <w:r>
        <w:rPr>
          <w:rFonts w:ascii="仿宋_GB2312" w:hAnsi="仿宋_GB2312" w:eastAsia="仿宋_GB2312" w:cs="仿宋_GB2312"/>
          <w:sz w:val="32"/>
        </w:rPr>
        <w:t>（四）其他未依照本法规定履行职责的行为。</w:t>
      </w:r>
    </w:p>
    <w:p>
      <w:pPr>
        <w:spacing w:line="560" w:lineRule="exact"/>
        <w:ind w:firstLine="640"/>
        <w:jc w:val="both"/>
      </w:pPr>
      <w:r>
        <w:rPr>
          <w:rFonts w:ascii="黑体" w:hAnsi="黑体" w:eastAsia="黑体" w:cs="黑体"/>
          <w:sz w:val="32"/>
        </w:rPr>
        <w:t>第九十一条</w:t>
      </w:r>
      <w:r>
        <w:rPr>
          <w:rFonts w:ascii="仿宋_GB2312" w:hAnsi="仿宋_GB2312" w:eastAsia="仿宋_GB2312" w:cs="仿宋_GB2312"/>
          <w:sz w:val="32"/>
        </w:rPr>
        <w:t>　地方各级人民政府、有关部门及其工作人员瞒报、谎报、迟报、漏报或者授意他人瞒报、谎报、迟报动物疫情，或者阻碍他人报告动物疫情的，由上级人民政府或者有关部门责令改正，通报批评；对直接负责的主管人员和其他直接责任人员依法给予处分。</w:t>
      </w:r>
    </w:p>
    <w:p>
      <w:pPr>
        <w:spacing w:line="560" w:lineRule="exact"/>
        <w:ind w:firstLine="640"/>
        <w:jc w:val="both"/>
      </w:pPr>
      <w:r>
        <w:rPr>
          <w:rFonts w:ascii="黑体" w:hAnsi="黑体" w:eastAsia="黑体" w:cs="黑体"/>
          <w:sz w:val="32"/>
        </w:rPr>
        <w:t>第九十二条</w:t>
      </w:r>
      <w:r>
        <w:rPr>
          <w:rFonts w:ascii="仿宋_GB2312" w:hAnsi="仿宋_GB2312" w:eastAsia="仿宋_GB2312" w:cs="仿宋_GB2312"/>
          <w:sz w:val="32"/>
        </w:rPr>
        <w:t>　违反本法规定，有下列行为之一的，由县级以上地方人民政府农业农村主管部门责令限期改正，可以处一千元以下罚款；逾期不改正的，处一千元以上五千元以下罚款，由县级以上地方人民政府农业农村主管部门委托动物诊疗机构、无害化处理场所等代为处理，所需费用由违法行为人承担：</w:t>
      </w:r>
    </w:p>
    <w:p>
      <w:pPr>
        <w:spacing w:line="560" w:lineRule="exact"/>
        <w:ind w:firstLine="640"/>
        <w:jc w:val="both"/>
      </w:pPr>
      <w:r>
        <w:rPr>
          <w:rFonts w:ascii="仿宋_GB2312" w:hAnsi="仿宋_GB2312" w:eastAsia="仿宋_GB2312" w:cs="仿宋_GB2312"/>
          <w:sz w:val="32"/>
        </w:rPr>
        <w:t>（一）对饲养的动物未按照动物疫病强制免疫计划或者免疫技术规范实施免疫接种的；</w:t>
      </w:r>
    </w:p>
    <w:p>
      <w:pPr>
        <w:spacing w:line="560" w:lineRule="exact"/>
        <w:ind w:firstLine="640"/>
        <w:jc w:val="both"/>
      </w:pPr>
      <w:r>
        <w:rPr>
          <w:rFonts w:ascii="仿宋_GB2312" w:hAnsi="仿宋_GB2312" w:eastAsia="仿宋_GB2312" w:cs="仿宋_GB2312"/>
          <w:sz w:val="32"/>
        </w:rPr>
        <w:t>（二）对饲养的种用、乳用动物未按照国务院农业农村主管部门的要求定期开展疫病检测，或者经检测不合格而未按照规定处理的；</w:t>
      </w:r>
    </w:p>
    <w:p>
      <w:pPr>
        <w:spacing w:line="560" w:lineRule="exact"/>
        <w:ind w:firstLine="640"/>
        <w:jc w:val="both"/>
      </w:pPr>
      <w:r>
        <w:rPr>
          <w:rFonts w:ascii="仿宋_GB2312" w:hAnsi="仿宋_GB2312" w:eastAsia="仿宋_GB2312" w:cs="仿宋_GB2312"/>
          <w:sz w:val="32"/>
        </w:rPr>
        <w:t>（三）对饲养的犬只未按照规定定期进行狂犬病免疫接种的；</w:t>
      </w:r>
    </w:p>
    <w:p>
      <w:pPr>
        <w:spacing w:line="560" w:lineRule="exact"/>
        <w:ind w:firstLine="640"/>
        <w:jc w:val="both"/>
      </w:pPr>
      <w:r>
        <w:rPr>
          <w:rFonts w:ascii="仿宋_GB2312" w:hAnsi="仿宋_GB2312" w:eastAsia="仿宋_GB2312" w:cs="仿宋_GB2312"/>
          <w:sz w:val="32"/>
        </w:rPr>
        <w:t>（四）动物、动物产品的运载工具在装载前和卸载后未按照规定及时清洗、消毒的。</w:t>
      </w:r>
    </w:p>
    <w:p>
      <w:pPr>
        <w:spacing w:line="560" w:lineRule="exact"/>
        <w:ind w:firstLine="640"/>
        <w:jc w:val="both"/>
      </w:pPr>
      <w:r>
        <w:rPr>
          <w:rFonts w:ascii="黑体" w:hAnsi="黑体" w:eastAsia="黑体" w:cs="黑体"/>
          <w:sz w:val="32"/>
        </w:rPr>
        <w:t>第九十三条</w:t>
      </w:r>
      <w:r>
        <w:rPr>
          <w:rFonts w:ascii="仿宋_GB2312" w:hAnsi="仿宋_GB2312" w:eastAsia="仿宋_GB2312" w:cs="仿宋_GB2312"/>
          <w:sz w:val="32"/>
        </w:rPr>
        <w:t>　违反本法规定，对经强制免疫的动物未按照规定建立免疫档案，或者未按照规定加施畜禽标识的，依照《中华人民共和国畜牧法》的有关规定处罚。</w:t>
      </w:r>
    </w:p>
    <w:p>
      <w:pPr>
        <w:spacing w:line="560" w:lineRule="exact"/>
        <w:ind w:firstLine="640"/>
        <w:jc w:val="both"/>
      </w:pPr>
      <w:r>
        <w:rPr>
          <w:rFonts w:ascii="黑体" w:hAnsi="黑体" w:eastAsia="黑体" w:cs="黑体"/>
          <w:sz w:val="32"/>
        </w:rPr>
        <w:t>第九十四条</w:t>
      </w:r>
      <w:r>
        <w:rPr>
          <w:rFonts w:ascii="仿宋_GB2312" w:hAnsi="仿宋_GB2312" w:eastAsia="仿宋_GB2312" w:cs="仿宋_GB2312"/>
          <w:sz w:val="32"/>
        </w:rPr>
        <w:t>　违反本法规定，动物、动物产品的运载工具、垫料、包装物、容器等不符合国务院农业农村主管部门规定的动物防疫要求的，由县级以上地方人民政府农业农村主管部门责令改正，可以处五千元以下罚款；情节严重的，处五千元以上五万元以下罚款。</w:t>
      </w:r>
    </w:p>
    <w:p>
      <w:pPr>
        <w:spacing w:line="560" w:lineRule="exact"/>
        <w:ind w:firstLine="640"/>
        <w:jc w:val="both"/>
      </w:pPr>
      <w:r>
        <w:rPr>
          <w:rFonts w:ascii="黑体" w:hAnsi="黑体" w:eastAsia="黑体" w:cs="黑体"/>
          <w:sz w:val="32"/>
        </w:rPr>
        <w:t>第九十五条</w:t>
      </w:r>
      <w:r>
        <w:rPr>
          <w:rFonts w:ascii="仿宋_GB2312" w:hAnsi="仿宋_GB2312" w:eastAsia="仿宋_GB2312" w:cs="仿宋_GB2312"/>
          <w:sz w:val="32"/>
        </w:rPr>
        <w:t>　违反本法规定，对染疫动物及其排泄物、染疫动物产品或者被染疫动物、动物产品污染的运载工具、垫料、包装物、容器等未按照规定处置的，由县级以上地方人民政府农业农村主管部门责令限期处理；逾期不处理的，由县级以上地方人民政府农业农村主管部门委托有关单位代为处理，所需费用由违法行为人承担，处五千元以上五万元以下罚款。</w:t>
      </w:r>
    </w:p>
    <w:p>
      <w:pPr>
        <w:spacing w:line="560" w:lineRule="exact"/>
        <w:ind w:firstLine="640"/>
        <w:jc w:val="both"/>
      </w:pPr>
      <w:r>
        <w:rPr>
          <w:rFonts w:ascii="仿宋_GB2312" w:hAnsi="仿宋_GB2312" w:eastAsia="仿宋_GB2312" w:cs="仿宋_GB2312"/>
          <w:sz w:val="32"/>
        </w:rPr>
        <w:t>造成环境污染或者生态破坏的，依照环境保护有关法律法规进行处罚。</w:t>
      </w:r>
    </w:p>
    <w:p>
      <w:pPr>
        <w:spacing w:line="560" w:lineRule="exact"/>
        <w:ind w:firstLine="640"/>
        <w:jc w:val="both"/>
      </w:pPr>
      <w:r>
        <w:rPr>
          <w:rFonts w:ascii="黑体" w:hAnsi="黑体" w:eastAsia="黑体" w:cs="黑体"/>
          <w:sz w:val="32"/>
        </w:rPr>
        <w:t>第九十六条</w:t>
      </w:r>
      <w:r>
        <w:rPr>
          <w:rFonts w:ascii="仿宋_GB2312" w:hAnsi="仿宋_GB2312" w:eastAsia="仿宋_GB2312" w:cs="仿宋_GB2312"/>
          <w:sz w:val="32"/>
        </w:rPr>
        <w:t>　违反本法规定，患有人畜共患传染病的人员，直接从事动物疫病监测、检测、检验检疫，动物诊疗以及易感染动物的饲养、屠宰、经营、隔离、运输等活动的，由县级以上地方人民政府农业农村或者野生动物保护主管部门责令改正；拒不改正的，处一千元以上一万元以下罚款；情节严重的，处一万元以上五万元以下罚款。</w:t>
      </w:r>
    </w:p>
    <w:p>
      <w:pPr>
        <w:spacing w:line="560" w:lineRule="exact"/>
        <w:ind w:firstLine="640"/>
        <w:jc w:val="both"/>
      </w:pPr>
      <w:r>
        <w:rPr>
          <w:rFonts w:ascii="黑体" w:hAnsi="黑体" w:eastAsia="黑体" w:cs="黑体"/>
          <w:sz w:val="32"/>
        </w:rPr>
        <w:t>第九十七条</w:t>
      </w:r>
      <w:r>
        <w:rPr>
          <w:rFonts w:ascii="仿宋_GB2312" w:hAnsi="仿宋_GB2312" w:eastAsia="仿宋_GB2312" w:cs="仿宋_GB2312"/>
          <w:sz w:val="32"/>
        </w:rPr>
        <w:t>　违反本法第二十九条规定，屠宰、经营、运输动物或者生产、经营、加工、贮藏、运输动物产品的，由县级以上地方人民政府农业农村主管部门责令改正、采取补救措施，没收违法所得、动物和动物产品，并处同类检疫合格动物、动物产品货值金额十五倍以上三十倍以下罚款；同类检疫合格动物、动物产品货值金额不足一万元的，并处五万元以上十五万元以下罚款；其中依法应当检疫而未检疫的，依照本法第一百条的规定处罚。</w:t>
      </w:r>
    </w:p>
    <w:p>
      <w:pPr>
        <w:spacing w:line="560" w:lineRule="exact"/>
        <w:ind w:firstLine="640"/>
        <w:jc w:val="both"/>
      </w:pPr>
      <w:r>
        <w:rPr>
          <w:rFonts w:ascii="仿宋_GB2312" w:hAnsi="仿宋_GB2312" w:eastAsia="仿宋_GB2312" w:cs="仿宋_GB2312"/>
          <w:sz w:val="32"/>
        </w:rPr>
        <w:t>前款规定的违法行为人及其法定代表人（负责人）、直接负责的主管人员和其他直接责任人员，自处罚决定作出之日起五年内不得从事相关活动；构成犯罪的，终身不得从事屠宰、经营、运输动物或者生产、经营、加工、贮藏、运输动物产品等相关活动。</w:t>
      </w:r>
    </w:p>
    <w:p>
      <w:pPr>
        <w:spacing w:line="560" w:lineRule="exact"/>
        <w:ind w:firstLine="640"/>
        <w:jc w:val="both"/>
      </w:pPr>
      <w:r>
        <w:rPr>
          <w:rFonts w:ascii="黑体" w:hAnsi="黑体" w:eastAsia="黑体" w:cs="黑体"/>
          <w:sz w:val="32"/>
        </w:rPr>
        <w:t>第九十八条</w:t>
      </w:r>
      <w:r>
        <w:rPr>
          <w:rFonts w:ascii="仿宋_GB2312" w:hAnsi="仿宋_GB2312" w:eastAsia="仿宋_GB2312" w:cs="仿宋_GB2312"/>
          <w:sz w:val="32"/>
        </w:rPr>
        <w:t>　违反本法规定，有下列行为之一的，由县级以上地方人民政府农业农村主管部门责令改正，处三千元以上三万元以下罚款；情节严重的，责令停业整顿，并处三万元以上十万元以下罚款：</w:t>
      </w:r>
    </w:p>
    <w:p>
      <w:pPr>
        <w:spacing w:line="560" w:lineRule="exact"/>
        <w:ind w:firstLine="640"/>
        <w:jc w:val="both"/>
      </w:pPr>
      <w:r>
        <w:rPr>
          <w:rFonts w:ascii="仿宋_GB2312" w:hAnsi="仿宋_GB2312" w:eastAsia="仿宋_GB2312" w:cs="仿宋_GB2312"/>
          <w:sz w:val="32"/>
        </w:rPr>
        <w:t>（一）开办动物饲养场和隔离场所、动物屠宰加工场所以及动物和动物产品无害化处理场所，未取得动物防疫条件合格证的；</w:t>
      </w:r>
    </w:p>
    <w:p>
      <w:pPr>
        <w:spacing w:line="560" w:lineRule="exact"/>
        <w:ind w:firstLine="640"/>
        <w:jc w:val="both"/>
      </w:pPr>
      <w:r>
        <w:rPr>
          <w:rFonts w:ascii="仿宋_GB2312" w:hAnsi="仿宋_GB2312" w:eastAsia="仿宋_GB2312" w:cs="仿宋_GB2312"/>
          <w:sz w:val="32"/>
        </w:rPr>
        <w:t>（二）经营动物、动物产品的集贸市场不具备国务院农业农村主管部门规定的防疫条件的；</w:t>
      </w:r>
    </w:p>
    <w:p>
      <w:pPr>
        <w:spacing w:line="560" w:lineRule="exact"/>
        <w:ind w:firstLine="640"/>
        <w:jc w:val="both"/>
      </w:pPr>
      <w:r>
        <w:rPr>
          <w:rFonts w:ascii="仿宋_GB2312" w:hAnsi="仿宋_GB2312" w:eastAsia="仿宋_GB2312" w:cs="仿宋_GB2312"/>
          <w:sz w:val="32"/>
        </w:rPr>
        <w:t>（三）未经备案从事动物运输的；</w:t>
      </w:r>
    </w:p>
    <w:p>
      <w:pPr>
        <w:spacing w:line="560" w:lineRule="exact"/>
        <w:ind w:firstLine="640"/>
        <w:jc w:val="both"/>
      </w:pPr>
      <w:r>
        <w:rPr>
          <w:rFonts w:ascii="仿宋_GB2312" w:hAnsi="仿宋_GB2312" w:eastAsia="仿宋_GB2312" w:cs="仿宋_GB2312"/>
          <w:sz w:val="32"/>
        </w:rPr>
        <w:t>（四）未按照规定保存行程路线和托运人提供的动物名称、检疫证明编号、数量等信息的；</w:t>
      </w:r>
    </w:p>
    <w:p>
      <w:pPr>
        <w:spacing w:line="560" w:lineRule="exact"/>
        <w:ind w:firstLine="640"/>
        <w:jc w:val="both"/>
      </w:pPr>
      <w:r>
        <w:rPr>
          <w:rFonts w:ascii="仿宋_GB2312" w:hAnsi="仿宋_GB2312" w:eastAsia="仿宋_GB2312" w:cs="仿宋_GB2312"/>
          <w:sz w:val="32"/>
        </w:rPr>
        <w:t>（五）未经检疫合格，向无规定动物疫病区输入动物、动物产品的；</w:t>
      </w:r>
    </w:p>
    <w:p>
      <w:pPr>
        <w:spacing w:line="560" w:lineRule="exact"/>
        <w:ind w:firstLine="640"/>
        <w:jc w:val="both"/>
      </w:pPr>
      <w:r>
        <w:rPr>
          <w:rFonts w:ascii="仿宋_GB2312" w:hAnsi="仿宋_GB2312" w:eastAsia="仿宋_GB2312" w:cs="仿宋_GB2312"/>
          <w:sz w:val="32"/>
        </w:rPr>
        <w:t>（六）跨省、自治区、直辖市引进种用、乳用动物到达输入地后未按照规定进行隔离观察的；</w:t>
      </w:r>
    </w:p>
    <w:p>
      <w:pPr>
        <w:spacing w:line="560" w:lineRule="exact"/>
        <w:ind w:firstLine="640"/>
        <w:jc w:val="both"/>
      </w:pPr>
      <w:r>
        <w:rPr>
          <w:rFonts w:ascii="仿宋_GB2312" w:hAnsi="仿宋_GB2312" w:eastAsia="仿宋_GB2312" w:cs="仿宋_GB2312"/>
          <w:sz w:val="32"/>
        </w:rPr>
        <w:t>（七）未按照规定处理或者随意弃置病死动物、病害动物产品的。</w:t>
      </w:r>
    </w:p>
    <w:p>
      <w:pPr>
        <w:spacing w:line="560" w:lineRule="exact"/>
        <w:ind w:firstLine="640"/>
        <w:jc w:val="both"/>
      </w:pPr>
      <w:r>
        <w:rPr>
          <w:rFonts w:ascii="黑体" w:hAnsi="黑体" w:eastAsia="黑体" w:cs="黑体"/>
          <w:sz w:val="32"/>
        </w:rPr>
        <w:t>第九十九条</w:t>
      </w:r>
      <w:r>
        <w:rPr>
          <w:rFonts w:ascii="仿宋_GB2312" w:hAnsi="仿宋_GB2312" w:eastAsia="仿宋_GB2312" w:cs="仿宋_GB2312"/>
          <w:sz w:val="32"/>
        </w:rPr>
        <w:t>　动物饲养场和隔离场所、动物屠宰加工场所以及动物和动物产品无害化处理场所，生产经营条件发生变化，不再符合本法第二十四条规定的动物防疫条件继续从事相关活动的，由县级以上地方人民政府农业农村主管部门给予警告，责令限期改正；逾期仍达不到规定条件的，吊销动物防疫条件合格证，并通报市场监督管理部门依法处理。</w:t>
      </w:r>
    </w:p>
    <w:p>
      <w:pPr>
        <w:spacing w:line="560" w:lineRule="exact"/>
        <w:ind w:firstLine="640"/>
        <w:jc w:val="both"/>
      </w:pPr>
      <w:r>
        <w:rPr>
          <w:rFonts w:ascii="黑体" w:hAnsi="黑体" w:eastAsia="黑体" w:cs="黑体"/>
          <w:sz w:val="32"/>
        </w:rPr>
        <w:t>第一百条</w:t>
      </w:r>
      <w:r>
        <w:rPr>
          <w:rFonts w:ascii="仿宋_GB2312" w:hAnsi="仿宋_GB2312" w:eastAsia="仿宋_GB2312" w:cs="仿宋_GB2312"/>
          <w:sz w:val="32"/>
        </w:rPr>
        <w:t>　违反本法规定，屠宰、经营、运输的动物未附有检疫证明，经营和运输的动物产品未附有检疫证明、检疫标志的，由县级以上地方人民政府农业农村主管部门责令改正，处同类检疫合格动物、动物产品货值金额一倍以下罚款；对货主以外的承运人处运输费用三倍以上五倍以下罚款，情节严重的，处五倍以上十倍以下罚款。</w:t>
      </w:r>
    </w:p>
    <w:p>
      <w:pPr>
        <w:spacing w:line="560" w:lineRule="exact"/>
        <w:ind w:firstLine="640"/>
        <w:jc w:val="both"/>
      </w:pPr>
      <w:r>
        <w:rPr>
          <w:rFonts w:ascii="仿宋_GB2312" w:hAnsi="仿宋_GB2312" w:eastAsia="仿宋_GB2312" w:cs="仿宋_GB2312"/>
          <w:sz w:val="32"/>
        </w:rPr>
        <w:t>违反本法规定，用于科研、展示、演出和比赛等非食用性利用的动物未附有检疫证明的，由县级以上地方人民政府农业农村主管部门责令改正，处三千元以上一万元以下罚款。</w:t>
      </w:r>
    </w:p>
    <w:p>
      <w:pPr>
        <w:spacing w:line="560" w:lineRule="exact"/>
        <w:ind w:firstLine="640"/>
        <w:jc w:val="both"/>
      </w:pPr>
      <w:r>
        <w:rPr>
          <w:rFonts w:ascii="黑体" w:hAnsi="黑体" w:eastAsia="黑体" w:cs="黑体"/>
          <w:sz w:val="32"/>
        </w:rPr>
        <w:t>第一百零一条</w:t>
      </w:r>
      <w:r>
        <w:rPr>
          <w:rFonts w:ascii="仿宋_GB2312" w:hAnsi="仿宋_GB2312" w:eastAsia="仿宋_GB2312" w:cs="仿宋_GB2312"/>
          <w:sz w:val="32"/>
        </w:rPr>
        <w:t>　违反本法规定，将禁止或者限制调运的特定动物、动物产品由动物疫病高风险区调入低风险区的，由县级以上地方人民政府农业农村主管部门没收运输费用、违法运输的动物和动物产品，并处运输费用一倍以上五倍以下罚款。</w:t>
      </w:r>
    </w:p>
    <w:p>
      <w:pPr>
        <w:spacing w:line="560" w:lineRule="exact"/>
        <w:ind w:firstLine="640"/>
        <w:jc w:val="both"/>
      </w:pPr>
      <w:r>
        <w:rPr>
          <w:rFonts w:ascii="黑体" w:hAnsi="黑体" w:eastAsia="黑体" w:cs="黑体"/>
          <w:sz w:val="32"/>
        </w:rPr>
        <w:t>第一百零二条</w:t>
      </w:r>
      <w:r>
        <w:rPr>
          <w:rFonts w:ascii="仿宋_GB2312" w:hAnsi="仿宋_GB2312" w:eastAsia="仿宋_GB2312" w:cs="仿宋_GB2312"/>
          <w:sz w:val="32"/>
        </w:rPr>
        <w:t>　违反本法规定，通过道路跨省、自治区、直辖市运输动物，未经省、自治区、直辖市人民政府设立的指定通道入省境或者过省境的，由县级以上地方人民政府农业农村主管部门对运输人处五千元以上一万元以下罚款；情节严重的，处一万元以上五万元以下罚款。</w:t>
      </w:r>
    </w:p>
    <w:p>
      <w:pPr>
        <w:spacing w:line="560" w:lineRule="exact"/>
        <w:ind w:firstLine="640"/>
        <w:jc w:val="both"/>
      </w:pPr>
      <w:r>
        <w:rPr>
          <w:rFonts w:ascii="黑体" w:hAnsi="黑体" w:eastAsia="黑体" w:cs="黑体"/>
          <w:sz w:val="32"/>
        </w:rPr>
        <w:t>第一百零三条</w:t>
      </w:r>
      <w:r>
        <w:rPr>
          <w:rFonts w:ascii="仿宋_GB2312" w:hAnsi="仿宋_GB2312" w:eastAsia="仿宋_GB2312" w:cs="仿宋_GB2312"/>
          <w:sz w:val="32"/>
        </w:rPr>
        <w:t>　违反本法规定，转让、伪造或者变造检疫证明、检疫标志或者畜禽标识的，由县级以上地方人民政府农业农村主管部门没收违法所得和检疫证明、检疫标志、畜禽标识，并处五千元以上五万元以下罚款。</w:t>
      </w:r>
    </w:p>
    <w:p>
      <w:pPr>
        <w:spacing w:line="560" w:lineRule="exact"/>
        <w:ind w:firstLine="640"/>
        <w:jc w:val="both"/>
      </w:pPr>
      <w:r>
        <w:rPr>
          <w:rFonts w:ascii="仿宋_GB2312" w:hAnsi="仿宋_GB2312" w:eastAsia="仿宋_GB2312" w:cs="仿宋_GB2312"/>
          <w:sz w:val="32"/>
        </w:rPr>
        <w:t>持有、使用伪造或者变造的检疫证明、检疫标志或者畜禽标识的，由县级以上人民政府农业农村主管部门没收检疫证明、检疫标志、畜禽标识和对应的动物、动物产品，并处三千元以上三万元以下罚款。</w:t>
      </w:r>
    </w:p>
    <w:p>
      <w:pPr>
        <w:spacing w:line="560" w:lineRule="exact"/>
        <w:ind w:firstLine="640"/>
        <w:jc w:val="both"/>
      </w:pPr>
      <w:r>
        <w:rPr>
          <w:rFonts w:ascii="黑体" w:hAnsi="黑体" w:eastAsia="黑体" w:cs="黑体"/>
          <w:sz w:val="32"/>
        </w:rPr>
        <w:t>第一百零四条</w:t>
      </w:r>
      <w:r>
        <w:rPr>
          <w:rFonts w:ascii="仿宋_GB2312" w:hAnsi="仿宋_GB2312" w:eastAsia="仿宋_GB2312" w:cs="仿宋_GB2312"/>
          <w:sz w:val="32"/>
        </w:rPr>
        <w:t>　违反本法规定，有下列行为之一的，由县级以上地方人民政府农业农村主管部门责令改正，处三千元以上三万元以下罚款：</w:t>
      </w:r>
    </w:p>
    <w:p>
      <w:pPr>
        <w:spacing w:line="560" w:lineRule="exact"/>
        <w:ind w:firstLine="640"/>
        <w:jc w:val="both"/>
      </w:pPr>
      <w:r>
        <w:rPr>
          <w:rFonts w:ascii="仿宋_GB2312" w:hAnsi="仿宋_GB2312" w:eastAsia="仿宋_GB2312" w:cs="仿宋_GB2312"/>
          <w:sz w:val="32"/>
        </w:rPr>
        <w:t>（一）擅自发布动物疫情的；</w:t>
      </w:r>
    </w:p>
    <w:p>
      <w:pPr>
        <w:spacing w:line="560" w:lineRule="exact"/>
        <w:ind w:firstLine="640"/>
        <w:jc w:val="both"/>
      </w:pPr>
      <w:r>
        <w:rPr>
          <w:rFonts w:ascii="仿宋_GB2312" w:hAnsi="仿宋_GB2312" w:eastAsia="仿宋_GB2312" w:cs="仿宋_GB2312"/>
          <w:sz w:val="32"/>
        </w:rPr>
        <w:t>（二）不遵守县级以上人民政府及其农业农村主管部门依法作出的有关控制动物疫病规定的；</w:t>
      </w:r>
    </w:p>
    <w:p>
      <w:pPr>
        <w:spacing w:line="560" w:lineRule="exact"/>
        <w:ind w:firstLine="640"/>
        <w:jc w:val="both"/>
      </w:pPr>
      <w:r>
        <w:rPr>
          <w:rFonts w:ascii="仿宋_GB2312" w:hAnsi="仿宋_GB2312" w:eastAsia="仿宋_GB2312" w:cs="仿宋_GB2312"/>
          <w:sz w:val="32"/>
        </w:rPr>
        <w:t>（三）藏匿、转移、盗掘已被依法隔离、封存、处理的动物和动物产品的。</w:t>
      </w:r>
    </w:p>
    <w:p>
      <w:pPr>
        <w:spacing w:line="560" w:lineRule="exact"/>
        <w:ind w:firstLine="640"/>
        <w:jc w:val="both"/>
      </w:pPr>
      <w:r>
        <w:rPr>
          <w:rFonts w:ascii="黑体" w:hAnsi="黑体" w:eastAsia="黑体" w:cs="黑体"/>
          <w:sz w:val="32"/>
        </w:rPr>
        <w:t>第一百零五条</w:t>
      </w:r>
      <w:r>
        <w:rPr>
          <w:rFonts w:ascii="仿宋_GB2312" w:hAnsi="仿宋_GB2312" w:eastAsia="仿宋_GB2312" w:cs="仿宋_GB2312"/>
          <w:sz w:val="32"/>
        </w:rPr>
        <w:t>　违反本法规定，未取得动物诊疗许可证从事动物诊疗活动的，由县级以上地方人民政府农业农村主管部门责令停止诊疗活动，没收违法所得，并处违法所得一倍以上三倍以下罚款；违法所得不足三万元的，并处三千元以上三万元以下罚款。</w:t>
      </w:r>
    </w:p>
    <w:p>
      <w:pPr>
        <w:spacing w:line="560" w:lineRule="exact"/>
        <w:ind w:firstLine="640"/>
        <w:jc w:val="both"/>
      </w:pPr>
      <w:r>
        <w:rPr>
          <w:rFonts w:ascii="仿宋_GB2312" w:hAnsi="仿宋_GB2312" w:eastAsia="仿宋_GB2312" w:cs="仿宋_GB2312"/>
          <w:sz w:val="32"/>
        </w:rPr>
        <w:t>动物诊疗机构违反本法规定，未按照规定实施卫生安全防护、消毒、隔离和处置诊疗废弃物的，由县级以上地方人民政府农业农村主管部门责令改正，处一千元以上一万元以下罚款；造成动物疫病扩散的，处一万元以上五万元以下罚款；情节严重的，吊销动物诊疗许可证。</w:t>
      </w:r>
    </w:p>
    <w:p>
      <w:pPr>
        <w:spacing w:line="560" w:lineRule="exact"/>
        <w:ind w:firstLine="640"/>
        <w:jc w:val="both"/>
      </w:pPr>
      <w:r>
        <w:rPr>
          <w:rFonts w:ascii="黑体" w:hAnsi="黑体" w:eastAsia="黑体" w:cs="黑体"/>
          <w:sz w:val="32"/>
        </w:rPr>
        <w:t>第一百零六条</w:t>
      </w:r>
      <w:r>
        <w:rPr>
          <w:rFonts w:ascii="仿宋_GB2312" w:hAnsi="仿宋_GB2312" w:eastAsia="仿宋_GB2312" w:cs="仿宋_GB2312"/>
          <w:sz w:val="32"/>
        </w:rPr>
        <w:t>　违反本法规定，未经执业兽医备案从事经营性动物诊疗活动的，由县级以上地方人民政府农业农村主管部门责令停止动物诊疗活动，没收违法所得，并处三千元以上三万元以下罚款；对其所在的动物诊疗机构处一万元以上五万元以下罚款。</w:t>
      </w:r>
    </w:p>
    <w:p>
      <w:pPr>
        <w:spacing w:line="560" w:lineRule="exact"/>
        <w:ind w:firstLine="640"/>
        <w:jc w:val="both"/>
      </w:pPr>
      <w:r>
        <w:rPr>
          <w:rFonts w:ascii="仿宋_GB2312" w:hAnsi="仿宋_GB2312" w:eastAsia="仿宋_GB2312" w:cs="仿宋_GB2312"/>
          <w:sz w:val="32"/>
        </w:rPr>
        <w:t>执业兽医有下列行为之一的，由县级以上地方人民政府农业农村主管部门给予警告，责令暂停六个月以上一年以下动物诊疗活动；情节严重的，吊销执业兽医资格证书：</w:t>
      </w:r>
    </w:p>
    <w:p>
      <w:pPr>
        <w:spacing w:line="560" w:lineRule="exact"/>
        <w:ind w:firstLine="640"/>
        <w:jc w:val="both"/>
      </w:pPr>
      <w:r>
        <w:rPr>
          <w:rFonts w:ascii="仿宋_GB2312" w:hAnsi="仿宋_GB2312" w:eastAsia="仿宋_GB2312" w:cs="仿宋_GB2312"/>
          <w:sz w:val="32"/>
        </w:rPr>
        <w:t>（一）违反有关动物诊疗的操作技术规范，造成或者可能造成动物疫病传播、流行的；</w:t>
      </w:r>
    </w:p>
    <w:p>
      <w:pPr>
        <w:spacing w:line="560" w:lineRule="exact"/>
        <w:ind w:firstLine="640"/>
        <w:jc w:val="both"/>
      </w:pPr>
      <w:r>
        <w:rPr>
          <w:rFonts w:ascii="仿宋_GB2312" w:hAnsi="仿宋_GB2312" w:eastAsia="仿宋_GB2312" w:cs="仿宋_GB2312"/>
          <w:sz w:val="32"/>
        </w:rPr>
        <w:t>（二）使用不符合规定的兽药和兽医器械的；</w:t>
      </w:r>
    </w:p>
    <w:p>
      <w:pPr>
        <w:spacing w:line="560" w:lineRule="exact"/>
        <w:ind w:firstLine="640"/>
        <w:jc w:val="both"/>
      </w:pPr>
      <w:r>
        <w:rPr>
          <w:rFonts w:ascii="仿宋_GB2312" w:hAnsi="仿宋_GB2312" w:eastAsia="仿宋_GB2312" w:cs="仿宋_GB2312"/>
          <w:sz w:val="32"/>
        </w:rPr>
        <w:t>（三）未按照当地人民政府或者农业农村主管部门要求参加动物疫病预防、控制和动物疫情扑灭活动的。</w:t>
      </w:r>
    </w:p>
    <w:p>
      <w:pPr>
        <w:spacing w:line="560" w:lineRule="exact"/>
        <w:ind w:firstLine="640"/>
        <w:jc w:val="both"/>
      </w:pPr>
      <w:r>
        <w:rPr>
          <w:rFonts w:ascii="黑体" w:hAnsi="黑体" w:eastAsia="黑体" w:cs="黑体"/>
          <w:sz w:val="32"/>
        </w:rPr>
        <w:t>第一百零七条</w:t>
      </w:r>
      <w:r>
        <w:rPr>
          <w:rFonts w:ascii="仿宋_GB2312" w:hAnsi="仿宋_GB2312" w:eastAsia="仿宋_GB2312" w:cs="仿宋_GB2312"/>
          <w:sz w:val="32"/>
        </w:rPr>
        <w:t>　违反本法规定，生产经营兽医器械，产品质量不符合要求的，由县级以上地方人民政府农业农村主管部门责令限期整改；情节严重的，责令停业整顿，并处二万元以上十万元以下罚款。</w:t>
      </w:r>
    </w:p>
    <w:p>
      <w:pPr>
        <w:spacing w:line="560" w:lineRule="exact"/>
        <w:ind w:firstLine="640"/>
        <w:jc w:val="both"/>
      </w:pPr>
      <w:r>
        <w:rPr>
          <w:rFonts w:ascii="黑体" w:hAnsi="黑体" w:eastAsia="黑体" w:cs="黑体"/>
          <w:sz w:val="32"/>
        </w:rPr>
        <w:t>第一百零八条</w:t>
      </w:r>
      <w:r>
        <w:rPr>
          <w:rFonts w:ascii="仿宋_GB2312" w:hAnsi="仿宋_GB2312" w:eastAsia="仿宋_GB2312" w:cs="仿宋_GB2312"/>
          <w:sz w:val="32"/>
        </w:rPr>
        <w:t>　违反本法规定，从事动物疫病研究、诊疗和动物饲养、屠宰、经营、隔离、运输，以及动物产品生产、经营、加工、贮藏、无害化处理等活动的单位和个人，有下列行为之一的，由县级以上地方人民政府农业农村主管部门责令改正，可以处一万元以下罚款；拒不改正的，处一万元以上五万元以下罚款，并可以责令停业整顿：</w:t>
      </w:r>
    </w:p>
    <w:p>
      <w:pPr>
        <w:spacing w:line="560" w:lineRule="exact"/>
        <w:ind w:firstLine="640"/>
        <w:jc w:val="both"/>
      </w:pPr>
      <w:r>
        <w:rPr>
          <w:rFonts w:ascii="仿宋_GB2312" w:hAnsi="仿宋_GB2312" w:eastAsia="仿宋_GB2312" w:cs="仿宋_GB2312"/>
          <w:sz w:val="32"/>
        </w:rPr>
        <w:t>（一）发现动物染疫、疑似染疫未报告，或者未采取隔离等控制措施的；</w:t>
      </w:r>
    </w:p>
    <w:p>
      <w:pPr>
        <w:spacing w:line="560" w:lineRule="exact"/>
        <w:ind w:firstLine="640"/>
        <w:jc w:val="both"/>
      </w:pPr>
      <w:r>
        <w:rPr>
          <w:rFonts w:ascii="仿宋_GB2312" w:hAnsi="仿宋_GB2312" w:eastAsia="仿宋_GB2312" w:cs="仿宋_GB2312"/>
          <w:sz w:val="32"/>
        </w:rPr>
        <w:t>（二）不如实提供与动物防疫有关的资料的；</w:t>
      </w:r>
    </w:p>
    <w:p>
      <w:pPr>
        <w:spacing w:line="560" w:lineRule="exact"/>
        <w:ind w:firstLine="640"/>
        <w:jc w:val="both"/>
      </w:pPr>
      <w:r>
        <w:rPr>
          <w:rFonts w:ascii="仿宋_GB2312" w:hAnsi="仿宋_GB2312" w:eastAsia="仿宋_GB2312" w:cs="仿宋_GB2312"/>
          <w:sz w:val="32"/>
        </w:rPr>
        <w:t>（三）拒绝或者阻碍农业农村主管部门进行监督检查的；</w:t>
      </w:r>
    </w:p>
    <w:p>
      <w:pPr>
        <w:spacing w:line="560" w:lineRule="exact"/>
        <w:ind w:firstLine="640"/>
        <w:jc w:val="both"/>
      </w:pPr>
      <w:r>
        <w:rPr>
          <w:rFonts w:ascii="仿宋_GB2312" w:hAnsi="仿宋_GB2312" w:eastAsia="仿宋_GB2312" w:cs="仿宋_GB2312"/>
          <w:sz w:val="32"/>
        </w:rPr>
        <w:t>（四）拒绝或者阻碍动物疫病预防控制机构进行动物疫病监测、检测、评估的；</w:t>
      </w:r>
    </w:p>
    <w:p>
      <w:pPr>
        <w:spacing w:line="560" w:lineRule="exact"/>
        <w:ind w:firstLine="640"/>
        <w:jc w:val="both"/>
      </w:pPr>
      <w:r>
        <w:rPr>
          <w:rFonts w:ascii="仿宋_GB2312" w:hAnsi="仿宋_GB2312" w:eastAsia="仿宋_GB2312" w:cs="仿宋_GB2312"/>
          <w:sz w:val="32"/>
        </w:rPr>
        <w:t>（五）拒绝或者阻碍官方兽医依法履行职责的。</w:t>
      </w:r>
    </w:p>
    <w:p>
      <w:pPr>
        <w:spacing w:line="560" w:lineRule="exact"/>
        <w:ind w:firstLine="640"/>
        <w:jc w:val="both"/>
      </w:pPr>
      <w:r>
        <w:rPr>
          <w:rFonts w:ascii="黑体" w:hAnsi="黑体" w:eastAsia="黑体" w:cs="黑体"/>
          <w:sz w:val="32"/>
        </w:rPr>
        <w:t>第一百零九条</w:t>
      </w:r>
      <w:r>
        <w:rPr>
          <w:rFonts w:ascii="仿宋_GB2312" w:hAnsi="仿宋_GB2312" w:eastAsia="仿宋_GB2312" w:cs="仿宋_GB2312"/>
          <w:sz w:val="32"/>
        </w:rPr>
        <w:t>　违反本法规定，造成人畜共患传染病传播、流行的，依法从重给予处分、处罚。</w:t>
      </w:r>
    </w:p>
    <w:p>
      <w:pPr>
        <w:spacing w:line="560" w:lineRule="exact"/>
        <w:ind w:firstLine="640"/>
        <w:jc w:val="both"/>
      </w:pPr>
      <w:r>
        <w:rPr>
          <w:rFonts w:ascii="仿宋_GB2312" w:hAnsi="仿宋_GB2312" w:eastAsia="仿宋_GB2312" w:cs="仿宋_GB2312"/>
          <w:sz w:val="32"/>
        </w:rPr>
        <w:t>违反本法规定，构成违反治安管理行为的，依法给予治安管理处罚；构成犯罪的，依法追究刑事责任。</w:t>
      </w:r>
    </w:p>
    <w:p>
      <w:pPr>
        <w:spacing w:line="560" w:lineRule="exact"/>
        <w:ind w:firstLine="640"/>
        <w:jc w:val="both"/>
      </w:pPr>
      <w:r>
        <w:rPr>
          <w:rFonts w:ascii="仿宋_GB2312" w:hAnsi="仿宋_GB2312" w:eastAsia="仿宋_GB2312" w:cs="仿宋_GB2312"/>
          <w:sz w:val="32"/>
        </w:rPr>
        <w:t>违反本法规定，给他人人身、财产造成损害的，依法承担民事责任。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第十二章　附则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第一百一十条</w:t>
      </w:r>
      <w:r>
        <w:rPr>
          <w:rFonts w:ascii="仿宋_GB2312" w:hAnsi="仿宋_GB2312" w:eastAsia="仿宋_GB2312" w:cs="仿宋_GB2312"/>
          <w:sz w:val="32"/>
        </w:rPr>
        <w:t>　本法下列用语的含义：</w:t>
      </w:r>
    </w:p>
    <w:p>
      <w:pPr>
        <w:spacing w:line="560" w:lineRule="exact"/>
        <w:ind w:firstLine="640"/>
        <w:jc w:val="both"/>
      </w:pPr>
      <w:r>
        <w:rPr>
          <w:rFonts w:ascii="仿宋_GB2312" w:hAnsi="仿宋_GB2312" w:eastAsia="仿宋_GB2312" w:cs="仿宋_GB2312"/>
          <w:sz w:val="32"/>
        </w:rPr>
        <w:t>（一）无规定动物疫病区，是指具有天然屏障或者采取人工措施，在一定期限内没有发生规定的一种或者几种动物疫病，并经验收合格的区域；</w:t>
      </w:r>
    </w:p>
    <w:p>
      <w:pPr>
        <w:spacing w:line="560" w:lineRule="exact"/>
        <w:ind w:firstLine="640"/>
        <w:jc w:val="both"/>
      </w:pPr>
      <w:r>
        <w:rPr>
          <w:rFonts w:ascii="仿宋_GB2312" w:hAnsi="仿宋_GB2312" w:eastAsia="仿宋_GB2312" w:cs="仿宋_GB2312"/>
          <w:sz w:val="32"/>
        </w:rPr>
        <w:t>（二）无规定动物疫病生物安全隔离区，是指处于同一生物安全管理体系下，在一定期限内没有发生规定的一种或者几种动物疫病的若干动物饲养场及其辅助生产场所构成的，并经验收合格的特定小型区域；</w:t>
      </w:r>
    </w:p>
    <w:p>
      <w:pPr>
        <w:spacing w:line="560" w:lineRule="exact"/>
        <w:ind w:firstLine="640"/>
        <w:jc w:val="both"/>
      </w:pPr>
      <w:r>
        <w:rPr>
          <w:rFonts w:ascii="仿宋_GB2312" w:hAnsi="仿宋_GB2312" w:eastAsia="仿宋_GB2312" w:cs="仿宋_GB2312"/>
          <w:sz w:val="32"/>
        </w:rPr>
        <w:t>（三）病死动物，是指染疫死亡、因病死亡、死因不明或者经检验检疫可能危害人体或者动物健康的死亡动物；</w:t>
      </w:r>
    </w:p>
    <w:p>
      <w:pPr>
        <w:spacing w:line="560" w:lineRule="exact"/>
        <w:ind w:firstLine="640"/>
        <w:jc w:val="both"/>
      </w:pPr>
      <w:r>
        <w:rPr>
          <w:rFonts w:ascii="仿宋_GB2312" w:hAnsi="仿宋_GB2312" w:eastAsia="仿宋_GB2312" w:cs="仿宋_GB2312"/>
          <w:sz w:val="32"/>
        </w:rPr>
        <w:t>（四）病害动物产品，是指来源于病死动物的产品，或者经检验检疫可能危害人体或者动物健康的动物产品。</w:t>
      </w:r>
    </w:p>
    <w:p>
      <w:pPr>
        <w:spacing w:line="560" w:lineRule="exact"/>
        <w:ind w:firstLine="640"/>
        <w:jc w:val="both"/>
      </w:pPr>
      <w:r>
        <w:rPr>
          <w:rFonts w:ascii="黑体" w:hAnsi="黑体" w:eastAsia="黑体" w:cs="黑体"/>
          <w:sz w:val="32"/>
        </w:rPr>
        <w:t>第一百一十一条</w:t>
      </w:r>
      <w:r>
        <w:rPr>
          <w:rFonts w:ascii="仿宋_GB2312" w:hAnsi="仿宋_GB2312" w:eastAsia="仿宋_GB2312" w:cs="仿宋_GB2312"/>
          <w:sz w:val="32"/>
        </w:rPr>
        <w:t>　境外无规定动物疫病区和无规定动物疫病生物安全隔离区的无疫等效性评估，参照本法有关规定执行。</w:t>
      </w:r>
    </w:p>
    <w:p>
      <w:pPr>
        <w:spacing w:line="560" w:lineRule="exact"/>
        <w:ind w:firstLine="640"/>
        <w:jc w:val="both"/>
      </w:pPr>
      <w:r>
        <w:rPr>
          <w:rFonts w:ascii="黑体" w:hAnsi="黑体" w:eastAsia="黑体" w:cs="黑体"/>
          <w:sz w:val="32"/>
        </w:rPr>
        <w:t>第一百一十二条</w:t>
      </w:r>
      <w:r>
        <w:rPr>
          <w:rFonts w:ascii="仿宋_GB2312" w:hAnsi="仿宋_GB2312" w:eastAsia="仿宋_GB2312" w:cs="仿宋_GB2312"/>
          <w:sz w:val="32"/>
        </w:rPr>
        <w:t>　实验动物防疫有特殊要求的，按照实验动物管理的有关规定执行。</w:t>
      </w:r>
    </w:p>
    <w:p>
      <w:pPr>
        <w:spacing w:line="560" w:lineRule="exact"/>
        <w:ind w:firstLine="640"/>
        <w:jc w:val="both"/>
      </w:pPr>
      <w:r>
        <w:rPr>
          <w:rFonts w:ascii="黑体" w:hAnsi="黑体" w:eastAsia="黑体" w:cs="黑体"/>
          <w:sz w:val="32"/>
        </w:rPr>
        <w:t>第一百一十三条</w:t>
      </w:r>
      <w:r>
        <w:rPr>
          <w:rFonts w:ascii="仿宋_GB2312" w:hAnsi="仿宋_GB2312" w:eastAsia="仿宋_GB2312" w:cs="仿宋_GB2312"/>
          <w:sz w:val="32"/>
        </w:rPr>
        <w:t>　本法自</w:t>
      </w:r>
      <w:r>
        <w:rPr>
          <w:rFonts w:hint="default" w:ascii="Times New Roman" w:hAnsi="Times New Roman" w:eastAsia="仿宋_GB2312" w:cs="Times New Roman"/>
          <w:sz w:val="32"/>
        </w:rPr>
        <w:t>2021</w:t>
      </w:r>
      <w:r>
        <w:rPr>
          <w:rFonts w:ascii="仿宋_GB2312" w:hAnsi="仿宋_GB2312" w:eastAsia="仿宋_GB2312" w:cs="仿宋_GB2312"/>
          <w:sz w:val="32"/>
        </w:rPr>
        <w:t>年</w:t>
      </w:r>
      <w:r>
        <w:rPr>
          <w:rFonts w:hint="default" w:ascii="Times New Roman" w:hAnsi="Times New Roman" w:eastAsia="仿宋_GB2312" w:cs="Times New Roman"/>
          <w:sz w:val="32"/>
        </w:rPr>
        <w:t>5</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日起施行。</w:t>
      </w:r>
    </w:p>
    <w:bookmarkEnd w:id="174"/>
    <w:bookmarkEnd w:id="175"/>
    <w:bookmarkEnd w:id="176"/>
    <w:bookmarkEnd w:id="177"/>
    <w:bookmarkEnd w:id="178"/>
    <w:bookmarkEnd w:id="179"/>
    <w:bookmarkEnd w:id="180"/>
    <w:bookmarkEnd w:id="181"/>
    <w:bookmarkEnd w:id="182"/>
    <w:bookmarkEnd w:id="188"/>
    <w:p>
      <w:pPr>
        <w:widowControl w:val="0"/>
        <w:wordWrap/>
        <w:overflowPunct w:val="0"/>
        <w:adjustRightInd/>
        <w:snapToGrid/>
        <w:spacing w:beforeAutospacing="0" w:afterAutospacing="0" w:line="560" w:lineRule="exact"/>
        <w:ind w:firstLine="640" w:firstLineChars="200"/>
        <w:textAlignment w:val="auto"/>
        <w:outlineLvl w:val="9"/>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89" w:name="_Toc24752"/>
      <w:r>
        <w:rPr>
          <w:rFonts w:hint="eastAsia" w:ascii="宋体" w:hAnsi="宋体" w:eastAsia="宋体" w:cs="宋体"/>
          <w:kern w:val="0"/>
          <w:sz w:val="44"/>
          <w:szCs w:val="44"/>
          <w:lang w:val="en-US" w:eastAsia="zh-CN"/>
        </w:rPr>
        <w:t>中华人民共和国大气污染防治法</w:t>
      </w:r>
      <w:bookmarkEnd w:id="189"/>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楷体" w:hAnsi="楷体" w:eastAsia="楷体" w:cs="楷体"/>
          <w:kern w:val="0"/>
          <w:szCs w:val="32"/>
        </w:rPr>
      </w:pPr>
      <w:r>
        <w:rPr>
          <w:rFonts w:hint="eastAsia" w:ascii="楷体" w:hAnsi="楷体" w:eastAsia="楷体" w:cs="楷体"/>
          <w:kern w:val="0"/>
          <w:szCs w:val="32"/>
        </w:rPr>
        <w:t>（1987年9月5日第六届全国人民代表大会常务委员会第二十二次会议通过　根据1995年8月29日第八届全国人民代表大会常务委员会第十五次会议《关于修改〈中华人民共和国大气污染防治法〉的决定》第一次修正　2000年4月29日第九届全国人民代表大会常务委员会第十五次会议第一次修订　2015年8月29日第十二届全国人民代表大会常务委员会第十六次会议第二次修订　根据2018年10月26日第十三届全国人民代表大会常务委员会第六次会议《关于修改〈中华人民共和国野生动物保护法〉等十五部法律的决定》第二次修正）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第二章　大气污染防治标准和限期达标规划</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第三章　大气污染防治的监督管理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第四章　大气污染防治措施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第一节　燃煤和其他能源污染防治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第二节　工业污染防治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第三节　机动车船等污染防治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第四节　扬尘污染防治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第五节　农业和其他污染防治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第五章　重点区域大气污染联合防治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第六章　重污染天气应对</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第七章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第八章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第一条</w:t>
      </w:r>
      <w:r>
        <w:rPr>
          <w:rFonts w:hint="eastAsia" w:ascii="宋体" w:hAnsi="宋体" w:eastAsia="仿宋_GB2312" w:cs="仿宋_GB2312"/>
          <w:kern w:val="0"/>
          <w:szCs w:val="32"/>
        </w:rPr>
        <w:t>　为保护和改善环境，防治大气污染，保障公众健康，推进生态文明建设，促进经济社会可持续发展，制定本法。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第二条</w:t>
      </w:r>
      <w:r>
        <w:rPr>
          <w:rFonts w:hint="eastAsia" w:ascii="宋体" w:hAnsi="宋体" w:eastAsia="仿宋_GB2312" w:cs="仿宋_GB2312"/>
          <w:kern w:val="0"/>
          <w:szCs w:val="32"/>
        </w:rPr>
        <w:t>　防治大气污染，应当以改善大气环境质量为目标，坚持源头治理，规划先行，转变经济发展方式，优化产业结构和布局，调整能源结构。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防治大气污染，应当加强对燃煤、工业、机动车船、扬尘、农业等大气污染的综合防治，推行区域大气污染联合防治，对颗粒物、二氧化硫、氮氧化物、挥发性有机物、氨等大气污染物和温室气体实施协同控制。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第三条</w:t>
      </w:r>
      <w:r>
        <w:rPr>
          <w:rFonts w:hint="eastAsia" w:ascii="宋体" w:hAnsi="宋体" w:eastAsia="仿宋_GB2312" w:cs="仿宋_GB2312"/>
          <w:kern w:val="0"/>
          <w:szCs w:val="32"/>
        </w:rPr>
        <w:t>　县级以上人民政府应当将大气污染防治工作纳入国民经济和社会发展规划，加大对大气污染防治的财政投入。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地方各级人民政府应当对本行政区域的大气环境质量负责，制定规划，采取措施，控制或者逐步削减大气污染物的排放量，使大气环境质量达到规定标准并逐步改善。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第四条</w:t>
      </w:r>
      <w:r>
        <w:rPr>
          <w:rFonts w:hint="eastAsia" w:ascii="宋体" w:hAnsi="宋体" w:eastAsia="仿宋_GB2312" w:cs="仿宋_GB2312"/>
          <w:kern w:val="0"/>
          <w:szCs w:val="32"/>
        </w:rPr>
        <w:t>　国务院生态环境主管部门会同国务院有关部门，按照国务院的规定，对省、自治区、直辖市大气环境质量改善目标、大气污染防治重点任务完成情况进行考核。省、自治区、直辖市人民政府制定考核办法，对本行政区域内地方大气环境质量改善目标、大气污染防治重点任务完成情况实施考核。考核结果应当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第五条</w:t>
      </w:r>
      <w:r>
        <w:rPr>
          <w:rFonts w:hint="eastAsia" w:ascii="宋体" w:hAnsi="宋体" w:eastAsia="仿宋_GB2312" w:cs="仿宋_GB2312"/>
          <w:kern w:val="0"/>
          <w:szCs w:val="32"/>
        </w:rPr>
        <w:t>　县级以上人民政府生态环境主管部门对大气污染防治实施统一监督管理。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县级以上人民政府其他有关部门在各自职责范围内对大气污染防治实施监督管理。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第六条</w:t>
      </w:r>
      <w:r>
        <w:rPr>
          <w:rFonts w:hint="eastAsia" w:ascii="宋体" w:hAnsi="宋体" w:eastAsia="仿宋_GB2312" w:cs="仿宋_GB2312"/>
          <w:kern w:val="0"/>
          <w:szCs w:val="32"/>
        </w:rPr>
        <w:t>　国家鼓励和支持大气污染防治科学技术研究，开展对大气污染来源及其变化趋势的分析，推广先进适用的大气污染防治技术和装备，促进科技成果转化，发挥科学技术在大气污染防治中的支撑作用。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第七条</w:t>
      </w:r>
      <w:r>
        <w:rPr>
          <w:rFonts w:hint="eastAsia" w:ascii="宋体" w:hAnsi="宋体" w:eastAsia="仿宋_GB2312" w:cs="仿宋_GB2312"/>
          <w:kern w:val="0"/>
          <w:szCs w:val="32"/>
        </w:rPr>
        <w:t>　企业事业单位和其他生产经营者应当采取有效措施，防止、减少大气污染，对所造成的损害依法承担责任。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公民应当增强大气环境保护意识，采取低碳、节俭的生活方式，自觉履行大气环境保护义务。</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大气污染防治标准和限期达标规划</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第八条</w:t>
      </w:r>
      <w:r>
        <w:rPr>
          <w:rFonts w:hint="eastAsia" w:ascii="宋体" w:hAnsi="宋体" w:eastAsia="仿宋_GB2312" w:cs="仿宋_GB2312"/>
          <w:kern w:val="0"/>
          <w:szCs w:val="32"/>
        </w:rPr>
        <w:t>　国务院生态环境主管部门或者省、自治区、直辖市人民政府制定大气环境质量标准，应当以保障公众健康和保护生态环境为宗旨，与经济社会发展相适应，做到科学合理。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第九条</w:t>
      </w:r>
      <w:r>
        <w:rPr>
          <w:rFonts w:hint="eastAsia" w:ascii="宋体" w:hAnsi="宋体" w:eastAsia="仿宋_GB2312" w:cs="仿宋_GB2312"/>
          <w:kern w:val="0"/>
          <w:szCs w:val="32"/>
        </w:rPr>
        <w:t>　国务院生态环境主管部门或者省、自治区、直辖市人民政府制定大气污染物排放标准，应当以大气环境质量标准和国家经济、技术条件为依据。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第十条</w:t>
      </w:r>
      <w:r>
        <w:rPr>
          <w:rFonts w:hint="eastAsia" w:ascii="宋体" w:hAnsi="宋体" w:eastAsia="仿宋_GB2312" w:cs="仿宋_GB2312"/>
          <w:kern w:val="0"/>
          <w:szCs w:val="32"/>
        </w:rPr>
        <w:t>　制定大气环境质量标准、大气污染物排放标准，应当组织专家进行审查和论证，并征求有关部门、行业协会、企业事业单位和公众等方面的意见。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第十一条</w:t>
      </w:r>
      <w:r>
        <w:rPr>
          <w:rFonts w:hint="eastAsia" w:ascii="宋体" w:hAnsi="宋体" w:eastAsia="仿宋_GB2312" w:cs="仿宋_GB2312"/>
          <w:kern w:val="0"/>
          <w:szCs w:val="32"/>
        </w:rPr>
        <w:t>　省级以上人民政府生态环境主管部门应当在其网站上公布大气环境质量标准、大气污染物排放标准，供公众免费查阅、下载。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第十二条</w:t>
      </w:r>
      <w:r>
        <w:rPr>
          <w:rFonts w:hint="eastAsia" w:ascii="宋体" w:hAnsi="宋体" w:eastAsia="仿宋_GB2312" w:cs="仿宋_GB2312"/>
          <w:kern w:val="0"/>
          <w:szCs w:val="32"/>
        </w:rPr>
        <w:t>　大气环境质量标准、大气污染物排放标准的执行情况应当定期进行评估，根据评估结果对标准适时进行修订。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第十三条</w:t>
      </w:r>
      <w:r>
        <w:rPr>
          <w:rFonts w:hint="eastAsia" w:ascii="宋体" w:hAnsi="宋体" w:eastAsia="仿宋_GB2312" w:cs="仿宋_GB2312"/>
          <w:kern w:val="0"/>
          <w:szCs w:val="32"/>
        </w:rPr>
        <w:t>　制定燃煤、石油焦、生物质燃料、涂料等含挥发性有机物的产品、烟花爆竹以及锅炉等产品的质量标准，应当明确大气环境保护要求。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制定燃油质量标准，应当符合国家大气污染物控制要求，并与国家机动车船、非道路移动机械大气污染物排放标准相互衔接，同步实施。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前款所称非道路移动机械，是指装配有发动机的移动机械和可运输工业设备。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第十四条</w:t>
      </w:r>
      <w:r>
        <w:rPr>
          <w:rFonts w:hint="eastAsia" w:ascii="宋体" w:hAnsi="宋体" w:eastAsia="仿宋_GB2312" w:cs="仿宋_GB2312"/>
          <w:kern w:val="0"/>
          <w:szCs w:val="32"/>
        </w:rPr>
        <w:t>　未达到国家大气环境质量标准城市的人民政府应当及时编制大气环境质量限期达标规划，采取措施，按照国务院或者省级人民政府规定的期限达到大气环境质量标准。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编制城市大气环境质量限期达标规划，应当征求有关行业协会、企业事业单位、专家和公众等方面的意见。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第十五条</w:t>
      </w:r>
      <w:r>
        <w:rPr>
          <w:rFonts w:hint="eastAsia" w:ascii="宋体" w:hAnsi="宋体" w:eastAsia="仿宋_GB2312" w:cs="仿宋_GB2312"/>
          <w:kern w:val="0"/>
          <w:szCs w:val="32"/>
        </w:rPr>
        <w:t>　城市大气环境质量限期达标规划应当向社会公开。直辖市和设区的市的大气环境质量限期达标规划应当报国务院生态环境主管部门备案。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第十六条</w:t>
      </w:r>
      <w:r>
        <w:rPr>
          <w:rFonts w:hint="eastAsia" w:ascii="宋体" w:hAnsi="宋体" w:eastAsia="仿宋_GB2312" w:cs="仿宋_GB2312"/>
          <w:kern w:val="0"/>
          <w:szCs w:val="32"/>
        </w:rPr>
        <w:t>　城市人民政府每年在向本级人民代表大会或者其常务委员会报告环境状况和环境保护目标完成情况时，应当报告大气环境质量限期达标规划执行情况，并向社会公开。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第十七条</w:t>
      </w:r>
      <w:r>
        <w:rPr>
          <w:rFonts w:hint="eastAsia" w:ascii="宋体" w:hAnsi="宋体" w:eastAsia="仿宋_GB2312" w:cs="仿宋_GB2312"/>
          <w:kern w:val="0"/>
          <w:szCs w:val="32"/>
        </w:rPr>
        <w:t>　城市大气环境质量限期达标规划应当根据大气污染防治的要求和经济、技术条件适时进行评估、修订。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大气污染防治的监督管理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第十八条</w:t>
      </w:r>
      <w:r>
        <w:rPr>
          <w:rFonts w:hint="eastAsia" w:ascii="宋体" w:hAnsi="宋体" w:eastAsia="仿宋_GB2312" w:cs="仿宋_GB2312"/>
          <w:kern w:val="0"/>
          <w:szCs w:val="32"/>
        </w:rPr>
        <w:t>　企业事业单位和其他生产经营者建设对大气环境有影响的项目，应当依法进行环境影响评价、公开环境影响评价文件；向大气排放污染物的，应当符合大气污染物排放标准，遵守重点大气污染物排放总量控制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第十九条</w:t>
      </w:r>
      <w:r>
        <w:rPr>
          <w:rFonts w:hint="eastAsia" w:ascii="宋体" w:hAnsi="宋体" w:eastAsia="仿宋_GB2312" w:cs="仿宋_GB2312"/>
          <w:kern w:val="0"/>
          <w:szCs w:val="32"/>
        </w:rPr>
        <w:t>　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第二十条</w:t>
      </w:r>
      <w:r>
        <w:rPr>
          <w:rFonts w:hint="eastAsia" w:ascii="宋体" w:hAnsi="宋体" w:eastAsia="仿宋_GB2312" w:cs="仿宋_GB2312"/>
          <w:kern w:val="0"/>
          <w:szCs w:val="32"/>
        </w:rPr>
        <w:t>　企业事业单位和其他生产经营者向大气排放污染物的，应当依照法律法规和国务院生态环境主管部门的规定设置大气污染物排放口。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禁止通过偷排、篡改或者伪造监测数据、以逃避现场检查为目的的临时停产、非紧急情况下开启应急排放通道、不正常运行大气污染防治设施等逃避监管的方式排放大气污染物。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第二十一条</w:t>
      </w:r>
      <w:r>
        <w:rPr>
          <w:rFonts w:hint="eastAsia" w:ascii="宋体" w:hAnsi="宋体" w:eastAsia="仿宋_GB2312" w:cs="仿宋_GB2312"/>
          <w:kern w:val="0"/>
          <w:szCs w:val="32"/>
        </w:rPr>
        <w:t>　国家对重点大气污染物排放实行总量控制。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重点大气污染物排放总量控制目标，由国务院生态环境主管部门在征求国务院有关部门和各省、自治区、直辖市人民政府意见后，会同国务院经济综合主管部门报国务院批准并下达实施。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省、自治区、直辖市人民政府应当按照国务院下达的总量控制目标，控制或者削减本行政区域的重点大气污染物排放总量。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确定总量控制目标和分解总量控制指标的具体办法，由国务院生态环境主管部门会同国务院有关部门规定。省、自治区、直辖市人民政府可以根据本行政区域大气污染防治的需要，对国家重点大气污染物之外的其他大气污染物排放实行总量控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国家逐步推行重点大气污染物排污权交易。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第二十二条</w:t>
      </w:r>
      <w:r>
        <w:rPr>
          <w:rFonts w:hint="eastAsia" w:ascii="宋体" w:hAnsi="宋体" w:eastAsia="仿宋_GB2312" w:cs="仿宋_GB2312"/>
          <w:kern w:val="0"/>
          <w:szCs w:val="32"/>
        </w:rPr>
        <w:t>　对超过国家重点大气污染物排放总量控制指标或者未完成国家下达的大气环境质量改善目标的地区，省级以上人民政府生态环境主管部门应当会同有关部门约谈该地区人民政府的主要负责人，并暂停审批该地区新增重点大气污染物排放总量的建设项目环境影响评价文件。约谈情况应当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第二十三条</w:t>
      </w:r>
      <w:r>
        <w:rPr>
          <w:rFonts w:hint="eastAsia" w:ascii="宋体" w:hAnsi="宋体" w:eastAsia="仿宋_GB2312" w:cs="仿宋_GB2312"/>
          <w:kern w:val="0"/>
          <w:szCs w:val="32"/>
        </w:rPr>
        <w:t>　国务院生态环境主管部门负责制定大气环境质量和大气污染源的监测和评价规范，组织建设与管理全国大气环境质量和大气污染源监测网，组织开展大气环境质量和大气污染源监测，统一发布全国大气环境质量状况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县级以上地方人民政府生态环境主管部门负责组织建设与管理本行政区域大气环境质量和大气污染源监测网，开展大气环境质量和大气污染源监测，统一发布本行政区域大气环境质量状况信息。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第二十四条</w:t>
      </w:r>
      <w:r>
        <w:rPr>
          <w:rFonts w:hint="eastAsia" w:ascii="宋体" w:hAnsi="宋体" w:eastAsia="仿宋_GB2312" w:cs="仿宋_GB2312"/>
          <w:kern w:val="0"/>
          <w:szCs w:val="32"/>
        </w:rPr>
        <w:t>　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生态环境主管部门的监控设备联网，保证监测设备正常运行并依法公开排放信息。监测的具体办法和重点排污单位的条件由国务院生态环境主管部门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排污单位名录由设区的市级以上地方人民政府生态环境主管部门按照国务院生态环境主管部门的规定，根据本行政区域的大气环境承载力、重点大气污染物排放总量控制指标的要求以及排污单位排放大气污染物的种类、数量和浓度等因素，商有关部门确定，并向社会公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第二十五条</w:t>
      </w:r>
      <w:r>
        <w:rPr>
          <w:rFonts w:hint="eastAsia" w:ascii="宋体" w:hAnsi="宋体" w:eastAsia="仿宋_GB2312" w:cs="仿宋_GB2312"/>
          <w:kern w:val="0"/>
          <w:szCs w:val="32"/>
        </w:rPr>
        <w:t>　重点排污单位应当对自动监测数据的真实性和准确性负责。生态环境主管部门发现重点排污单位的大气污染物排放自动监测设备传输数据异常，应当及时进行调查。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第二十六条</w:t>
      </w:r>
      <w:r>
        <w:rPr>
          <w:rFonts w:hint="eastAsia" w:ascii="宋体" w:hAnsi="宋体" w:eastAsia="仿宋_GB2312" w:cs="仿宋_GB2312"/>
          <w:kern w:val="0"/>
          <w:szCs w:val="32"/>
        </w:rPr>
        <w:t>　禁止侵占、损毁或者擅自移动、改变大气环境质量监测设施和大气污染物排放自动监测设备。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第二十七条</w:t>
      </w:r>
      <w:r>
        <w:rPr>
          <w:rFonts w:hint="eastAsia" w:ascii="宋体" w:hAnsi="宋体" w:eastAsia="仿宋_GB2312" w:cs="仿宋_GB2312"/>
          <w:kern w:val="0"/>
          <w:szCs w:val="32"/>
        </w:rPr>
        <w:t>　国家对严重污染大气环境的工艺、设备和产品实行淘汰制度。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国务院经济综合主管部门会同国务院有关部门确定严重污染大气环境的工艺、设备和产品淘汰期限，并纳入国家综合性产业政策目录。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生产者、进口者、销售者或者使用者应当在规定期限内停止生产、进口、销售或者使用列入前款规定目录中的设备和产品。工艺的采用者应当在规定期限内停止采用列入前款规定目录中的工艺。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被淘汰的设备和产品，不得转让给他人使用。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第二十八条</w:t>
      </w:r>
      <w:r>
        <w:rPr>
          <w:rFonts w:hint="eastAsia" w:ascii="宋体" w:hAnsi="宋体" w:eastAsia="仿宋_GB2312" w:cs="仿宋_GB2312"/>
          <w:kern w:val="0"/>
          <w:szCs w:val="32"/>
        </w:rPr>
        <w:t>　国务院生态环境主管部门会同有关部门，建立和完善大气污染损害评估制度。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第二十九条</w:t>
      </w:r>
      <w:r>
        <w:rPr>
          <w:rFonts w:hint="eastAsia" w:ascii="宋体" w:hAnsi="宋体" w:eastAsia="仿宋_GB2312" w:cs="仿宋_GB2312"/>
          <w:kern w:val="0"/>
          <w:szCs w:val="32"/>
        </w:rPr>
        <w:t>　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第三十条</w:t>
      </w:r>
      <w:r>
        <w:rPr>
          <w:rFonts w:hint="eastAsia" w:ascii="宋体" w:hAnsi="宋体" w:eastAsia="仿宋_GB2312" w:cs="仿宋_GB2312"/>
          <w:kern w:val="0"/>
          <w:szCs w:val="32"/>
        </w:rPr>
        <w:t>　企业事业单位和其他生产经营者违反法律法规规定排放大气污染物，造成或者可能造成严重大气污染，或者有关证据可能灭失或者被隐匿的，县级以上人民政府生态环境主管部门和其他负有大气环境保护监督管理职责的部门，可以对有关设施、设备、物品采取查封、扣押等行政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第三十一条</w:t>
      </w:r>
      <w:r>
        <w:rPr>
          <w:rFonts w:hint="eastAsia" w:ascii="宋体" w:hAnsi="宋体" w:eastAsia="仿宋_GB2312" w:cs="仿宋_GB2312"/>
          <w:kern w:val="0"/>
          <w:szCs w:val="32"/>
        </w:rPr>
        <w:t>　生态环境主管部门和其他负有大气环境保护监督管理职责的部门应当公布举报电话、电子邮箱等，方便公众举报。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生态环境主管部门和其他负有大气环境保护监督管理职责的部门接到举报的，应当及时处理并对举报人的相关信息予以保密；对实名举报的，应当反馈处理结果等情况，查证属实的，处理结果依法向社会公开，并对举报人给予奖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举报人举报所在单位的，该单位不得以解除、变更劳动合同或者其他方式对举报人进行打击报复。</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大气污染防治措施</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第一节　燃煤和其他能源污染防治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rPr>
        <w:t>　　第三十二条</w:t>
      </w:r>
      <w:r>
        <w:rPr>
          <w:rFonts w:hint="eastAsia" w:ascii="宋体" w:hAnsi="宋体" w:eastAsia="仿宋_GB2312" w:cs="仿宋_GB2312"/>
          <w:kern w:val="0"/>
          <w:szCs w:val="32"/>
        </w:rPr>
        <w:t>　国务院有关部门和地方各级人民政府应当采取措施，调整能源结构，推广清洁能源的生产和使用；优化煤炭使用方式，推广煤炭清洁高效利用，逐步降低煤炭在一次能源消费中的比重，减少煤炭生产、使用、转化过程中的大气污染物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第三十三条</w:t>
      </w:r>
      <w:r>
        <w:rPr>
          <w:rFonts w:hint="eastAsia" w:ascii="宋体" w:hAnsi="宋体" w:eastAsia="仿宋_GB2312" w:cs="仿宋_GB2312"/>
          <w:kern w:val="0"/>
          <w:szCs w:val="32"/>
        </w:rPr>
        <w:t>　国家推行煤炭洗选加工，降低煤炭的硫分和灰分，限制高硫分、高灰分煤炭的开采。新建煤矿应当同步建设配套的煤炭洗选设施，使煤炭的硫分、灰分含量达到规定标准；已建成的煤矿除所采煤炭属于低硫分、低灰分或者根据已达标排放的燃煤电厂要求不需要洗选的以外，应当限期建成配套的煤炭洗选设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禁止开采含放射性和砷等有毒有害物质超过规定标准的煤炭。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第三十四条</w:t>
      </w:r>
      <w:r>
        <w:rPr>
          <w:rFonts w:hint="eastAsia" w:ascii="宋体" w:hAnsi="宋体" w:eastAsia="仿宋_GB2312" w:cs="仿宋_GB2312"/>
          <w:kern w:val="0"/>
          <w:szCs w:val="32"/>
        </w:rPr>
        <w:t>　国家采取有利于煤炭清洁高效利用的经济、技术政策和措施，鼓励和支持洁净煤技术的开发和推广。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国家鼓励煤矿企业等采用合理、可行的技术措施，对煤层气进行开采利用，对煤矸石进行综合利用。从事煤层气开采利用的，煤层气排放应当符合有关标准规范。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第三十五条</w:t>
      </w:r>
      <w:r>
        <w:rPr>
          <w:rFonts w:hint="eastAsia" w:ascii="宋体" w:hAnsi="宋体" w:eastAsia="仿宋_GB2312" w:cs="仿宋_GB2312"/>
          <w:kern w:val="0"/>
          <w:szCs w:val="32"/>
        </w:rPr>
        <w:t>　国家禁止进口、销售和燃用不符合质量标准的煤炭，鼓励燃用优质煤炭。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单位存放煤炭、煤矸石、煤渣、煤灰等物料，应当采取防燃措施，防止大气污染。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第三十六条</w:t>
      </w:r>
      <w:r>
        <w:rPr>
          <w:rFonts w:hint="eastAsia" w:ascii="宋体" w:hAnsi="宋体" w:eastAsia="仿宋_GB2312" w:cs="仿宋_GB2312"/>
          <w:kern w:val="0"/>
          <w:szCs w:val="32"/>
        </w:rPr>
        <w:t>　地方各级人民政府应当采取措施，加强民用散煤的管理，禁止销售不符合民用散煤质量标准的煤炭，鼓励居民燃用优质煤炭和洁净型煤，推广节能环保型炉灶。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第三十七条</w:t>
      </w:r>
      <w:r>
        <w:rPr>
          <w:rFonts w:hint="eastAsia" w:ascii="宋体" w:hAnsi="宋体" w:eastAsia="仿宋_GB2312" w:cs="仿宋_GB2312"/>
          <w:kern w:val="0"/>
          <w:szCs w:val="32"/>
        </w:rPr>
        <w:t>　石油炼制企业应当按照燃油质量标准生产燃油。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禁止进口、销售和燃用不符合质量标准的石油焦。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第三十八条</w:t>
      </w:r>
      <w:r>
        <w:rPr>
          <w:rFonts w:hint="eastAsia" w:ascii="宋体" w:hAnsi="宋体" w:eastAsia="仿宋_GB2312" w:cs="仿宋_GB2312"/>
          <w:kern w:val="0"/>
          <w:szCs w:val="32"/>
        </w:rPr>
        <w:t>　城市人民政府可以划定并公布高污染燃料禁燃区，并根据大气环境质量改善要求，逐步扩大高污染燃料禁燃区范围。高污染燃料的目录由国务院生态环境主管部门确定。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在禁燃区内，禁止销售、燃用高污染燃料；禁止新建、扩建燃用高污染燃料的设施，已建成的，应当在城市人民政府规定的期限内改用天然气、页岩气、液化石油气、电或者其他清洁能源。</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第三十九条</w:t>
      </w:r>
      <w:r>
        <w:rPr>
          <w:rFonts w:hint="eastAsia" w:ascii="宋体" w:hAnsi="宋体" w:eastAsia="仿宋_GB2312" w:cs="仿宋_GB2312"/>
          <w:kern w:val="0"/>
          <w:szCs w:val="32"/>
        </w:rPr>
        <w:t>　城市建设应当统筹规划，在燃煤供热地区，推进热电联产和集中供热。在集中供热管网覆盖地区，禁止新建、扩建分散燃煤供热锅炉；已建成的不能达标排放的燃煤供热锅炉，应当在城市人民政府规定的期限内拆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第四十条</w:t>
      </w:r>
      <w:r>
        <w:rPr>
          <w:rFonts w:hint="eastAsia" w:ascii="宋体" w:hAnsi="宋体" w:eastAsia="仿宋_GB2312" w:cs="仿宋_GB2312"/>
          <w:kern w:val="0"/>
          <w:szCs w:val="32"/>
        </w:rPr>
        <w:t>　县级以上人民政府市场监督管理部门应当会同生态环境主管部门对锅炉生产、进口、销售和使用环节执行环境保护标准或者要求的情况进行监督检查；不符合环境保护标准或者要求的，不得生产、进口、销售和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第四十一条</w:t>
      </w:r>
      <w:r>
        <w:rPr>
          <w:rFonts w:hint="eastAsia" w:ascii="宋体" w:hAnsi="宋体" w:eastAsia="仿宋_GB2312" w:cs="仿宋_GB2312"/>
          <w:kern w:val="0"/>
          <w:szCs w:val="32"/>
        </w:rPr>
        <w:t>　燃煤电厂和其他燃煤单位应当采用清洁生产工艺，配套建设除尘、脱硫、脱硝等装置，或者采取技术改造等其他控制大气污染物排放的措施。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国家鼓励燃煤单位采用先进的除尘、脱硫、脱硝、脱汞等大气污染物协同控制的技术和装置，减少大气污染物的排放。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第四十二条</w:t>
      </w:r>
      <w:r>
        <w:rPr>
          <w:rFonts w:hint="eastAsia" w:ascii="宋体" w:hAnsi="宋体" w:eastAsia="仿宋_GB2312" w:cs="仿宋_GB2312"/>
          <w:kern w:val="0"/>
          <w:szCs w:val="32"/>
        </w:rPr>
        <w:t>　电力调度应当优先安排清洁能源发电上网。</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第二节　工业污染防治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第四十三条</w:t>
      </w:r>
      <w:r>
        <w:rPr>
          <w:rFonts w:hint="eastAsia" w:ascii="宋体" w:hAnsi="宋体" w:eastAsia="仿宋_GB2312" w:cs="仿宋_GB2312"/>
          <w:kern w:val="0"/>
          <w:szCs w:val="32"/>
        </w:rPr>
        <w:t>　钢铁、建材、有色金属、石油、化工等企业生产过程中排放粉尘、硫化物和氮氧化物的，应当采用清洁生产工艺，配套建设除尘、脱硫、脱硝等装置，或者采取技术改造等其他控制大气污染物排放的措施。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第四十四条</w:t>
      </w:r>
      <w:r>
        <w:rPr>
          <w:rFonts w:hint="eastAsia" w:ascii="宋体" w:hAnsi="宋体" w:eastAsia="仿宋_GB2312" w:cs="仿宋_GB2312"/>
          <w:kern w:val="0"/>
          <w:szCs w:val="32"/>
        </w:rPr>
        <w:t>　生产、进口、销售和使用含挥发性有机物的原材料和产品的，其挥发性有机物含量应当符合质量标准或者要求。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国家鼓励生产、进口、销售和使用低毒、低挥发性有机溶剂。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第四十五条</w:t>
      </w:r>
      <w:r>
        <w:rPr>
          <w:rFonts w:hint="eastAsia" w:ascii="宋体" w:hAnsi="宋体" w:eastAsia="仿宋_GB2312" w:cs="仿宋_GB2312"/>
          <w:kern w:val="0"/>
          <w:szCs w:val="32"/>
        </w:rPr>
        <w:t>　产生含挥发性有机物废气的生产和服务活动，应当在密闭空间或者设备中进行，并按照规定安装、使用污染防治设施；无法密闭的，应当采取措施减少废气排放。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第四十六条</w:t>
      </w:r>
      <w:r>
        <w:rPr>
          <w:rFonts w:hint="eastAsia" w:ascii="宋体" w:hAnsi="宋体" w:eastAsia="仿宋_GB2312" w:cs="仿宋_GB2312"/>
          <w:kern w:val="0"/>
          <w:szCs w:val="32"/>
        </w:rPr>
        <w:t>　工业涂装企业应当使用低挥发性有机物含量的涂料，并建立台账，记录生产原料、辅料的使用量、废弃量、去向以及挥发性有机物含量。台账保存期限不得少于三年。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第四十七条</w:t>
      </w:r>
      <w:r>
        <w:rPr>
          <w:rFonts w:hint="eastAsia" w:ascii="宋体" w:hAnsi="宋体" w:eastAsia="仿宋_GB2312" w:cs="仿宋_GB2312"/>
          <w:kern w:val="0"/>
          <w:szCs w:val="32"/>
        </w:rPr>
        <w:t>　石油、化工以及其他生产和使用有机溶剂的企业，应当采取措施对管道、设备进行日常维护、维修，减少物料泄漏，对泄漏的物料应当及时收集处理。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储油储气库、加油加气站、原油成品油码头、原油成品油运输船舶和油罐车、气罐车等，应当按照国家有关规定安装油气回收装置并保持正常使用。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第四十八条</w:t>
      </w:r>
      <w:r>
        <w:rPr>
          <w:rFonts w:hint="eastAsia" w:ascii="宋体" w:hAnsi="宋体" w:eastAsia="仿宋_GB2312" w:cs="仿宋_GB2312"/>
          <w:kern w:val="0"/>
          <w:szCs w:val="32"/>
        </w:rPr>
        <w:t>　钢铁、建材、有色金属、石油、化工、制药、矿产开采等企业，应当加强精细化管理，采取集中收集处理等措施，严格控制粉尘和气态污染物的排放。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工业生产企业应当采取密闭、围挡、遮盖、清扫、洒水等措施，减少内部物料的堆存、传输、装卸等环节产生的粉尘和气态污染物的排放。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第四十九条</w:t>
      </w:r>
      <w:r>
        <w:rPr>
          <w:rFonts w:hint="eastAsia" w:ascii="宋体" w:hAnsi="宋体" w:eastAsia="仿宋_GB2312" w:cs="仿宋_GB2312"/>
          <w:kern w:val="0"/>
          <w:szCs w:val="32"/>
        </w:rPr>
        <w:t>　工业生产、垃圾填埋或者其他活动产生的可燃性气体应当回收利用，不具备回收利用条件的，应当进行污染防治处理。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可燃性气体回收利用装置不能正常作业的，应当及时修复或者更新。在回收利用装置不能正常作业期间确需排放可燃性气体的，应当将排放的可燃性气体充分燃烧或者采取其他控制大气污染物排放的措施，并向当地生态环境主管部门报告，按照要求限期修复或者更新。</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第三节　机动车船等污染防治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第五十条</w:t>
      </w:r>
      <w:r>
        <w:rPr>
          <w:rFonts w:hint="eastAsia" w:ascii="宋体" w:hAnsi="宋体" w:eastAsia="仿宋_GB2312" w:cs="仿宋_GB2312"/>
          <w:kern w:val="0"/>
          <w:szCs w:val="32"/>
        </w:rPr>
        <w:t>　国家倡导低碳、环保出行，根据城市规划合理控制燃油机动车保有量，大力发展城市公共交通，提高公共交通出行比例。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国家采取财政、税收、政府采购等措施推广应用节能环保型和新能源机动车船、非道路移动机械，限制高油耗、高排放机动车船、非道路移动机械的发展，减少化石能源的消耗。</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省、自治区、直辖市人民政府可以在条件具备的地区，提前执行国家机动车大气污染物排放标准中相应阶段排放限值，并报国务院生态环境主管部门备案。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城市人民政府应当加强并改善城市交通管理，优化道路设置，保障人行道和非机动车道的连续、畅通。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第五十一条</w:t>
      </w:r>
      <w:r>
        <w:rPr>
          <w:rFonts w:hint="eastAsia" w:ascii="宋体" w:hAnsi="宋体" w:eastAsia="仿宋_GB2312" w:cs="仿宋_GB2312"/>
          <w:kern w:val="0"/>
          <w:szCs w:val="32"/>
        </w:rPr>
        <w:t>　机动车船、非道路移动机械不得超过标准排放大气污染物。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禁止生产、进口或者销售大气污染物排放超过标准的机动车船、非道路移动机械。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第五十二条</w:t>
      </w:r>
      <w:r>
        <w:rPr>
          <w:rFonts w:hint="eastAsia" w:ascii="宋体" w:hAnsi="宋体" w:eastAsia="仿宋_GB2312" w:cs="仿宋_GB2312"/>
          <w:kern w:val="0"/>
          <w:szCs w:val="32"/>
        </w:rPr>
        <w:t>　机动车、非道路移动机械生产企业应当对新生产的机动车和非道路移动机械进行排放检验。经检验合格的，方可出厂销售。检验信息应当向社会公开。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省级以上人民政府生态环境主管部门可以通过现场检查、抽样检测等方式，加强对新生产、销售机动车和非道路移动机械大气污染物排放状况的监督检查。工业、市场监督管理等有关部门予以配合。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第五十三条</w:t>
      </w:r>
      <w:r>
        <w:rPr>
          <w:rFonts w:hint="eastAsia" w:ascii="宋体" w:hAnsi="宋体" w:eastAsia="仿宋_GB2312" w:cs="仿宋_GB2312"/>
          <w:kern w:val="0"/>
          <w:szCs w:val="32"/>
        </w:rPr>
        <w:t>　在用机动车应当按照国家或者地方的有关规定，由机动车排放检验机构定期对其进行排放检验。经检验合格的，方可上道路行驶。未经检验合格的，公安机关交通管理部门不得核发安全技术检验合格标志。</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县级以上地方人民政府生态环境主管部门可以在机动车集中停放地、维修地对在用机动车的大气污染物排放状况进行监督抽测；在不影响正常通行的情况下，可以通过遥感监测等技术手段对在道路上行驶的机动车的大气污染物排放状况进行监督抽测，公安机关交通管理部门予以配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第五十四条</w:t>
      </w:r>
      <w:r>
        <w:rPr>
          <w:rFonts w:hint="eastAsia" w:ascii="宋体" w:hAnsi="宋体" w:eastAsia="仿宋_GB2312" w:cs="仿宋_GB2312"/>
          <w:kern w:val="0"/>
          <w:szCs w:val="32"/>
        </w:rPr>
        <w:t>　机动车排放检验机构应当依法通过计量认证，使用经依法检定合格的机动车排放检验设备，按照国务院生态环境主管部门制定的规范，对机动车进行排放检验，并与生态环境主管部门联网，实现检验数据实时共享。机动车排放检验机构及其负责人对检验数据的真实性和准确性负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生态环境主管部门和认证认可监督管理部门应当对机动车排放检验机构的排放检验情况进行监督检查。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第五十五条</w:t>
      </w:r>
      <w:r>
        <w:rPr>
          <w:rFonts w:hint="eastAsia" w:ascii="宋体" w:hAnsi="宋体" w:eastAsia="仿宋_GB2312" w:cs="仿宋_GB2312"/>
          <w:kern w:val="0"/>
          <w:szCs w:val="32"/>
        </w:rPr>
        <w:t>　机动车生产、进口企业应当向社会公布其生产、进口机动车车型的排放检验信息、污染控制技术信息和有关维修技术信息。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机动车维修单位应当按照防治大气污染的要求和国家有关技术规范对在用机动车进行维修，使其达到规定的排放标准。交通运输、生态环境主管部门应当依法加强监督管理。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禁止机动车所有人以临时更换机动车污染控制装置等弄虚作假的方式通过机动车排放检验。禁止机动车维修单位提供该类维修服务。禁止破坏机动车车载排放诊断系统。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第五十六条</w:t>
      </w:r>
      <w:r>
        <w:rPr>
          <w:rFonts w:hint="eastAsia" w:ascii="宋体" w:hAnsi="宋体" w:eastAsia="仿宋_GB2312" w:cs="仿宋_GB2312"/>
          <w:kern w:val="0"/>
          <w:szCs w:val="32"/>
        </w:rPr>
        <w:t>　生态环境主管部门应当会同交通运输、住房城乡建设、农业行政、水行政等有关部门对非道路移动机械的大气污染物排放状况进行监督检查，排放不合格的，不得使用。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第五十七条</w:t>
      </w:r>
      <w:r>
        <w:rPr>
          <w:rFonts w:hint="eastAsia" w:ascii="宋体" w:hAnsi="宋体" w:eastAsia="仿宋_GB2312" w:cs="仿宋_GB2312"/>
          <w:kern w:val="0"/>
          <w:szCs w:val="32"/>
        </w:rPr>
        <w:t>　国家倡导环保驾驶，鼓励燃油机动车驾驶人在不影响道路通行且需停车三分钟以上的情况下熄灭发动机，减少大气污染物的排放。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第五十八条</w:t>
      </w:r>
      <w:r>
        <w:rPr>
          <w:rFonts w:hint="eastAsia" w:ascii="宋体" w:hAnsi="宋体" w:eastAsia="仿宋_GB2312" w:cs="仿宋_GB2312"/>
          <w:kern w:val="0"/>
          <w:szCs w:val="32"/>
        </w:rPr>
        <w:t>　国家建立机动车和非道路移动机械环境保护召回制度。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生产、进口企业获知机动车、非道路移动机械排放大气污染物超过标准，属于设计、生产缺陷或者不符合规定的环境保护耐久性要求的，应当召回；未召回的，由国务院市场监督管理部门会同国务院生态环境主管部门责令其召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第五十九条</w:t>
      </w:r>
      <w:r>
        <w:rPr>
          <w:rFonts w:hint="eastAsia" w:ascii="宋体" w:hAnsi="宋体" w:eastAsia="仿宋_GB2312" w:cs="仿宋_GB2312"/>
          <w:kern w:val="0"/>
          <w:szCs w:val="32"/>
        </w:rPr>
        <w:t>　在用重型柴油车、非道路移动机械未安装污染控制装置或者污染控制装置不符合要求，不能达标排放的，应当加装或者更换符合要求的污染控制装置。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第六十条</w:t>
      </w:r>
      <w:r>
        <w:rPr>
          <w:rFonts w:hint="eastAsia" w:ascii="宋体" w:hAnsi="宋体" w:eastAsia="仿宋_GB2312" w:cs="仿宋_GB2312"/>
          <w:kern w:val="0"/>
          <w:szCs w:val="32"/>
        </w:rPr>
        <w:t>　在用机动车排放大气污染物超过标准的，应当进行维修；经维修或者采用污染控制技术后，大气污染物排放仍不符合国家在用机动车排放标准的，应当强制报废。其所有人应当将机动车交售给报废机动车回收拆解企业，由报废机动车回收拆解企业按照国家有关规定进行登记、拆解、销毁等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国家鼓励和支持高排放机动车船、非道路移动机械提前报废。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第六十一条</w:t>
      </w:r>
      <w:r>
        <w:rPr>
          <w:rFonts w:hint="eastAsia" w:ascii="宋体" w:hAnsi="宋体" w:eastAsia="仿宋_GB2312" w:cs="仿宋_GB2312"/>
          <w:kern w:val="0"/>
          <w:szCs w:val="32"/>
        </w:rPr>
        <w:t>　城市人民政府可以根据大气环境质量状况，划定并公布禁止使用高排放非道路移动机械的区域。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第六十二条</w:t>
      </w:r>
      <w:r>
        <w:rPr>
          <w:rFonts w:hint="eastAsia" w:ascii="宋体" w:hAnsi="宋体" w:eastAsia="仿宋_GB2312" w:cs="仿宋_GB2312"/>
          <w:kern w:val="0"/>
          <w:szCs w:val="32"/>
        </w:rPr>
        <w:t>　船舶检验机构对船舶发动机及有关设备进行排放检验。经检验符合国家排放标准的，船舶方可运营。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第六十三条</w:t>
      </w:r>
      <w:r>
        <w:rPr>
          <w:rFonts w:hint="eastAsia" w:ascii="宋体" w:hAnsi="宋体" w:eastAsia="仿宋_GB2312" w:cs="仿宋_GB2312"/>
          <w:kern w:val="0"/>
          <w:szCs w:val="32"/>
        </w:rPr>
        <w:t>　内河和江海直达船舶应当使用符合标准的普通柴油。远洋船舶靠港后应当使用符合大气污染物控制要求的船舶用燃油。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新建码头应当规划、设计和建设岸基供电设施；已建成的码头应当逐步实施岸基供电设施改造。船舶靠港后应当优先使用岸电。</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第六十四条</w:t>
      </w:r>
      <w:r>
        <w:rPr>
          <w:rFonts w:hint="eastAsia" w:ascii="宋体" w:hAnsi="宋体" w:eastAsia="仿宋_GB2312" w:cs="仿宋_GB2312"/>
          <w:kern w:val="0"/>
          <w:szCs w:val="32"/>
        </w:rPr>
        <w:t>　国务院交通运输主管部门可以在沿海海域划定船舶大气污染物排放控制区，进入排放控制区的船舶应当符合船舶相关排放要求。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第六十五条</w:t>
      </w:r>
      <w:r>
        <w:rPr>
          <w:rFonts w:hint="eastAsia" w:ascii="宋体" w:hAnsi="宋体" w:eastAsia="仿宋_GB2312" w:cs="仿宋_GB2312"/>
          <w:kern w:val="0"/>
          <w:szCs w:val="32"/>
        </w:rPr>
        <w:t>　禁止生产、进口、销售不符合标准的机动车船、非道路移动机械用燃料；禁止向汽车和摩托车销售普通柴油以及其他非机动车用燃料；禁止向非道路移动机械、内河和江海直达船舶销售渣油和重油。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第六十六条</w:t>
      </w:r>
      <w:r>
        <w:rPr>
          <w:rFonts w:hint="eastAsia" w:ascii="宋体" w:hAnsi="宋体" w:eastAsia="仿宋_GB2312" w:cs="仿宋_GB2312"/>
          <w:kern w:val="0"/>
          <w:szCs w:val="32"/>
        </w:rPr>
        <w:t>　发动机油、氮氧化物还原剂、燃料和润滑油添加剂以及其他添加剂的有害物质含量和其他大气环境保护指标，应当符合有关标准的要求，不得损害机动车船污染控制装置效果和耐久性，不得增加新的大气污染物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第六十七条</w:t>
      </w:r>
      <w:r>
        <w:rPr>
          <w:rFonts w:hint="eastAsia" w:ascii="宋体" w:hAnsi="宋体" w:eastAsia="仿宋_GB2312" w:cs="仿宋_GB2312"/>
          <w:kern w:val="0"/>
          <w:szCs w:val="32"/>
        </w:rPr>
        <w:t>　国家积极推进民用航空器的大气污染防治，鼓励在设计、生产、使用过程中采取有效措施减少大气污染物排放。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民用航空器应当符合国家规定的适航标准中的有关发动机排出物要求。</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第四节　扬尘污染防治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第六十八条</w:t>
      </w:r>
      <w:r>
        <w:rPr>
          <w:rFonts w:hint="eastAsia" w:ascii="宋体" w:hAnsi="宋体" w:eastAsia="仿宋_GB2312" w:cs="仿宋_GB2312"/>
          <w:kern w:val="0"/>
          <w:szCs w:val="32"/>
        </w:rPr>
        <w:t>　地方各级人民政府应当加强对建设施工和运输的管理，保持道路清洁，控制料堆和渣土堆放，扩大绿地、水面、湿地和地面铺装面积，防治扬尘污染。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住房城乡建设、市容环境卫生、交通运输、国土资源等有关部门，应当根据本级人民政府确定的职责，做好扬尘污染防治工作。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第六十九条</w:t>
      </w:r>
      <w:r>
        <w:rPr>
          <w:rFonts w:hint="eastAsia" w:ascii="宋体" w:hAnsi="宋体" w:eastAsia="仿宋_GB2312" w:cs="仿宋_GB2312"/>
          <w:kern w:val="0"/>
          <w:szCs w:val="32"/>
        </w:rPr>
        <w:t>　建设单位应当将防治扬尘污染的费用列入工程造价，并在施工承包合同中明确施工单位扬尘污染防治责任。施工单位应当制定具体的施工扬尘污染防治实施方案。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从事房屋建筑、市政基础设施建设、河道整治以及建筑物拆除等施工单位，应当向负责监督管理扬尘污染防治的主管部门备案。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施工单位应当在施工工地公示扬尘污染防治措施、负责人、扬尘监督管理主管部门等信息。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暂时不能开工的建设用地，建设单位应当对裸露地面进行覆盖；超过三个月的，应当进行绿化、铺装或者遮盖。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第七十条</w:t>
      </w:r>
      <w:r>
        <w:rPr>
          <w:rFonts w:hint="eastAsia" w:ascii="宋体" w:hAnsi="宋体" w:eastAsia="仿宋_GB2312" w:cs="仿宋_GB2312"/>
          <w:kern w:val="0"/>
          <w:szCs w:val="32"/>
        </w:rPr>
        <w:t>　运输煤炭、垃圾、渣土、砂石、土方、灰浆等散装、流体物料的车辆应当采取密闭或者其他措施防止物料遗撒造成扬尘污染，并按照规定路线行驶。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装卸物料应当采取密闭或者喷淋等方式防治扬尘污染。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城市人民政府应当加强道路、广场、停车场和其他公共场所的清扫保洁管理，推行清洁动力机械化清扫等低尘作业方式，防治扬尘污染。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第七十一条</w:t>
      </w:r>
      <w:r>
        <w:rPr>
          <w:rFonts w:hint="eastAsia" w:ascii="宋体" w:hAnsi="宋体" w:eastAsia="仿宋_GB2312" w:cs="仿宋_GB2312"/>
          <w:kern w:val="0"/>
          <w:szCs w:val="32"/>
        </w:rPr>
        <w:t>　市政河道以及河道沿线、公共用地的裸露地面以及其他城镇裸露地面，有关部门应当按照规划组织实施绿化或者透水铺装。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第七十二条</w:t>
      </w:r>
      <w:r>
        <w:rPr>
          <w:rFonts w:hint="eastAsia" w:ascii="宋体" w:hAnsi="宋体" w:eastAsia="仿宋_GB2312" w:cs="仿宋_GB2312"/>
          <w:kern w:val="0"/>
          <w:szCs w:val="32"/>
        </w:rPr>
        <w:t>　贮存煤炭、煤矸石、煤渣、煤灰、水泥、石灰、石膏、砂土等易产生扬尘的物料应当密闭；不能密闭的，应当设置不低于堆放物高度的严密围挡，并采取有效覆盖措施防治扬尘污染。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码头、矿山、填埋场和消纳场应当实施分区作业，并采取有效措施防治扬尘污染。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第五节　农业和其他污染防治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第七十三条</w:t>
      </w:r>
      <w:r>
        <w:rPr>
          <w:rFonts w:hint="eastAsia" w:ascii="宋体" w:hAnsi="宋体" w:eastAsia="仿宋_GB2312" w:cs="仿宋_GB2312"/>
          <w:kern w:val="0"/>
          <w:szCs w:val="32"/>
        </w:rPr>
        <w:t>　地方各级人民政府应当推动转变农业生产方式，发展农业循环经济，加大对废弃物综合处理的支持力度，加强对农业生产经营活动排放大气污染物的控制。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第七十四条</w:t>
      </w:r>
      <w:r>
        <w:rPr>
          <w:rFonts w:hint="eastAsia" w:ascii="宋体" w:hAnsi="宋体" w:eastAsia="仿宋_GB2312" w:cs="仿宋_GB2312"/>
          <w:kern w:val="0"/>
          <w:szCs w:val="32"/>
        </w:rPr>
        <w:t>　农业生产经营者应当改进施肥方式，科学合理施用化肥并按照国家有关规定使用农药，减少氨、挥发性有机物等大气污染物的排放。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禁止在人口集中地区对树木、花草喷洒剧毒、高毒农药。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第七十五条</w:t>
      </w:r>
      <w:r>
        <w:rPr>
          <w:rFonts w:hint="eastAsia" w:ascii="宋体" w:hAnsi="宋体" w:eastAsia="仿宋_GB2312" w:cs="仿宋_GB2312"/>
          <w:kern w:val="0"/>
          <w:szCs w:val="32"/>
        </w:rPr>
        <w:t>　畜禽养殖场、养殖小区应当及时对污水、畜禽粪便和尸体等进行收集、贮存、清运和无害化处理，防止排放恶臭气体。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第七十六条</w:t>
      </w:r>
      <w:r>
        <w:rPr>
          <w:rFonts w:hint="eastAsia" w:ascii="宋体" w:hAnsi="宋体" w:eastAsia="仿宋_GB2312" w:cs="仿宋_GB2312"/>
          <w:kern w:val="0"/>
          <w:szCs w:val="32"/>
        </w:rPr>
        <w:t>　各级人民政府及其农业行政等有关部门应当鼓励和支持采用先进适用技术，对秸秆、落叶等进行肥料化、饲料化、能源化、工业原料化、食用菌基料化等综合利用，加大对秸秆还田、收集一体化农业机械的财政补贴力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县级人民政府应当组织建立秸秆收集、贮存、运输和综合利用服务体系，采用财政补贴等措施支持农村集体经济组织、农民专业合作经济组织、企业等开展秸秆收集、贮存、运输和综合利用服务。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第七十七条</w:t>
      </w:r>
      <w:r>
        <w:rPr>
          <w:rFonts w:hint="eastAsia" w:ascii="宋体" w:hAnsi="宋体" w:eastAsia="仿宋_GB2312" w:cs="仿宋_GB2312"/>
          <w:kern w:val="0"/>
          <w:szCs w:val="32"/>
        </w:rPr>
        <w:t>　省、自治区、直辖市人民政府应当划定区域，禁止露天焚烧秸秆、落叶等产生烟尘污染的物质。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第七十八条</w:t>
      </w:r>
      <w:r>
        <w:rPr>
          <w:rFonts w:hint="eastAsia" w:ascii="宋体" w:hAnsi="宋体" w:eastAsia="仿宋_GB2312" w:cs="仿宋_GB2312"/>
          <w:kern w:val="0"/>
          <w:szCs w:val="32"/>
        </w:rPr>
        <w:t>　国务院生态环境主管部门应当会同国务院卫生行政部门，根据大气污染物对公众健康和生态环境的危害和影响程度，公布有毒有害大气污染物名录，实行风险管理。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排放前款规定名录中所列有毒有害大气污染物的企业事业单位，应当按照国家有关规定建设环境风险预警体系，对排放口和周边环境进行定期监测，评估环境风险，排查环境安全隐患，并采取有效措施防范环境风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第七十九条</w:t>
      </w:r>
      <w:r>
        <w:rPr>
          <w:rFonts w:hint="eastAsia" w:ascii="宋体" w:hAnsi="宋体" w:eastAsia="仿宋_GB2312" w:cs="仿宋_GB2312"/>
          <w:kern w:val="0"/>
          <w:szCs w:val="32"/>
        </w:rPr>
        <w:t>　向大气排放持久性有机污染物的企业事业单位和其他生产经营者以及废弃物焚烧设施的运营单位，应当按照国家有关规定，采取有利于减少持久性有机污染物排放的技术方法和工艺，配备有效的净化装置，实现达标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第八十条</w:t>
      </w:r>
      <w:r>
        <w:rPr>
          <w:rFonts w:hint="eastAsia" w:ascii="宋体" w:hAnsi="宋体" w:eastAsia="仿宋_GB2312" w:cs="仿宋_GB2312"/>
          <w:kern w:val="0"/>
          <w:szCs w:val="32"/>
        </w:rPr>
        <w:t>　企业事业单位和其他生产经营者在生产经营活动中产生恶臭气体的，应当科学选址，设置合理的防护距离，并安装净化装置或者采取其他措施，防止排放恶臭气体。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第八十一条</w:t>
      </w:r>
      <w:r>
        <w:rPr>
          <w:rFonts w:hint="eastAsia" w:ascii="宋体" w:hAnsi="宋体" w:eastAsia="仿宋_GB2312" w:cs="仿宋_GB2312"/>
          <w:kern w:val="0"/>
          <w:szCs w:val="32"/>
        </w:rPr>
        <w:t>　排放油烟的餐饮服务业经营者应当安装油烟净化设施并保持正常使用，或者采取其他油烟净化措施，使油烟达标排放，并防止对附近居民的正常生活环境造成污染。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禁止在居民住宅楼、未配套设立专用烟道的商住综合楼以及商住综合楼内与居住层相邻的商业楼层内新建、改建、扩建产生油烟、异味、废气的餐饮服务项目。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任何单位和个人不得在当地人民政府禁止的区域内露天烧烤食品或者为露天烧烤食品提供场地。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第八十二条</w:t>
      </w:r>
      <w:r>
        <w:rPr>
          <w:rFonts w:hint="eastAsia" w:ascii="宋体" w:hAnsi="宋体" w:eastAsia="仿宋_GB2312" w:cs="仿宋_GB2312"/>
          <w:kern w:val="0"/>
          <w:szCs w:val="32"/>
        </w:rPr>
        <w:t>　禁止在人口集中地区和其他依法需要特殊保护的区域内焚烧沥青、油毡、橡胶、塑料、皮革、垃圾以及其他产生有毒有害烟尘和恶臭气体的物质。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禁止生产、销售和燃放不符合质量标准的烟花爆竹。任何单位和个人不得在城市人民政府禁止的时段和区域内燃放烟花爆竹。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第八十三条</w:t>
      </w:r>
      <w:r>
        <w:rPr>
          <w:rFonts w:hint="eastAsia" w:ascii="宋体" w:hAnsi="宋体" w:eastAsia="仿宋_GB2312" w:cs="仿宋_GB2312"/>
          <w:kern w:val="0"/>
          <w:szCs w:val="32"/>
        </w:rPr>
        <w:t>　国家鼓励和倡导文明、绿色祭祀。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火葬场应当设置除尘等污染防治设施并保持正常使用，防止影响周边环境。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第八十四条</w:t>
      </w:r>
      <w:r>
        <w:rPr>
          <w:rFonts w:hint="eastAsia" w:ascii="宋体" w:hAnsi="宋体" w:eastAsia="仿宋_GB2312" w:cs="仿宋_GB2312"/>
          <w:kern w:val="0"/>
          <w:szCs w:val="32"/>
        </w:rPr>
        <w:t>　从事服装干洗和机动车维修等服务活动的经营者，应当按照国家有关标准或者要求设置异味和废气处理装置等污染防治设施并保持正常使用，防止影响周边环境。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第八十五条</w:t>
      </w:r>
      <w:r>
        <w:rPr>
          <w:rFonts w:hint="eastAsia" w:ascii="宋体" w:hAnsi="宋体" w:eastAsia="仿宋_GB2312" w:cs="仿宋_GB2312"/>
          <w:kern w:val="0"/>
          <w:szCs w:val="32"/>
        </w:rPr>
        <w:t>　国家鼓励、支持消耗臭氧层物质替代品的生产和使用，逐步减少直至停止消耗臭氧层物质的生产和使用。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国家对消耗臭氧层物质的生产、使用、进出口实行总量控制和配额管理。具体办法由国务院规定。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重点区域大气污染联合防治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第八十六条</w:t>
      </w:r>
      <w:r>
        <w:rPr>
          <w:rFonts w:hint="eastAsia" w:ascii="宋体" w:hAnsi="宋体" w:eastAsia="仿宋_GB2312" w:cs="仿宋_GB2312"/>
          <w:kern w:val="0"/>
          <w:szCs w:val="32"/>
        </w:rPr>
        <w:t>　国家建立重点区域大气污染联防联控机制，统筹协调重点区域内大气污染防治工作。国务院生态环境主管部门根据主体功能区划、区域大气环境质量状况和大气污染传输扩散规律，划定国家大气污染防治重点区域，报国务院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区域内有关省、自治区、直辖市人民政府应当确定牵头的地方人民政府，定期召开联席会议，按照统一规划、统一标准、统一监测、统一的防治措施的要求，开展大气污染联合防治，落实大气污染防治目标责任。国务院生态环境主管部门应当加强指导、督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省、自治区、直辖市可以参照第一款规定划定本行政区域的大气污染防治重点区域。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第八十七条</w:t>
      </w:r>
      <w:r>
        <w:rPr>
          <w:rFonts w:hint="eastAsia" w:ascii="宋体" w:hAnsi="宋体" w:eastAsia="仿宋_GB2312" w:cs="仿宋_GB2312"/>
          <w:kern w:val="0"/>
          <w:szCs w:val="32"/>
        </w:rPr>
        <w:t>　国务院生态环境主管部门会同国务院有关部门、国家大气污染防治重点区域内有关省、自治区、直辖市人民政府，根据重点区域经济社会发展和大气环境承载力，制定重点区域大气污染联合防治行动计划，明确控制目标，优化区域经济布局，统筹交通管理，发展清洁能源，提出重点防治任务和措施，促进重点区域大气环境质量改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第八十八条</w:t>
      </w:r>
      <w:r>
        <w:rPr>
          <w:rFonts w:hint="eastAsia" w:ascii="宋体" w:hAnsi="宋体" w:eastAsia="仿宋_GB2312" w:cs="仿宋_GB2312"/>
          <w:kern w:val="0"/>
          <w:szCs w:val="32"/>
        </w:rPr>
        <w:t>　国务院经济综合主管部门会同国务院生态环境主管部门，结合国家大气污染防治重点区域产业发展实际和大气环境质量状况，进一步提高环境保护、能耗、安全、质量等要求。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重点区域内有关省、自治区、直辖市人民政府应当实施更严格的机动车大气污染物排放标准，统一在用机动车检验方法和排放限值，并配套供应合格的车用燃油。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第八十九条</w:t>
      </w:r>
      <w:r>
        <w:rPr>
          <w:rFonts w:hint="eastAsia" w:ascii="宋体" w:hAnsi="宋体" w:eastAsia="仿宋_GB2312" w:cs="仿宋_GB2312"/>
          <w:kern w:val="0"/>
          <w:szCs w:val="32"/>
        </w:rPr>
        <w:t>　编制可能对国家大气污染防治重点区域的大气环境造成严重污染的有关工业园区、开发区、区域产业和发展等规划，应当依法进行环境影响评价。规划编制机关应当与重点区域内有关省、自治区、直辖市人民政府或者有关部门会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重点区域内有关省、自治区、直辖市建设可能对相邻省、自治区、直辖市大气环境质量产生重大影响的项目，应当及时通报有关信息，进行会商。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会商意见及其采纳情况作为环境影响评价文件审查或者审批的重要依据。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第九十条</w:t>
      </w:r>
      <w:r>
        <w:rPr>
          <w:rFonts w:hint="eastAsia" w:ascii="宋体" w:hAnsi="宋体" w:eastAsia="仿宋_GB2312" w:cs="仿宋_GB2312"/>
          <w:kern w:val="0"/>
          <w:szCs w:val="32"/>
        </w:rPr>
        <w:t>　国家大气污染防治重点区域内新建、改建、扩建用煤项目的，应当实行煤炭的等量或者减量替代。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第九十一条</w:t>
      </w:r>
      <w:r>
        <w:rPr>
          <w:rFonts w:hint="eastAsia" w:ascii="宋体" w:hAnsi="宋体" w:eastAsia="仿宋_GB2312" w:cs="仿宋_GB2312"/>
          <w:kern w:val="0"/>
          <w:szCs w:val="32"/>
        </w:rPr>
        <w:t>　国务院生态环境主管部门应当组织建立国家大气污染防治重点区域的大气环境质量监测、大气污染源监测等相关信息共享机制，利用监测、模拟以及卫星、航测、遥感等新技术分析重点区域内大气污染来源及其变化趋势，并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第九十二条</w:t>
      </w:r>
      <w:r>
        <w:rPr>
          <w:rFonts w:hint="eastAsia" w:ascii="宋体" w:hAnsi="宋体" w:eastAsia="仿宋_GB2312" w:cs="仿宋_GB2312"/>
          <w:kern w:val="0"/>
          <w:szCs w:val="32"/>
        </w:rPr>
        <w:t>　国务院生态环境主管部门和国家大气污染防治重点区域内有关省、自治区、直辖市人民政府可以组织有关部门开展联合执法、跨区域执法、交叉执法。</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　重污染天气应对</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第九十三条</w:t>
      </w:r>
      <w:r>
        <w:rPr>
          <w:rFonts w:hint="eastAsia" w:ascii="宋体" w:hAnsi="宋体" w:eastAsia="仿宋_GB2312" w:cs="仿宋_GB2312"/>
          <w:kern w:val="0"/>
          <w:szCs w:val="32"/>
        </w:rPr>
        <w:t>　国家建立重污染天气监测预警体系。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务院生态环境主管部门会同国务院气象主管机构等有关部门、国家大气污染防治重点区域内有关省、自治区、直辖市人民政府，建立重点区域重污染天气监测预警机制，统一预警分级标准。可能发生区域重污染天气的，应当及时向重点区域内有关省、自治区、直辖市人民政府通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省、自治区、直辖市、设区的市人民政府生态环境主管部门会同气象主管机构等有关部门建立本行政区域重污染天气监测预警机制。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第九十四条</w:t>
      </w:r>
      <w:r>
        <w:rPr>
          <w:rFonts w:hint="eastAsia" w:ascii="宋体" w:hAnsi="宋体" w:eastAsia="仿宋_GB2312" w:cs="仿宋_GB2312"/>
          <w:kern w:val="0"/>
          <w:szCs w:val="32"/>
        </w:rPr>
        <w:t>　县级以上地方人民政府应当将重污染天气应对纳入突发事件应急管理体系。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省、自治区、直辖市、设区的市人民政府以及可能发生重污染天气的县级人民政府，应当制定重污染天气应急预案，向上一级人民政府生态环境主管部门备案，并向社会公布。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第九十五条</w:t>
      </w:r>
      <w:r>
        <w:rPr>
          <w:rFonts w:hint="eastAsia" w:ascii="宋体" w:hAnsi="宋体" w:eastAsia="仿宋_GB2312" w:cs="仿宋_GB2312"/>
          <w:kern w:val="0"/>
          <w:szCs w:val="32"/>
        </w:rPr>
        <w:t>　省、自治区、直辖市、设区的市人民政府生态环境主管部门应当会同气象主管机构建立会商机制，进行大气环境质量预报。可能发生重污染天气的，应当及时向本级人民政府报告。省、自治区、直辖市、设区的市人民政府依据重污染天气预报信息，进行综合研判，确定预警等级并及时发出预警。预警等级根据情况变化及时调整。任何单位和个人不得擅自向社会发布重污染天气预报预警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预警信息发布后，人民政府及其有关部门应当通过电视、广播、网络、短信等途径告知公众采取健康防护措施，指导公众出行和调整其他相关社会活动。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第九十六条</w:t>
      </w:r>
      <w:r>
        <w:rPr>
          <w:rFonts w:hint="eastAsia" w:ascii="宋体" w:hAnsi="宋体" w:eastAsia="仿宋_GB2312" w:cs="仿宋_GB2312"/>
          <w:kern w:val="0"/>
          <w:szCs w:val="32"/>
        </w:rPr>
        <w:t>　县级以上地方人民政府应当依据重污染天气的预警等级，及时启动应急预案，根据应急需要可以采取责令有关企业停产或者限产、限制部分机动车行驶、禁止燃放烟花爆竹、停止工地土石方作业和建筑物拆除施工、停止露天烧烤、停止幼儿园和学校组织的户外活动、组织开展人工影响天气作业等应急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应急响应结束后，人民政府应当及时开展应急预案实施情况的评估，适时修改完善应急预案。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第九十七条</w:t>
      </w:r>
      <w:r>
        <w:rPr>
          <w:rFonts w:hint="eastAsia" w:ascii="宋体" w:hAnsi="宋体" w:eastAsia="仿宋_GB2312" w:cs="仿宋_GB2312"/>
          <w:kern w:val="0"/>
          <w:szCs w:val="32"/>
        </w:rPr>
        <w:t>　发生造成大气污染的突发环境事件，人民政府及其有关部门和相关企业事业单位，应当依照《中华人民共和国突发事件应对法》、《中华人民共和国环境保护法》的规定，做好应急处置工作。生态环境主管部门应当及时对突发环境事件产生的大气污染物进行监测，并向社会公布监测信息。</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第九十八条</w:t>
      </w:r>
      <w:r>
        <w:rPr>
          <w:rFonts w:hint="eastAsia" w:ascii="宋体" w:hAnsi="宋体" w:eastAsia="仿宋_GB2312" w:cs="仿宋_GB2312"/>
          <w:kern w:val="0"/>
          <w:szCs w:val="32"/>
        </w:rPr>
        <w:t>　违反本法规定，以拒绝进入现场等方式拒不接受生态环境主管部门及其环境执法机构或者其他负有大气环境保护监督管理职责的部门的监督检查，或者在接受监督检查时弄虚作假的，由县级以上人民政府生态环境主管部门或者其他负有大气环境保护监督管理职责的部门责令改正，处二万元以上二十万元以下的罚款；构成违反治安管理行为的，由公安机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第九十九条</w:t>
      </w:r>
      <w:r>
        <w:rPr>
          <w:rFonts w:hint="eastAsia" w:ascii="宋体" w:hAnsi="宋体" w:eastAsia="仿宋_GB2312" w:cs="仿宋_GB2312"/>
          <w:kern w:val="0"/>
          <w:szCs w:val="32"/>
        </w:rPr>
        <w:t>　违反本法规定，有下列行为之一的，由县级以上人民政府生态环境主管部门责令改正或者限制生产、停产整治，并处十万元以上一百万元以下的罚款；情节严重的，报经有批准权的人民政府批准，责令停业、关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（一）未依法取得排污许可证排放大气污染物的；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（二）超过大气污染物排放标准或者超过重点大气污染物排放总量控制指标排放大气污染物的；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（三）通过逃避监管的方式排放大气污染物的。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第一百条</w:t>
      </w:r>
      <w:r>
        <w:rPr>
          <w:rFonts w:hint="eastAsia" w:ascii="宋体" w:hAnsi="宋体" w:eastAsia="仿宋_GB2312" w:cs="仿宋_GB2312"/>
          <w:kern w:val="0"/>
          <w:szCs w:val="32"/>
        </w:rPr>
        <w:t>　违反本法规定，有下列行为之一的，由县级以上人民政府生态环境主管部门责令改正，处二万元以上二十万元以下的罚款；拒不改正的，责令停产整治：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（一）侵占、损毁或者擅自移动、改变大气环境质量监测设施或者大气污染物排放自动监测设备的；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（二）未按照规定对所排放的工业废气和有毒有害大气污染物进行监测并保存原始监测记录的；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（三）未按照规定安装、使用大气污染物排放自动监测设备或者未按照规定与生态环境主管部门的监控设备联网，并保证监测设备正常运行的；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（四）重点排污单位不公开或者不如实公开自动监测数据的；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（五）未按照规定设置大气污染物排放口的。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第一百零一条</w:t>
      </w:r>
      <w:r>
        <w:rPr>
          <w:rFonts w:hint="eastAsia" w:ascii="宋体" w:hAnsi="宋体" w:eastAsia="仿宋_GB2312" w:cs="仿宋_GB2312"/>
          <w:kern w:val="0"/>
          <w:szCs w:val="32"/>
        </w:rPr>
        <w:t>　违反本法规定，生产、进口、销售或者使用国家综合性产业政策目录中禁止的设备和产品，采用国家综合性产业政策目录中禁止的工艺，或者将淘汰的设备和产品转让给他人使用的，由县级以上人民政府经济综合主管部门、海关按照职责责令改正，没收违法所得，并处货值金额一倍以上三倍以下的罚款；拒不改正的，报经有批准权的人民政府批准，责令停业、关闭。进口行为构成走私的，由海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第一百零二条</w:t>
      </w:r>
      <w:r>
        <w:rPr>
          <w:rFonts w:hint="eastAsia" w:ascii="宋体" w:hAnsi="宋体" w:eastAsia="仿宋_GB2312" w:cs="仿宋_GB2312"/>
          <w:kern w:val="0"/>
          <w:szCs w:val="32"/>
        </w:rPr>
        <w:t>　违反本法规定，煤矿未按照规定建设配套煤炭洗选设施的，由县级以上人民政府能源主管部门责令改正，处十万元以上一百万元以下的罚款；拒不改正的，报经有批准权的人民政府批准，责令停业、关闭。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违反本法规定，开采含放射性和砷等有毒有害物质超过规定标准的煤炭的，由县级以上人民政府按照国务院规定的权限责令停业、关闭。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第一百零三条</w:t>
      </w:r>
      <w:r>
        <w:rPr>
          <w:rFonts w:hint="eastAsia" w:ascii="宋体" w:hAnsi="宋体" w:eastAsia="仿宋_GB2312" w:cs="仿宋_GB2312"/>
          <w:kern w:val="0"/>
          <w:szCs w:val="32"/>
        </w:rPr>
        <w:t>　违反本法规定，有下列行为之一的，由县级以上地方人民政府市场监督管理部门责令改正，没收原材料、产品和违法所得，并处货值金额一倍以上三倍以下的罚款：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（一）销售不符合质量标准的煤炭、石油焦的；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（二）生产、销售挥发性有机物含量不符合质量标准或者要求的原材料和产品的；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（三）生产、销售不符合标准的机动车船和非道路移动机械用燃料、发动机油、氮氧化物还原剂、燃料和润滑油添加剂以及其他添加剂的；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（四）在禁燃区内销售高污染燃料的。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第一百零四条</w:t>
      </w:r>
      <w:r>
        <w:rPr>
          <w:rFonts w:hint="eastAsia" w:ascii="宋体" w:hAnsi="宋体" w:eastAsia="仿宋_GB2312" w:cs="仿宋_GB2312"/>
          <w:kern w:val="0"/>
          <w:szCs w:val="32"/>
        </w:rPr>
        <w:t>　违反本法规定，有下列行为之一的，由海关责令改正，没收原材料、产品和违法所得，并处货值金额一倍以上三倍以下的罚款；构成走私的，由海关依法予以处罚：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（一）进口不符合质量标准的煤炭、石油焦的；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（二）进口挥发性有机物含量不符合质量标准或者要求的原材料和产品的；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（三）进口不符合标准的机动车船和非道路移动机械用燃料、发动机油、氮氧化物还原剂、燃料和润滑油添加剂以及其他添加剂的。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第一百零五条</w:t>
      </w:r>
      <w:r>
        <w:rPr>
          <w:rFonts w:hint="eastAsia" w:ascii="宋体" w:hAnsi="宋体" w:eastAsia="仿宋_GB2312" w:cs="仿宋_GB2312"/>
          <w:kern w:val="0"/>
          <w:szCs w:val="32"/>
        </w:rPr>
        <w:t>　违反本法规定，单位燃用不符合质量标准的煤炭、石油焦的，由县级以上人民政府生态环境主管部门责令改正，处货值金额一倍以上三倍以下的罚款。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第一百零六条</w:t>
      </w:r>
      <w:r>
        <w:rPr>
          <w:rFonts w:hint="eastAsia" w:ascii="宋体" w:hAnsi="宋体" w:eastAsia="仿宋_GB2312" w:cs="仿宋_GB2312"/>
          <w:kern w:val="0"/>
          <w:szCs w:val="32"/>
        </w:rPr>
        <w:t>　违反本法规定，使用不符合标准或者要求的船舶用燃油的，由海事管理机构、渔业主管部门按照职责处一万元以上十万元以下的罚款。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第一百零七条</w:t>
      </w:r>
      <w:r>
        <w:rPr>
          <w:rFonts w:hint="eastAsia" w:ascii="宋体" w:hAnsi="宋体" w:eastAsia="仿宋_GB2312" w:cs="仿宋_GB2312"/>
          <w:kern w:val="0"/>
          <w:szCs w:val="32"/>
        </w:rPr>
        <w:t>　违反本法规定，在禁燃区内新建、扩建燃用高污染燃料的设施，或者未按照规定停止燃用高污染燃料，或者在城市集中供热管网覆盖地区新建、扩建分散燃煤供热锅炉，或者未按照规定拆除已建成的不能达标排放的燃煤供热锅炉的，由县级以上地方人民政府生态环境主管部门没收燃用高污染燃料的设施，组织拆除燃煤供热锅炉，并处二万元以上二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违反本法规定，生产、进口、销售或者使用不符合规定标准或者要求的锅炉，由县级以上人民政府市场监督管理、生态环境主管部门责令改正，没收违法所得，并处二万元以上二十万元以下的罚款。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第一百零八条</w:t>
      </w:r>
      <w:r>
        <w:rPr>
          <w:rFonts w:hint="eastAsia" w:ascii="宋体" w:hAnsi="宋体" w:eastAsia="仿宋_GB2312" w:cs="仿宋_GB2312"/>
          <w:kern w:val="0"/>
          <w:szCs w:val="32"/>
        </w:rPr>
        <w:t>　违反本法规定，有下列行为之一的，由县级以上人民政府生态环境主管部门责令改正，处二万元以上二十万元以下的罚款；拒不改正的，责令停产整治：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（一）产生含挥发性有机物废气的生产和服务活动，未在密闭空间或者设备中进行，未按照规定安装、使用污染防治设施，或者未采取减少废气排放措施的；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（二）工业涂装企业未使用低挥发性有机物含量涂料或者未建立、保存台账的；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（三）石油、化工以及其他生产和使用有机溶剂的企业，未采取措施对管道、设备进行日常维护、维修，减少物料泄漏或者对泄漏的物料未及时收集处理的；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（四）储油储气库、加油加气站和油罐车、气罐车等，未按照国家有关规定安装并正常使用油气回收装置的；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（五）钢铁、建材、有色金属、石油、化工、制药、矿产开采等企业，未采取集中收集处理、密闭、围挡、遮盖、清扫、洒水等措施，控制、减少粉尘和气态污染物排放的；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（六）工业生产、垃圾填埋或者其他活动中产生的可燃性气体未回收利用，不具备回收利用条件未进行防治污染处理，或者可燃性气体回收利用装置不能正常作业，未及时修复或者更新的。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第一百零九条</w:t>
      </w:r>
      <w:r>
        <w:rPr>
          <w:rFonts w:hint="eastAsia" w:ascii="宋体" w:hAnsi="宋体" w:eastAsia="仿宋_GB2312" w:cs="仿宋_GB2312"/>
          <w:kern w:val="0"/>
          <w:szCs w:val="32"/>
        </w:rPr>
        <w:t>　违反本法规定，生产超过污染物排放标准的机动车、非道路移动机械的，由省级以上人民政府生态环境主管部门责令改正，没收违法所得，并处货值金额一倍以上三倍以下的罚款，没收销毁无法达到污染物排放标准的机动车、非道路移动机械；拒不改正的，责令停产整治，并由国务院机动车生产主管部门责令停止生产该车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机动车、非道路移动机械生产企业对发动机、污染控制装置弄虚作假、以次充好，冒充排放检验合格产品出厂销售的，由省级以上人民政府生态环境主管部门责令停产整治，没收违法所得，并处货值金额一倍以上三倍以下的罚款，没收销毁无法达到污染物排放标准的机动车、非道路移动机械，并由国务院机动车生产主管部门责令停止生产该车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第一百一十条</w:t>
      </w:r>
      <w:r>
        <w:rPr>
          <w:rFonts w:hint="eastAsia" w:ascii="宋体" w:hAnsi="宋体" w:eastAsia="仿宋_GB2312" w:cs="仿宋_GB2312"/>
          <w:kern w:val="0"/>
          <w:szCs w:val="32"/>
        </w:rPr>
        <w:t>　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违反本法规定，销售的机动车、非道路移动机械不符合污染物排放标准的，销售者应当负责修理、更换、退货；给购买者造成损失的，销售者应当赔偿损失。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第一百一十一条</w:t>
      </w:r>
      <w:r>
        <w:rPr>
          <w:rFonts w:hint="eastAsia" w:ascii="宋体" w:hAnsi="宋体" w:eastAsia="仿宋_GB2312" w:cs="仿宋_GB2312"/>
          <w:kern w:val="0"/>
          <w:szCs w:val="32"/>
        </w:rPr>
        <w:t>　违反本法规定，机动车生产、进口企业未按照规定向社会公布其生产、进口机动车车型的排放检验信息或者污染控制技术信息的，由省级以上人民政府生态环境主管部门责令改正，处五万元以上五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违反本法规定，机动车生产、进口企业未按照规定向社会公布其生产、进口机动车车型的有关维修技术信息的，由省级以上人民政府交通运输主管部门责令改正，处五万元以上五十万元以下的罚款。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第一百一十二条</w:t>
      </w:r>
      <w:r>
        <w:rPr>
          <w:rFonts w:hint="eastAsia" w:ascii="宋体" w:hAnsi="宋体" w:eastAsia="仿宋_GB2312" w:cs="仿宋_GB2312"/>
          <w:kern w:val="0"/>
          <w:szCs w:val="32"/>
        </w:rPr>
        <w:t>　违反本法规定，伪造机动车、非道路移动机械排放检验结果或者出具虚假排放检验报告的，由县级以上人民政府生态环境主管部门没收违法所得，并处十万元以上五十万元以下的罚款；情节严重的，由负责资质认定的部门取消其检验资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违反本法规定，伪造船舶排放检验结果或者出具虚假排放检验报告的，由海事管理机构依法予以处罚。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以临时更换机动车污染控制装置等弄虚作假的方式通过机动车排放检验或者破坏机动车车载排放诊断系统的，由县级以上人民政府生态环境主管部门责令改正，对机动车所有人处五千元的罚款；对机动车维修单位处每辆机动车五千元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第一百一十三条</w:t>
      </w:r>
      <w:r>
        <w:rPr>
          <w:rFonts w:hint="eastAsia" w:ascii="宋体" w:hAnsi="宋体" w:eastAsia="仿宋_GB2312" w:cs="仿宋_GB2312"/>
          <w:kern w:val="0"/>
          <w:szCs w:val="32"/>
        </w:rPr>
        <w:t>　违反本法规定，机动车驾驶人驾驶排放检验不合格的机动车上道路行驶的，由公安机关交通管理部门依法予以处罚。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第一百一十四条</w:t>
      </w:r>
      <w:r>
        <w:rPr>
          <w:rFonts w:hint="eastAsia" w:ascii="宋体" w:hAnsi="宋体" w:eastAsia="仿宋_GB2312" w:cs="仿宋_GB2312"/>
          <w:kern w:val="0"/>
          <w:szCs w:val="32"/>
        </w:rPr>
        <w:t>　违反本法规定，使用排放不合格的非道路移动机械，或者在用重型柴油车、非道路移动机械未按照规定加装、更换污染控制装置的，由县级以上人民政府生态环境等主管部门按照职责责令改正，处五千元的罚款。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违反本法规定，在禁止使用高排放非道路移动机械的区域使用高排放非道路移动机械的，由城市人民政府生态环境等主管部门依法予以处罚。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第一百一十五条</w:t>
      </w:r>
      <w:r>
        <w:rPr>
          <w:rFonts w:hint="eastAsia" w:ascii="宋体" w:hAnsi="宋体" w:eastAsia="仿宋_GB2312" w:cs="仿宋_GB2312"/>
          <w:kern w:val="0"/>
          <w:szCs w:val="32"/>
        </w:rPr>
        <w:t>　违反本法规定，施工单位有下列行为之一的，由县级以上人民政府住房城乡建设等主管部门按照职责责令改正，处一万元以上十万元以下的罚款；拒不改正的，责令停工整治：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（一）施工工地未设置硬质围挡，或者未采取覆盖、分段作业、择时施工、洒水抑尘、冲洗地面和车辆等有效防尘降尘措施的；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（二）建筑土方、工程渣土、建筑垃圾未及时清运，或者未采用密闭式防尘网遮盖的。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第一百一十六条</w:t>
      </w:r>
      <w:r>
        <w:rPr>
          <w:rFonts w:hint="eastAsia" w:ascii="宋体" w:hAnsi="宋体" w:eastAsia="仿宋_GB2312" w:cs="仿宋_GB2312"/>
          <w:kern w:val="0"/>
          <w:szCs w:val="32"/>
        </w:rPr>
        <w:t>　违反本法规定，运输煤炭、垃圾、渣土、砂石、土方、灰浆等散装、流体物料的车辆，未采取密闭或者其他措施防止物料遗撒的，由县级以上地方人民政府确定的监督管理部门责令改正，处二千元以上二万元以下的罚款；拒不改正的，车辆不得上道路行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第一百一十七条</w:t>
      </w:r>
      <w:r>
        <w:rPr>
          <w:rFonts w:hint="eastAsia" w:ascii="宋体" w:hAnsi="宋体" w:eastAsia="仿宋_GB2312" w:cs="仿宋_GB2312"/>
          <w:kern w:val="0"/>
          <w:szCs w:val="32"/>
        </w:rPr>
        <w:t>　违反本法规定，有下列行为之一的，由县级以上人民政府生态环境等主管部门按照职责责令改正，处一万元以上十万元以下的罚款；拒不改正的，责令停工整治或者停业整治：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（一）未密闭煤炭、煤矸石、煤渣、煤灰、水泥、石灰、石膏、砂土等易产生扬尘的物料的；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（二）对不能密闭的易产生扬尘的物料，未设置不低于堆放物高度的严密围挡，或者未采取有效覆盖措施防治扬尘污染的；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（三）装卸物料未采取密闭或者喷淋等方式控制扬尘排放的；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（四）存放煤炭、煤矸石、煤渣、煤灰等物料，未采取防燃措施的；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（五）码头、矿山、填埋场和消纳场未采取有效措施防治扬尘污染的；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（六）排放有毒有害大气污染物名录中所列有毒有害大气污染物的企业事业单位，未按照规定建设环境风险预警体系或者对排放口和周边环境进行定期监测、排查环境安全隐患并采取有效措施防范环境风险的；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（七）向大气排放持久性有机污染物的企业事业单位和其他生产经营者以及废弃物焚烧设施的运营单位，未按照国家有关规定采取有利于减少持久性有机污染物排放的技术方法和工艺，配备净化装置的；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（八）未采取措施防止排放恶臭气体的。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第一百一十八条</w:t>
      </w:r>
      <w:r>
        <w:rPr>
          <w:rFonts w:hint="eastAsia" w:ascii="宋体" w:hAnsi="宋体" w:eastAsia="仿宋_GB2312" w:cs="仿宋_GB2312"/>
          <w:kern w:val="0"/>
          <w:szCs w:val="32"/>
        </w:rPr>
        <w:t>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第一百一十九条</w:t>
      </w:r>
      <w:r>
        <w:rPr>
          <w:rFonts w:hint="eastAsia" w:ascii="宋体" w:hAnsi="宋体" w:eastAsia="仿宋_GB2312" w:cs="仿宋_GB2312"/>
          <w:kern w:val="0"/>
          <w:szCs w:val="32"/>
        </w:rPr>
        <w:t>　违反本法规定，在人口集中地区对树木、花草喷洒剧毒、高毒农药，或者露天焚烧秸秆、落叶等产生烟尘污染的物质的，由县级以上地方人民政府确定的监督管理部门责令改正，并可以处五百元以上二千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违反本法规定，在城市人民政府禁止的时段和区域内燃放烟花爆竹的，由县级以上地方人民政府确定的监督管理部门依法予以处罚。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第一百二十条</w:t>
      </w:r>
      <w:r>
        <w:rPr>
          <w:rFonts w:hint="eastAsia" w:ascii="宋体" w:hAnsi="宋体" w:eastAsia="仿宋_GB2312" w:cs="仿宋_GB2312"/>
          <w:kern w:val="0"/>
          <w:szCs w:val="32"/>
        </w:rPr>
        <w:t>　违反本法规定，从事服装干洗和机动车维修等服务活动，未设置异味和废气处理装置等污染防治设施并保持正常使用，影响周边环境的，由县级以上地方人民政府生态环境主管部门责令改正，处二千元以上二万元以下的罚款；拒不改正的，责令停业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第一百二十一条</w:t>
      </w:r>
      <w:r>
        <w:rPr>
          <w:rFonts w:hint="eastAsia" w:ascii="宋体" w:hAnsi="宋体" w:eastAsia="仿宋_GB2312" w:cs="仿宋_GB2312"/>
          <w:kern w:val="0"/>
          <w:szCs w:val="32"/>
        </w:rPr>
        <w:t>　违反本法规定，擅自向社会发布重污染天气预报预警信息，构成违反治安管理行为的，由公安机关依法予以处罚。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违反本法规定，拒不执行停止工地土石方作业或者建筑物拆除施工等重污染天气应急措施的，由县级以上地方人民政府确定的监督管理部门处一万元以上十万元以下的罚款。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第一百二十二条</w:t>
      </w:r>
      <w:r>
        <w:rPr>
          <w:rFonts w:hint="eastAsia" w:ascii="宋体" w:hAnsi="宋体" w:eastAsia="仿宋_GB2312" w:cs="仿宋_GB2312"/>
          <w:kern w:val="0"/>
          <w:szCs w:val="32"/>
        </w:rPr>
        <w:t>　违反本法规定，造成大气污染事故的，由县级以上人民政府生态环境主管部门依照本条第二款的规定处以罚款；对直接负责的主管人员和其他直接责任人员可以处上一年度从本企业事业单位取得收入百分之五十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对造成一般或者较大大气污染事故的，按照污染事故造成直接损失的一倍以上三倍以下计算罚款；对造成重大或者特大大气污染事故的，按照污染事故造成的直接损失的三倍以上五倍以下计算罚款。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第一百二十三条</w:t>
      </w:r>
      <w:r>
        <w:rPr>
          <w:rFonts w:hint="eastAsia" w:ascii="宋体" w:hAnsi="宋体" w:eastAsia="仿宋_GB2312" w:cs="仿宋_GB2312"/>
          <w:kern w:val="0"/>
          <w:szCs w:val="32"/>
        </w:rPr>
        <w:t>　违反本法规定，企业事业单位和其他生产经营者有下列行为之一，受到罚款处罚，被责令改正，拒不改正的，依法作出处罚决定的行政机关可以自责令改正之日的次日起，按照原处罚数额按日连续处罚：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（一）未依法取得排污许可证排放大气污染物的；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（二）超过大气污染物排放标准或者超过重点大气污染物排放总量控制指标排放大气污染物的；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（三）通过逃避监管的方式排放大气污染物的；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（四）建筑施工或者贮存易产生扬尘的物料未采取有效措施防治扬尘污染的。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第一百二十四条</w:t>
      </w:r>
      <w:r>
        <w:rPr>
          <w:rFonts w:hint="eastAsia" w:ascii="宋体" w:hAnsi="宋体" w:eastAsia="仿宋_GB2312" w:cs="仿宋_GB2312"/>
          <w:kern w:val="0"/>
          <w:szCs w:val="32"/>
        </w:rPr>
        <w:t>　违反本法规定，对举报人以解除、变更劳动合同或者其他方式打击报复的，应当依照有关法律的规定承担责任。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第一百二十五条</w:t>
      </w:r>
      <w:r>
        <w:rPr>
          <w:rFonts w:hint="eastAsia" w:ascii="宋体" w:hAnsi="宋体" w:eastAsia="仿宋_GB2312" w:cs="仿宋_GB2312"/>
          <w:kern w:val="0"/>
          <w:szCs w:val="32"/>
        </w:rPr>
        <w:t>　排放大气污染物造成损害的，应当依法承担侵权责任。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第一百二十六条</w:t>
      </w:r>
      <w:r>
        <w:rPr>
          <w:rFonts w:hint="eastAsia" w:ascii="宋体" w:hAnsi="宋体" w:eastAsia="仿宋_GB2312" w:cs="仿宋_GB2312"/>
          <w:kern w:val="0"/>
          <w:szCs w:val="32"/>
        </w:rPr>
        <w:t>　地方各级人民政府、县级以上人民政府生态环境主管部门和其他负有大气环境保护监督管理职责的部门及其工作人员滥用职权、玩忽职守、徇私舞弊、弄虚作假的，依法给予处分。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第一百二十七条</w:t>
      </w:r>
      <w:r>
        <w:rPr>
          <w:rFonts w:hint="eastAsia" w:ascii="宋体" w:hAnsi="宋体" w:eastAsia="仿宋_GB2312" w:cs="仿宋_GB2312"/>
          <w:kern w:val="0"/>
          <w:szCs w:val="32"/>
        </w:rPr>
        <w:t>　违反本法规定，构成犯罪的，依法追究刑事责任。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第一百二十八条</w:t>
      </w:r>
      <w:r>
        <w:rPr>
          <w:rFonts w:hint="eastAsia" w:ascii="宋体" w:hAnsi="宋体" w:eastAsia="仿宋_GB2312" w:cs="仿宋_GB2312"/>
          <w:kern w:val="0"/>
          <w:szCs w:val="32"/>
        </w:rPr>
        <w:t>　海洋工程的大气污染防治，依照《中华人民共和国海洋环境保护法》的有关规定执行。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第一百二十九条</w:t>
      </w:r>
      <w:r>
        <w:rPr>
          <w:rFonts w:hint="eastAsia" w:ascii="宋体" w:hAnsi="宋体" w:eastAsia="仿宋_GB2312" w:cs="仿宋_GB2312"/>
          <w:kern w:val="0"/>
          <w:szCs w:val="32"/>
        </w:rPr>
        <w:t>　本法自2016年1月1日起施行。</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90" w:name="_Toc15201"/>
      <w:r>
        <w:rPr>
          <w:rFonts w:hint="eastAsia" w:ascii="宋体" w:hAnsi="宋体" w:eastAsia="宋体" w:cs="宋体"/>
          <w:kern w:val="0"/>
          <w:sz w:val="44"/>
          <w:szCs w:val="44"/>
          <w:lang w:val="en-US" w:eastAsia="zh-CN"/>
        </w:rPr>
        <w:t>中华人民共和国水污染防治法</w:t>
      </w:r>
      <w:bookmarkEnd w:id="190"/>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楷体_GB2312" w:cs="楷体_GB2312"/>
          <w:kern w:val="0"/>
          <w:szCs w:val="32"/>
        </w:rPr>
      </w:pPr>
      <w:r>
        <w:rPr>
          <w:rFonts w:hint="eastAsia" w:ascii="宋体" w:hAnsi="宋体" w:eastAsia="楷体_GB2312" w:cs="楷体_GB2312"/>
          <w:kern w:val="0"/>
          <w:szCs w:val="32"/>
        </w:rPr>
        <w:t>（1984年5月11日第六届全国人民代表大会常务委员会第五次会议通过　根据1996年5月15日第八届全国人民代表大会常务委员会第十九次会议《关于修改&lt;中华人民共和国水污染防治法&gt;的决定》第一次修正　2008年2月28日第十届全国人民代表大会常务委员会第三十二次会议修订　根据2017年6月27日第十二届全国人民代表大会常务委员会第二十八次会议《关于修改&lt;中华人民共和国水污染防治法&gt;的决定》第二次修正）</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水污染防治的标准和规划</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水污染防治的监督管理</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水污染防治措施</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第一节　一般规定</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第二节　工业水污染防治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第三节　城镇水污染防治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第四节　农业和农村水污染防治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第五节　船舶水污染防治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饮用水水源和其他特殊水体保护</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水污染事故处置</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第七章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第八章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为了保护和改善环境，防治水污染，保护水生态，保障饮用水安全，维护公众健康，推进生态文明建设，促进经济社会可持续发展，制定本法。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本法适用于中华人民共和国领域内的江河、湖泊、运河、渠道、水库等地表水体以及地下水体的污染防治。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海洋污染防治适用《中华人民共和国海洋环境保护法》。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水污染防治应当坚持预防为主、防治结合、综合治理的原则，优先保护饮用水水源，严格控制工业污染、城镇生活污染，防治农业面源污染，积极推进生态治理工程建设，预防、控制和减少水环境污染和生态破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县级以上人民政府应当将水环境保护工作纳入国民经济和社会发展规划。</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地方各级人民政府对本行政区域的水环境质量负责，应当及时采取措施防治水污染。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省、市、县、乡建立河长制，分级分段组织领导本行政区域内江河、湖泊的水资源保护、水域岸线管理、水污染防治、水环境治理等工作。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国家实行水环境保护目标责任制和考核评价制度，将水环境保护目标完成情况作为对地方人民政府及其负责人考核评价的内容。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国家鼓励、支持水污染防治的科学技术研究和先进适用技术的推广应用，加强水环境保护的宣传教育。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国家通过财政转移支付等方式，建立健全对位于饮用水水源保护区区域和江河、湖泊、水库上游地区的水环境生态保护补偿机制。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县级以上人民政府环境保护主管部门对水污染防治实施统一监督管理。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交通主管部门的海事管理机构对船舶污染水域的防治实施监督管理。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县级以上人民政府水行政、国土资源、卫生、建设、农业、渔业等部门以及重要江河、湖泊的流域水资源保护机构，在各自的职责范围内，对有关水污染防治实施监督管理。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排放水污染物，不得超过国家或者地方规定的水污染物排放标准和重点水污染物排放总量控制指标。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任何单位和个人都有义务保护水环境，并有权对污染损害水环境的行为进行检举。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县级以上人民政府及其有关主管部门对在水污染防治工作中做出显著成绩的单位和个人给予表彰和奖励。</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水污染防治的标准和规划</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国务院环境保护主管部门制定国家水环境质量标准。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省、自治区、直辖市人民政府可以对国家水环境质量标准中未作规定的项目，制定地方标准，并报国务院环境保护主管部门备案。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国务院环境保护主管部门会同国务院水行政主管部门和有关省、自治区、直辖市人民政府，可以根据国家确定的重要江河、湖泊流域水体的使用功能以及有关地区的经济、技术条件，确定该重要江河、湖泊流域的省界水体适用的水环境质量标准，报国务院批准后施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国务院环境保护主管部门根据国家水环境质量标准和国家经济、技术条件，制定国家水污染物排放标准。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对国家水污染物排放标准中未作规定的项目，可以制定地方水污染物排放标准；对国家水污染物排放标准中已作规定的项目，可以制定严于国家水污染物排放标准的地方水污染物排放标准。地方水污染物排放标准须报国务院环境保护主管部门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向已有地方水污染物排放标准的水体排放污染物的，应当执行地方水污染物排放标准。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国务院环境保护主管部门和省、自治区、直辖市人民政府，应当根据水污染防治的要求和国家或者地方的经济、技术条件，适时修订水环境质量标准和水污染物排放标准。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防治水污染应当按流域或者按区域进行统一规划。国家确定的重要江河、湖泊的流域水污染防治规划，由国务院环境保护主管部门会同国务院经济综合宏观调控、水行政等部门和有关省、自治区、直辖市人民政府编制，报国务院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前款规定外的其他跨省、自治区、直辖市江河、湖泊的流域水污染防治规划，根据国家确定的重要江河、湖泊的流域水污染防治规划和本地实际情况，由有关省、自治区、直辖市人民政府环境保护主管部门会同同级水行政等部门和有关市、县人民政府编制，经有关省、自治区、直辖市人民政府审核，报国务院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内跨县江河、湖泊的流域水污染防治规划，根据国家确定的重要江河、湖泊的流域水污染防治规划和本地实际情况，由省、自治区、直辖市人民政府环境保护主管部门会同同级水行政等部门编制，报省、自治区、直辖市人民政府批准，并报国务院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经批准的水污染防治规划是防治水污染的基本依据，规划的修订须经原批准机关批准。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县级以上地方人民政府应当根据依法批准的江河、湖泊的流域水污染防治规划，组织制定本行政区域的水污染防治规划。</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有关市、县级人民政府应当按照水污染防治规划确定的水环境质量改善目标的要求，制定限期达标规划，采取措施按期达标。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有关市、县级人民政府应当将限期达标规划报上一级人民政府备案，并向社会公开。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　</w:t>
      </w:r>
      <w:r>
        <w:rPr>
          <w:rFonts w:hint="eastAsia" w:ascii="宋体" w:hAnsi="宋体" w:cs="Arial"/>
          <w:kern w:val="0"/>
          <w:szCs w:val="32"/>
        </w:rPr>
        <w:t>市、县级人民政府每年在向本级人民代表大会或者其常务委员会报告环境状况和环境保护目标完成情况时，应当报告水环境质量限期达标规划执行情况，并向社会公开。</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水污染防治的监督管理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新建、改建、扩建直接或者间接向水体排放污染物的建设项目和其他水上设施，应当依法进行环境影响评价。</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建设单位在江河、湖泊新建、改建、扩建排污口的，应当取得水行政主管部门或者流域管理机构同意；涉及通航、渔业水域的，环境保护主管部门在审批环境影响评价文件时，应当征求交通、渔业主管部门的意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建设项目的水污染防治设施，应当与主体工程同时设计、同时施工、同时投入使用。水污染防治设施应当符合经批准或者备案的环境影响评价文件的要求。</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国家对重点水污染物排放实施总量控制制度。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重点水污染物排放总量控制指标，由国务院环境保护主管部门在征求国务院有关部门和各省、自治区、直辖市人民政府意见后，会同国务院经济综合宏观调控部门报国务院批准并下达实施。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省、自治区、直辖市人民政府应当按照国务院的规定削减和控制本行政区域的重点水污染物排放总量。具体办法由国务院环境保护主管部门会同国务院有关部门规定。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省、自治区、直辖市人民政府可以根据本行政区域水环境质量状况和水污染防治工作的需要，对国家重点水污染物之外的其他水污染物排放实行总量控制。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超过重点水污染物排放总量控制指标或者未完成水环境质量改善目标的地区，省级以上人民政府环境保护主管部门应当会同有关部门约谈该地区人民政府的主要负责人，并暂停审批新增重点水污染物排放总量的建设项目的环境影响评价文件。约谈情况应当向社会公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直接或者间接向水体排放工业废水和医疗污水以及其他按照规定应当取得排污许可证方可排放的废水、污水的企业事业单位和其他生产经营者，应当取得排污许可证；城镇污水集中处理设施的运营单位，也应当取得排污许可证。排污许可证应当明确排放水污染物的种类、浓度、总量和排放去向等要求。排污许可的具体办法由国务院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禁止企业事业单位和其他生产经营者无排污许可证或者违反排污许可证的规定向水体排放前款规定的废水、污水。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向水体排放污染物的企业事业单位和其他生产经营者，应当按照法律、行政法规和国务院环境保护主管部门的规定设置排污口；在江河、湖泊设置排污口的，还应当遵守国务院水行政主管部门的规定。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实行排污许可管理的企业事业单位和其他生产经营者应当按照国家有关规定和监测规范，对所排放的水污染物自行监测，并保存原始监测记录。重点排污单位还应当安装水污染物排放自动监测设备，与环境保护主管部门的监控设备联网，并保证监测设备正常运行。具体办法由国务院环境保护主管部门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应当安装水污染物排放自动监测设备的重点排污单位名录，由设区的市级以上地方人民政府环境保护主管部门根据本行政区域的环境容量、重点水污染物排放总量控制指标的要求以及排污单位排放水污染物的种类、数量和浓度等因素，商同级有关部门确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实行排污许可管理的企业事业单位和其他生产经营者应当对监测数据的真实性和准确性负责。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环境保护主管部门发现重点排污单位的水污染物排放自动监测设备传输数据异常，应当及时进行调查。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国家建立水环境质量监测和水污染物排放监测制度。国务院环境保护主管部门负责制定水环境监测规范，统一发布国家水环境状况信息，会同国务院水行政等部门组织监测网络，统一规划国家水环境质量监测站（点）的设置，建立监测数据共享机制，加强对水环境监测的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国家确定的重要江河、湖泊流域的水资源保护工作机构负责监测其所在流域的省界水体的水环境质量状况，并将监测结果及时报国务院环境保护主管部门和国务院水行政主管部门；有经国务院批准成立的流域水资源保护领导机构的，应当将监测结果及时报告流域水资源保护领导机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国务院有关部门和县级以上地方人民政府开发、利用和调节、调度水资源时，应当统筹兼顾，维持江河的合理流量和湖泊、水库以及地下水体的合理水位，保障基本生态用水，维护水体的生态功能。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第二十八条</w:t>
      </w:r>
      <w:r>
        <w:rPr>
          <w:rFonts w:hint="eastAsia" w:ascii="宋体" w:hAnsi="宋体" w:cs="Arial"/>
          <w:kern w:val="0"/>
          <w:szCs w:val="32"/>
        </w:rPr>
        <w:t>　国务院环境保护主管部门应当会同国务院水行政等部门和有关省、自治区、直辖市人民政府，建立重要江河、湖泊的流域水环境保护联合协调机制，实行统一规划、统一标准、统一监测、统一的防治措施。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第二十九条</w:t>
      </w:r>
      <w:r>
        <w:rPr>
          <w:rFonts w:hint="eastAsia" w:ascii="宋体" w:hAnsi="宋体" w:cs="Arial"/>
          <w:kern w:val="0"/>
          <w:szCs w:val="32"/>
        </w:rPr>
        <w:t>　国务院环境保护主管部门和省、自治区、直辖市人民政府环境保护主管部门应当会同同级有关部门根据流域生态环境功能需要，明确流域生态环境保护要求，组织开展流域环境资源承载能力监测、评价，实施流域环境资源承载能力预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应当根据流域生态环境功能需要，组织开展江河、湖泊、湿地保护与修复，因地制宜建设人工湿地、水源涵养林、沿河沿湖植被缓冲带和隔离带等生态环境治理与保护工程，整治黑臭水体，提高流域环境资源承载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从事开发建设活动，应当采取有效措施，维护流域生态环境功能，严守生态保护红线。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第三十条</w:t>
      </w:r>
      <w:r>
        <w:rPr>
          <w:rFonts w:hint="eastAsia" w:ascii="宋体" w:hAnsi="宋体" w:cs="Arial"/>
          <w:kern w:val="0"/>
          <w:szCs w:val="32"/>
        </w:rPr>
        <w:t>　环境保护主管部门和其他依照本法规定行使监督管理权的部门，有权对管辖范围内的排污单位进行现场检查，被检查的单位应当如实反映情况，提供必要的资料。检查机关有义务为被检查的单位保守在检查中获取的商业秘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第三十一条</w:t>
      </w:r>
      <w:r>
        <w:rPr>
          <w:rFonts w:hint="eastAsia" w:ascii="宋体" w:hAnsi="宋体" w:cs="Arial"/>
          <w:kern w:val="0"/>
          <w:szCs w:val="32"/>
        </w:rPr>
        <w:t>　跨行政区域的水污染纠纷，由有关地方人民政府协商解决，或者由其共同的上级人民政府协调解决。</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水污染防治措施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第三十二条</w:t>
      </w:r>
      <w:r>
        <w:rPr>
          <w:rFonts w:hint="eastAsia" w:ascii="宋体" w:hAnsi="宋体" w:cs="Arial"/>
          <w:kern w:val="0"/>
          <w:szCs w:val="32"/>
        </w:rPr>
        <w:t>　国务院环境保护主管部门应当会同国务院卫生主管部门，根据对公众健康和生态环境的危害和影响程度，公布有毒有害水污染物名录，实行风险管理。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排放前款规定名录中所列有毒有害水污染物的企业事业单位和其他生产经营者，应当对排污口和周边环境进行监测，评估环境风险，排查环境安全隐患，并公开有毒有害水污染物信息，采取有效措施防范环境风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第三十三条</w:t>
      </w:r>
      <w:r>
        <w:rPr>
          <w:rFonts w:hint="eastAsia" w:ascii="宋体" w:hAnsi="宋体" w:cs="Arial"/>
          <w:kern w:val="0"/>
          <w:szCs w:val="32"/>
        </w:rPr>
        <w:t>　禁止向水体排放油类、酸液、碱液或者剧毒废液。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禁止在水体清洗装贮过油类或者有毒污染物的车辆和容器。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第三十四条</w:t>
      </w:r>
      <w:r>
        <w:rPr>
          <w:rFonts w:hint="eastAsia" w:ascii="宋体" w:hAnsi="宋体" w:cs="Arial"/>
          <w:kern w:val="0"/>
          <w:szCs w:val="32"/>
        </w:rPr>
        <w:t>　禁止向水体排放、倾倒放射性固体废物或者含有高放射性和中放射性物质的废水。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向水体排放含低放射性物质的废水，应当符合国家有关放射性污染防治的规定和标准。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第三十五条</w:t>
      </w:r>
      <w:r>
        <w:rPr>
          <w:rFonts w:hint="eastAsia" w:ascii="宋体" w:hAnsi="宋体" w:cs="Arial"/>
          <w:kern w:val="0"/>
          <w:szCs w:val="32"/>
        </w:rPr>
        <w:t>　向水体排放含热废水，应当采取措施，保证水体的水温符合水环境质量标准。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第三十六条</w:t>
      </w:r>
      <w:r>
        <w:rPr>
          <w:rFonts w:hint="eastAsia" w:ascii="宋体" w:hAnsi="宋体" w:cs="Arial"/>
          <w:kern w:val="0"/>
          <w:szCs w:val="32"/>
        </w:rPr>
        <w:t>　含病原体的污水应当经过消毒处理；符合国家有关标准后，方可排放。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第三十七条</w:t>
      </w:r>
      <w:r>
        <w:rPr>
          <w:rFonts w:hint="eastAsia" w:ascii="宋体" w:hAnsi="宋体" w:cs="Arial"/>
          <w:kern w:val="0"/>
          <w:szCs w:val="32"/>
        </w:rPr>
        <w:t>　禁止向水体排放、倾倒工业废渣、城镇垃圾和其他废弃物。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禁止将含有汞、镉、砷、铬、铅、氰化物、黄磷等的可溶性剧毒废渣向水体排放、倾倒或者直接埋入地下。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存放可溶性剧毒废渣的场所，应当采取防水、防渗漏、防流失的措施。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第三十八条</w:t>
      </w:r>
      <w:r>
        <w:rPr>
          <w:rFonts w:hint="eastAsia" w:ascii="宋体" w:hAnsi="宋体" w:cs="Arial"/>
          <w:kern w:val="0"/>
          <w:szCs w:val="32"/>
        </w:rPr>
        <w:t>　禁止在江河、湖泊、运河、渠道、水库最高水位线以下的滩地和岸坡堆放、存贮固体废弃物和其他污染物。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第三十九条</w:t>
      </w:r>
      <w:r>
        <w:rPr>
          <w:rFonts w:hint="eastAsia" w:ascii="宋体" w:hAnsi="宋体" w:cs="Arial"/>
          <w:kern w:val="0"/>
          <w:szCs w:val="32"/>
        </w:rPr>
        <w:t>　禁止利用渗井、渗坑、裂隙、溶洞，私设暗管，篡改、伪造监测数据，或者不正常运行水污染防治设施等逃避监管的方式排放水污染物。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第四十条</w:t>
      </w:r>
      <w:r>
        <w:rPr>
          <w:rFonts w:hint="eastAsia" w:ascii="宋体" w:hAnsi="宋体" w:cs="Arial"/>
          <w:kern w:val="0"/>
          <w:szCs w:val="32"/>
        </w:rPr>
        <w:t>　化学品生产企业以及工业集聚区、矿山开采区、尾矿库、危险废物处置场、垃圾填埋场等的运营、管理单位，应当采取防渗漏等措施，并建设地下水水质监测井进行监测，防止地下水污染。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加油站等的地下油罐应当使用双层罐或者采取建造防渗池等其他有效措施，并进行防渗漏监测，防止地下水污染。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禁止利用无防渗漏措施的沟渠、坑塘等输送或者存贮含有毒污染物的废水、含病原体的污水和其他废弃物。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第四十一条</w:t>
      </w:r>
      <w:r>
        <w:rPr>
          <w:rFonts w:hint="eastAsia" w:ascii="宋体" w:hAnsi="宋体" w:cs="Arial"/>
          <w:kern w:val="0"/>
          <w:szCs w:val="32"/>
        </w:rPr>
        <w:t>　多层地下水的含水层水质差异大的，应当分层开采；对已受污染的潜水和承压水，不得混合开采。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第四十二条</w:t>
      </w:r>
      <w:r>
        <w:rPr>
          <w:rFonts w:hint="eastAsia" w:ascii="宋体" w:hAnsi="宋体" w:cs="Arial"/>
          <w:kern w:val="0"/>
          <w:szCs w:val="32"/>
        </w:rPr>
        <w:t>　兴建地下工程设施或者进行地下勘探、采矿等活动，应当采取防护性措施，防止地下水污染。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报废矿井、钻井或者取水井等，应当实施封井或者回填。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第四十三条</w:t>
      </w:r>
      <w:r>
        <w:rPr>
          <w:rFonts w:hint="eastAsia" w:ascii="宋体" w:hAnsi="宋体" w:cs="Arial"/>
          <w:kern w:val="0"/>
          <w:szCs w:val="32"/>
        </w:rPr>
        <w:t>　人工回灌补给地下水，不得恶化地下水质。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第二节　工业水污染防治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第四十四条</w:t>
      </w:r>
      <w:r>
        <w:rPr>
          <w:rFonts w:hint="eastAsia" w:ascii="宋体" w:hAnsi="宋体" w:cs="Arial"/>
          <w:kern w:val="0"/>
          <w:szCs w:val="32"/>
        </w:rPr>
        <w:t>　国务院有关部门和县级以上地方人民政府应当合理规划工业布局，要求造成水污染的企业进行技术改造，采取综合防治措施，提高水的重复利用率，减少废水和污染物排放量。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第四十五条</w:t>
      </w:r>
      <w:r>
        <w:rPr>
          <w:rFonts w:hint="eastAsia" w:ascii="宋体" w:hAnsi="宋体" w:cs="Arial"/>
          <w:kern w:val="0"/>
          <w:szCs w:val="32"/>
        </w:rPr>
        <w:t>　排放工业废水的企业应当采取有效措施，收集和处理产生的全部废水，防止污染环境。含有毒有害水污染物的工业废水应当分类收集和处理，不得稀释排放。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工业集聚区应当配套建设相应的污水集中处理设施，安装自动监测设备，与环境保护主管部门的监控设备联网，并保证监测设备正常运行。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向污水集中处理设施排放工业废水的，应当按照国家有关规定进行预处理，达到集中处理设施处理工艺要求后方可排放。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第四十六条</w:t>
      </w:r>
      <w:r>
        <w:rPr>
          <w:rFonts w:hint="eastAsia" w:ascii="宋体" w:hAnsi="宋体" w:cs="Arial"/>
          <w:kern w:val="0"/>
          <w:szCs w:val="32"/>
        </w:rPr>
        <w:t>　国家对严重污染水环境的落后工艺和设备实行淘汰制度。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国务院经济综合宏观调控部门会同国务院有关部门，公布限期禁止采用的严重污染水环境的工艺名录和限期禁止生产、销售、进口、使用的严重污染水环境的设备名录。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生产者、销售者、进口者或者使用者应当在规定的期限内停止生产、销售、进口或者使用列入前款规定的设备名录中的设备。工艺的采用者应当在规定的期限内停止采用列入前款规定的工艺名录中的工艺。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依照本条第二款、第三款规定被淘汰的设备，不得转让给他人使用。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第四十七条</w:t>
      </w:r>
      <w:r>
        <w:rPr>
          <w:rFonts w:hint="eastAsia" w:ascii="宋体" w:hAnsi="宋体" w:cs="Arial"/>
          <w:kern w:val="0"/>
          <w:szCs w:val="32"/>
        </w:rPr>
        <w:t>　国家禁止新建不符合国家产业政策的小型造纸、制革、印染、染料、炼焦、炼硫、炼砷、炼汞、炼油、电镀、农药、石棉、水泥、玻璃、钢铁、火电以及其他严重污染水环境的生产项目。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第四十八条</w:t>
      </w:r>
      <w:r>
        <w:rPr>
          <w:rFonts w:hint="eastAsia" w:ascii="宋体" w:hAnsi="宋体" w:cs="Arial"/>
          <w:kern w:val="0"/>
          <w:szCs w:val="32"/>
        </w:rPr>
        <w:t>　企业应当采用原材料利用效率高、污染物排放量少的清洁工艺，并加强管理，减少水污染物的产生。</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第三节　城镇水污染防治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第四十九条</w:t>
      </w:r>
      <w:r>
        <w:rPr>
          <w:rFonts w:hint="eastAsia" w:ascii="宋体" w:hAnsi="宋体" w:cs="Arial"/>
          <w:kern w:val="0"/>
          <w:szCs w:val="32"/>
        </w:rPr>
        <w:t>　城镇污水应当集中处理。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县级以上地方人民政府应当通过财政预算和其他渠道筹集资金，统筹安排建设城镇污水集中处理设施及配套管网，提高本行政区域城镇污水的收集率和处理率。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建设主管部门应当会同国务院经济综合宏观调控、环境保护主管部门，根据城乡规划和水污染防治规划，组织编制全国城镇污水处理设施建设规划。县级以上地方人民政府组织建设、经济综合宏观调控、环境保护、水行政等部门编制本行政区域的城镇污水处理设施建设规划。县级以上地方人民政府建设主管部门应当按照城镇污水处理设施建设规划，组织建设城镇污水集中处理设施及配套管网，并加强对城镇污水集中处理设施运营的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城镇污水集中处理设施的运营单位按照国家规定向排污者提供污水处理的有偿服务，收取污水处理费用，保证污水集中处理设施的正常运行。收取的污水处理费用应当用于城镇污水集中处理设施的建设运行和污泥处理处置，不得挪作他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城镇污水集中处理设施的污水处理收费、管理以及使用的具体办法，由国务院规定。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第五十条</w:t>
      </w:r>
      <w:r>
        <w:rPr>
          <w:rFonts w:hint="eastAsia" w:ascii="宋体" w:hAnsi="宋体" w:cs="Arial"/>
          <w:kern w:val="0"/>
          <w:szCs w:val="32"/>
        </w:rPr>
        <w:t>　向城镇污水集中处理设施排放水污染物，应当符合国家或者地方规定的水污染物排放标准。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城镇污水集中处理设施的运营单位，应当对城镇污水集中处理设施的出水水质负责。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环境保护主管部门应当对城镇污水集中处理设施的出水水质和水量进行监督检查。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第五十一条</w:t>
      </w:r>
      <w:r>
        <w:rPr>
          <w:rFonts w:hint="eastAsia" w:ascii="宋体" w:hAnsi="宋体" w:cs="Arial"/>
          <w:kern w:val="0"/>
          <w:szCs w:val="32"/>
        </w:rPr>
        <w:t>　城镇污水集中处理设施的运营单位或者污泥处理处置单位应当安全处理处置污泥，保证处理处置后的污泥符合国家标准，并对污泥的去向等进行记录。</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第四节　农业和农村水污染防治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第五十二条</w:t>
      </w:r>
      <w:r>
        <w:rPr>
          <w:rFonts w:hint="eastAsia" w:ascii="宋体" w:hAnsi="宋体" w:cs="Arial"/>
          <w:kern w:val="0"/>
          <w:szCs w:val="32"/>
        </w:rPr>
        <w:t>　国家支持农村污水、垃圾处理设施的建设，推进农村污水、垃圾集中处理。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地方各级人民政府应当统筹规划建设农村污水、垃圾处理设施，并保障其正常运行。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第五十三条</w:t>
      </w:r>
      <w:r>
        <w:rPr>
          <w:rFonts w:hint="eastAsia" w:ascii="宋体" w:hAnsi="宋体" w:cs="Arial"/>
          <w:kern w:val="0"/>
          <w:szCs w:val="32"/>
        </w:rPr>
        <w:t>　制定化肥、农药等产品的质量标准和使用标准，应当适应水环境保护要求。</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第五十四条</w:t>
      </w:r>
      <w:r>
        <w:rPr>
          <w:rFonts w:hint="eastAsia" w:ascii="宋体" w:hAnsi="宋体" w:cs="Arial"/>
          <w:kern w:val="0"/>
          <w:szCs w:val="32"/>
        </w:rPr>
        <w:t>　使用农药，应当符合国家有关农药安全使用的规定和标准。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运输、存贮农药和处置过期失效农药，应当加强管理，防止造成水污染。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第五十五条</w:t>
      </w:r>
      <w:r>
        <w:rPr>
          <w:rFonts w:hint="eastAsia" w:ascii="宋体" w:hAnsi="宋体" w:cs="Arial"/>
          <w:kern w:val="0"/>
          <w:szCs w:val="32"/>
        </w:rPr>
        <w:t>　县级以上地方人民政府农业主管部门和其他有关部门，应当采取措施，指导农业生产者科学、合理地施用化肥和农药，推广测土配方施肥技术和高效低毒低残留农药，控制化肥和农药的过量使用，防止造成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第五十六条</w:t>
      </w:r>
      <w:r>
        <w:rPr>
          <w:rFonts w:hint="eastAsia" w:ascii="宋体" w:hAnsi="宋体" w:cs="Arial"/>
          <w:kern w:val="0"/>
          <w:szCs w:val="32"/>
        </w:rPr>
        <w:t>　国家支持畜禽养殖场、养殖小区建设畜禽粪便、废水的综合利用或者无害化处理设施。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畜禽养殖场、养殖小区应当保证其畜禽粪便、废水的综合利用或者无害化处理设施正常运转，保证污水达标排放，防止污染水环境。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畜禽散养密集区所在地县、乡级人民政府应当组织对畜禽粪便污水进行分户收集、集中处理利用。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第五十七条</w:t>
      </w:r>
      <w:r>
        <w:rPr>
          <w:rFonts w:hint="eastAsia" w:ascii="宋体" w:hAnsi="宋体" w:cs="Arial"/>
          <w:kern w:val="0"/>
          <w:szCs w:val="32"/>
        </w:rPr>
        <w:t>　从事水产养殖应当保护水域生态环境，科学确定养殖密度，合理投饵和使用药物，防止污染水环境。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第五十八条</w:t>
      </w:r>
      <w:r>
        <w:rPr>
          <w:rFonts w:hint="eastAsia" w:ascii="宋体" w:hAnsi="宋体" w:cs="Arial"/>
          <w:kern w:val="0"/>
          <w:szCs w:val="32"/>
        </w:rPr>
        <w:t>　农田灌溉用水应当符合相应的水质标准，防止污染土壤、地下水和农产品。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禁止向农田灌溉渠道排放工业废水或者医疗污水。向农田灌溉渠道排放城镇污水以及未综合利用的畜禽养殖废水、农产品加工废水的，应当保证其下游最近的灌溉取水点的水质符合农田灌溉水质标准。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第五节　船舶水污染防治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第五十九条</w:t>
      </w:r>
      <w:r>
        <w:rPr>
          <w:rFonts w:hint="eastAsia" w:ascii="宋体" w:hAnsi="宋体" w:cs="Arial"/>
          <w:kern w:val="0"/>
          <w:szCs w:val="32"/>
        </w:rPr>
        <w:t>　船舶排放含油污水、生活污水，应当符合船舶污染物排放标准。从事海洋航运的船舶进入内河和港口的，应当遵守内河的船舶污染物排放标准。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船舶的残油、废油应当回收，禁止排入水体。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禁止向水体倾倒船舶垃圾。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船舶装载运输油类或者有毒货物，应当采取防止溢流和渗漏的措施，防止货物落水造成水污染。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进入中华人民共和国内河的国际航线船舶排放压载水的，应当采用压载水处理装置或者采取其他等效措施，对压载水进行灭活等处理。禁止排放不符合规定的船舶压载水。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第六十条</w:t>
      </w:r>
      <w:r>
        <w:rPr>
          <w:rFonts w:hint="eastAsia" w:ascii="宋体" w:hAnsi="宋体" w:cs="Arial"/>
          <w:kern w:val="0"/>
          <w:szCs w:val="32"/>
        </w:rPr>
        <w:t>　船舶应当按照国家有关规定配置相应的防污设备和器材，并持有合法有效的防止水域环境污染的证书与文书。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船舶进行涉及污染物排放的作业，应当严格遵守操作规程，并在相应的记录簿上如实记载。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第六十一条</w:t>
      </w:r>
      <w:r>
        <w:rPr>
          <w:rFonts w:hint="eastAsia" w:ascii="宋体" w:hAnsi="宋体" w:cs="Arial"/>
          <w:kern w:val="0"/>
          <w:szCs w:val="32"/>
        </w:rPr>
        <w:t>　港口、码头、装卸站和船舶修造厂所在地市、县级人民政府应当统筹规划建设船舶污染物、废弃物的接收、转运及处理处置设施。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港口、码头、装卸站和船舶修造厂应当备有足够的船舶污染物、废弃物的接收设施。从事船舶污染物、废弃物接收作业，或者从事装载油类、污染危害性货物船舱清洗作业的单位，应当具备与其运营规模相适应的接收处理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第六十二条</w:t>
      </w:r>
      <w:r>
        <w:rPr>
          <w:rFonts w:hint="eastAsia" w:ascii="宋体" w:hAnsi="宋体" w:cs="Arial"/>
          <w:kern w:val="0"/>
          <w:szCs w:val="32"/>
        </w:rPr>
        <w:t>　船舶及有关作业单位从事有污染风险的作业活动，应当按照有关法律法规和标准，采取有效措施，防止造成水污染。海事管理机构、渔业主管部门应当加强对船舶及有关作业活动的监督管理。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船舶进行散装液体污染危害性货物的过驳作业，应当编制作业方案，采取有效的安全和污染防治措施，并报作业地海事管理机构批准。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禁止采取冲滩方式进行船舶拆解作业。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饮用水水源和其他特殊水体保护</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第六十三条</w:t>
      </w:r>
      <w:r>
        <w:rPr>
          <w:rFonts w:hint="eastAsia" w:ascii="宋体" w:hAnsi="宋体" w:cs="Arial"/>
          <w:kern w:val="0"/>
          <w:szCs w:val="32"/>
        </w:rPr>
        <w:t>　国家建立饮用水水源保护区制度。饮用水水源保护区分为一级保护区和二级保护区；必要时，可以在饮用水水源保护区外围划定一定的区域作为准保护区。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水源保护区的划定，由有关市、县人民政府提出划定方案，报省、自治区、直辖市人民政府批准；跨市、县饮用水水源保护区的划定，由有关市、县人民政府协商提出划定方案，报省、自治区、直辖市人民政府批准；协商不成的，由省、自治区、直辖市人民政府环境保护主管部门会同同级水行政、国土资源、卫生、建设等部门提出划定方案，征求同级有关部门的意见后，报省、自治区、直辖市人民政府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跨省、自治区、直辖市的饮用水水源保护区，由有关省、自治区、直辖市人民政府商有关流域管理机构划定；协商不成的，由国务院环境保护主管部门会同同级水行政、国土资源、卫生、建设等部门提出划定方案，征求国务院有关部门的意见后，报国务院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和省、自治区、直辖市人民政府可以根据保护饮用水水源的实际需要，调整饮用水水源保护区的范围，确保饮用水安全。有关地方人民政府应当在饮用水水源保护区的边界设立明确的地理界标和明显的警示标志。</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第六十四条</w:t>
      </w:r>
      <w:r>
        <w:rPr>
          <w:rFonts w:hint="eastAsia" w:ascii="宋体" w:hAnsi="宋体" w:cs="Arial"/>
          <w:kern w:val="0"/>
          <w:szCs w:val="32"/>
        </w:rPr>
        <w:t>　在饮用水水源保护区内，禁止设置排污口。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第六十五条</w:t>
      </w:r>
      <w:r>
        <w:rPr>
          <w:rFonts w:hint="eastAsia" w:ascii="宋体" w:hAnsi="宋体" w:cs="Arial"/>
          <w:kern w:val="0"/>
          <w:szCs w:val="32"/>
        </w:rPr>
        <w:t>　禁止在饮用水水源一级保护区内新建、改建、扩建与供水设施和保护水源无关的建设项目；已建成的与供水设施和保护水源无关的建设项目，由县级以上人民政府责令拆除或者关闭。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禁止在饮用水水源一级保护区内从事网箱养殖、旅游、游泳、垂钓或者其他可能污染饮用水水体的活动。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第六十六条</w:t>
      </w:r>
      <w:r>
        <w:rPr>
          <w:rFonts w:hint="eastAsia" w:ascii="宋体" w:hAnsi="宋体" w:cs="Arial"/>
          <w:kern w:val="0"/>
          <w:szCs w:val="32"/>
        </w:rPr>
        <w:t>　禁止在饮用水水源二级保护区内新建、改建、扩建排放污染物的建设项目；已建成的排放污染物的建设项目，由县级以上人民政府责令拆除或者关闭。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在饮用水水源二级保护区内从事网箱养殖、旅游等活动的，应当按照规定采取措施，防止污染饮用水水体。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第六十七条</w:t>
      </w:r>
      <w:r>
        <w:rPr>
          <w:rFonts w:hint="eastAsia" w:ascii="宋体" w:hAnsi="宋体" w:cs="Arial"/>
          <w:kern w:val="0"/>
          <w:szCs w:val="32"/>
        </w:rPr>
        <w:t>　禁止在饮用水水源准保护区内新建、扩建对水体污染严重的建设项目；改建建设项目，不得增加排污量。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第六十八条</w:t>
      </w:r>
      <w:r>
        <w:rPr>
          <w:rFonts w:hint="eastAsia" w:ascii="宋体" w:hAnsi="宋体" w:cs="Arial"/>
          <w:kern w:val="0"/>
          <w:szCs w:val="32"/>
        </w:rPr>
        <w:t>　县级以上地方人民政府应当根据保护饮用水水源的实际需要，在准保护区内采取工程措施或者建造湿地、水源涵养林等生态保护措施，防止水污染物直接排入饮用水水体，确保饮用水安全。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第六十九条</w:t>
      </w:r>
      <w:r>
        <w:rPr>
          <w:rFonts w:hint="eastAsia" w:ascii="宋体" w:hAnsi="宋体" w:cs="Arial"/>
          <w:kern w:val="0"/>
          <w:szCs w:val="32"/>
        </w:rPr>
        <w:t>　县级以上地方人民政府应当组织环境保护等部门，对饮用水水源保护区、地下水型饮用水源的补给区及供水单位周边区域的环境状况和污染风险进行调查评估，筛查可能存在的污染风险因素，并采取相应的风险防范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水源受到污染可能威胁供水安全的，环境保护主管部门应当责令有关企业事业单位和其他生产经营者采取停止排放水污染物等措施，并通报饮用水供水单位和供水、卫生、水行政等部门；跨行政区域的，还应当通报相关地方人民政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第七十条</w:t>
      </w:r>
      <w:r>
        <w:rPr>
          <w:rFonts w:hint="eastAsia" w:ascii="宋体" w:hAnsi="宋体" w:cs="Arial"/>
          <w:kern w:val="0"/>
          <w:szCs w:val="32"/>
        </w:rPr>
        <w:t>　单一水源供水城市的人民政府应当建设应急水源或者备用水源，有条件的地区可以开展区域联网供水。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县级以上地方人民政府应当合理安排、布局农村饮用水水源，有条件的地区可以采取城镇供水管网延伸或者建设跨村、跨乡镇联片集中供水工程等方式，发展规模集中供水。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第七十一条</w:t>
      </w:r>
      <w:r>
        <w:rPr>
          <w:rFonts w:hint="eastAsia" w:ascii="宋体" w:hAnsi="宋体" w:cs="仿宋_GB2312"/>
          <w:kern w:val="0"/>
          <w:szCs w:val="32"/>
        </w:rPr>
        <w:t>　</w:t>
      </w:r>
      <w:r>
        <w:rPr>
          <w:rFonts w:hint="eastAsia" w:ascii="宋体" w:hAnsi="宋体" w:cs="Arial"/>
          <w:kern w:val="0"/>
          <w:szCs w:val="32"/>
        </w:rPr>
        <w:t>饮用水供水单位应当做好取水口和出水口的水质检测工作。发现取水口水质不符合饮用水水源水质标准或者出水口水质不符合饮用水卫生标准的，应当及时采取相应措施，并向所在地市、县级人民政府供水主管部门报告。供水主管部门接到报告后，应当通报环境保护、卫生、水行政等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饮用水供水单位应当对供水水质负责，确保供水设施安全可靠运行，保证供水水质符合国家有关标准。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第七十二条</w:t>
      </w:r>
      <w:r>
        <w:rPr>
          <w:rFonts w:hint="eastAsia" w:ascii="宋体" w:hAnsi="宋体" w:cs="Arial"/>
          <w:kern w:val="0"/>
          <w:szCs w:val="32"/>
        </w:rPr>
        <w:t>　县级以上地方人民政府应当组织有关部门监测、评估本行政区域内饮用水水源、供水单位供水和用户水龙头出水的水质等饮用水安全状况。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县级以上地方人民政府有关部门应当至少每季度向社会公开一次饮用水安全状况信息。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第七十三条</w:t>
      </w:r>
      <w:r>
        <w:rPr>
          <w:rFonts w:hint="eastAsia" w:ascii="宋体" w:hAnsi="宋体" w:cs="Arial"/>
          <w:kern w:val="0"/>
          <w:szCs w:val="32"/>
        </w:rPr>
        <w:t>　国务院和省、自治区、直辖市人民政府根据水环境保护的需要，可以规定在饮用水水源保护区内，采取禁止或者限制使用含磷洗涤剂、化肥、农药以及限制种植养殖等措施。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第七十四条</w:t>
      </w:r>
      <w:r>
        <w:rPr>
          <w:rFonts w:hint="eastAsia" w:ascii="宋体" w:hAnsi="宋体" w:cs="Arial"/>
          <w:kern w:val="0"/>
          <w:szCs w:val="32"/>
        </w:rPr>
        <w:t>　县级以上人民政府可以对风景名胜区水体、重要渔业水体和其他具有特殊经济文化价值的水体划定保护区，并采取措施，保证保护区的水质符合规定用途的水环境质量标准。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第七十五条</w:t>
      </w:r>
      <w:r>
        <w:rPr>
          <w:rFonts w:hint="eastAsia" w:ascii="宋体" w:hAnsi="宋体" w:cs="Arial"/>
          <w:kern w:val="0"/>
          <w:szCs w:val="32"/>
        </w:rPr>
        <w:t>　在风景名胜区水体、重要渔业水体和其他具有特殊经济文化价值的水体的保护区内，不得新建排污口。在保护区附近新建排污口，应当保证保护区水体不受污染。</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水污染事故处置</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第七十六条</w:t>
      </w:r>
      <w:r>
        <w:rPr>
          <w:rFonts w:hint="eastAsia" w:ascii="宋体" w:hAnsi="宋体" w:cs="Arial"/>
          <w:kern w:val="0"/>
          <w:szCs w:val="32"/>
        </w:rPr>
        <w:t>　各级人民政府及其有关部门，可能发生水污染事故的企业事业单位，应当依照《中华人民共和国突发事件应对法》的规定，做好突发水污染事故的应急准备、应急处置和事后恢复等工作。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第七十七条</w:t>
      </w:r>
      <w:r>
        <w:rPr>
          <w:rFonts w:hint="eastAsia" w:ascii="宋体" w:hAnsi="宋体" w:cs="Arial"/>
          <w:kern w:val="0"/>
          <w:szCs w:val="32"/>
        </w:rPr>
        <w:t>　可能发生水污染事故的企业事业单位，应当制定有关水污染事故的应急方案，做好应急准备，并定期进行演练。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生产、储存危险化学品的企业事业单位，应当采取措施，防止在处理安全生产事故过程中产生的可能严重污染水体的消防废水、废液直接排入水体。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第七十八条</w:t>
      </w:r>
      <w:r>
        <w:rPr>
          <w:rFonts w:hint="eastAsia" w:ascii="宋体" w:hAnsi="宋体" w:cs="Arial"/>
          <w:kern w:val="0"/>
          <w:szCs w:val="32"/>
        </w:rPr>
        <w:t>　企业事业单位发生事故或者其他突发性事件，造成或者可能造成水污染事故的，应当立即启动本单位的应急方案，采取隔离等应急措施，防止水污染物进入水体，并向事故发生地的县级以上地方人民政府或者环境保护主管部门报告。环境保护主管部门接到报告后，应当及时向本级人民政府报告，并抄送有关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造成渔业污染事故或者渔业船舶造成水污染事故的，应当向事故发生地的渔业主管部门报告，接受调查处理。其他船舶造成水污染事故的，应当向事故发生地的海事管理机构报告，接受调查处理；给渔业造成损害的，海事管理机构应当通知渔业主管部门参与调查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第七十九条</w:t>
      </w:r>
      <w:r>
        <w:rPr>
          <w:rFonts w:hint="eastAsia" w:ascii="宋体" w:hAnsi="宋体" w:cs="Arial"/>
          <w:kern w:val="0"/>
          <w:szCs w:val="32"/>
        </w:rPr>
        <w:t>　市、县级人民政府应当组织编制饮用水安全突发事件应急预案。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饮用水供水单位应当根据所在地饮用水安全突发事件应急预案，制定相应的突发事件应急方案，报所在地市、县级人民政府备案，并定期进行演练。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水源发生水污染事故，或者发生其他可能影响饮用水安全的突发性事件，饮用水供水单位应当采取应急处理措施，向所在地市、县级人民政府报告，并向社会公开。有关人民政府应当根据情况及时启动应急预案，采取有效措施，保障供水安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第七章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第八十条</w:t>
      </w:r>
      <w:r>
        <w:rPr>
          <w:rFonts w:hint="eastAsia" w:ascii="宋体" w:hAnsi="宋体" w:cs="Arial"/>
          <w:kern w:val="0"/>
          <w:szCs w:val="32"/>
        </w:rPr>
        <w:t>　环境保护主管部门或者其他依照本法规定行使监督管理权的部门，不依法作出行政许可或者办理批准文件的，发现违法行为或者接到对违法行为的举报后不予查处的，或者有其他未依照本法规定履行职责的行为的，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第八十一条</w:t>
      </w:r>
      <w:r>
        <w:rPr>
          <w:rFonts w:hint="eastAsia" w:ascii="宋体" w:hAnsi="宋体" w:cs="Arial"/>
          <w:kern w:val="0"/>
          <w:szCs w:val="32"/>
        </w:rPr>
        <w:t>　以拖延、围堵、滞留执法人员等方式拒绝、阻挠环境保护主管部门或者其他依照本法规定行使监督管理权的部门的监督检查，或者在接受监督检查时弄虚作假的，由县级以上人民政府环境保护主管部门或者其他依照本法规定行使监督管理权的部门责令改正，处二万元以上二十万元以下的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第八十二条</w:t>
      </w:r>
      <w:r>
        <w:rPr>
          <w:rFonts w:hint="eastAsia" w:ascii="宋体" w:hAnsi="宋体" w:cs="Arial"/>
          <w:kern w:val="0"/>
          <w:szCs w:val="32"/>
        </w:rPr>
        <w:t>　违反本法规定，有下列行为之一的，由县级以上人民政府环境保护主管部门责令限期改正，处二万元以上二十万元以下的罚款；逾期不改正的，责令停产整治: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（一）未按照规定对所排放的水污染物自行监测，或者未保存原始监测记录的；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（二）未按照规定安装水污染物排放自动监测设备，未按照规定与环境保护主管部门的监控设备联网，或者未保证监测设备正常运行的；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（三）未按照规定对有毒有害水污染物的排污口和周边环境进行监测，或者未公开有毒有害水污染物信息的。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第八十三条</w:t>
      </w:r>
      <w:r>
        <w:rPr>
          <w:rFonts w:hint="eastAsia" w:ascii="宋体" w:hAnsi="宋体" w:cs="Arial"/>
          <w:kern w:val="0"/>
          <w:szCs w:val="32"/>
        </w:rPr>
        <w:t>　违反本法规定，有下列行为之一的，由县级以上人民政府环境保护主管部门责令改正或者责令限制生产、停产整治，并处十万元以上一百万元以下的罚款；情节严重的，报经有批准权的人民政府批准，责令停业、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（一）未依法取得排污许可证排放水污染物的；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（二）超过水污染物排放标准或者超过重点水污染物排放总量控制指标排放水污染物的；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（三）利用渗井、渗坑、裂隙、溶洞，私设暗管，篡改、伪造监测数据，或者不正常运行水污染防治设施等逃避监管的方式排放水污染物的；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（四）未按照规定进行预处理，向污水集中处理设施排放不符合处理工艺要求的工业废水的。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第八十四条</w:t>
      </w:r>
      <w:r>
        <w:rPr>
          <w:rFonts w:hint="eastAsia" w:ascii="宋体" w:hAnsi="宋体" w:cs="Arial"/>
          <w:kern w:val="0"/>
          <w:szCs w:val="32"/>
        </w:rPr>
        <w:t>　在饮用水水源保护区内设置排污口的，由县级以上地方人民政府责令限期拆除，处十万元以上五十万元以下的罚款；逾期不拆除的，强制拆除，所需费用由违法者承担，处五十万元以上一百万元以下的罚款，并可以责令停产整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除前款规定外，违反法律、行政法规和国务院环境保护主管部门的规定设置排污口的，由县级以上地方人民政府环境保护主管部门责令限期拆除，处二万元以上十万元以下的罚款；逾期不拆除的，强制拆除，所需费用由违法者承担，处十万元以上五十万元以下的罚款；情节严重的，可以责令停产整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未经水行政主管部门或者流域管理机构同意，在江河、湖泊新建、改建、扩建排污口的，由县级以上人民政府水行政主管部门或者流域管理机构依据职权，依照前款规定采取措施、给予处罚。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第八十五条</w:t>
      </w:r>
      <w:r>
        <w:rPr>
          <w:rFonts w:hint="eastAsia" w:ascii="宋体" w:hAnsi="宋体" w:cs="Arial"/>
          <w:kern w:val="0"/>
          <w:szCs w:val="32"/>
        </w:rPr>
        <w:t>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（一）向水体排放油类、酸液、碱液的；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（二）向水体排放剧毒废液，或者将含有汞、镉、砷、铬、铅、氰化物、黄磷等的可溶性剧毒废渣向水体排放、倾倒或者直接埋入地下的；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（三）在水体清洗装贮过油类、有毒污染物的车辆或者容器的；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（四）向水体排放、倾倒工业废渣、城镇垃圾或者其他废弃物，或者在江河、湖泊、运河、渠道、水库最高水位线以下的滩地、岸坡堆放、存贮固体废弃物或者其他污染物的；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（五）向水体排放、倾倒放射性固体废物或者含有高放射性、中放射性物质的废水的；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（六）违反国家有关规定或者标准，向水体排放含低放射性物质的废水、热废水或者含病原体的污水的；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（七）未采取防渗漏等措施，或者未建设地下水水质监测井进行监测的；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（八）加油站等的地下油罐未使用双层罐或者采取建造防渗池等其他有效措施，或者未进行防渗漏监测的；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（九）未按照规定采取防护性措施，或者利用无防渗漏措施的沟渠、坑塘等输送或者存贮含有毒污染物的废水、含病原体的污水或者其他废弃物的。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有前款第三项、第四项、第六项、第七项、第八项行为之一的，处二万元以上二十万元以下的罚款。有前款第一项、第二项、第五项、第九项行为之一的，处十万元以上一百万元以下的罚款；情节严重的，报经有批准权的人民政府批准，责令停业、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第八十六条</w:t>
      </w:r>
      <w:r>
        <w:rPr>
          <w:rFonts w:hint="eastAsia" w:ascii="宋体" w:hAnsi="宋体" w:cs="Arial"/>
          <w:kern w:val="0"/>
          <w:szCs w:val="32"/>
        </w:rPr>
        <w:t>　违反本法规定，生产、销售、进口或者使用列入禁止生产、销售、进口、使用的严重污染水环境的设备名录中的设备，或者采用列入禁止采用的严重污染水环境的工艺名录中的工艺的，由县级以上人民政府经济综合宏观调控部门责令改正，处五万元以上二十万元以下的罚款；情节严重的，由县级以上人民政府经济综合宏观调控部门提出意见，报请本级人民政府责令停业、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第八十七条</w:t>
      </w:r>
      <w:r>
        <w:rPr>
          <w:rFonts w:hint="eastAsia" w:ascii="宋体" w:hAnsi="宋体" w:cs="Arial"/>
          <w:kern w:val="0"/>
          <w:szCs w:val="32"/>
        </w:rPr>
        <w:t>　违反本法规定，建设不符合国家产业政策的小型造纸、制革、印染、染料、炼焦、炼硫、炼砷、炼汞、炼油、电镀、农药、石棉、水泥、玻璃、钢铁、火电以及其他严重污染水环境的生产项目的，由所在地的市、县人民政府责令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第八十八条</w:t>
      </w:r>
      <w:r>
        <w:rPr>
          <w:rFonts w:hint="eastAsia" w:ascii="宋体" w:hAnsi="宋体" w:cs="Arial"/>
          <w:kern w:val="0"/>
          <w:szCs w:val="32"/>
        </w:rPr>
        <w:t>　城镇污水集中处理设施的运营单位或者污泥处理处置单位，处理处置后的污泥不符合国家标准，或者对污泥去向等未进行记录的，由城镇排水主管部门责令限期采取治理措施，给予警告；造成严重后果的，处十万元以上二十万元以下的罚款；逾期不采取治理措施的，城镇排水主管部门可以指定有治理能力的单位代为治理，所需费用由违法者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第八十九条</w:t>
      </w:r>
      <w:r>
        <w:rPr>
          <w:rFonts w:hint="eastAsia" w:ascii="宋体" w:hAnsi="宋体" w:cs="Arial"/>
          <w:kern w:val="0"/>
          <w:szCs w:val="32"/>
        </w:rPr>
        <w:t>　船舶未配置相应的防污染设备和器材，或者未持有合法有效的防止水域环境污染的证书与文书的，由海事管理机构、渔业主管部门按照职责分工责令限期改正，处二千元以上二万元以下的罚款；逾期不改正的，责令船舶临时停航。</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船舶进行涉及污染物排放的作业，未遵守操作规程或者未在相应的记录簿上如实记载的，由海事管理机构、渔业主管部门按照职责分工责令改正，处二千元以上二万元以下的罚款。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第九十条</w:t>
      </w:r>
      <w:r>
        <w:rPr>
          <w:rFonts w:hint="eastAsia" w:ascii="宋体" w:hAnsi="宋体" w:cs="Arial"/>
          <w:kern w:val="0"/>
          <w:szCs w:val="32"/>
        </w:rPr>
        <w:t>　违反本法规定，有下列行为之一的，由海事管理机构、渔业主管部门按照职责分工责令停止违法行为，处一万元以上十万元以下的罚款；造成水污染的，责令限期采取治理措施，消除污染，处二万元以上二十万元以下的罚款；逾期不采取治理措施的，海事管理机构、渔业主管部门按照职责分工可以指定有治理能力的单位代为治理，所需费用由船舶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（一）向水体倾倒船舶垃圾或者排放船舶的残油、废油的；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（二）未经作业地海事管理机构批准，船舶进行散装液体污染危害性货物的过驳作业的；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（三）船舶及有关作业单位从事有污染风险的作业活动，未按照规定采取污染防治措施的；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（四）以冲滩方式进行船舶拆解的；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（五）进入中华人民共和国内河的国际航线船舶，排放不符合规定的船舶压载水的。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第九十一条</w:t>
      </w:r>
      <w:r>
        <w:rPr>
          <w:rFonts w:hint="eastAsia" w:ascii="宋体" w:hAnsi="宋体" w:cs="Arial"/>
          <w:kern w:val="0"/>
          <w:szCs w:val="32"/>
        </w:rPr>
        <w:t>　有下列行为之一的，由县级以上地方人民政府环境保护主管部门责令停止违法行为，处十万元以上五十万元以下的罚款；并报经有批准权的人民政府批准，责令拆除或者关闭: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（一）在饮用水水源一级保护区内新建、改建、扩建与供水设施和保护水源无关的建设项目的；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（二）在饮用水水源二级保护区内新建、改建、扩建排放污染物的建设项目的；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（三）在饮用水水源准保护区内新建、扩建对水体污染严重的建设项目，或者改建建设项目增加排污量的。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在饮用水水源一级保护区内从事网箱养殖或者组织进行旅游、垂钓或者其他可能污染饮用水水体的活动的，由县级以上地方人民政府环境保护主管部门责令停止违法行为，处二万元以上十万元以下的罚款。个人在饮用水水源一级保护区内游泳、垂钓或者从事其他可能污染饮用水水体的活动的，由县级以上地方人民政府环境保护主管部门责令停止违法行为，可以处五百元以下的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第九十二条</w:t>
      </w:r>
      <w:r>
        <w:rPr>
          <w:rFonts w:hint="eastAsia" w:ascii="宋体" w:hAnsi="宋体" w:cs="Arial"/>
          <w:kern w:val="0"/>
          <w:szCs w:val="32"/>
        </w:rPr>
        <w:t>　饮用水供水单位供水水质不符合国家规定标准的，由所在地市、县级人民政府供水主管部门责令改正，处二万元以上二十万元以下的罚款；情节严重的，报经有批准权的人民政府批准，可以责令停业整顿；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第九十三条</w:t>
      </w:r>
      <w:r>
        <w:rPr>
          <w:rFonts w:hint="eastAsia" w:ascii="宋体" w:hAnsi="宋体" w:cs="Arial"/>
          <w:kern w:val="0"/>
          <w:szCs w:val="32"/>
        </w:rPr>
        <w:t>　企业事业单位有下列行为之一的，由县级以上人民政府环境保护主管部门责令改正；情节严重的，处二万元以上十万元以下的罚款: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（一）不按照规定制定水污染事故的应急方案的；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（二）水污染事故发生后，未及时启动水污染事故的应急方案，采取有关应急措施的。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第九十四条</w:t>
      </w:r>
      <w:r>
        <w:rPr>
          <w:rFonts w:hint="eastAsia" w:ascii="宋体" w:hAnsi="宋体" w:cs="Arial"/>
          <w:kern w:val="0"/>
          <w:szCs w:val="32"/>
        </w:rPr>
        <w:t>　企业事业单位违反本法规定，造成水污染事故的，除依法承担赔偿责任外，由县级以上人民政府环境保护主管部门依照本条第二款的规定处以罚款，责令限期采取治理措施，消除污染；未按照要求采取治理措施或者不具备治理能力的，由环境保护主管部门指定有治理能力的单位代为治理，所需费用由违法者承担；对造成重大或者特大水污染事故的，还可以报经有批准权的人民政府批准，责令关闭；对直接负责的主管人员和其他直接责任人员可以处上一年度从本单位取得的收入百分之五十以下的罚款；有《中华人民共和国环境保护法》第六十三条规定的违法排放水污染物等行为之一，尚不构成犯罪的，由公安机关对直接负责的主管人员和其他直接责任人员处十日以上十五日以下的拘留；情节较轻的，处五日以上十日以下的拘留。</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对造成一般或者较大水污染事故的，按照水污染事故造成的直接损失的百分之二十计算罚款；对造成重大或者特大水污染事故的，按照水污染事故造成的直接损失的百分之三十计算罚款。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造成渔业污染事故或者渔业船舶造成水污染事故的，由渔业主管部门进行处罚；其他船舶造成水污染事故的，由海事管理机构进行处罚。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第九十五条</w:t>
      </w:r>
      <w:r>
        <w:rPr>
          <w:rFonts w:hint="eastAsia" w:ascii="宋体" w:hAnsi="宋体" w:cs="Arial"/>
          <w:kern w:val="0"/>
          <w:szCs w:val="32"/>
        </w:rPr>
        <w:t>　企业事业单位和其他生产经营者违法排放水污染物，受到罚款处罚，被责令改正的，依法作出处罚决定的行政机关应当组织复查，发现其继续违法排放水污染物或者拒绝、阻挠复查的，依照《中华人民共和国环境保护法》的规定按日连续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第九十六条</w:t>
      </w:r>
      <w:r>
        <w:rPr>
          <w:rFonts w:hint="eastAsia" w:ascii="宋体" w:hAnsi="宋体" w:cs="Arial"/>
          <w:kern w:val="0"/>
          <w:szCs w:val="32"/>
        </w:rPr>
        <w:t>　因水污染受到损害的当事人，有权要求排污方排除危害和赔偿损失。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由于不可抗力造成水污染损害的，排污方不承担赔偿责任；法律另有规定的除外。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水污染损害是由受害人故意造成的，排污方不承担赔偿责任。水污染损害是由受害人重大过失造成的，可以减轻排污方的赔偿责任。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水污染损害是由第三人造成的，排污方承担赔偿责任后，有权向第三人追偿。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第九十七条</w:t>
      </w:r>
      <w:r>
        <w:rPr>
          <w:rFonts w:hint="eastAsia" w:ascii="宋体" w:hAnsi="宋体" w:cs="Arial"/>
          <w:kern w:val="0"/>
          <w:szCs w:val="32"/>
        </w:rPr>
        <w:t>　因水污染引起的损害赔偿责任和赔偿金额的纠纷，可以根据当事人的请求，由环境保护主管部门或者海事管理机构、渔业主管部门按照职责分工调解处理；调解不成的，当事人可以向人民法院提起诉讼。当事人也可以直接向人民法院提起诉讼。</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第九十八条</w:t>
      </w:r>
      <w:r>
        <w:rPr>
          <w:rFonts w:hint="eastAsia" w:ascii="宋体" w:hAnsi="宋体" w:cs="Arial"/>
          <w:kern w:val="0"/>
          <w:szCs w:val="32"/>
        </w:rPr>
        <w:t>　因水污染引起的损害赔偿诉讼，由排污方就法律规定的免责事由及其行为与损害结果之间不存在因果关系承担举证责任。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第九十九条</w:t>
      </w:r>
      <w:r>
        <w:rPr>
          <w:rFonts w:hint="eastAsia" w:ascii="宋体" w:hAnsi="宋体" w:cs="Arial"/>
          <w:kern w:val="0"/>
          <w:szCs w:val="32"/>
        </w:rPr>
        <w:t>　因水污染受到损害的当事人人数众多的，可以依法由当事人推选代表人进行共同诉讼。</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环境保护主管部门和有关社会团体可以依法支持因水污染受到损害的当事人向人民法院提起诉讼。</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国家鼓励法律服务机构和律师为水污染损害诉讼中的受害人提供法律援助。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第一百条</w:t>
      </w:r>
      <w:r>
        <w:rPr>
          <w:rFonts w:hint="eastAsia" w:ascii="宋体" w:hAnsi="宋体" w:cs="Arial"/>
          <w:kern w:val="0"/>
          <w:szCs w:val="32"/>
        </w:rPr>
        <w:t>　因水污染引起的损害赔偿责任和赔偿金额的纠纷，当事人可以委托环境监测机构提供监测数据。环境监测机构应当接受委托，如实提供有关监测数据。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第一百零一条</w:t>
      </w:r>
      <w:r>
        <w:rPr>
          <w:rFonts w:hint="eastAsia" w:ascii="宋体" w:hAnsi="宋体" w:cs="Arial"/>
          <w:kern w:val="0"/>
          <w:szCs w:val="32"/>
        </w:rPr>
        <w:t>　违反本法规定，构成犯罪的，依法追究刑事责任。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第八章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第一百零二条</w:t>
      </w:r>
      <w:r>
        <w:rPr>
          <w:rFonts w:hint="eastAsia" w:ascii="宋体" w:hAnsi="宋体" w:cs="Arial"/>
          <w:kern w:val="0"/>
          <w:szCs w:val="32"/>
        </w:rPr>
        <w:t>　本法中下列用语的含义: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（一）水污染，是指水体因某种物质的介入，而导致其化学、物理、生物或者放射性等方面特性的改变，从而影响水的有效利用，危害人体健康或者破坏生态环境，造成水质恶化的现象。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（二）水污染物，是指直接或者间接向水体排放的，能导致水体污染的物质。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（三）有毒污染物，是指那些直接或者间接被生物摄入体内后，可能导致该生物或者其后代发病、行为反常、遗传异变、生理机能失常、机体变形或者死亡的污染物。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（四）污泥，是指污水处理过程中产生的半固态或者固态物质。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（五）渔业水体，是指划定的鱼虾类的产卵场、索饵场、越冬场、洄游通道和鱼虾贝藻类的养殖场的水体。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第一百零三条</w:t>
      </w:r>
      <w:r>
        <w:rPr>
          <w:rFonts w:hint="eastAsia" w:ascii="宋体" w:hAnsi="宋体" w:cs="Arial"/>
          <w:kern w:val="0"/>
          <w:szCs w:val="32"/>
        </w:rPr>
        <w:t>　本法自2008年6月1日起施行。</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rPr>
          <w:rFonts w:hint="eastAsia" w:ascii="宋体" w:hAnsi="宋体" w:eastAsia="宋体" w:cs="Arial"/>
          <w:kern w:val="0"/>
          <w:szCs w:val="32"/>
        </w:rPr>
      </w:pPr>
    </w:p>
    <w:p>
      <w:pPr>
        <w:rPr>
          <w:rFonts w:hint="eastAsia" w:ascii="宋体" w:hAnsi="宋体" w:eastAsia="宋体" w:cs="Arial"/>
          <w:kern w:val="0"/>
          <w:szCs w:val="32"/>
        </w:rPr>
      </w:pPr>
    </w:p>
    <w:p>
      <w:pPr>
        <w:jc w:val="center"/>
        <w:rPr>
          <w:rFonts w:hint="eastAsia" w:ascii="宋体" w:hAnsi="宋体" w:eastAsia="宋体" w:cs="Arial"/>
          <w:bCs/>
          <w:sz w:val="44"/>
          <w:szCs w:val="44"/>
        </w:rPr>
      </w:pPr>
      <w:r>
        <w:rPr>
          <w:rFonts w:ascii="宋体" w:hAnsi="宋体" w:eastAsia="宋体" w:cs="Arial"/>
          <w:bCs/>
          <w:sz w:val="44"/>
          <w:szCs w:val="44"/>
        </w:rPr>
        <w:t>中华人民共和国固体废物污染环境防治法</w:t>
      </w:r>
    </w:p>
    <w:p>
      <w:pPr>
        <w:ind w:firstLine="640" w:firstLineChars="200"/>
        <w:rPr>
          <w:rFonts w:hint="eastAsia" w:ascii="宋体" w:hAnsi="宋体" w:eastAsia="宋体" w:cs="Arial"/>
          <w:szCs w:val="32"/>
        </w:rPr>
      </w:pPr>
    </w:p>
    <w:p>
      <w:pPr>
        <w:spacing w:line="560" w:lineRule="exact"/>
        <w:ind w:left="640" w:leftChars="200" w:right="640" w:rightChars="200"/>
        <w:rPr>
          <w:rFonts w:hint="eastAsia" w:ascii="楷体_GB2312" w:eastAsia="楷体_GB2312"/>
          <w:szCs w:val="32"/>
        </w:rPr>
      </w:pPr>
      <w:r>
        <w:rPr>
          <w:rFonts w:hint="eastAsia" w:ascii="楷体_GB2312" w:hAnsi="Arial" w:eastAsia="楷体_GB2312" w:cs="Arial"/>
          <w:color w:val="auto"/>
          <w:szCs w:val="32"/>
        </w:rPr>
        <w:t>（</w:t>
      </w:r>
      <w:r>
        <w:rPr>
          <w:rFonts w:hint="default" w:ascii="Times New Roman" w:hAnsi="Times New Roman" w:eastAsia="楷体" w:cs="Times New Roman"/>
          <w:color w:val="auto"/>
          <w:sz w:val="32"/>
          <w:szCs w:val="32"/>
          <w:shd w:val="clear" w:color="040000" w:fill="FFFFFF"/>
        </w:rPr>
        <w:t>1995</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10</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30</w:t>
      </w:r>
      <w:r>
        <w:rPr>
          <w:rFonts w:hint="eastAsia" w:ascii="楷体" w:hAnsi="楷体" w:eastAsia="楷体" w:cs="楷体"/>
          <w:color w:val="auto"/>
          <w:sz w:val="32"/>
          <w:szCs w:val="32"/>
          <w:shd w:val="clear" w:color="040000" w:fill="FFFFFF"/>
        </w:rPr>
        <w:t>日第八届全国人民代表大会常务委员会第十六次会议通过　</w:t>
      </w:r>
      <w:r>
        <w:rPr>
          <w:rFonts w:hint="default" w:ascii="Times New Roman" w:hAnsi="Times New Roman" w:eastAsia="楷体" w:cs="Times New Roman"/>
          <w:color w:val="auto"/>
          <w:sz w:val="32"/>
          <w:szCs w:val="32"/>
          <w:shd w:val="clear" w:color="040000" w:fill="FFFFFF"/>
        </w:rPr>
        <w:t>2004</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12</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29</w:t>
      </w:r>
      <w:r>
        <w:rPr>
          <w:rFonts w:hint="eastAsia" w:ascii="楷体" w:hAnsi="楷体" w:eastAsia="楷体" w:cs="楷体"/>
          <w:color w:val="auto"/>
          <w:sz w:val="32"/>
          <w:szCs w:val="32"/>
          <w:shd w:val="clear" w:color="040000" w:fill="FFFFFF"/>
        </w:rPr>
        <w:t>日第十届全国人民代表大会常务委员会第十三次会议第一次修订　根据</w:t>
      </w:r>
      <w:r>
        <w:rPr>
          <w:rFonts w:hint="default" w:ascii="Times New Roman" w:hAnsi="Times New Roman" w:eastAsia="楷体" w:cs="Times New Roman"/>
          <w:color w:val="auto"/>
          <w:sz w:val="32"/>
          <w:szCs w:val="32"/>
          <w:shd w:val="clear" w:color="040000" w:fill="FFFFFF"/>
        </w:rPr>
        <w:t>2013</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6</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29</w:t>
      </w:r>
      <w:r>
        <w:rPr>
          <w:rFonts w:hint="eastAsia" w:ascii="楷体" w:hAnsi="楷体" w:eastAsia="楷体" w:cs="楷体"/>
          <w:color w:val="auto"/>
          <w:sz w:val="32"/>
          <w:szCs w:val="32"/>
          <w:shd w:val="clear" w:color="040000" w:fill="FFFFFF"/>
        </w:rPr>
        <w:t>日第十二届全国人民代表大会常务委员会第三次会议《</w:t>
      </w:r>
      <w:r>
        <w:rPr>
          <w:rStyle w:val="65"/>
          <w:rFonts w:hint="eastAsia" w:ascii="楷体" w:hAnsi="楷体" w:eastAsia="楷体" w:cs="楷体"/>
          <w:color w:val="auto"/>
          <w:sz w:val="32"/>
          <w:szCs w:val="32"/>
          <w:shd w:val="clear" w:color="050000" w:fill="FFFFFF"/>
        </w:rPr>
        <w:fldChar w:fldCharType="begin"/>
      </w:r>
      <w:r>
        <w:rPr>
          <w:rStyle w:val="65"/>
          <w:rFonts w:hint="eastAsia" w:ascii="楷体" w:hAnsi="楷体" w:eastAsia="楷体" w:cs="楷体"/>
          <w:color w:val="auto"/>
          <w:sz w:val="32"/>
          <w:szCs w:val="32"/>
          <w:shd w:val="clear" w:color="050000" w:fill="FFFFFF"/>
        </w:rPr>
        <w:instrText xml:space="preserve"> HYPERLINK "http://fagui.pkulaw.cn:18080/javascript:SLC(205890,0)" </w:instrText>
      </w:r>
      <w:r>
        <w:rPr>
          <w:rStyle w:val="65"/>
          <w:rFonts w:hint="eastAsia" w:ascii="楷体" w:hAnsi="楷体" w:eastAsia="楷体" w:cs="楷体"/>
          <w:color w:val="auto"/>
          <w:sz w:val="32"/>
          <w:szCs w:val="32"/>
          <w:shd w:val="clear" w:color="050000" w:fill="FFFFFF"/>
        </w:rPr>
        <w:fldChar w:fldCharType="separate"/>
      </w:r>
      <w:r>
        <w:rPr>
          <w:rStyle w:val="27"/>
          <w:rFonts w:hint="eastAsia" w:ascii="楷体" w:hAnsi="楷体" w:eastAsia="楷体" w:cs="楷体"/>
          <w:color w:val="auto"/>
          <w:sz w:val="32"/>
          <w:szCs w:val="32"/>
          <w:shd w:val="clear" w:color="050000" w:fill="FFFFFF"/>
        </w:rPr>
        <w:t>关于修改〈中华人民共和国文物保护法〉等十二部法律的决定</w:t>
      </w:r>
      <w:r>
        <w:rPr>
          <w:rStyle w:val="65"/>
          <w:rFonts w:hint="eastAsia" w:ascii="楷体" w:hAnsi="楷体" w:eastAsia="楷体" w:cs="楷体"/>
          <w:color w:val="auto"/>
          <w:sz w:val="32"/>
          <w:szCs w:val="32"/>
          <w:shd w:val="clear" w:color="050000" w:fill="FFFFFF"/>
        </w:rPr>
        <w:fldChar w:fldCharType="end"/>
      </w:r>
      <w:r>
        <w:rPr>
          <w:rFonts w:hint="eastAsia" w:ascii="楷体" w:hAnsi="楷体" w:eastAsia="楷体" w:cs="楷体"/>
          <w:color w:val="auto"/>
          <w:sz w:val="32"/>
          <w:szCs w:val="32"/>
          <w:shd w:val="clear" w:color="040000" w:fill="FFFFFF"/>
        </w:rPr>
        <w:t>》第一次修正　根据</w:t>
      </w:r>
      <w:r>
        <w:rPr>
          <w:rFonts w:hint="default" w:ascii="Times New Roman" w:hAnsi="Times New Roman" w:eastAsia="楷体" w:cs="Times New Roman"/>
          <w:color w:val="auto"/>
          <w:sz w:val="32"/>
          <w:szCs w:val="32"/>
          <w:shd w:val="clear" w:color="040000" w:fill="FFFFFF"/>
        </w:rPr>
        <w:t>2015</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4</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24</w:t>
      </w:r>
      <w:r>
        <w:rPr>
          <w:rFonts w:hint="eastAsia" w:ascii="楷体" w:hAnsi="楷体" w:eastAsia="楷体" w:cs="楷体"/>
          <w:color w:val="auto"/>
          <w:sz w:val="32"/>
          <w:szCs w:val="32"/>
          <w:shd w:val="clear" w:color="040000" w:fill="FFFFFF"/>
        </w:rPr>
        <w:t>日第十二届全国人民代表大会常务委员会第十四次会议《</w:t>
      </w:r>
      <w:r>
        <w:rPr>
          <w:rStyle w:val="65"/>
          <w:rFonts w:hint="eastAsia" w:ascii="楷体" w:hAnsi="楷体" w:eastAsia="楷体" w:cs="楷体"/>
          <w:color w:val="auto"/>
          <w:sz w:val="32"/>
          <w:szCs w:val="32"/>
          <w:shd w:val="clear" w:color="050000" w:fill="FFFFFF"/>
        </w:rPr>
        <w:fldChar w:fldCharType="begin"/>
      </w:r>
      <w:r>
        <w:rPr>
          <w:rStyle w:val="65"/>
          <w:rFonts w:hint="eastAsia" w:ascii="楷体" w:hAnsi="楷体" w:eastAsia="楷体" w:cs="楷体"/>
          <w:color w:val="auto"/>
          <w:sz w:val="32"/>
          <w:szCs w:val="32"/>
          <w:shd w:val="clear" w:color="050000" w:fill="FFFFFF"/>
        </w:rPr>
        <w:instrText xml:space="preserve"> HYPERLINK "http://fagui.pkulaw.cn:18080/javascript:SLC(247406,0)" </w:instrText>
      </w:r>
      <w:r>
        <w:rPr>
          <w:rStyle w:val="65"/>
          <w:rFonts w:hint="eastAsia" w:ascii="楷体" w:hAnsi="楷体" w:eastAsia="楷体" w:cs="楷体"/>
          <w:color w:val="auto"/>
          <w:sz w:val="32"/>
          <w:szCs w:val="32"/>
          <w:shd w:val="clear" w:color="050000" w:fill="FFFFFF"/>
        </w:rPr>
        <w:fldChar w:fldCharType="separate"/>
      </w:r>
      <w:r>
        <w:rPr>
          <w:rStyle w:val="27"/>
          <w:rFonts w:hint="eastAsia" w:ascii="楷体" w:hAnsi="楷体" w:eastAsia="楷体" w:cs="楷体"/>
          <w:color w:val="auto"/>
          <w:sz w:val="32"/>
          <w:szCs w:val="32"/>
          <w:shd w:val="clear" w:color="050000" w:fill="FFFFFF"/>
        </w:rPr>
        <w:t>关于修改〈中华人民共和国港口法〉等七部法律的决定</w:t>
      </w:r>
      <w:r>
        <w:rPr>
          <w:rStyle w:val="65"/>
          <w:rFonts w:hint="eastAsia" w:ascii="楷体" w:hAnsi="楷体" w:eastAsia="楷体" w:cs="楷体"/>
          <w:color w:val="auto"/>
          <w:sz w:val="32"/>
          <w:szCs w:val="32"/>
          <w:shd w:val="clear" w:color="050000" w:fill="FFFFFF"/>
        </w:rPr>
        <w:fldChar w:fldCharType="end"/>
      </w:r>
      <w:r>
        <w:rPr>
          <w:rFonts w:hint="eastAsia" w:ascii="楷体" w:hAnsi="楷体" w:eastAsia="楷体" w:cs="楷体"/>
          <w:color w:val="auto"/>
          <w:sz w:val="32"/>
          <w:szCs w:val="32"/>
          <w:shd w:val="clear" w:color="040000" w:fill="FFFFFF"/>
        </w:rPr>
        <w:t>》第二次修正　根据</w:t>
      </w:r>
      <w:r>
        <w:rPr>
          <w:rFonts w:hint="default" w:ascii="Times New Roman" w:hAnsi="Times New Roman" w:eastAsia="楷体" w:cs="Times New Roman"/>
          <w:color w:val="auto"/>
          <w:sz w:val="32"/>
          <w:szCs w:val="32"/>
          <w:shd w:val="clear" w:color="040000" w:fill="FFFFFF"/>
        </w:rPr>
        <w:t>2016</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11</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7</w:t>
      </w:r>
      <w:r>
        <w:rPr>
          <w:rFonts w:hint="eastAsia" w:ascii="楷体" w:hAnsi="楷体" w:eastAsia="楷体" w:cs="楷体"/>
          <w:color w:val="auto"/>
          <w:sz w:val="32"/>
          <w:szCs w:val="32"/>
          <w:shd w:val="clear" w:color="040000" w:fill="FFFFFF"/>
        </w:rPr>
        <w:t>日第十二届全国人民代表大会常务委员会第二十四次会议《</w:t>
      </w:r>
      <w:r>
        <w:rPr>
          <w:rStyle w:val="65"/>
          <w:rFonts w:hint="eastAsia" w:ascii="楷体" w:hAnsi="楷体" w:eastAsia="楷体" w:cs="楷体"/>
          <w:color w:val="auto"/>
          <w:sz w:val="32"/>
          <w:szCs w:val="32"/>
          <w:shd w:val="clear" w:color="050000" w:fill="FFFFFF"/>
        </w:rPr>
        <w:fldChar w:fldCharType="begin"/>
      </w:r>
      <w:r>
        <w:rPr>
          <w:rStyle w:val="65"/>
          <w:rFonts w:hint="eastAsia" w:ascii="楷体" w:hAnsi="楷体" w:eastAsia="楷体" w:cs="楷体"/>
          <w:color w:val="auto"/>
          <w:sz w:val="32"/>
          <w:szCs w:val="32"/>
          <w:shd w:val="clear" w:color="050000" w:fill="FFFFFF"/>
        </w:rPr>
        <w:instrText xml:space="preserve"> HYPERLINK "http://fagui.pkulaw.cn:18080/javascript:SLC(283837,0)" </w:instrText>
      </w:r>
      <w:r>
        <w:rPr>
          <w:rStyle w:val="65"/>
          <w:rFonts w:hint="eastAsia" w:ascii="楷体" w:hAnsi="楷体" w:eastAsia="楷体" w:cs="楷体"/>
          <w:color w:val="auto"/>
          <w:sz w:val="32"/>
          <w:szCs w:val="32"/>
          <w:shd w:val="clear" w:color="050000" w:fill="FFFFFF"/>
        </w:rPr>
        <w:fldChar w:fldCharType="separate"/>
      </w:r>
      <w:r>
        <w:rPr>
          <w:rStyle w:val="27"/>
          <w:rFonts w:hint="eastAsia" w:ascii="楷体" w:hAnsi="楷体" w:eastAsia="楷体" w:cs="楷体"/>
          <w:color w:val="auto"/>
          <w:sz w:val="32"/>
          <w:szCs w:val="32"/>
          <w:shd w:val="clear" w:color="050000" w:fill="FFFFFF"/>
        </w:rPr>
        <w:t>关于修改〈中华人民共和国对外贸易法〉等十二部法律的决定</w:t>
      </w:r>
      <w:r>
        <w:rPr>
          <w:rStyle w:val="65"/>
          <w:rFonts w:hint="eastAsia" w:ascii="楷体" w:hAnsi="楷体" w:eastAsia="楷体" w:cs="楷体"/>
          <w:color w:val="auto"/>
          <w:sz w:val="32"/>
          <w:szCs w:val="32"/>
          <w:shd w:val="clear" w:color="050000" w:fill="FFFFFF"/>
        </w:rPr>
        <w:fldChar w:fldCharType="end"/>
      </w:r>
      <w:r>
        <w:rPr>
          <w:rFonts w:hint="eastAsia" w:ascii="楷体" w:hAnsi="楷体" w:eastAsia="楷体" w:cs="楷体"/>
          <w:color w:val="auto"/>
          <w:sz w:val="32"/>
          <w:szCs w:val="32"/>
          <w:shd w:val="clear" w:color="040000" w:fill="FFFFFF"/>
        </w:rPr>
        <w:t>》第三次修正　</w:t>
      </w:r>
      <w:r>
        <w:rPr>
          <w:rFonts w:hint="default" w:ascii="Times New Roman" w:hAnsi="Times New Roman" w:eastAsia="楷体" w:cs="Times New Roman"/>
          <w:color w:val="auto"/>
          <w:sz w:val="32"/>
          <w:szCs w:val="32"/>
          <w:shd w:val="clear" w:color="040000" w:fill="FFFFFF"/>
        </w:rPr>
        <w:t>2020</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4</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29</w:t>
      </w:r>
      <w:r>
        <w:rPr>
          <w:rFonts w:hint="eastAsia" w:ascii="楷体" w:hAnsi="楷体" w:eastAsia="楷体" w:cs="楷体"/>
          <w:color w:val="auto"/>
          <w:sz w:val="32"/>
          <w:szCs w:val="32"/>
          <w:shd w:val="clear" w:color="040000" w:fill="FFFFFF"/>
        </w:rPr>
        <w:t>日第十三届全国人民代表大会常务委员会第十七次会议第二次修订</w:t>
      </w:r>
      <w:r>
        <w:rPr>
          <w:rFonts w:hint="eastAsia" w:ascii="楷体_GB2312" w:hAnsi="Arial" w:eastAsia="楷体_GB2312" w:cs="Arial"/>
          <w:color w:val="auto"/>
          <w:szCs w:val="32"/>
        </w:rPr>
        <w:t>）</w:t>
      </w:r>
    </w:p>
    <w:p>
      <w:pPr>
        <w:spacing w:line="560" w:lineRule="exact"/>
        <w:ind w:firstLine="0"/>
        <w:jc w:val="both"/>
      </w:pPr>
    </w:p>
    <w:p>
      <w:pPr>
        <w:spacing w:line="560" w:lineRule="exact"/>
        <w:ind w:firstLine="0"/>
        <w:jc w:val="center"/>
      </w:pPr>
      <w:r>
        <w:rPr>
          <w:rFonts w:ascii="楷体_GB2312" w:hAnsi="楷体_GB2312" w:eastAsia="楷体_GB2312" w:cs="楷体_GB2312"/>
          <w:sz w:val="32"/>
        </w:rPr>
        <w:t>目</w:t>
      </w:r>
      <w:r>
        <w:rPr>
          <w:rFonts w:hint="eastAsia" w:ascii="楷体_GB2312" w:hAnsi="楷体_GB2312" w:eastAsia="楷体_GB2312" w:cs="楷体_GB2312"/>
          <w:sz w:val="32"/>
          <w:lang w:eastAsia="zh-CN"/>
        </w:rPr>
        <w:t>　　</w:t>
      </w:r>
      <w:r>
        <w:rPr>
          <w:rFonts w:ascii="楷体_GB2312" w:hAnsi="楷体_GB2312" w:eastAsia="楷体_GB2312" w:cs="楷体_GB2312"/>
          <w:sz w:val="32"/>
        </w:rPr>
        <w:t>录</w:t>
      </w:r>
    </w:p>
    <w:p>
      <w:pPr>
        <w:spacing w:line="560" w:lineRule="exact"/>
        <w:ind w:firstLine="640"/>
        <w:jc w:val="both"/>
      </w:pPr>
      <w:r>
        <w:rPr>
          <w:rFonts w:ascii="楷体_GB2312" w:hAnsi="楷体_GB2312" w:eastAsia="楷体_GB2312" w:cs="楷体_GB2312"/>
          <w:sz w:val="32"/>
        </w:rPr>
        <w:t>第一章  总则</w:t>
      </w:r>
    </w:p>
    <w:p>
      <w:pPr>
        <w:spacing w:line="560" w:lineRule="exact"/>
        <w:ind w:firstLine="640"/>
        <w:jc w:val="both"/>
      </w:pPr>
      <w:r>
        <w:rPr>
          <w:rFonts w:ascii="楷体_GB2312" w:hAnsi="楷体_GB2312" w:eastAsia="楷体_GB2312" w:cs="楷体_GB2312"/>
          <w:sz w:val="32"/>
        </w:rPr>
        <w:t>第二章  监督管理</w:t>
      </w:r>
    </w:p>
    <w:p>
      <w:pPr>
        <w:spacing w:line="560" w:lineRule="exact"/>
        <w:ind w:firstLine="640"/>
        <w:jc w:val="both"/>
      </w:pPr>
      <w:r>
        <w:rPr>
          <w:rFonts w:ascii="楷体_GB2312" w:hAnsi="楷体_GB2312" w:eastAsia="楷体_GB2312" w:cs="楷体_GB2312"/>
          <w:sz w:val="32"/>
        </w:rPr>
        <w:t>第三章  工业固体废物</w:t>
      </w:r>
    </w:p>
    <w:p>
      <w:pPr>
        <w:spacing w:line="560" w:lineRule="exact"/>
        <w:ind w:firstLine="640"/>
        <w:jc w:val="both"/>
      </w:pPr>
      <w:r>
        <w:rPr>
          <w:rFonts w:ascii="楷体_GB2312" w:hAnsi="楷体_GB2312" w:eastAsia="楷体_GB2312" w:cs="楷体_GB2312"/>
          <w:sz w:val="32"/>
        </w:rPr>
        <w:t>第四章  生活垃圾</w:t>
      </w:r>
    </w:p>
    <w:p>
      <w:pPr>
        <w:spacing w:line="560" w:lineRule="exact"/>
        <w:ind w:firstLine="640"/>
        <w:jc w:val="both"/>
      </w:pPr>
      <w:r>
        <w:rPr>
          <w:rFonts w:ascii="楷体_GB2312" w:hAnsi="楷体_GB2312" w:eastAsia="楷体_GB2312" w:cs="楷体_GB2312"/>
          <w:sz w:val="32"/>
        </w:rPr>
        <w:t>第五章  建筑垃圾、农业固体废物等</w:t>
      </w:r>
    </w:p>
    <w:p>
      <w:pPr>
        <w:spacing w:line="560" w:lineRule="exact"/>
        <w:ind w:firstLine="640"/>
        <w:jc w:val="both"/>
      </w:pPr>
      <w:r>
        <w:rPr>
          <w:rFonts w:ascii="楷体_GB2312" w:hAnsi="楷体_GB2312" w:eastAsia="楷体_GB2312" w:cs="楷体_GB2312"/>
          <w:sz w:val="32"/>
        </w:rPr>
        <w:t>第六章  危险废物</w:t>
      </w:r>
    </w:p>
    <w:p>
      <w:pPr>
        <w:spacing w:line="560" w:lineRule="exact"/>
        <w:ind w:firstLine="640"/>
        <w:jc w:val="both"/>
      </w:pPr>
      <w:r>
        <w:rPr>
          <w:rFonts w:ascii="楷体_GB2312" w:hAnsi="楷体_GB2312" w:eastAsia="楷体_GB2312" w:cs="楷体_GB2312"/>
          <w:sz w:val="32"/>
        </w:rPr>
        <w:t>第七章  保障措施</w:t>
      </w:r>
    </w:p>
    <w:p>
      <w:pPr>
        <w:spacing w:line="560" w:lineRule="exact"/>
        <w:ind w:firstLine="640"/>
        <w:jc w:val="both"/>
      </w:pPr>
      <w:r>
        <w:rPr>
          <w:rFonts w:ascii="楷体_GB2312" w:hAnsi="楷体_GB2312" w:eastAsia="楷体_GB2312" w:cs="楷体_GB2312"/>
          <w:sz w:val="32"/>
        </w:rPr>
        <w:t>第八章  法律责任</w:t>
      </w:r>
    </w:p>
    <w:p>
      <w:pPr>
        <w:spacing w:line="560" w:lineRule="exact"/>
        <w:ind w:firstLine="640"/>
        <w:jc w:val="both"/>
      </w:pPr>
      <w:r>
        <w:rPr>
          <w:rFonts w:ascii="楷体_GB2312" w:hAnsi="楷体_GB2312" w:eastAsia="楷体_GB2312" w:cs="楷体_GB2312"/>
          <w:sz w:val="32"/>
        </w:rPr>
        <w:t>第九章  附则</w:t>
      </w:r>
    </w:p>
    <w:p>
      <w:pPr>
        <w:spacing w:line="560" w:lineRule="exact"/>
        <w:ind w:firstLine="0"/>
        <w:jc w:val="both"/>
      </w:pPr>
    </w:p>
    <w:p>
      <w:pPr>
        <w:spacing w:line="560" w:lineRule="exact"/>
        <w:ind w:firstLine="0"/>
        <w:jc w:val="center"/>
      </w:pPr>
    </w:p>
    <w:p>
      <w:pPr>
        <w:spacing w:line="560" w:lineRule="exact"/>
        <w:ind w:firstLine="0"/>
        <w:jc w:val="center"/>
      </w:pPr>
      <w:r>
        <w:rPr>
          <w:rFonts w:ascii="黑体" w:hAnsi="黑体" w:eastAsia="黑体" w:cs="黑体"/>
          <w:sz w:val="32"/>
        </w:rPr>
        <w:t>第一章  总则</w:t>
      </w:r>
    </w:p>
    <w:p>
      <w:pPr>
        <w:spacing w:line="560" w:lineRule="exact"/>
        <w:ind w:firstLine="0"/>
        <w:jc w:val="center"/>
      </w:pPr>
    </w:p>
    <w:p>
      <w:pPr>
        <w:spacing w:line="560" w:lineRule="exact"/>
        <w:ind w:firstLine="640"/>
        <w:jc w:val="both"/>
      </w:pPr>
      <w:r>
        <w:rPr>
          <w:rFonts w:ascii="黑体" w:hAnsi="黑体" w:eastAsia="黑体" w:cs="黑体"/>
          <w:sz w:val="32"/>
        </w:rPr>
        <w:t>第一条</w:t>
      </w:r>
      <w:r>
        <w:rPr>
          <w:rFonts w:ascii="仿宋_GB2312" w:hAnsi="仿宋_GB2312" w:eastAsia="仿宋_GB2312" w:cs="仿宋_GB2312"/>
          <w:sz w:val="32"/>
        </w:rPr>
        <w:t xml:space="preserve">  为了保护和改善生态环境，防治固体废物污染环境，保障公众健康，维护生态安全，推进生态文明建设，促进经济社会可持续发展，制定本法。</w:t>
      </w:r>
    </w:p>
    <w:p>
      <w:pPr>
        <w:spacing w:line="560" w:lineRule="exact"/>
        <w:ind w:firstLine="640"/>
        <w:jc w:val="both"/>
      </w:pPr>
      <w:r>
        <w:rPr>
          <w:rFonts w:ascii="黑体" w:hAnsi="黑体" w:eastAsia="黑体" w:cs="黑体"/>
          <w:sz w:val="32"/>
        </w:rPr>
        <w:t>第二条</w:t>
      </w:r>
      <w:r>
        <w:rPr>
          <w:rFonts w:ascii="仿宋_GB2312" w:hAnsi="仿宋_GB2312" w:eastAsia="仿宋_GB2312" w:cs="仿宋_GB2312"/>
          <w:sz w:val="32"/>
        </w:rPr>
        <w:t xml:space="preserve">  固体废物污染环境的防治适用本法。</w:t>
      </w:r>
    </w:p>
    <w:p>
      <w:pPr>
        <w:spacing w:line="560" w:lineRule="exact"/>
        <w:ind w:firstLine="640"/>
        <w:jc w:val="both"/>
      </w:pPr>
      <w:r>
        <w:rPr>
          <w:rFonts w:ascii="仿宋_GB2312" w:hAnsi="仿宋_GB2312" w:eastAsia="仿宋_GB2312" w:cs="仿宋_GB2312"/>
          <w:sz w:val="32"/>
        </w:rPr>
        <w:t>固体废物污染海洋环境的防治和放射性固体废物污染环境的防治不适用本法。</w:t>
      </w:r>
    </w:p>
    <w:p>
      <w:pPr>
        <w:spacing w:line="560" w:lineRule="exact"/>
        <w:ind w:firstLine="640"/>
        <w:jc w:val="both"/>
      </w:pPr>
      <w:r>
        <w:rPr>
          <w:rFonts w:ascii="黑体" w:hAnsi="黑体" w:eastAsia="黑体" w:cs="黑体"/>
          <w:sz w:val="32"/>
        </w:rPr>
        <w:t>第三条</w:t>
      </w:r>
      <w:r>
        <w:rPr>
          <w:rFonts w:ascii="仿宋_GB2312" w:hAnsi="仿宋_GB2312" w:eastAsia="仿宋_GB2312" w:cs="仿宋_GB2312"/>
          <w:sz w:val="32"/>
        </w:rPr>
        <w:t xml:space="preserve">  国家推行绿色发展方式，促进清洁生产和循环经济发展。</w:t>
      </w:r>
    </w:p>
    <w:p>
      <w:pPr>
        <w:spacing w:line="560" w:lineRule="exact"/>
        <w:ind w:firstLine="640"/>
        <w:jc w:val="both"/>
      </w:pPr>
      <w:r>
        <w:rPr>
          <w:rFonts w:ascii="仿宋_GB2312" w:hAnsi="仿宋_GB2312" w:eastAsia="仿宋_GB2312" w:cs="仿宋_GB2312"/>
          <w:sz w:val="32"/>
        </w:rPr>
        <w:t>国家倡导简约适度、绿色低碳的生活方式，引导公众积极参与固体废物污染环境防治。</w:t>
      </w:r>
    </w:p>
    <w:p>
      <w:pPr>
        <w:spacing w:line="560" w:lineRule="exact"/>
        <w:ind w:firstLine="640"/>
        <w:jc w:val="both"/>
      </w:pPr>
      <w:r>
        <w:rPr>
          <w:rFonts w:ascii="黑体" w:hAnsi="黑体" w:eastAsia="黑体" w:cs="黑体"/>
          <w:sz w:val="32"/>
        </w:rPr>
        <w:t>第四条</w:t>
      </w:r>
      <w:r>
        <w:rPr>
          <w:rFonts w:ascii="仿宋_GB2312" w:hAnsi="仿宋_GB2312" w:eastAsia="仿宋_GB2312" w:cs="仿宋_GB2312"/>
          <w:sz w:val="32"/>
        </w:rPr>
        <w:t xml:space="preserve">  固体废物污染环境防治坚持减量化、资源化和无害化的原则。</w:t>
      </w:r>
    </w:p>
    <w:p>
      <w:pPr>
        <w:spacing w:line="560" w:lineRule="exact"/>
        <w:ind w:firstLine="640"/>
        <w:jc w:val="both"/>
      </w:pPr>
      <w:r>
        <w:rPr>
          <w:rFonts w:ascii="仿宋_GB2312" w:hAnsi="仿宋_GB2312" w:eastAsia="仿宋_GB2312" w:cs="仿宋_GB2312"/>
          <w:sz w:val="32"/>
        </w:rPr>
        <w:t>任何单位和个人都应当采取措施，减少固体废物的产生量，促进固体废物的综合利用，降低固体废物的危害性。</w:t>
      </w:r>
    </w:p>
    <w:p>
      <w:pPr>
        <w:spacing w:line="560" w:lineRule="exact"/>
        <w:ind w:firstLine="640"/>
        <w:jc w:val="both"/>
      </w:pPr>
      <w:r>
        <w:rPr>
          <w:rFonts w:ascii="黑体" w:hAnsi="黑体" w:eastAsia="黑体" w:cs="黑体"/>
          <w:sz w:val="32"/>
        </w:rPr>
        <w:t>第五条</w:t>
      </w:r>
      <w:r>
        <w:rPr>
          <w:rFonts w:ascii="仿宋_GB2312" w:hAnsi="仿宋_GB2312" w:eastAsia="仿宋_GB2312" w:cs="仿宋_GB2312"/>
          <w:sz w:val="32"/>
        </w:rPr>
        <w:t xml:space="preserve">  固体废物污染环境防治坚持污染担责的原则。</w:t>
      </w:r>
    </w:p>
    <w:p>
      <w:pPr>
        <w:spacing w:line="560" w:lineRule="exact"/>
        <w:ind w:firstLine="640"/>
        <w:jc w:val="both"/>
      </w:pPr>
      <w:r>
        <w:rPr>
          <w:rFonts w:ascii="仿宋_GB2312" w:hAnsi="仿宋_GB2312" w:eastAsia="仿宋_GB2312" w:cs="仿宋_GB2312"/>
          <w:sz w:val="32"/>
        </w:rPr>
        <w:t>产生、收集、贮存、运输、利用、处置固体废物的单位和个人，应当采取措施，防止或者减少固体废物对环境的污染，对所造成的环境污染依法承担责任。</w:t>
      </w:r>
    </w:p>
    <w:p>
      <w:pPr>
        <w:spacing w:line="560" w:lineRule="exact"/>
        <w:ind w:firstLine="640"/>
        <w:jc w:val="both"/>
      </w:pPr>
      <w:r>
        <w:rPr>
          <w:rFonts w:ascii="黑体" w:hAnsi="黑体" w:eastAsia="黑体" w:cs="黑体"/>
          <w:sz w:val="32"/>
        </w:rPr>
        <w:t>第六条</w:t>
      </w:r>
      <w:r>
        <w:rPr>
          <w:rFonts w:ascii="仿宋_GB2312" w:hAnsi="仿宋_GB2312" w:eastAsia="仿宋_GB2312" w:cs="仿宋_GB2312"/>
          <w:sz w:val="32"/>
        </w:rPr>
        <w:t xml:space="preserve">  国家推行生活垃圾分类制度。</w:t>
      </w:r>
    </w:p>
    <w:p>
      <w:pPr>
        <w:spacing w:line="560" w:lineRule="exact"/>
        <w:ind w:firstLine="640"/>
        <w:jc w:val="both"/>
      </w:pPr>
      <w:r>
        <w:rPr>
          <w:rFonts w:ascii="仿宋_GB2312" w:hAnsi="仿宋_GB2312" w:eastAsia="仿宋_GB2312" w:cs="仿宋_GB2312"/>
          <w:sz w:val="32"/>
        </w:rPr>
        <w:t>生活垃圾分类坚持政府推动、全民参与、城乡统筹、因地制宜、简便易行的原则。</w:t>
      </w:r>
    </w:p>
    <w:p>
      <w:pPr>
        <w:spacing w:line="560" w:lineRule="exact"/>
        <w:ind w:firstLine="640"/>
        <w:jc w:val="both"/>
      </w:pPr>
      <w:r>
        <w:rPr>
          <w:rFonts w:ascii="黑体" w:hAnsi="黑体" w:eastAsia="黑体" w:cs="黑体"/>
          <w:sz w:val="32"/>
        </w:rPr>
        <w:t>第七条</w:t>
      </w:r>
      <w:r>
        <w:rPr>
          <w:rFonts w:ascii="仿宋_GB2312" w:hAnsi="仿宋_GB2312" w:eastAsia="仿宋_GB2312" w:cs="仿宋_GB2312"/>
          <w:sz w:val="32"/>
        </w:rPr>
        <w:t xml:space="preserve">  地方各级人民政府对本行政区域固体废物污染环境防治负责。</w:t>
      </w:r>
    </w:p>
    <w:p>
      <w:pPr>
        <w:spacing w:line="560" w:lineRule="exact"/>
        <w:ind w:firstLine="640"/>
        <w:jc w:val="both"/>
      </w:pPr>
      <w:r>
        <w:rPr>
          <w:rFonts w:ascii="仿宋_GB2312" w:hAnsi="仿宋_GB2312" w:eastAsia="仿宋_GB2312" w:cs="仿宋_GB2312"/>
          <w:sz w:val="32"/>
        </w:rPr>
        <w:t>国家实行固体废物污染环境防治目标责任制和考核评价制度，将固体废物污染环境防治目标完成情况纳入考核评价的内容。</w:t>
      </w:r>
    </w:p>
    <w:p>
      <w:pPr>
        <w:spacing w:line="560" w:lineRule="exact"/>
        <w:ind w:firstLine="640"/>
        <w:jc w:val="both"/>
      </w:pPr>
      <w:r>
        <w:rPr>
          <w:rFonts w:ascii="黑体" w:hAnsi="黑体" w:eastAsia="黑体" w:cs="黑体"/>
          <w:sz w:val="32"/>
        </w:rPr>
        <w:t>第八条</w:t>
      </w:r>
      <w:r>
        <w:rPr>
          <w:rFonts w:ascii="仿宋_GB2312" w:hAnsi="仿宋_GB2312" w:eastAsia="仿宋_GB2312" w:cs="仿宋_GB2312"/>
          <w:sz w:val="32"/>
        </w:rPr>
        <w:t xml:space="preserve">  各级人民政府应当加强对固体废物污染环境防治工作的领导，组织、协调、督促有关部门依法履行固体废物污染环境防治监督管理职责。</w:t>
      </w:r>
    </w:p>
    <w:p>
      <w:pPr>
        <w:spacing w:line="560" w:lineRule="exact"/>
        <w:ind w:firstLine="640"/>
        <w:jc w:val="both"/>
      </w:pPr>
      <w:r>
        <w:rPr>
          <w:rFonts w:ascii="仿宋_GB2312" w:hAnsi="仿宋_GB2312" w:eastAsia="仿宋_GB2312" w:cs="仿宋_GB2312"/>
          <w:sz w:val="32"/>
        </w:rPr>
        <w:t>省、自治区、直辖市之间可以协商建立跨行政区域固体废物污染环境的联防联控机制，统筹规划制定、设施建设、固体废物转移等工作。</w:t>
      </w:r>
    </w:p>
    <w:p>
      <w:pPr>
        <w:spacing w:line="560" w:lineRule="exact"/>
        <w:ind w:firstLine="640"/>
        <w:jc w:val="both"/>
      </w:pPr>
      <w:r>
        <w:rPr>
          <w:rFonts w:ascii="黑体" w:hAnsi="黑体" w:eastAsia="黑体" w:cs="黑体"/>
          <w:sz w:val="32"/>
        </w:rPr>
        <w:t>第九条</w:t>
      </w:r>
      <w:r>
        <w:rPr>
          <w:rFonts w:ascii="仿宋_GB2312" w:hAnsi="仿宋_GB2312" w:eastAsia="仿宋_GB2312" w:cs="仿宋_GB2312"/>
          <w:sz w:val="32"/>
        </w:rPr>
        <w:t xml:space="preserve">  国务院生态环境主管部门对全国固体废物污染环境防治工作实施统一监督管理。国务院发展改革、工业和信息化、自然资源、住房城乡建设、交通运输、农业农村、商务、卫生健康、海关等主管部门在各自职责范围内负责固体废物污染环境防治的监督管理工作。</w:t>
      </w:r>
    </w:p>
    <w:p>
      <w:pPr>
        <w:spacing w:line="560" w:lineRule="exact"/>
        <w:ind w:firstLine="640"/>
        <w:jc w:val="both"/>
      </w:pPr>
      <w:r>
        <w:rPr>
          <w:rFonts w:ascii="仿宋_GB2312" w:hAnsi="仿宋_GB2312" w:eastAsia="仿宋_GB2312" w:cs="仿宋_GB2312"/>
          <w:sz w:val="32"/>
        </w:rPr>
        <w:t>地方人民政府生态环境主管部门对本行政区域固体废物污染环境防治工作实施统一监督管理。地方人民政府发展改革、工业和信息化、自然资源、住房城乡建设、交通运输、农业农村、商务、卫生健康等主管部门在各自职责范围内负责固体废物污染环境防治的监督管理工作。</w:t>
      </w:r>
    </w:p>
    <w:p>
      <w:pPr>
        <w:spacing w:line="560" w:lineRule="exact"/>
        <w:ind w:firstLine="640"/>
        <w:jc w:val="both"/>
      </w:pPr>
      <w:r>
        <w:rPr>
          <w:rFonts w:ascii="黑体" w:hAnsi="黑体" w:eastAsia="黑体" w:cs="黑体"/>
          <w:sz w:val="32"/>
        </w:rPr>
        <w:t>第十条</w:t>
      </w:r>
      <w:r>
        <w:rPr>
          <w:rFonts w:ascii="仿宋_GB2312" w:hAnsi="仿宋_GB2312" w:eastAsia="仿宋_GB2312" w:cs="仿宋_GB2312"/>
          <w:sz w:val="32"/>
        </w:rPr>
        <w:t xml:space="preserve">  国家鼓励、支持固体废物污染环境防治的科学研究、技术开发、先进技术推广和科学普及，加强固体废物污染环境防治科技支撑。</w:t>
      </w:r>
    </w:p>
    <w:p>
      <w:pPr>
        <w:spacing w:line="560" w:lineRule="exact"/>
        <w:ind w:firstLine="640"/>
        <w:jc w:val="both"/>
      </w:pPr>
      <w:r>
        <w:rPr>
          <w:rFonts w:ascii="黑体" w:hAnsi="黑体" w:eastAsia="黑体" w:cs="黑体"/>
          <w:sz w:val="32"/>
        </w:rPr>
        <w:t>第十一条</w:t>
      </w:r>
      <w:r>
        <w:rPr>
          <w:rFonts w:ascii="仿宋_GB2312" w:hAnsi="仿宋_GB2312" w:eastAsia="仿宋_GB2312" w:cs="仿宋_GB2312"/>
          <w:sz w:val="32"/>
        </w:rPr>
        <w:t xml:space="preserve">  国家机关、社会团体、企业事业单位、基层群众性自治组织和新闻媒体应当加强固体废物污染环境防治宣传教育和科学普及，增强公众固体废物污染环境防治意识。</w:t>
      </w:r>
    </w:p>
    <w:p>
      <w:pPr>
        <w:spacing w:line="560" w:lineRule="exact"/>
        <w:ind w:firstLine="640"/>
        <w:jc w:val="both"/>
      </w:pPr>
      <w:r>
        <w:rPr>
          <w:rFonts w:ascii="仿宋_GB2312" w:hAnsi="仿宋_GB2312" w:eastAsia="仿宋_GB2312" w:cs="仿宋_GB2312"/>
          <w:sz w:val="32"/>
        </w:rPr>
        <w:t>学校应当开展生活垃圾分类以及其他固体废物污染环境防治知识普及和教育。</w:t>
      </w:r>
    </w:p>
    <w:p>
      <w:pPr>
        <w:spacing w:line="560" w:lineRule="exact"/>
        <w:ind w:firstLine="640"/>
        <w:jc w:val="both"/>
      </w:pPr>
      <w:r>
        <w:rPr>
          <w:rFonts w:ascii="黑体" w:hAnsi="黑体" w:eastAsia="黑体" w:cs="黑体"/>
          <w:sz w:val="32"/>
        </w:rPr>
        <w:t>第十二条</w:t>
      </w:r>
      <w:r>
        <w:rPr>
          <w:rFonts w:ascii="仿宋_GB2312" w:hAnsi="仿宋_GB2312" w:eastAsia="仿宋_GB2312" w:cs="仿宋_GB2312"/>
          <w:sz w:val="32"/>
        </w:rPr>
        <w:t xml:space="preserve">  各级人民政府对在固体废物污染环境防治工作以及相关的综合利用活动中做出显著成绩的单位和个人，按照国家有关规定给予表彰、奖励。</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第二章  监督管理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第十三条</w:t>
      </w:r>
      <w:r>
        <w:rPr>
          <w:rFonts w:ascii="仿宋_GB2312" w:hAnsi="仿宋_GB2312" w:eastAsia="仿宋_GB2312" w:cs="仿宋_GB2312"/>
          <w:sz w:val="32"/>
        </w:rPr>
        <w:t xml:space="preserve">  县级以上人民政府应当将固体废物污染环境防治工作纳入国民经济和社会发展规划、生态环境保护规划，并采取有效措施减少固体废物的产生量、促进固体废物的综合利用、降低固体废物的危害性，最大限度降低固体废物填埋量。</w:t>
      </w:r>
    </w:p>
    <w:p>
      <w:pPr>
        <w:spacing w:line="560" w:lineRule="exact"/>
        <w:ind w:firstLine="640"/>
        <w:jc w:val="both"/>
      </w:pPr>
      <w:r>
        <w:rPr>
          <w:rFonts w:ascii="黑体" w:hAnsi="黑体" w:eastAsia="黑体" w:cs="黑体"/>
          <w:sz w:val="32"/>
        </w:rPr>
        <w:t>第十四条</w:t>
      </w:r>
      <w:r>
        <w:rPr>
          <w:rFonts w:ascii="仿宋_GB2312" w:hAnsi="仿宋_GB2312" w:eastAsia="仿宋_GB2312" w:cs="仿宋_GB2312"/>
          <w:sz w:val="32"/>
        </w:rPr>
        <w:t xml:space="preserve">  国务院生态环境主管部门应当会同国务院有关部门根据国家环境质量标准和国家经济、技术条件，制定固体废物鉴别标准、鉴别程序和国家固体废物污染环境防治技术标准。</w:t>
      </w:r>
    </w:p>
    <w:p>
      <w:pPr>
        <w:spacing w:line="560" w:lineRule="exact"/>
        <w:ind w:firstLine="640"/>
        <w:jc w:val="both"/>
      </w:pPr>
      <w:r>
        <w:rPr>
          <w:rFonts w:ascii="黑体" w:hAnsi="黑体" w:eastAsia="黑体" w:cs="黑体"/>
          <w:sz w:val="32"/>
        </w:rPr>
        <w:t>第十五条</w:t>
      </w:r>
      <w:r>
        <w:rPr>
          <w:rFonts w:ascii="仿宋_GB2312" w:hAnsi="仿宋_GB2312" w:eastAsia="仿宋_GB2312" w:cs="仿宋_GB2312"/>
          <w:sz w:val="32"/>
        </w:rPr>
        <w:t xml:space="preserve">  国务院标准化主管部门应当会同国务院发展改革、工业和信息化、生态环境、农业农村等主管部门，制定固体废物综合利用标准。</w:t>
      </w:r>
    </w:p>
    <w:p>
      <w:pPr>
        <w:spacing w:line="560" w:lineRule="exact"/>
        <w:ind w:firstLine="640"/>
        <w:jc w:val="both"/>
      </w:pPr>
      <w:r>
        <w:rPr>
          <w:rFonts w:ascii="仿宋_GB2312" w:hAnsi="仿宋_GB2312" w:eastAsia="仿宋_GB2312" w:cs="仿宋_GB2312"/>
          <w:sz w:val="32"/>
        </w:rPr>
        <w:t>综合利用固体废物应当遵守生态环境法律法规，符合固体废物污染环境防治技术标准。使用固体废物综合利用产物应当符合国家规定的用途、标准。</w:t>
      </w:r>
    </w:p>
    <w:p>
      <w:pPr>
        <w:spacing w:line="560" w:lineRule="exact"/>
        <w:ind w:firstLine="640"/>
        <w:jc w:val="both"/>
      </w:pPr>
      <w:r>
        <w:rPr>
          <w:rFonts w:ascii="黑体" w:hAnsi="黑体" w:eastAsia="黑体" w:cs="黑体"/>
          <w:sz w:val="32"/>
        </w:rPr>
        <w:t>第十六条</w:t>
      </w:r>
      <w:r>
        <w:rPr>
          <w:rFonts w:ascii="仿宋_GB2312" w:hAnsi="仿宋_GB2312" w:eastAsia="仿宋_GB2312" w:cs="仿宋_GB2312"/>
          <w:sz w:val="32"/>
        </w:rPr>
        <w:t xml:space="preserve">  国务院生态环境主管部门应当会同国务院有关部门建立全国危险废物等固体废物污染环境防治信息平台，推进固体废物收集、转移、处置等全过程监控和信息化追溯。</w:t>
      </w:r>
    </w:p>
    <w:p>
      <w:pPr>
        <w:spacing w:line="560" w:lineRule="exact"/>
        <w:ind w:firstLine="640"/>
        <w:jc w:val="both"/>
      </w:pPr>
      <w:r>
        <w:rPr>
          <w:rFonts w:ascii="黑体" w:hAnsi="黑体" w:eastAsia="黑体" w:cs="黑体"/>
          <w:sz w:val="32"/>
        </w:rPr>
        <w:t>第十七条</w:t>
      </w:r>
      <w:r>
        <w:rPr>
          <w:rFonts w:ascii="仿宋_GB2312" w:hAnsi="仿宋_GB2312" w:eastAsia="仿宋_GB2312" w:cs="仿宋_GB2312"/>
          <w:sz w:val="32"/>
        </w:rPr>
        <w:t xml:space="preserve">  建设产生、贮存、利用、处置固体废物的项目，应当依法进行环境影响评价，并遵守国家有关建设项目环境保护管理的规定。</w:t>
      </w:r>
    </w:p>
    <w:p>
      <w:pPr>
        <w:spacing w:line="560" w:lineRule="exact"/>
        <w:ind w:firstLine="640"/>
        <w:jc w:val="both"/>
      </w:pPr>
      <w:r>
        <w:rPr>
          <w:rFonts w:ascii="黑体" w:hAnsi="黑体" w:eastAsia="黑体" w:cs="黑体"/>
          <w:sz w:val="32"/>
        </w:rPr>
        <w:t>第十八条</w:t>
      </w:r>
      <w:r>
        <w:rPr>
          <w:rFonts w:ascii="仿宋_GB2312" w:hAnsi="仿宋_GB2312" w:eastAsia="仿宋_GB2312" w:cs="仿宋_GB2312"/>
          <w:sz w:val="32"/>
        </w:rPr>
        <w:t xml:space="preserve">  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p>
      <w:pPr>
        <w:spacing w:line="560" w:lineRule="exact"/>
        <w:ind w:firstLine="640"/>
        <w:jc w:val="both"/>
      </w:pPr>
      <w:r>
        <w:rPr>
          <w:rFonts w:ascii="仿宋_GB2312" w:hAnsi="仿宋_GB2312" w:eastAsia="仿宋_GB2312" w:cs="仿宋_GB2312"/>
          <w:sz w:val="32"/>
        </w:rPr>
        <w:t>建设单位应当依照有关法律法规的规定，对配套建设的固体废物污染环境防治设施进行验收，编制验收报告，并向社会公开。</w:t>
      </w:r>
    </w:p>
    <w:p>
      <w:pPr>
        <w:spacing w:line="560" w:lineRule="exact"/>
        <w:ind w:firstLine="640"/>
        <w:jc w:val="both"/>
      </w:pPr>
      <w:r>
        <w:rPr>
          <w:rFonts w:ascii="黑体" w:hAnsi="黑体" w:eastAsia="黑体" w:cs="黑体"/>
          <w:sz w:val="32"/>
        </w:rPr>
        <w:t>第十九条</w:t>
      </w:r>
      <w:r>
        <w:rPr>
          <w:rFonts w:ascii="仿宋_GB2312" w:hAnsi="仿宋_GB2312" w:eastAsia="仿宋_GB2312" w:cs="仿宋_GB2312"/>
          <w:sz w:val="32"/>
        </w:rPr>
        <w:t xml:space="preserve">  收集、贮存、运输、利用、处置固体废物的单位和其他生产经营者，应当加强对相关设施、设备和场所的管理和维护，保证其正常运行和使用。</w:t>
      </w:r>
    </w:p>
    <w:p>
      <w:pPr>
        <w:spacing w:line="560" w:lineRule="exact"/>
        <w:ind w:firstLine="640"/>
        <w:jc w:val="both"/>
      </w:pPr>
      <w:r>
        <w:rPr>
          <w:rFonts w:ascii="黑体" w:hAnsi="黑体" w:eastAsia="黑体" w:cs="黑体"/>
          <w:sz w:val="32"/>
        </w:rPr>
        <w:t>第二十条</w:t>
      </w:r>
      <w:r>
        <w:rPr>
          <w:rFonts w:ascii="仿宋_GB2312" w:hAnsi="仿宋_GB2312" w:eastAsia="仿宋_GB2312" w:cs="仿宋_GB2312"/>
          <w:sz w:val="32"/>
        </w:rPr>
        <w:t xml:space="preserve">  产生、收集、贮存、运输、利用、处置固体废物的单位和其他生产经营者，应当采取防扬散、防流失、防渗漏或者其他防止污染环境的措施，不得擅自倾倒、堆放、丢弃、遗撒固体废物。</w:t>
      </w:r>
    </w:p>
    <w:p>
      <w:pPr>
        <w:spacing w:line="560" w:lineRule="exact"/>
        <w:ind w:firstLine="640"/>
        <w:jc w:val="both"/>
      </w:pPr>
      <w:r>
        <w:rPr>
          <w:rFonts w:ascii="仿宋_GB2312" w:hAnsi="仿宋_GB2312" w:eastAsia="仿宋_GB2312" w:cs="仿宋_GB2312"/>
          <w:sz w:val="32"/>
        </w:rPr>
        <w:t>禁止任何单位或者个人向江河、湖泊、运河、渠道、水库及其最高水位线以下的滩地和岸坡以及法律法规规定的其他地点倾倒、堆放、贮存固体废物。</w:t>
      </w:r>
    </w:p>
    <w:p>
      <w:pPr>
        <w:spacing w:line="560" w:lineRule="exact"/>
        <w:ind w:firstLine="640"/>
        <w:jc w:val="both"/>
      </w:pPr>
      <w:r>
        <w:rPr>
          <w:rFonts w:ascii="黑体" w:hAnsi="黑体" w:eastAsia="黑体" w:cs="黑体"/>
          <w:sz w:val="32"/>
        </w:rPr>
        <w:t>第二十一条</w:t>
      </w:r>
      <w:r>
        <w:rPr>
          <w:rFonts w:ascii="仿宋_GB2312" w:hAnsi="仿宋_GB2312" w:eastAsia="仿宋_GB2312" w:cs="仿宋_GB2312"/>
          <w:sz w:val="32"/>
        </w:rPr>
        <w:t xml:space="preserve">  在生态保护红线区域、永久基本农田集中区域和其他需要特别保护的区域内，禁止建设工业固体废物、危险废物集中贮存、利用、处置的设施、场所和生活垃圾填埋场。</w:t>
      </w:r>
    </w:p>
    <w:p>
      <w:pPr>
        <w:spacing w:line="560" w:lineRule="exact"/>
        <w:ind w:firstLine="640"/>
        <w:jc w:val="both"/>
      </w:pPr>
      <w:r>
        <w:rPr>
          <w:rFonts w:ascii="黑体" w:hAnsi="黑体" w:eastAsia="黑体" w:cs="黑体"/>
          <w:sz w:val="32"/>
        </w:rPr>
        <w:t>第二十二条</w:t>
      </w:r>
      <w:r>
        <w:rPr>
          <w:rFonts w:ascii="仿宋_GB2312" w:hAnsi="仿宋_GB2312" w:eastAsia="仿宋_GB2312" w:cs="仿宋_GB2312"/>
          <w:sz w:val="32"/>
        </w:rPr>
        <w:t xml:space="preserve">  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w:t>
      </w:r>
    </w:p>
    <w:p>
      <w:pPr>
        <w:spacing w:line="560" w:lineRule="exact"/>
        <w:ind w:firstLine="640"/>
        <w:jc w:val="both"/>
      </w:pPr>
      <w:r>
        <w:rPr>
          <w:rFonts w:ascii="仿宋_GB2312" w:hAnsi="仿宋_GB2312" w:eastAsia="仿宋_GB2312" w:cs="仿宋_GB2312"/>
          <w:sz w:val="32"/>
        </w:rPr>
        <w:t>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pPr>
        <w:spacing w:line="560" w:lineRule="exact"/>
        <w:ind w:firstLine="640"/>
        <w:jc w:val="both"/>
      </w:pPr>
      <w:r>
        <w:rPr>
          <w:rFonts w:ascii="黑体" w:hAnsi="黑体" w:eastAsia="黑体" w:cs="黑体"/>
          <w:sz w:val="32"/>
        </w:rPr>
        <w:t>第二十三条</w:t>
      </w:r>
      <w:r>
        <w:rPr>
          <w:rFonts w:ascii="仿宋_GB2312" w:hAnsi="仿宋_GB2312" w:eastAsia="仿宋_GB2312" w:cs="仿宋_GB2312"/>
          <w:sz w:val="32"/>
        </w:rPr>
        <w:t xml:space="preserve">  禁止中华人民共和国境外的固体废物进境倾倒、堆放、处置。</w:t>
      </w:r>
    </w:p>
    <w:p>
      <w:pPr>
        <w:spacing w:line="560" w:lineRule="exact"/>
        <w:ind w:firstLine="640"/>
        <w:jc w:val="both"/>
      </w:pPr>
      <w:r>
        <w:rPr>
          <w:rFonts w:ascii="黑体" w:hAnsi="黑体" w:eastAsia="黑体" w:cs="黑体"/>
          <w:sz w:val="32"/>
        </w:rPr>
        <w:t>第二十四条</w:t>
      </w:r>
      <w:r>
        <w:rPr>
          <w:rFonts w:ascii="仿宋_GB2312" w:hAnsi="仿宋_GB2312" w:eastAsia="仿宋_GB2312" w:cs="仿宋_GB2312"/>
          <w:sz w:val="32"/>
        </w:rPr>
        <w:t xml:space="preserve">  国家逐步实现固体废物零进口，由国务院生态环境主管部门会同国务院商务、发展改革、海关等主管部门组织实施。</w:t>
      </w:r>
    </w:p>
    <w:p>
      <w:pPr>
        <w:spacing w:line="560" w:lineRule="exact"/>
        <w:ind w:firstLine="640"/>
        <w:jc w:val="both"/>
      </w:pPr>
      <w:r>
        <w:rPr>
          <w:rFonts w:ascii="黑体" w:hAnsi="黑体" w:eastAsia="黑体" w:cs="黑体"/>
          <w:sz w:val="32"/>
        </w:rPr>
        <w:t>第二十五条</w:t>
      </w:r>
      <w:r>
        <w:rPr>
          <w:rFonts w:ascii="仿宋_GB2312" w:hAnsi="仿宋_GB2312" w:eastAsia="仿宋_GB2312" w:cs="仿宋_GB2312"/>
          <w:sz w:val="32"/>
        </w:rPr>
        <w:t xml:space="preserve">  海关发现进口货物疑似固体废物的，可以委托专业机构开展属性鉴别，并根据鉴别结论依法管理。</w:t>
      </w:r>
    </w:p>
    <w:p>
      <w:pPr>
        <w:spacing w:line="560" w:lineRule="exact"/>
        <w:ind w:firstLine="640"/>
        <w:jc w:val="both"/>
      </w:pPr>
      <w:r>
        <w:rPr>
          <w:rFonts w:ascii="黑体" w:hAnsi="黑体" w:eastAsia="黑体" w:cs="黑体"/>
          <w:sz w:val="32"/>
        </w:rPr>
        <w:t>第二十六条</w:t>
      </w:r>
      <w:r>
        <w:rPr>
          <w:rFonts w:ascii="仿宋_GB2312" w:hAnsi="仿宋_GB2312" w:eastAsia="仿宋_GB2312" w:cs="仿宋_GB2312"/>
          <w:sz w:val="32"/>
        </w:rPr>
        <w:t xml:space="preserve">  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w:t>
      </w:r>
    </w:p>
    <w:p>
      <w:pPr>
        <w:spacing w:line="560" w:lineRule="exact"/>
        <w:ind w:firstLine="640"/>
        <w:jc w:val="both"/>
      </w:pPr>
      <w:r>
        <w:rPr>
          <w:rFonts w:ascii="仿宋_GB2312" w:hAnsi="仿宋_GB2312" w:eastAsia="仿宋_GB2312" w:cs="仿宋_GB2312"/>
          <w:sz w:val="32"/>
        </w:rPr>
        <w:t>实施现场检查，可以采取现场监测、采集样品、查阅或者复制与固体废物污染环境防治相关的资料等措施。检查人员进行现场检查，应当出示证件。对现场检查中知悉的商业秘密应当保密。</w:t>
      </w:r>
    </w:p>
    <w:p>
      <w:pPr>
        <w:spacing w:line="560" w:lineRule="exact"/>
        <w:ind w:firstLine="640"/>
        <w:jc w:val="both"/>
      </w:pPr>
      <w:r>
        <w:rPr>
          <w:rFonts w:ascii="黑体" w:hAnsi="黑体" w:eastAsia="黑体" w:cs="黑体"/>
          <w:sz w:val="32"/>
        </w:rPr>
        <w:t>第二十七条</w:t>
      </w:r>
      <w:r>
        <w:rPr>
          <w:rFonts w:ascii="仿宋_GB2312" w:hAnsi="仿宋_GB2312" w:eastAsia="仿宋_GB2312" w:cs="仿宋_GB2312"/>
          <w:sz w:val="32"/>
        </w:rPr>
        <w:t xml:space="preserve">  有下列情形之一，生态环境主管部门和其他负有固体废物污染环境防治监督管理职责的部门，可以对违法收集、贮存、运输、利用、处置的固体废物及设施、设备、场所、工具、物品予以查封、扣押：</w:t>
      </w:r>
    </w:p>
    <w:p>
      <w:pPr>
        <w:spacing w:line="560" w:lineRule="exact"/>
        <w:ind w:firstLine="640"/>
        <w:jc w:val="both"/>
      </w:pPr>
      <w:r>
        <w:rPr>
          <w:rFonts w:ascii="仿宋_GB2312" w:hAnsi="仿宋_GB2312" w:eastAsia="仿宋_GB2312" w:cs="仿宋_GB2312"/>
          <w:sz w:val="32"/>
        </w:rPr>
        <w:t>（一）可能造成证据灭失、被隐匿或者非法转移的；</w:t>
      </w:r>
    </w:p>
    <w:p>
      <w:pPr>
        <w:spacing w:line="560" w:lineRule="exact"/>
        <w:ind w:firstLine="640"/>
        <w:jc w:val="both"/>
      </w:pPr>
      <w:r>
        <w:rPr>
          <w:rFonts w:ascii="仿宋_GB2312" w:hAnsi="仿宋_GB2312" w:eastAsia="仿宋_GB2312" w:cs="仿宋_GB2312"/>
          <w:sz w:val="32"/>
        </w:rPr>
        <w:t>（二）造成或者可能造成严重环境污染的。</w:t>
      </w:r>
    </w:p>
    <w:p>
      <w:pPr>
        <w:spacing w:line="560" w:lineRule="exact"/>
        <w:ind w:firstLine="640"/>
        <w:jc w:val="both"/>
      </w:pPr>
      <w:r>
        <w:rPr>
          <w:rFonts w:ascii="黑体" w:hAnsi="黑体" w:eastAsia="黑体" w:cs="黑体"/>
          <w:sz w:val="32"/>
        </w:rPr>
        <w:t>第二十八条</w:t>
      </w:r>
      <w:r>
        <w:rPr>
          <w:rFonts w:ascii="仿宋_GB2312" w:hAnsi="仿宋_GB2312" w:eastAsia="仿宋_GB2312" w:cs="仿宋_GB2312"/>
          <w:sz w:val="32"/>
        </w:rPr>
        <w:t xml:space="preserve">  生态环境主管部门应当会同有关部门建立产生、收集、贮存、运输、利用、处置固体废物的单位和其他生产经营者信用记录制度，将相关信用记录纳入全国信用信息共享平台。</w:t>
      </w:r>
    </w:p>
    <w:p>
      <w:pPr>
        <w:spacing w:line="560" w:lineRule="exact"/>
        <w:ind w:firstLine="640"/>
        <w:jc w:val="both"/>
      </w:pPr>
      <w:r>
        <w:rPr>
          <w:rFonts w:ascii="黑体" w:hAnsi="黑体" w:eastAsia="黑体" w:cs="黑体"/>
          <w:sz w:val="32"/>
        </w:rPr>
        <w:t>第二十九条</w:t>
      </w:r>
      <w:r>
        <w:rPr>
          <w:rFonts w:ascii="仿宋_GB2312" w:hAnsi="仿宋_GB2312" w:eastAsia="仿宋_GB2312" w:cs="仿宋_GB2312"/>
          <w:sz w:val="32"/>
        </w:rPr>
        <w:t xml:space="preserve">  设区的市级人民政府生态环境主管部门应当会同住房城乡建设、农业农村、卫生健康等主管部门，定期向社会发布固体废物的种类、产生量、处置能力、利用处置状况等信息。</w:t>
      </w:r>
    </w:p>
    <w:p>
      <w:pPr>
        <w:spacing w:line="560" w:lineRule="exact"/>
        <w:ind w:firstLine="640"/>
        <w:jc w:val="both"/>
      </w:pPr>
      <w:r>
        <w:rPr>
          <w:rFonts w:ascii="仿宋_GB2312" w:hAnsi="仿宋_GB2312" w:eastAsia="仿宋_GB2312" w:cs="仿宋_GB2312"/>
          <w:sz w:val="32"/>
        </w:rPr>
        <w:t>产生、收集、贮存、运输、利用、处置固体废物的单位，应当依法及时公开固体废物污染环境防治信息，主动接受社会监督。</w:t>
      </w:r>
    </w:p>
    <w:p>
      <w:pPr>
        <w:spacing w:line="560" w:lineRule="exact"/>
        <w:ind w:firstLine="640"/>
        <w:jc w:val="both"/>
      </w:pPr>
      <w:r>
        <w:rPr>
          <w:rFonts w:ascii="仿宋_GB2312" w:hAnsi="仿宋_GB2312" w:eastAsia="仿宋_GB2312" w:cs="仿宋_GB2312"/>
          <w:sz w:val="32"/>
        </w:rPr>
        <w:t>利用、处置固体废物的单位，应当依法向公众开放设施、场所，提高公众环境保护意识和参与程度。</w:t>
      </w:r>
    </w:p>
    <w:p>
      <w:pPr>
        <w:spacing w:line="560" w:lineRule="exact"/>
        <w:ind w:firstLine="640"/>
        <w:jc w:val="both"/>
      </w:pPr>
      <w:r>
        <w:rPr>
          <w:rFonts w:ascii="黑体" w:hAnsi="黑体" w:eastAsia="黑体" w:cs="黑体"/>
          <w:sz w:val="32"/>
        </w:rPr>
        <w:t>第三十条</w:t>
      </w:r>
      <w:r>
        <w:rPr>
          <w:rFonts w:ascii="仿宋_GB2312" w:hAnsi="仿宋_GB2312" w:eastAsia="仿宋_GB2312" w:cs="仿宋_GB2312"/>
          <w:sz w:val="32"/>
        </w:rPr>
        <w:t xml:space="preserve">  县级以上人民政府应当将工业固体废物、生活垃圾、危险废物等固体废物污染环境防治情况纳入环境状况和环境保护目标完成情况年度报告，向本级人民代表大会或者人民代表大会常务委员会报告。</w:t>
      </w:r>
    </w:p>
    <w:p>
      <w:pPr>
        <w:spacing w:line="560" w:lineRule="exact"/>
        <w:ind w:firstLine="640"/>
        <w:jc w:val="both"/>
      </w:pPr>
      <w:r>
        <w:rPr>
          <w:rFonts w:ascii="黑体" w:hAnsi="黑体" w:eastAsia="黑体" w:cs="黑体"/>
          <w:sz w:val="32"/>
        </w:rPr>
        <w:t>第三十一条</w:t>
      </w:r>
      <w:r>
        <w:rPr>
          <w:rFonts w:ascii="仿宋_GB2312" w:hAnsi="仿宋_GB2312" w:eastAsia="仿宋_GB2312" w:cs="仿宋_GB2312"/>
          <w:sz w:val="32"/>
        </w:rPr>
        <w:t xml:space="preserve">  任何单位和个人都有权对造成固体废物污染环境的单位和个人进行举报。</w:t>
      </w:r>
    </w:p>
    <w:p>
      <w:pPr>
        <w:spacing w:line="560" w:lineRule="exact"/>
        <w:ind w:firstLine="640"/>
        <w:jc w:val="both"/>
      </w:pPr>
      <w:r>
        <w:rPr>
          <w:rFonts w:ascii="仿宋_GB2312" w:hAnsi="仿宋_GB2312" w:eastAsia="仿宋_GB2312" w:cs="仿宋_GB2312"/>
          <w:sz w:val="32"/>
        </w:rPr>
        <w:t>生态环境主管部门和其他负有固体废物污染环境防治监督管理职责的部门应当将固体废物污染环境防治举报方式向社会公布，方便公众举报。</w:t>
      </w:r>
    </w:p>
    <w:p>
      <w:pPr>
        <w:spacing w:line="560" w:lineRule="exact"/>
        <w:ind w:firstLine="640"/>
        <w:jc w:val="both"/>
      </w:pPr>
      <w:r>
        <w:rPr>
          <w:rFonts w:ascii="仿宋_GB2312" w:hAnsi="仿宋_GB2312" w:eastAsia="仿宋_GB2312" w:cs="仿宋_GB2312"/>
          <w:sz w:val="32"/>
        </w:rPr>
        <w:t>接到举报的部门应当及时处理并对举报人的相关信息予以保密；对实名举报并查证属实的，给予奖励。</w:t>
      </w:r>
    </w:p>
    <w:p>
      <w:pPr>
        <w:spacing w:line="560" w:lineRule="exact"/>
        <w:ind w:firstLine="640"/>
        <w:jc w:val="both"/>
      </w:pPr>
      <w:r>
        <w:rPr>
          <w:rFonts w:ascii="仿宋_GB2312" w:hAnsi="仿宋_GB2312" w:eastAsia="仿宋_GB2312" w:cs="仿宋_GB2312"/>
          <w:sz w:val="32"/>
        </w:rPr>
        <w:t>举报人举报所在单位的，该单位不得以解除、变更劳动合同或者其他方式对举报人进行打击报复。</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第三章  工业固体废物</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第三十二条</w:t>
      </w:r>
      <w:r>
        <w:rPr>
          <w:rFonts w:ascii="仿宋_GB2312" w:hAnsi="仿宋_GB2312" w:eastAsia="仿宋_GB2312" w:cs="仿宋_GB2312"/>
          <w:sz w:val="32"/>
        </w:rPr>
        <w:t xml:space="preserve">  国务院生态环境主管部门应当会同国务院发展改革、工业和信息化等主管部门对工业固体废物对公众健康、生态环境的危害和影响程度等作出界定，制定防治工业固体废物污染环境的技术政策，组织推广先进的防治工业固体废物污染环境的生产工艺和设备。</w:t>
      </w:r>
    </w:p>
    <w:p>
      <w:pPr>
        <w:spacing w:line="560" w:lineRule="exact"/>
        <w:ind w:firstLine="640"/>
        <w:jc w:val="both"/>
      </w:pPr>
      <w:r>
        <w:rPr>
          <w:rFonts w:ascii="黑体" w:hAnsi="黑体" w:eastAsia="黑体" w:cs="黑体"/>
          <w:sz w:val="32"/>
        </w:rPr>
        <w:t>第三十三条</w:t>
      </w:r>
      <w:r>
        <w:rPr>
          <w:rFonts w:ascii="仿宋_GB2312" w:hAnsi="仿宋_GB2312" w:eastAsia="仿宋_GB2312" w:cs="仿宋_GB2312"/>
          <w:sz w:val="32"/>
        </w:rPr>
        <w:t xml:space="preserve">  国务院工业和信息化主管部门应当会同国务院有关部门组织研究开发、推广减少工业固体废物产生量和降低工业固体废物危害性的生产工艺和设备，公布限期淘汰产生严重污染环境的工业固体废物的落后生产工艺、设备的名录。</w:t>
      </w:r>
    </w:p>
    <w:p>
      <w:pPr>
        <w:spacing w:line="560" w:lineRule="exact"/>
        <w:ind w:firstLine="640"/>
        <w:jc w:val="both"/>
      </w:pPr>
      <w:r>
        <w:rPr>
          <w:rFonts w:ascii="仿宋_GB2312" w:hAnsi="仿宋_GB2312" w:eastAsia="仿宋_GB2312" w:cs="仿宋_GB2312"/>
          <w:sz w:val="32"/>
        </w:rPr>
        <w:t>生产者、销售者、进口者、使用者应当在国务院工业和信息化主管部门会同国务院有关部门规定的期限内分别停止生产、销售、进口或者使用列入前款规定名录中的设备。生产工艺的采用者应当在国务院工业和信息化主管部门会同国务院有关部门规定的期限内停止采用列入前款规定名录中的工艺。</w:t>
      </w:r>
    </w:p>
    <w:p>
      <w:pPr>
        <w:spacing w:line="560" w:lineRule="exact"/>
        <w:ind w:firstLine="640"/>
        <w:jc w:val="both"/>
      </w:pPr>
      <w:r>
        <w:rPr>
          <w:rFonts w:ascii="仿宋_GB2312" w:hAnsi="仿宋_GB2312" w:eastAsia="仿宋_GB2312" w:cs="仿宋_GB2312"/>
          <w:sz w:val="32"/>
        </w:rPr>
        <w:t>列入限期淘汰名录被淘汰的设备，不得转让给他人使用。</w:t>
      </w:r>
    </w:p>
    <w:p>
      <w:pPr>
        <w:spacing w:line="560" w:lineRule="exact"/>
        <w:ind w:firstLine="640"/>
        <w:jc w:val="both"/>
      </w:pPr>
      <w:r>
        <w:rPr>
          <w:rFonts w:ascii="黑体" w:hAnsi="黑体" w:eastAsia="黑体" w:cs="黑体"/>
          <w:sz w:val="32"/>
        </w:rPr>
        <w:t>第三十四条</w:t>
      </w:r>
      <w:r>
        <w:rPr>
          <w:rFonts w:ascii="仿宋_GB2312" w:hAnsi="仿宋_GB2312" w:eastAsia="仿宋_GB2312" w:cs="仿宋_GB2312"/>
          <w:sz w:val="32"/>
        </w:rPr>
        <w:t xml:space="preserve">  国务院工业和信息化主管部门应当会同国务院发展改革、生态环境等主管部门，定期发布工业固体废物综合利用技术、工艺、设备和产品导向目录，组织开展工业固体废物资源综合利用评价，推动工业固体废物综合利用。</w:t>
      </w:r>
    </w:p>
    <w:p>
      <w:pPr>
        <w:spacing w:line="560" w:lineRule="exact"/>
        <w:ind w:firstLine="640"/>
        <w:jc w:val="both"/>
      </w:pPr>
      <w:r>
        <w:rPr>
          <w:rFonts w:ascii="黑体" w:hAnsi="黑体" w:eastAsia="黑体" w:cs="黑体"/>
          <w:sz w:val="32"/>
        </w:rPr>
        <w:t>第三十五条</w:t>
      </w:r>
      <w:r>
        <w:rPr>
          <w:rFonts w:ascii="仿宋_GB2312" w:hAnsi="仿宋_GB2312" w:eastAsia="仿宋_GB2312" w:cs="仿宋_GB2312"/>
          <w:sz w:val="32"/>
        </w:rPr>
        <w:t xml:space="preserve">  县级以上地方人民政府应当制定工业固体废物污染环境防治工作规划，组织建设工业固体废物集中处置等设施，推动工业固体废物污染环境防治工作。</w:t>
      </w:r>
    </w:p>
    <w:p>
      <w:pPr>
        <w:spacing w:line="560" w:lineRule="exact"/>
        <w:ind w:firstLine="640"/>
        <w:jc w:val="both"/>
      </w:pPr>
      <w:r>
        <w:rPr>
          <w:rFonts w:ascii="黑体" w:hAnsi="黑体" w:eastAsia="黑体" w:cs="黑体"/>
          <w:sz w:val="32"/>
        </w:rPr>
        <w:t>第三十六条</w:t>
      </w:r>
      <w:r>
        <w:rPr>
          <w:rFonts w:ascii="仿宋_GB2312" w:hAnsi="仿宋_GB2312" w:eastAsia="仿宋_GB2312" w:cs="仿宋_GB2312"/>
          <w:sz w:val="32"/>
        </w:rPr>
        <w:t xml:space="preserve">  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spacing w:line="560" w:lineRule="exact"/>
        <w:ind w:firstLine="640"/>
        <w:jc w:val="both"/>
      </w:pPr>
      <w:r>
        <w:rPr>
          <w:rFonts w:ascii="仿宋_GB2312" w:hAnsi="仿宋_GB2312" w:eastAsia="仿宋_GB2312" w:cs="仿宋_GB2312"/>
          <w:sz w:val="32"/>
        </w:rPr>
        <w:t>禁止向生活垃圾收集设施中投放工业固体废物。</w:t>
      </w:r>
    </w:p>
    <w:p>
      <w:pPr>
        <w:spacing w:line="560" w:lineRule="exact"/>
        <w:ind w:firstLine="640"/>
        <w:jc w:val="both"/>
      </w:pPr>
      <w:r>
        <w:rPr>
          <w:rFonts w:ascii="黑体" w:hAnsi="黑体" w:eastAsia="黑体" w:cs="黑体"/>
          <w:sz w:val="32"/>
        </w:rPr>
        <w:t>第三十七条</w:t>
      </w:r>
      <w:r>
        <w:rPr>
          <w:rFonts w:ascii="仿宋_GB2312" w:hAnsi="仿宋_GB2312" w:eastAsia="仿宋_GB2312" w:cs="仿宋_GB2312"/>
          <w:sz w:val="32"/>
        </w:rPr>
        <w:t xml:space="preserve">  产生工业固体废物的单位委托他人运输、利用、处置工业固体废物的，应当对受托方的主体资格和技术能力进行核实，依法签订书面合同，在合同中约定污染防治要求。</w:t>
      </w:r>
    </w:p>
    <w:p>
      <w:pPr>
        <w:spacing w:line="560" w:lineRule="exact"/>
        <w:ind w:firstLine="640"/>
        <w:jc w:val="both"/>
      </w:pPr>
      <w:r>
        <w:rPr>
          <w:rFonts w:ascii="仿宋_GB2312" w:hAnsi="仿宋_GB2312" w:eastAsia="仿宋_GB2312" w:cs="仿宋_GB2312"/>
          <w:sz w:val="32"/>
        </w:rPr>
        <w:t>受托方运输、利用、处置工业固体废物，应当依照有关法律法规的规定和合同约定履行污染防治要求，并将运输、利用、处置情况告知产生工业固体废物的单位。</w:t>
      </w:r>
    </w:p>
    <w:p>
      <w:pPr>
        <w:spacing w:line="560" w:lineRule="exact"/>
        <w:ind w:firstLine="640"/>
        <w:jc w:val="both"/>
      </w:pPr>
      <w:r>
        <w:rPr>
          <w:rFonts w:ascii="仿宋_GB2312" w:hAnsi="仿宋_GB2312" w:eastAsia="仿宋_GB2312" w:cs="仿宋_GB2312"/>
          <w:sz w:val="32"/>
        </w:rPr>
        <w:t>产生工业固体废物的单位违反本条第一款规定的，除依照有关法律法规的规定予以处罚外，还应当与造成环境污染和生态破坏的受托方承担连带责任。</w:t>
      </w:r>
    </w:p>
    <w:p>
      <w:pPr>
        <w:spacing w:line="560" w:lineRule="exact"/>
        <w:ind w:firstLine="640"/>
        <w:jc w:val="both"/>
      </w:pPr>
      <w:r>
        <w:rPr>
          <w:rFonts w:ascii="黑体" w:hAnsi="黑体" w:eastAsia="黑体" w:cs="黑体"/>
          <w:sz w:val="32"/>
        </w:rPr>
        <w:t>第三十八条</w:t>
      </w:r>
      <w:r>
        <w:rPr>
          <w:rFonts w:ascii="仿宋_GB2312" w:hAnsi="仿宋_GB2312" w:eastAsia="仿宋_GB2312" w:cs="仿宋_GB2312"/>
          <w:sz w:val="32"/>
        </w:rPr>
        <w:t xml:space="preserve">  产生工业固体废物的单位应当依法实施清洁生产审核，合理选择和利用原材料、能源和其他资源，采用先进的生产工艺和设备，减少工业固体废物的产生量，降低工业固体废物的危害性。</w:t>
      </w:r>
    </w:p>
    <w:p>
      <w:pPr>
        <w:spacing w:line="560" w:lineRule="exact"/>
        <w:ind w:firstLine="640"/>
        <w:jc w:val="both"/>
      </w:pPr>
      <w:r>
        <w:rPr>
          <w:rFonts w:ascii="黑体" w:hAnsi="黑体" w:eastAsia="黑体" w:cs="黑体"/>
          <w:sz w:val="32"/>
        </w:rPr>
        <w:t>第三十九条</w:t>
      </w:r>
      <w:r>
        <w:rPr>
          <w:rFonts w:ascii="仿宋_GB2312" w:hAnsi="仿宋_GB2312" w:eastAsia="仿宋_GB2312" w:cs="仿宋_GB2312"/>
          <w:sz w:val="32"/>
        </w:rPr>
        <w:t xml:space="preserve">  产生工业固体废物的单位应当取得排污许可证。排污许可的具体办法和实施步骤由国务院规定。</w:t>
      </w:r>
    </w:p>
    <w:p>
      <w:pPr>
        <w:spacing w:line="560" w:lineRule="exact"/>
        <w:ind w:firstLine="640"/>
        <w:jc w:val="both"/>
      </w:pPr>
      <w:r>
        <w:rPr>
          <w:rFonts w:ascii="仿宋_GB2312" w:hAnsi="仿宋_GB2312" w:eastAsia="仿宋_GB2312" w:cs="仿宋_GB2312"/>
          <w:sz w:val="32"/>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pPr>
        <w:spacing w:line="560" w:lineRule="exact"/>
        <w:ind w:firstLine="640"/>
        <w:jc w:val="both"/>
      </w:pPr>
      <w:r>
        <w:rPr>
          <w:rFonts w:ascii="黑体" w:hAnsi="黑体" w:eastAsia="黑体" w:cs="黑体"/>
          <w:sz w:val="32"/>
        </w:rPr>
        <w:t>第四十条</w:t>
      </w:r>
      <w:r>
        <w:rPr>
          <w:rFonts w:ascii="仿宋_GB2312" w:hAnsi="仿宋_GB2312" w:eastAsia="仿宋_GB2312" w:cs="仿宋_GB2312"/>
          <w:sz w:val="32"/>
        </w:rPr>
        <w:t xml:space="preserve">  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pPr>
        <w:spacing w:line="560" w:lineRule="exact"/>
        <w:ind w:firstLine="640"/>
        <w:jc w:val="both"/>
      </w:pPr>
      <w:r>
        <w:rPr>
          <w:rFonts w:ascii="仿宋_GB2312" w:hAnsi="仿宋_GB2312" w:eastAsia="仿宋_GB2312" w:cs="仿宋_GB2312"/>
          <w:sz w:val="32"/>
        </w:rPr>
        <w:t>建设工业固体废物贮存、处置的设施、场所，应当符合国家环境保护标准。</w:t>
      </w:r>
    </w:p>
    <w:p>
      <w:pPr>
        <w:spacing w:line="560" w:lineRule="exact"/>
        <w:ind w:firstLine="640"/>
        <w:jc w:val="both"/>
      </w:pPr>
      <w:r>
        <w:rPr>
          <w:rFonts w:ascii="黑体" w:hAnsi="黑体" w:eastAsia="黑体" w:cs="黑体"/>
          <w:sz w:val="32"/>
        </w:rPr>
        <w:t>第四十一条</w:t>
      </w:r>
      <w:r>
        <w:rPr>
          <w:rFonts w:ascii="仿宋_GB2312" w:hAnsi="仿宋_GB2312" w:eastAsia="仿宋_GB2312" w:cs="仿宋_GB2312"/>
          <w:sz w:val="32"/>
        </w:rPr>
        <w:t xml:space="preserve">  产生工业固体废物的单位终止的，应当在终止前对工业固体废物的贮存、处置的设施、场所采取污染防治措施，并对未处置的工业固体废物作出妥善处置，防止污染环境。</w:t>
      </w:r>
    </w:p>
    <w:p>
      <w:pPr>
        <w:spacing w:line="560" w:lineRule="exact"/>
        <w:ind w:firstLine="640"/>
        <w:jc w:val="both"/>
      </w:pPr>
      <w:r>
        <w:rPr>
          <w:rFonts w:ascii="仿宋_GB2312" w:hAnsi="仿宋_GB2312" w:eastAsia="仿宋_GB2312" w:cs="仿宋_GB2312"/>
          <w:sz w:val="32"/>
        </w:rPr>
        <w:t>产生工业固体废物的单位发生变更的，变更后的单位应当按照国家有关环境保护的规定对未处置的工业固体废物及其贮存、处置的设施、场所进行安全处置或者采取有效措施保证该设施、场所安全运行。变更前当事人对工业固体废物及其贮存、处置的设施、场所的污染防治责任另有约定的，从其约定；但是，不得免除当事人的污染防治义务。</w:t>
      </w:r>
    </w:p>
    <w:p>
      <w:pPr>
        <w:spacing w:line="560" w:lineRule="exact"/>
        <w:ind w:firstLine="640"/>
        <w:jc w:val="both"/>
      </w:pPr>
      <w:r>
        <w:rPr>
          <w:rFonts w:ascii="仿宋_GB2312" w:hAnsi="仿宋_GB2312" w:eastAsia="仿宋_GB2312" w:cs="仿宋_GB2312"/>
          <w:sz w:val="32"/>
        </w:rPr>
        <w:t>对</w:t>
      </w:r>
      <w:r>
        <w:rPr>
          <w:rFonts w:hint="default" w:ascii="Times New Roman" w:hAnsi="Times New Roman" w:eastAsia="仿宋_GB2312" w:cs="Times New Roman"/>
          <w:sz w:val="32"/>
        </w:rPr>
        <w:t>2005</w:t>
      </w:r>
      <w:r>
        <w:rPr>
          <w:rFonts w:ascii="仿宋_GB2312" w:hAnsi="仿宋_GB2312" w:eastAsia="仿宋_GB2312" w:cs="仿宋_GB2312"/>
          <w:sz w:val="32"/>
        </w:rPr>
        <w:t>年</w:t>
      </w:r>
      <w:r>
        <w:rPr>
          <w:rFonts w:hint="default" w:ascii="Times New Roman" w:hAnsi="Times New Roman" w:eastAsia="仿宋_GB2312" w:cs="Times New Roman"/>
          <w:sz w:val="32"/>
        </w:rPr>
        <w:t>4</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前已经终止的单位未处置的工业固体废物及其贮存、处置的设施、场所进行安全处置的费用，由有关人民政府承担；但是，该单位享有的土地使用权依法转让的，应当由土地使用权受让人承担处置费用。当事人另有约定的，从其约定；但是，不得免除当事人的污染防治义务。</w:t>
      </w:r>
    </w:p>
    <w:p>
      <w:pPr>
        <w:spacing w:line="560" w:lineRule="exact"/>
        <w:ind w:firstLine="640"/>
        <w:jc w:val="both"/>
      </w:pPr>
      <w:r>
        <w:rPr>
          <w:rFonts w:ascii="黑体" w:hAnsi="黑体" w:eastAsia="黑体" w:cs="黑体"/>
          <w:sz w:val="32"/>
        </w:rPr>
        <w:t>第四十二条</w:t>
      </w:r>
      <w:r>
        <w:rPr>
          <w:rFonts w:ascii="仿宋_GB2312" w:hAnsi="仿宋_GB2312" w:eastAsia="仿宋_GB2312" w:cs="仿宋_GB2312"/>
          <w:sz w:val="32"/>
        </w:rPr>
        <w:t xml:space="preserve">  矿山企业应当采取科学的开采方法和选矿工艺，减少尾矿、煤矸石、废石等矿业固体废物的产生量和贮存量。</w:t>
      </w:r>
    </w:p>
    <w:p>
      <w:pPr>
        <w:spacing w:line="560" w:lineRule="exact"/>
        <w:ind w:firstLine="640"/>
        <w:jc w:val="both"/>
      </w:pPr>
      <w:r>
        <w:rPr>
          <w:rFonts w:ascii="仿宋_GB2312" w:hAnsi="仿宋_GB2312" w:eastAsia="仿宋_GB2312" w:cs="仿宋_GB2312"/>
          <w:sz w:val="32"/>
        </w:rPr>
        <w:t>国家鼓励采取先进工艺对尾矿、煤矸石、废石等矿业固体废物进行综合利用。</w:t>
      </w:r>
    </w:p>
    <w:p>
      <w:pPr>
        <w:spacing w:line="560" w:lineRule="exact"/>
        <w:ind w:firstLine="640"/>
        <w:jc w:val="both"/>
      </w:pPr>
      <w:r>
        <w:rPr>
          <w:rFonts w:ascii="仿宋_GB2312" w:hAnsi="仿宋_GB2312" w:eastAsia="仿宋_GB2312" w:cs="仿宋_GB2312"/>
          <w:sz w:val="32"/>
        </w:rPr>
        <w:t>尾矿、煤矸石、废石等矿业固体废物贮存设施停止使用后，矿山企业应当按照国家有关环境保护等规定进行封场，防止造成环境污染和生态破坏。</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第四章  生活垃圾</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第四十三条</w:t>
      </w:r>
      <w:r>
        <w:rPr>
          <w:rFonts w:ascii="仿宋_GB2312" w:hAnsi="仿宋_GB2312" w:eastAsia="仿宋_GB2312" w:cs="仿宋_GB2312"/>
          <w:sz w:val="32"/>
        </w:rPr>
        <w:t xml:space="preserve">  县级以上地方人民政府应当加快建立分类投放、分类收集、分类运输、分类处理的生活垃圾管理系统，实现生活垃圾分类制度有效覆盖。</w:t>
      </w:r>
    </w:p>
    <w:p>
      <w:pPr>
        <w:spacing w:line="560" w:lineRule="exact"/>
        <w:ind w:firstLine="640"/>
        <w:jc w:val="both"/>
      </w:pPr>
      <w:r>
        <w:rPr>
          <w:rFonts w:ascii="仿宋_GB2312" w:hAnsi="仿宋_GB2312" w:eastAsia="仿宋_GB2312" w:cs="仿宋_GB2312"/>
          <w:sz w:val="32"/>
        </w:rPr>
        <w:t>县级以上地方人民政府应当建立生活垃圾分类工作协调机制，加强和统筹生活垃圾分类管理能力建设。</w:t>
      </w:r>
    </w:p>
    <w:p>
      <w:pPr>
        <w:spacing w:line="560" w:lineRule="exact"/>
        <w:ind w:firstLine="640"/>
        <w:jc w:val="both"/>
      </w:pPr>
      <w:r>
        <w:rPr>
          <w:rFonts w:ascii="仿宋_GB2312" w:hAnsi="仿宋_GB2312" w:eastAsia="仿宋_GB2312" w:cs="仿宋_GB2312"/>
          <w:sz w:val="32"/>
        </w:rPr>
        <w:t>各级人民政府及其有关部门应当组织开展生活垃圾分类宣传，教育引导公众养成生活垃圾分类习惯，督促和指导生活垃圾分类工作。</w:t>
      </w:r>
    </w:p>
    <w:p>
      <w:pPr>
        <w:spacing w:line="560" w:lineRule="exact"/>
        <w:ind w:firstLine="640"/>
        <w:jc w:val="both"/>
      </w:pPr>
      <w:r>
        <w:rPr>
          <w:rFonts w:ascii="黑体" w:hAnsi="黑体" w:eastAsia="黑体" w:cs="黑体"/>
          <w:sz w:val="32"/>
        </w:rPr>
        <w:t>第四十四条</w:t>
      </w:r>
      <w:r>
        <w:rPr>
          <w:rFonts w:ascii="仿宋_GB2312" w:hAnsi="仿宋_GB2312" w:eastAsia="仿宋_GB2312" w:cs="仿宋_GB2312"/>
          <w:sz w:val="32"/>
        </w:rPr>
        <w:t xml:space="preserve">  县级以上地方人民政府应当有计划地改进燃料结构，发展清洁能源，减少燃料废渣等固体废物的产生量。</w:t>
      </w:r>
    </w:p>
    <w:p>
      <w:pPr>
        <w:spacing w:line="560" w:lineRule="exact"/>
        <w:ind w:firstLine="640"/>
        <w:jc w:val="both"/>
      </w:pPr>
      <w:r>
        <w:rPr>
          <w:rFonts w:ascii="仿宋_GB2312" w:hAnsi="仿宋_GB2312" w:eastAsia="仿宋_GB2312" w:cs="仿宋_GB2312"/>
          <w:sz w:val="32"/>
        </w:rPr>
        <w:t>县级以上地方人民政府有关部门应当加强产品生产和流通过程管理，避免过度包装，组织净菜上市，减少生活垃圾的产生量。</w:t>
      </w:r>
    </w:p>
    <w:p>
      <w:pPr>
        <w:spacing w:line="560" w:lineRule="exact"/>
        <w:ind w:firstLine="640"/>
        <w:jc w:val="both"/>
      </w:pPr>
      <w:r>
        <w:rPr>
          <w:rFonts w:ascii="黑体" w:hAnsi="黑体" w:eastAsia="黑体" w:cs="黑体"/>
          <w:sz w:val="32"/>
        </w:rPr>
        <w:t>第四十五条</w:t>
      </w:r>
      <w:r>
        <w:rPr>
          <w:rFonts w:ascii="仿宋_GB2312" w:hAnsi="仿宋_GB2312" w:eastAsia="仿宋_GB2312" w:cs="仿宋_GB2312"/>
          <w:sz w:val="32"/>
        </w:rPr>
        <w:t xml:space="preserve">  县级以上人民政府应当统筹安排建设城乡生活垃圾收集、运输、处理设施，确定设施厂址，提高生活垃圾的综合利用和无害化处置水平，促进生活垃圾收集、处理的产业化发展，逐步建立和完善生活垃圾污染环境防治的社会服务体系。</w:t>
      </w:r>
    </w:p>
    <w:p>
      <w:pPr>
        <w:spacing w:line="560" w:lineRule="exact"/>
        <w:ind w:firstLine="640"/>
        <w:jc w:val="both"/>
      </w:pPr>
      <w:r>
        <w:rPr>
          <w:rFonts w:ascii="仿宋_GB2312" w:hAnsi="仿宋_GB2312" w:eastAsia="仿宋_GB2312" w:cs="仿宋_GB2312"/>
          <w:sz w:val="32"/>
        </w:rPr>
        <w:t>县级以上地方人民政府有关部门应当统筹规划，合理安排回收、分拣、打包网点，促进生活垃圾的回收利用工作。</w:t>
      </w:r>
    </w:p>
    <w:p>
      <w:pPr>
        <w:spacing w:line="560" w:lineRule="exact"/>
        <w:ind w:firstLine="640"/>
        <w:jc w:val="both"/>
      </w:pPr>
      <w:r>
        <w:rPr>
          <w:rFonts w:ascii="黑体" w:hAnsi="黑体" w:eastAsia="黑体" w:cs="黑体"/>
          <w:sz w:val="32"/>
        </w:rPr>
        <w:t>第四十六条</w:t>
      </w:r>
      <w:r>
        <w:rPr>
          <w:rFonts w:ascii="仿宋_GB2312" w:hAnsi="仿宋_GB2312" w:eastAsia="仿宋_GB2312" w:cs="仿宋_GB2312"/>
          <w:sz w:val="32"/>
        </w:rPr>
        <w:t xml:space="preserve">  地方各级人民政府应当加强农村生活垃圾污染环境的防治，保护和改善农村人居环境。</w:t>
      </w:r>
    </w:p>
    <w:p>
      <w:pPr>
        <w:spacing w:line="560" w:lineRule="exact"/>
        <w:ind w:firstLine="640"/>
        <w:jc w:val="both"/>
      </w:pPr>
      <w:r>
        <w:rPr>
          <w:rFonts w:ascii="仿宋_GB2312" w:hAnsi="仿宋_GB2312" w:eastAsia="仿宋_GB2312" w:cs="仿宋_GB2312"/>
          <w:sz w:val="32"/>
        </w:rPr>
        <w:t>国家鼓励农村生活垃圾源头减量。城乡结合部、人口密集的农村地区和其他有条件的地方，应当建立城乡一体的生活垃圾管理系统；其他农村地区应当积极探索生活垃圾管理模式，因地制宜，就近就地利用或者妥善处理生活垃圾。</w:t>
      </w:r>
    </w:p>
    <w:p>
      <w:pPr>
        <w:spacing w:line="560" w:lineRule="exact"/>
        <w:ind w:firstLine="640"/>
        <w:jc w:val="both"/>
      </w:pPr>
      <w:r>
        <w:rPr>
          <w:rFonts w:ascii="黑体" w:hAnsi="黑体" w:eastAsia="黑体" w:cs="黑体"/>
          <w:sz w:val="32"/>
        </w:rPr>
        <w:t>第四十七条</w:t>
      </w:r>
      <w:r>
        <w:rPr>
          <w:rFonts w:ascii="仿宋_GB2312" w:hAnsi="仿宋_GB2312" w:eastAsia="仿宋_GB2312" w:cs="仿宋_GB2312"/>
          <w:sz w:val="32"/>
        </w:rPr>
        <w:t xml:space="preserve">  设区的市级以上人民政府环境卫生主管部门应当制定生活垃圾清扫、收集、贮存、运输和处理设施、场所建设运行规范，发布生活垃圾分类指导目录，加强监督管理。</w:t>
      </w:r>
    </w:p>
    <w:p>
      <w:pPr>
        <w:spacing w:line="560" w:lineRule="exact"/>
        <w:ind w:firstLine="640"/>
        <w:jc w:val="both"/>
      </w:pPr>
      <w:r>
        <w:rPr>
          <w:rFonts w:ascii="黑体" w:hAnsi="黑体" w:eastAsia="黑体" w:cs="黑体"/>
          <w:sz w:val="32"/>
        </w:rPr>
        <w:t>第四十八条</w:t>
      </w:r>
      <w:r>
        <w:rPr>
          <w:rFonts w:ascii="仿宋_GB2312" w:hAnsi="仿宋_GB2312" w:eastAsia="仿宋_GB2312" w:cs="仿宋_GB2312"/>
          <w:sz w:val="32"/>
        </w:rPr>
        <w:t xml:space="preserve">  县级以上地方人民政府环境卫生等主管部门应当组织对城乡生活垃圾进行清扫、收集、运输和处理，可以通过招标等方式选择具备条件的单位从事生活垃圾的清扫、收集、运输和处理。</w:t>
      </w:r>
    </w:p>
    <w:p>
      <w:pPr>
        <w:spacing w:line="560" w:lineRule="exact"/>
        <w:ind w:firstLine="640"/>
        <w:jc w:val="both"/>
      </w:pPr>
      <w:r>
        <w:rPr>
          <w:rFonts w:ascii="黑体" w:hAnsi="黑体" w:eastAsia="黑体" w:cs="黑体"/>
          <w:sz w:val="32"/>
        </w:rPr>
        <w:t>第四十九条</w:t>
      </w:r>
      <w:r>
        <w:rPr>
          <w:rFonts w:ascii="仿宋_GB2312" w:hAnsi="仿宋_GB2312" w:eastAsia="仿宋_GB2312" w:cs="仿宋_GB2312"/>
          <w:sz w:val="32"/>
        </w:rPr>
        <w:t xml:space="preserve">  产生生活垃圾的单位、家庭和个人应当依法履行生活垃圾源头减量和分类投放义务，承担生活垃圾产生者责任。</w:t>
      </w:r>
    </w:p>
    <w:p>
      <w:pPr>
        <w:spacing w:line="560" w:lineRule="exact"/>
        <w:ind w:firstLine="640"/>
        <w:jc w:val="both"/>
      </w:pPr>
      <w:r>
        <w:rPr>
          <w:rFonts w:ascii="仿宋_GB2312" w:hAnsi="仿宋_GB2312" w:eastAsia="仿宋_GB2312" w:cs="仿宋_GB2312"/>
          <w:sz w:val="32"/>
        </w:rPr>
        <w:t>任何单位和个人都应当依法在指定的地点分类投放生活垃圾。禁止随意倾倒、抛撒、堆放或者焚烧生活垃圾。</w:t>
      </w:r>
    </w:p>
    <w:p>
      <w:pPr>
        <w:spacing w:line="560" w:lineRule="exact"/>
        <w:ind w:firstLine="640"/>
        <w:jc w:val="both"/>
      </w:pPr>
      <w:r>
        <w:rPr>
          <w:rFonts w:ascii="仿宋_GB2312" w:hAnsi="仿宋_GB2312" w:eastAsia="仿宋_GB2312" w:cs="仿宋_GB2312"/>
          <w:sz w:val="32"/>
        </w:rPr>
        <w:t>机关、事业单位等应当在生活垃圾分类工作中起示范带头作用。</w:t>
      </w:r>
    </w:p>
    <w:p>
      <w:pPr>
        <w:spacing w:line="560" w:lineRule="exact"/>
        <w:ind w:firstLine="640"/>
        <w:jc w:val="both"/>
      </w:pPr>
      <w:r>
        <w:rPr>
          <w:rFonts w:ascii="仿宋_GB2312" w:hAnsi="仿宋_GB2312" w:eastAsia="仿宋_GB2312" w:cs="仿宋_GB2312"/>
          <w:sz w:val="32"/>
        </w:rPr>
        <w:t>已经分类投放的生活垃圾，应当按照规定分类收集、分类运输、分类处理。</w:t>
      </w:r>
    </w:p>
    <w:p>
      <w:pPr>
        <w:spacing w:line="560" w:lineRule="exact"/>
        <w:ind w:firstLine="640"/>
        <w:jc w:val="both"/>
      </w:pPr>
      <w:r>
        <w:rPr>
          <w:rFonts w:ascii="黑体" w:hAnsi="黑体" w:eastAsia="黑体" w:cs="黑体"/>
          <w:sz w:val="32"/>
        </w:rPr>
        <w:t>第五十条</w:t>
      </w:r>
      <w:r>
        <w:rPr>
          <w:rFonts w:ascii="仿宋_GB2312" w:hAnsi="仿宋_GB2312" w:eastAsia="仿宋_GB2312" w:cs="仿宋_GB2312"/>
          <w:sz w:val="32"/>
        </w:rPr>
        <w:t xml:space="preserve">  清扫、收集、运输、处理城乡生活垃圾，应当遵守国家有关环境保护和环境卫生管理的规定，防止污染环境。</w:t>
      </w:r>
    </w:p>
    <w:p>
      <w:pPr>
        <w:spacing w:line="560" w:lineRule="exact"/>
        <w:ind w:firstLine="640"/>
        <w:jc w:val="both"/>
      </w:pPr>
      <w:r>
        <w:rPr>
          <w:rFonts w:ascii="仿宋_GB2312" w:hAnsi="仿宋_GB2312" w:eastAsia="仿宋_GB2312" w:cs="仿宋_GB2312"/>
          <w:sz w:val="32"/>
        </w:rPr>
        <w:t>从生活垃圾中分类并集中收集的有害垃圾，属于危险废物的，应当按照危险废物管理。</w:t>
      </w:r>
    </w:p>
    <w:p>
      <w:pPr>
        <w:spacing w:line="560" w:lineRule="exact"/>
        <w:ind w:firstLine="640"/>
        <w:jc w:val="both"/>
      </w:pPr>
      <w:r>
        <w:rPr>
          <w:rFonts w:ascii="黑体" w:hAnsi="黑体" w:eastAsia="黑体" w:cs="黑体"/>
          <w:sz w:val="32"/>
        </w:rPr>
        <w:t>第五十一条</w:t>
      </w:r>
      <w:r>
        <w:rPr>
          <w:rFonts w:ascii="仿宋_GB2312" w:hAnsi="仿宋_GB2312" w:eastAsia="仿宋_GB2312" w:cs="仿宋_GB2312"/>
          <w:sz w:val="32"/>
        </w:rPr>
        <w:t xml:space="preserve">  从事公共交通运输的经营单位，应当及时清扫、收集运输过程中产生的生活垃圾。</w:t>
      </w:r>
    </w:p>
    <w:p>
      <w:pPr>
        <w:spacing w:line="560" w:lineRule="exact"/>
        <w:ind w:firstLine="640"/>
        <w:jc w:val="both"/>
      </w:pPr>
      <w:r>
        <w:rPr>
          <w:rFonts w:ascii="黑体" w:hAnsi="黑体" w:eastAsia="黑体" w:cs="黑体"/>
          <w:sz w:val="32"/>
        </w:rPr>
        <w:t>第五十二条</w:t>
      </w:r>
      <w:r>
        <w:rPr>
          <w:rFonts w:ascii="仿宋_GB2312" w:hAnsi="仿宋_GB2312" w:eastAsia="仿宋_GB2312" w:cs="仿宋_GB2312"/>
          <w:sz w:val="32"/>
        </w:rPr>
        <w:t xml:space="preserve">  农贸市场、农产品批发市场等应当加强环境卫生管理，保持环境卫生清洁，对所产生的垃圾及时清扫、分类收集、妥善处理。</w:t>
      </w:r>
    </w:p>
    <w:p>
      <w:pPr>
        <w:spacing w:line="560" w:lineRule="exact"/>
        <w:ind w:firstLine="640"/>
        <w:jc w:val="both"/>
      </w:pPr>
      <w:r>
        <w:rPr>
          <w:rFonts w:ascii="黑体" w:hAnsi="黑体" w:eastAsia="黑体" w:cs="黑体"/>
          <w:sz w:val="32"/>
        </w:rPr>
        <w:t>第五十三条</w:t>
      </w:r>
      <w:r>
        <w:rPr>
          <w:rFonts w:ascii="仿宋_GB2312" w:hAnsi="仿宋_GB2312" w:eastAsia="仿宋_GB2312" w:cs="仿宋_GB2312"/>
          <w:sz w:val="32"/>
        </w:rPr>
        <w:t xml:space="preserve">  从事城市新区开发、旧区改建和住宅小区开发建设、村镇建设的单位，以及机场、码头、车站、公园、商场、体育场馆等公共设施、场所的经营管理单位，应当按照国家有关环境卫生的规定，配套建设生活垃圾收集设施。</w:t>
      </w:r>
    </w:p>
    <w:p>
      <w:pPr>
        <w:spacing w:line="560" w:lineRule="exact"/>
        <w:ind w:firstLine="640"/>
        <w:jc w:val="both"/>
      </w:pPr>
      <w:r>
        <w:rPr>
          <w:rFonts w:ascii="仿宋_GB2312" w:hAnsi="仿宋_GB2312" w:eastAsia="仿宋_GB2312" w:cs="仿宋_GB2312"/>
          <w:sz w:val="32"/>
        </w:rPr>
        <w:t>县级以上地方人民政府应当统筹生活垃圾公共转运、处理设施与前款规定的收集设施的有效衔接，并加强生活垃圾分类收运体系和再生资源回收体系在规划、建设、运营等方面的融合。</w:t>
      </w:r>
    </w:p>
    <w:p>
      <w:pPr>
        <w:spacing w:line="560" w:lineRule="exact"/>
        <w:ind w:firstLine="640"/>
        <w:jc w:val="both"/>
      </w:pPr>
      <w:r>
        <w:rPr>
          <w:rFonts w:ascii="黑体" w:hAnsi="黑体" w:eastAsia="黑体" w:cs="黑体"/>
          <w:sz w:val="32"/>
        </w:rPr>
        <w:t>第五十四条</w:t>
      </w:r>
      <w:r>
        <w:rPr>
          <w:rFonts w:ascii="仿宋_GB2312" w:hAnsi="仿宋_GB2312" w:eastAsia="仿宋_GB2312" w:cs="仿宋_GB2312"/>
          <w:sz w:val="32"/>
        </w:rPr>
        <w:t xml:space="preserve">  从生活垃圾中回收的物质应当按照国家规定的用途、标准使用，不得用于生产可能危害人体健康的产品。</w:t>
      </w:r>
    </w:p>
    <w:p>
      <w:pPr>
        <w:spacing w:line="560" w:lineRule="exact"/>
        <w:ind w:firstLine="640"/>
        <w:jc w:val="both"/>
      </w:pPr>
      <w:r>
        <w:rPr>
          <w:rFonts w:ascii="黑体" w:hAnsi="黑体" w:eastAsia="黑体" w:cs="黑体"/>
          <w:sz w:val="32"/>
        </w:rPr>
        <w:t>第五十五条</w:t>
      </w:r>
      <w:r>
        <w:rPr>
          <w:rFonts w:ascii="仿宋_GB2312" w:hAnsi="仿宋_GB2312" w:eastAsia="仿宋_GB2312" w:cs="仿宋_GB2312"/>
          <w:sz w:val="32"/>
        </w:rPr>
        <w:t xml:space="preserve">  建设生活垃圾处理设施、场所，应当符合国务院生态环境主管部门和国务院住房城乡建设主管部门规定的环境保护和环境卫生标准。</w:t>
      </w:r>
    </w:p>
    <w:p>
      <w:pPr>
        <w:spacing w:line="560" w:lineRule="exact"/>
        <w:ind w:firstLine="640"/>
        <w:jc w:val="both"/>
      </w:pPr>
      <w:r>
        <w:rPr>
          <w:rFonts w:ascii="仿宋_GB2312" w:hAnsi="仿宋_GB2312" w:eastAsia="仿宋_GB2312" w:cs="仿宋_GB2312"/>
          <w:sz w:val="32"/>
        </w:rPr>
        <w:t>鼓励相邻地区统筹生活垃圾处理设施建设，促进生活垃圾处理设施跨行政区域共建共享。</w:t>
      </w:r>
    </w:p>
    <w:p>
      <w:pPr>
        <w:spacing w:line="560" w:lineRule="exact"/>
        <w:ind w:firstLine="640"/>
        <w:jc w:val="both"/>
      </w:pPr>
      <w:r>
        <w:rPr>
          <w:rFonts w:ascii="仿宋_GB2312" w:hAnsi="仿宋_GB2312" w:eastAsia="仿宋_GB2312" w:cs="仿宋_GB2312"/>
          <w:sz w:val="32"/>
        </w:rPr>
        <w:t>禁止擅自关闭、闲置或者拆除生活垃圾处理设施、场所；确有必要关闭、闲置或者拆除的，应当经所在地的市、县级人民政府环境卫生主管部门商所在地生态环境主管部门同意后核准，并采取防止污染环境的措施。</w:t>
      </w:r>
    </w:p>
    <w:p>
      <w:pPr>
        <w:spacing w:line="560" w:lineRule="exact"/>
        <w:ind w:firstLine="640"/>
        <w:jc w:val="both"/>
      </w:pPr>
      <w:r>
        <w:rPr>
          <w:rFonts w:ascii="黑体" w:hAnsi="黑体" w:eastAsia="黑体" w:cs="黑体"/>
          <w:sz w:val="32"/>
        </w:rPr>
        <w:t>第五十六条</w:t>
      </w:r>
      <w:r>
        <w:rPr>
          <w:rFonts w:ascii="仿宋_GB2312" w:hAnsi="仿宋_GB2312" w:eastAsia="仿宋_GB2312" w:cs="仿宋_GB2312"/>
          <w:sz w:val="32"/>
        </w:rPr>
        <w:t xml:space="preserve">  生活垃圾处理单位应当按照国家有关规定，安装使用监测设备，实时监测污染物的排放情况，将污染排放数据实时公开。监测设备应当与所在地生态环境主管部门的监控设备联网。</w:t>
      </w:r>
    </w:p>
    <w:p>
      <w:pPr>
        <w:spacing w:line="560" w:lineRule="exact"/>
        <w:ind w:firstLine="640"/>
        <w:jc w:val="both"/>
      </w:pPr>
      <w:r>
        <w:rPr>
          <w:rFonts w:ascii="黑体" w:hAnsi="黑体" w:eastAsia="黑体" w:cs="黑体"/>
          <w:sz w:val="32"/>
        </w:rPr>
        <w:t>第五十七条</w:t>
      </w:r>
      <w:r>
        <w:rPr>
          <w:rFonts w:ascii="仿宋_GB2312" w:hAnsi="仿宋_GB2312" w:eastAsia="仿宋_GB2312" w:cs="仿宋_GB2312"/>
          <w:sz w:val="32"/>
        </w:rPr>
        <w:t xml:space="preserve">  县级以上地方人民政府环境卫生主管部门负责组织开展厨余垃圾资源化、无害化处理工作。</w:t>
      </w:r>
    </w:p>
    <w:p>
      <w:pPr>
        <w:spacing w:line="560" w:lineRule="exact"/>
        <w:ind w:firstLine="640"/>
        <w:jc w:val="both"/>
      </w:pPr>
      <w:r>
        <w:rPr>
          <w:rFonts w:ascii="仿宋_GB2312" w:hAnsi="仿宋_GB2312" w:eastAsia="仿宋_GB2312" w:cs="仿宋_GB2312"/>
          <w:sz w:val="32"/>
        </w:rPr>
        <w:t>产生、收集厨余垃圾的单位和其他生产经营者，应当将厨余垃圾交由具备相应资质条件的单位进行无害化处理。</w:t>
      </w:r>
    </w:p>
    <w:p>
      <w:pPr>
        <w:spacing w:line="560" w:lineRule="exact"/>
        <w:ind w:firstLine="640"/>
        <w:jc w:val="both"/>
      </w:pPr>
      <w:r>
        <w:rPr>
          <w:rFonts w:ascii="仿宋_GB2312" w:hAnsi="仿宋_GB2312" w:eastAsia="仿宋_GB2312" w:cs="仿宋_GB2312"/>
          <w:sz w:val="32"/>
        </w:rPr>
        <w:t>禁止畜禽养殖场、养殖小区利用未经无害化处理的厨余垃圾饲喂畜禽。</w:t>
      </w:r>
    </w:p>
    <w:p>
      <w:pPr>
        <w:spacing w:line="560" w:lineRule="exact"/>
        <w:ind w:firstLine="640"/>
        <w:jc w:val="both"/>
      </w:pPr>
      <w:r>
        <w:rPr>
          <w:rFonts w:ascii="黑体" w:hAnsi="黑体" w:eastAsia="黑体" w:cs="黑体"/>
          <w:sz w:val="32"/>
        </w:rPr>
        <w:t>第五十八条</w:t>
      </w:r>
      <w:r>
        <w:rPr>
          <w:rFonts w:ascii="仿宋_GB2312" w:hAnsi="仿宋_GB2312" w:eastAsia="仿宋_GB2312" w:cs="仿宋_GB2312"/>
          <w:sz w:val="32"/>
        </w:rPr>
        <w:t xml:space="preserve">  县级以上地方人民政府应当按照产生者付费原则，建立生活垃圾处理收费制度。</w:t>
      </w:r>
    </w:p>
    <w:p>
      <w:pPr>
        <w:spacing w:line="560" w:lineRule="exact"/>
        <w:ind w:firstLine="640"/>
        <w:jc w:val="both"/>
      </w:pPr>
      <w:r>
        <w:rPr>
          <w:rFonts w:ascii="仿宋_GB2312" w:hAnsi="仿宋_GB2312" w:eastAsia="仿宋_GB2312" w:cs="仿宋_GB2312"/>
          <w:sz w:val="32"/>
        </w:rPr>
        <w:t>县级以上地方人民政府制定生活垃圾处理收费标准，应当根据本地实际，结合生活垃圾分类情况，体现分类计价、计量收费等差别化管理，并充分征求公众意见。生活垃圾处理收费标准应当向社会公布。</w:t>
      </w:r>
    </w:p>
    <w:p>
      <w:pPr>
        <w:spacing w:line="560" w:lineRule="exact"/>
        <w:ind w:firstLine="640"/>
        <w:jc w:val="both"/>
      </w:pPr>
      <w:r>
        <w:rPr>
          <w:rFonts w:ascii="仿宋_GB2312" w:hAnsi="仿宋_GB2312" w:eastAsia="仿宋_GB2312" w:cs="仿宋_GB2312"/>
          <w:sz w:val="32"/>
        </w:rPr>
        <w:t>生活垃圾处理费应当专项用于生活垃圾的收集、运输和处理等，不得挪作他用。</w:t>
      </w:r>
    </w:p>
    <w:p>
      <w:pPr>
        <w:spacing w:line="560" w:lineRule="exact"/>
        <w:ind w:firstLine="640"/>
        <w:jc w:val="both"/>
      </w:pPr>
      <w:r>
        <w:rPr>
          <w:rFonts w:ascii="黑体" w:hAnsi="黑体" w:eastAsia="黑体" w:cs="黑体"/>
          <w:sz w:val="32"/>
        </w:rPr>
        <w:t>第五十九条</w:t>
      </w:r>
      <w:r>
        <w:rPr>
          <w:rFonts w:ascii="仿宋_GB2312" w:hAnsi="仿宋_GB2312" w:eastAsia="仿宋_GB2312" w:cs="仿宋_GB2312"/>
          <w:sz w:val="32"/>
        </w:rPr>
        <w:t xml:space="preserve">  省、自治区、直辖市和设区的市、自治州可以结合实际，制定本地方生活垃圾具体管理办法。</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第五章  建筑垃圾、农业固体废物等</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第六十条</w:t>
      </w:r>
      <w:r>
        <w:rPr>
          <w:rFonts w:ascii="仿宋_GB2312" w:hAnsi="仿宋_GB2312" w:eastAsia="仿宋_GB2312" w:cs="仿宋_GB2312"/>
          <w:sz w:val="32"/>
        </w:rPr>
        <w:t xml:space="preserve">  县级以上地方人民政府应当加强建筑垃圾污染环境的防治，建立建筑垃圾分类处理制度。</w:t>
      </w:r>
    </w:p>
    <w:p>
      <w:pPr>
        <w:spacing w:line="560" w:lineRule="exact"/>
        <w:ind w:firstLine="640"/>
        <w:jc w:val="both"/>
      </w:pPr>
      <w:r>
        <w:rPr>
          <w:rFonts w:ascii="仿宋_GB2312" w:hAnsi="仿宋_GB2312" w:eastAsia="仿宋_GB2312" w:cs="仿宋_GB2312"/>
          <w:sz w:val="32"/>
        </w:rPr>
        <w:t>县级以上地方人民政府应当制定包括源头减量、分类处理、消纳设施和场所布局及建设等在内的建筑垃圾污染环境防治工作规划。</w:t>
      </w:r>
    </w:p>
    <w:p>
      <w:pPr>
        <w:spacing w:line="560" w:lineRule="exact"/>
        <w:ind w:firstLine="640"/>
        <w:jc w:val="both"/>
      </w:pPr>
      <w:r>
        <w:rPr>
          <w:rFonts w:ascii="黑体" w:hAnsi="黑体" w:eastAsia="黑体" w:cs="黑体"/>
          <w:sz w:val="32"/>
        </w:rPr>
        <w:t>第六十一条</w:t>
      </w:r>
      <w:r>
        <w:rPr>
          <w:rFonts w:ascii="仿宋_GB2312" w:hAnsi="仿宋_GB2312" w:eastAsia="仿宋_GB2312" w:cs="仿宋_GB2312"/>
          <w:sz w:val="32"/>
        </w:rPr>
        <w:t xml:space="preserve">  国家鼓励采用先进技术、工艺、设备和管理措施，推进建筑垃圾源头减量，建立建筑垃圾回收利用体系。</w:t>
      </w:r>
    </w:p>
    <w:p>
      <w:pPr>
        <w:spacing w:line="560" w:lineRule="exact"/>
        <w:ind w:firstLine="640"/>
        <w:jc w:val="both"/>
      </w:pPr>
      <w:r>
        <w:rPr>
          <w:rFonts w:ascii="仿宋_GB2312" w:hAnsi="仿宋_GB2312" w:eastAsia="仿宋_GB2312" w:cs="仿宋_GB2312"/>
          <w:sz w:val="32"/>
        </w:rPr>
        <w:t>县级以上地方人民政府应当推动建筑垃圾综合利用产品应用。</w:t>
      </w:r>
    </w:p>
    <w:p>
      <w:pPr>
        <w:spacing w:line="560" w:lineRule="exact"/>
        <w:ind w:firstLine="640"/>
        <w:jc w:val="both"/>
      </w:pPr>
      <w:r>
        <w:rPr>
          <w:rFonts w:ascii="黑体" w:hAnsi="黑体" w:eastAsia="黑体" w:cs="黑体"/>
          <w:sz w:val="32"/>
        </w:rPr>
        <w:t>第六十二条</w:t>
      </w:r>
      <w:r>
        <w:rPr>
          <w:rFonts w:ascii="仿宋_GB2312" w:hAnsi="仿宋_GB2312" w:eastAsia="仿宋_GB2312" w:cs="仿宋_GB2312"/>
          <w:sz w:val="32"/>
        </w:rPr>
        <w:t xml:space="preserve">  县级以上地方人民政府环境卫生主管部门负责建筑垃圾污染环境防治工作，建立建筑垃圾全过程管理制度，规范建筑垃圾产生、收集、贮存、运输、利用、处置行为，推进综合利用，加强建筑垃圾处置设施、场所建设，保障处置安全，防止污染环境。</w:t>
      </w:r>
    </w:p>
    <w:p>
      <w:pPr>
        <w:spacing w:line="560" w:lineRule="exact"/>
        <w:ind w:firstLine="640"/>
        <w:jc w:val="both"/>
      </w:pPr>
      <w:r>
        <w:rPr>
          <w:rFonts w:ascii="黑体" w:hAnsi="黑体" w:eastAsia="黑体" w:cs="黑体"/>
          <w:sz w:val="32"/>
        </w:rPr>
        <w:t>第六十三条</w:t>
      </w:r>
      <w:r>
        <w:rPr>
          <w:rFonts w:ascii="仿宋_GB2312" w:hAnsi="仿宋_GB2312" w:eastAsia="仿宋_GB2312" w:cs="仿宋_GB2312"/>
          <w:sz w:val="32"/>
        </w:rPr>
        <w:t xml:space="preserve">  工程施工单位应当编制建筑垃圾处理方案，采取污染防治措施，并报县级以上地方人民政府环境卫生主管部门备案。</w:t>
      </w:r>
    </w:p>
    <w:p>
      <w:pPr>
        <w:spacing w:line="560" w:lineRule="exact"/>
        <w:ind w:firstLine="640"/>
        <w:jc w:val="both"/>
      </w:pPr>
      <w:r>
        <w:rPr>
          <w:rFonts w:ascii="仿宋_GB2312" w:hAnsi="仿宋_GB2312" w:eastAsia="仿宋_GB2312" w:cs="仿宋_GB2312"/>
          <w:sz w:val="32"/>
        </w:rPr>
        <w:t>工程施工单位应当及时清运工程施工过程中产生的建筑垃圾等固体废物，并按照环境卫生主管部门的规定进行利用或者处置。</w:t>
      </w:r>
    </w:p>
    <w:p>
      <w:pPr>
        <w:spacing w:line="560" w:lineRule="exact"/>
        <w:ind w:firstLine="640"/>
        <w:jc w:val="both"/>
      </w:pPr>
      <w:r>
        <w:rPr>
          <w:rFonts w:ascii="仿宋_GB2312" w:hAnsi="仿宋_GB2312" w:eastAsia="仿宋_GB2312" w:cs="仿宋_GB2312"/>
          <w:sz w:val="32"/>
        </w:rPr>
        <w:t>工程施工单位不得擅自倾倒、抛撒或者堆放工程施工过程中产生的建筑垃圾。</w:t>
      </w:r>
    </w:p>
    <w:p>
      <w:pPr>
        <w:spacing w:line="560" w:lineRule="exact"/>
        <w:ind w:firstLine="640"/>
        <w:jc w:val="both"/>
      </w:pPr>
      <w:r>
        <w:rPr>
          <w:rFonts w:ascii="黑体" w:hAnsi="黑体" w:eastAsia="黑体" w:cs="黑体"/>
          <w:sz w:val="32"/>
        </w:rPr>
        <w:t>第六十四条</w:t>
      </w:r>
      <w:r>
        <w:rPr>
          <w:rFonts w:ascii="仿宋_GB2312" w:hAnsi="仿宋_GB2312" w:eastAsia="仿宋_GB2312" w:cs="仿宋_GB2312"/>
          <w:sz w:val="32"/>
        </w:rPr>
        <w:t xml:space="preserve">  县级以上人民政府农业农村主管部门负责指导农业固体废物回收利用体系建设，鼓励和引导有关单位和其他生产经营者依法收集、贮存、运输、利用、处置农业固体废物，加强监督管理，防止污染环境。</w:t>
      </w:r>
    </w:p>
    <w:p>
      <w:pPr>
        <w:spacing w:line="560" w:lineRule="exact"/>
        <w:ind w:firstLine="640"/>
        <w:jc w:val="both"/>
      </w:pPr>
      <w:r>
        <w:rPr>
          <w:rFonts w:ascii="黑体" w:hAnsi="黑体" w:eastAsia="黑体" w:cs="黑体"/>
          <w:sz w:val="32"/>
        </w:rPr>
        <w:t>第六十五条</w:t>
      </w:r>
      <w:r>
        <w:rPr>
          <w:rFonts w:ascii="仿宋_GB2312" w:hAnsi="仿宋_GB2312" w:eastAsia="仿宋_GB2312" w:cs="仿宋_GB2312"/>
          <w:sz w:val="32"/>
        </w:rPr>
        <w:t xml:space="preserve">  产生秸秆、废弃农用薄膜、农药包装废弃物等农业固体废物的单位和其他生产经营者，应当采取回收利用和其他防止污染环境的措施。</w:t>
      </w:r>
    </w:p>
    <w:p>
      <w:pPr>
        <w:spacing w:line="560" w:lineRule="exact"/>
        <w:ind w:firstLine="640"/>
        <w:jc w:val="both"/>
      </w:pPr>
      <w:r>
        <w:rPr>
          <w:rFonts w:ascii="仿宋_GB2312" w:hAnsi="仿宋_GB2312" w:eastAsia="仿宋_GB2312" w:cs="仿宋_GB2312"/>
          <w:sz w:val="32"/>
        </w:rPr>
        <w:t>从事畜禽规模养殖应当及时收集、贮存、利用或者处置养殖过程中产生的畜禽粪污等固体废物，避免造成环境污染。</w:t>
      </w:r>
    </w:p>
    <w:p>
      <w:pPr>
        <w:spacing w:line="560" w:lineRule="exact"/>
        <w:ind w:firstLine="640"/>
        <w:jc w:val="both"/>
      </w:pPr>
      <w:r>
        <w:rPr>
          <w:rFonts w:ascii="仿宋_GB2312" w:hAnsi="仿宋_GB2312" w:eastAsia="仿宋_GB2312" w:cs="仿宋_GB2312"/>
          <w:sz w:val="32"/>
        </w:rPr>
        <w:t>禁止在人口集中地区、机场周围、交通干线附近以及当地人民政府划定的其他区域露天焚烧秸秆。</w:t>
      </w:r>
    </w:p>
    <w:p>
      <w:pPr>
        <w:spacing w:line="560" w:lineRule="exact"/>
        <w:ind w:firstLine="640"/>
        <w:jc w:val="both"/>
      </w:pPr>
      <w:r>
        <w:rPr>
          <w:rFonts w:ascii="仿宋_GB2312" w:hAnsi="仿宋_GB2312" w:eastAsia="仿宋_GB2312" w:cs="仿宋_GB2312"/>
          <w:sz w:val="32"/>
        </w:rPr>
        <w:t>国家鼓励研究开发、生产、销售、使用在环境中可降解且无害的农用薄膜。</w:t>
      </w:r>
    </w:p>
    <w:p>
      <w:pPr>
        <w:spacing w:line="560" w:lineRule="exact"/>
        <w:ind w:firstLine="640"/>
        <w:jc w:val="both"/>
      </w:pPr>
      <w:r>
        <w:rPr>
          <w:rFonts w:ascii="黑体" w:hAnsi="黑体" w:eastAsia="黑体" w:cs="黑体"/>
          <w:sz w:val="32"/>
        </w:rPr>
        <w:t>第六十六条</w:t>
      </w:r>
      <w:r>
        <w:rPr>
          <w:rFonts w:ascii="仿宋_GB2312" w:hAnsi="仿宋_GB2312" w:eastAsia="仿宋_GB2312" w:cs="仿宋_GB2312"/>
          <w:sz w:val="32"/>
        </w:rPr>
        <w:t xml:space="preserve">  国家建立电器电子、铅蓄电池、车用动力电池等产品的生产者责任延伸制度。</w:t>
      </w:r>
    </w:p>
    <w:p>
      <w:pPr>
        <w:spacing w:line="560" w:lineRule="exact"/>
        <w:ind w:firstLine="640"/>
        <w:jc w:val="both"/>
      </w:pPr>
      <w:r>
        <w:rPr>
          <w:rFonts w:ascii="仿宋_GB2312" w:hAnsi="仿宋_GB2312" w:eastAsia="仿宋_GB2312" w:cs="仿宋_GB2312"/>
          <w:sz w:val="32"/>
        </w:rPr>
        <w:t>电器电子、铅蓄电池、车用动力电池等产品的生产者应当按照规定以自建或者委托等方式建立与产品销售量相匹配的废旧产品回收体系，并向社会公开，实现有效回收和利用。</w:t>
      </w:r>
    </w:p>
    <w:p>
      <w:pPr>
        <w:spacing w:line="560" w:lineRule="exact"/>
        <w:ind w:firstLine="640"/>
        <w:jc w:val="both"/>
      </w:pPr>
      <w:r>
        <w:rPr>
          <w:rFonts w:ascii="仿宋_GB2312" w:hAnsi="仿宋_GB2312" w:eastAsia="仿宋_GB2312" w:cs="仿宋_GB2312"/>
          <w:sz w:val="32"/>
        </w:rPr>
        <w:t>国家鼓励产品的生产者开展生态设计，促进资源回收利用。</w:t>
      </w:r>
    </w:p>
    <w:p>
      <w:pPr>
        <w:spacing w:line="560" w:lineRule="exact"/>
        <w:ind w:firstLine="640"/>
        <w:jc w:val="both"/>
      </w:pPr>
      <w:r>
        <w:rPr>
          <w:rFonts w:ascii="黑体" w:hAnsi="黑体" w:eastAsia="黑体" w:cs="黑体"/>
          <w:sz w:val="32"/>
        </w:rPr>
        <w:t>第六十七条</w:t>
      </w:r>
      <w:r>
        <w:rPr>
          <w:rFonts w:ascii="仿宋_GB2312" w:hAnsi="仿宋_GB2312" w:eastAsia="仿宋_GB2312" w:cs="仿宋_GB2312"/>
          <w:sz w:val="32"/>
        </w:rPr>
        <w:t xml:space="preserve">  国家对废弃电器电子产品等实行多渠道回收和集中处理制度。</w:t>
      </w:r>
    </w:p>
    <w:p>
      <w:pPr>
        <w:spacing w:line="560" w:lineRule="exact"/>
        <w:ind w:firstLine="640"/>
        <w:jc w:val="both"/>
      </w:pPr>
      <w:r>
        <w:rPr>
          <w:rFonts w:ascii="仿宋_GB2312" w:hAnsi="仿宋_GB2312" w:eastAsia="仿宋_GB2312" w:cs="仿宋_GB2312"/>
          <w:sz w:val="32"/>
        </w:rPr>
        <w:t>禁止将废弃机动车船等交由不符合规定条件的企业或者个人回收、拆解。</w:t>
      </w:r>
    </w:p>
    <w:p>
      <w:pPr>
        <w:spacing w:line="560" w:lineRule="exact"/>
        <w:ind w:firstLine="640"/>
        <w:jc w:val="both"/>
      </w:pPr>
      <w:r>
        <w:rPr>
          <w:rFonts w:ascii="仿宋_GB2312" w:hAnsi="仿宋_GB2312" w:eastAsia="仿宋_GB2312" w:cs="仿宋_GB2312"/>
          <w:sz w:val="32"/>
        </w:rPr>
        <w:t>拆解、利用、处置废弃电器电子产品、废弃机动车船等，应当遵守有关法律法规的规定，采取防止污染环境的措施。</w:t>
      </w:r>
    </w:p>
    <w:p>
      <w:pPr>
        <w:spacing w:line="560" w:lineRule="exact"/>
        <w:ind w:firstLine="640"/>
        <w:jc w:val="both"/>
      </w:pPr>
      <w:r>
        <w:rPr>
          <w:rFonts w:ascii="黑体" w:hAnsi="黑体" w:eastAsia="黑体" w:cs="黑体"/>
          <w:sz w:val="32"/>
        </w:rPr>
        <w:t>第六十八条</w:t>
      </w:r>
      <w:r>
        <w:rPr>
          <w:rFonts w:ascii="仿宋_GB2312" w:hAnsi="仿宋_GB2312" w:eastAsia="仿宋_GB2312" w:cs="仿宋_GB2312"/>
          <w:sz w:val="32"/>
        </w:rPr>
        <w:t xml:space="preserve">  产品和包装物的设计、制造，应当遵守国家有关清洁生产的规定。国务院标准化主管部门应当根据国家经济和技术条件、固体废物污染环境防治状况以及产品的技术要求，组织制定有关标准，防止过度包装造成环境污染。</w:t>
      </w:r>
    </w:p>
    <w:p>
      <w:pPr>
        <w:spacing w:line="560" w:lineRule="exact"/>
        <w:ind w:firstLine="640"/>
        <w:jc w:val="both"/>
      </w:pPr>
      <w:r>
        <w:rPr>
          <w:rFonts w:ascii="仿宋_GB2312" w:hAnsi="仿宋_GB2312" w:eastAsia="仿宋_GB2312" w:cs="仿宋_GB2312"/>
          <w:sz w:val="32"/>
        </w:rPr>
        <w:t>生产经营者应当遵守限制商品过度包装的强制性标准，避免过度包装。县级以上地方人民政府市场监督管理部门和有关部门应当按照各自职责，加强对过度包装的监督管理。</w:t>
      </w:r>
    </w:p>
    <w:p>
      <w:pPr>
        <w:spacing w:line="560" w:lineRule="exact"/>
        <w:ind w:firstLine="640"/>
        <w:jc w:val="both"/>
      </w:pPr>
      <w:r>
        <w:rPr>
          <w:rFonts w:ascii="仿宋_GB2312" w:hAnsi="仿宋_GB2312" w:eastAsia="仿宋_GB2312" w:cs="仿宋_GB2312"/>
          <w:sz w:val="32"/>
        </w:rPr>
        <w:t>生产、销售、进口依法被列入强制回收目录的产品和包装物的企业，应当按照国家有关规定对该产品和包装物进行回收。</w:t>
      </w:r>
    </w:p>
    <w:p>
      <w:pPr>
        <w:spacing w:line="560" w:lineRule="exact"/>
        <w:ind w:firstLine="640"/>
        <w:jc w:val="both"/>
      </w:pPr>
      <w:r>
        <w:rPr>
          <w:rFonts w:ascii="仿宋_GB2312" w:hAnsi="仿宋_GB2312" w:eastAsia="仿宋_GB2312" w:cs="仿宋_GB2312"/>
          <w:sz w:val="32"/>
        </w:rPr>
        <w:t>电子商务、快递、外卖等行业应当优先采用可重复使用、易回收利用的包装物，优化物品包装，减少包装物的使用，并积极回收利用包装物。县级以上地方人民政府商务、邮政等主管部门应当加强监督管理。</w:t>
      </w:r>
    </w:p>
    <w:p>
      <w:pPr>
        <w:spacing w:line="560" w:lineRule="exact"/>
        <w:ind w:firstLine="640"/>
        <w:jc w:val="both"/>
      </w:pPr>
      <w:r>
        <w:rPr>
          <w:rFonts w:ascii="仿宋_GB2312" w:hAnsi="仿宋_GB2312" w:eastAsia="仿宋_GB2312" w:cs="仿宋_GB2312"/>
          <w:sz w:val="32"/>
        </w:rPr>
        <w:t>国家鼓励和引导消费者使用绿色包装和减量包装。</w:t>
      </w:r>
    </w:p>
    <w:p>
      <w:pPr>
        <w:spacing w:line="560" w:lineRule="exact"/>
        <w:ind w:firstLine="640"/>
        <w:jc w:val="both"/>
      </w:pPr>
      <w:r>
        <w:rPr>
          <w:rFonts w:ascii="黑体" w:hAnsi="黑体" w:eastAsia="黑体" w:cs="黑体"/>
          <w:sz w:val="32"/>
        </w:rPr>
        <w:t>第六十九条</w:t>
      </w:r>
      <w:r>
        <w:rPr>
          <w:rFonts w:ascii="仿宋_GB2312" w:hAnsi="仿宋_GB2312" w:eastAsia="仿宋_GB2312" w:cs="仿宋_GB2312"/>
          <w:sz w:val="32"/>
        </w:rPr>
        <w:t xml:space="preserve">  国家依法禁止、限制生产、销售和使用不可降解塑料袋等一次性塑料制品。</w:t>
      </w:r>
    </w:p>
    <w:p>
      <w:pPr>
        <w:spacing w:line="560" w:lineRule="exact"/>
        <w:ind w:firstLine="640"/>
        <w:jc w:val="both"/>
      </w:pPr>
      <w:r>
        <w:rPr>
          <w:rFonts w:ascii="仿宋_GB2312" w:hAnsi="仿宋_GB2312" w:eastAsia="仿宋_GB2312" w:cs="仿宋_GB2312"/>
          <w:sz w:val="32"/>
        </w:rPr>
        <w:t>商品零售场所开办单位、电子商务平台企业和快递企业、外卖企业应当按照国家有关规定向商务、邮政等主管部门报告塑料袋等一次性塑料制品的使用、回收情况。</w:t>
      </w:r>
    </w:p>
    <w:p>
      <w:pPr>
        <w:spacing w:line="560" w:lineRule="exact"/>
        <w:ind w:firstLine="640"/>
        <w:jc w:val="both"/>
      </w:pPr>
      <w:r>
        <w:rPr>
          <w:rFonts w:ascii="仿宋_GB2312" w:hAnsi="仿宋_GB2312" w:eastAsia="仿宋_GB2312" w:cs="仿宋_GB2312"/>
          <w:sz w:val="32"/>
        </w:rPr>
        <w:t>国家鼓励和引导减少使用、积极回收塑料袋等一次性塑料制品，推广应用可循环、易回收、可降解的替代产品。</w:t>
      </w:r>
    </w:p>
    <w:p>
      <w:pPr>
        <w:spacing w:line="560" w:lineRule="exact"/>
        <w:ind w:firstLine="640"/>
        <w:jc w:val="both"/>
      </w:pPr>
      <w:r>
        <w:rPr>
          <w:rFonts w:ascii="黑体" w:hAnsi="黑体" w:eastAsia="黑体" w:cs="黑体"/>
          <w:sz w:val="32"/>
        </w:rPr>
        <w:t>第七十条</w:t>
      </w:r>
      <w:r>
        <w:rPr>
          <w:rFonts w:ascii="仿宋_GB2312" w:hAnsi="仿宋_GB2312" w:eastAsia="仿宋_GB2312" w:cs="仿宋_GB2312"/>
          <w:sz w:val="32"/>
        </w:rPr>
        <w:t xml:space="preserve">  旅游、住宿等行业应当按照国家有关规定推行不主动提供一次性用品。</w:t>
      </w:r>
    </w:p>
    <w:p>
      <w:pPr>
        <w:spacing w:line="560" w:lineRule="exact"/>
        <w:ind w:firstLine="640"/>
        <w:jc w:val="both"/>
      </w:pPr>
      <w:r>
        <w:rPr>
          <w:rFonts w:ascii="仿宋_GB2312" w:hAnsi="仿宋_GB2312" w:eastAsia="仿宋_GB2312" w:cs="仿宋_GB2312"/>
          <w:sz w:val="32"/>
        </w:rPr>
        <w:t>机关、企业事业单位等的办公场所应当使用有利于保护环境的产品、设备和设施，减少使用一次性办公用品。</w:t>
      </w:r>
    </w:p>
    <w:p>
      <w:pPr>
        <w:spacing w:line="560" w:lineRule="exact"/>
        <w:ind w:firstLine="640"/>
        <w:jc w:val="both"/>
      </w:pPr>
      <w:r>
        <w:rPr>
          <w:rFonts w:ascii="黑体" w:hAnsi="黑体" w:eastAsia="黑体" w:cs="黑体"/>
          <w:sz w:val="32"/>
        </w:rPr>
        <w:t>第七十一条</w:t>
      </w:r>
      <w:r>
        <w:rPr>
          <w:rFonts w:ascii="仿宋_GB2312" w:hAnsi="仿宋_GB2312" w:eastAsia="仿宋_GB2312" w:cs="仿宋_GB2312"/>
          <w:sz w:val="32"/>
        </w:rPr>
        <w:t xml:space="preserve">  城镇污水处理设施维护运营单位或者污泥处理单位应当安全处理污泥，保证处理后的污泥符合国家有关标准，对污泥的流向、用途、用量等进行跟踪、记录，并报告城镇排水主管部门、生态环境主管部门。</w:t>
      </w:r>
    </w:p>
    <w:p>
      <w:pPr>
        <w:spacing w:line="560" w:lineRule="exact"/>
        <w:ind w:firstLine="640"/>
        <w:jc w:val="both"/>
      </w:pPr>
      <w:r>
        <w:rPr>
          <w:rFonts w:ascii="仿宋_GB2312" w:hAnsi="仿宋_GB2312" w:eastAsia="仿宋_GB2312" w:cs="仿宋_GB2312"/>
          <w:sz w:val="32"/>
        </w:rPr>
        <w:t>县级以上人民政府城镇排水主管部门应当将污泥处理设施纳入城镇排水与污水处理规划，推动同步建设污泥处理设施与污水处理设施，鼓励协同处理，污水处理费征收标准和补偿范围应当覆盖污泥处理成本和污水处理设施正常运营成本。</w:t>
      </w:r>
    </w:p>
    <w:p>
      <w:pPr>
        <w:spacing w:line="560" w:lineRule="exact"/>
        <w:ind w:firstLine="640"/>
        <w:jc w:val="both"/>
      </w:pPr>
      <w:r>
        <w:rPr>
          <w:rFonts w:ascii="黑体" w:hAnsi="黑体" w:eastAsia="黑体" w:cs="黑体"/>
          <w:sz w:val="32"/>
        </w:rPr>
        <w:t>第七十二条</w:t>
      </w:r>
      <w:r>
        <w:rPr>
          <w:rFonts w:ascii="仿宋_GB2312" w:hAnsi="仿宋_GB2312" w:eastAsia="仿宋_GB2312" w:cs="仿宋_GB2312"/>
          <w:sz w:val="32"/>
        </w:rPr>
        <w:t xml:space="preserve">  禁止擅自倾倒、堆放、丢弃、遗撒城镇污水处理设施产生的污泥和处理后的污泥。</w:t>
      </w:r>
    </w:p>
    <w:p>
      <w:pPr>
        <w:spacing w:line="560" w:lineRule="exact"/>
        <w:ind w:firstLine="640"/>
        <w:jc w:val="both"/>
      </w:pPr>
      <w:r>
        <w:rPr>
          <w:rFonts w:ascii="仿宋_GB2312" w:hAnsi="仿宋_GB2312" w:eastAsia="仿宋_GB2312" w:cs="仿宋_GB2312"/>
          <w:sz w:val="32"/>
        </w:rPr>
        <w:t>禁止重金属或者其他有毒有害物质含量超标的污泥进入农用地。</w:t>
      </w:r>
    </w:p>
    <w:p>
      <w:pPr>
        <w:spacing w:line="560" w:lineRule="exact"/>
        <w:ind w:firstLine="640"/>
        <w:jc w:val="both"/>
      </w:pPr>
      <w:r>
        <w:rPr>
          <w:rFonts w:ascii="仿宋_GB2312" w:hAnsi="仿宋_GB2312" w:eastAsia="仿宋_GB2312" w:cs="仿宋_GB2312"/>
          <w:sz w:val="32"/>
        </w:rPr>
        <w:t>从事水体清淤疏浚应当按照国家有关规定处理清淤疏浚过程中产生的底泥，防止污染环境。</w:t>
      </w:r>
    </w:p>
    <w:p>
      <w:pPr>
        <w:spacing w:line="560" w:lineRule="exact"/>
        <w:ind w:firstLine="640"/>
        <w:jc w:val="both"/>
      </w:pPr>
      <w:r>
        <w:rPr>
          <w:rFonts w:ascii="黑体" w:hAnsi="黑体" w:eastAsia="黑体" w:cs="黑体"/>
          <w:sz w:val="32"/>
        </w:rPr>
        <w:t>第七十三条</w:t>
      </w:r>
      <w:r>
        <w:rPr>
          <w:rFonts w:ascii="仿宋_GB2312" w:hAnsi="仿宋_GB2312" w:eastAsia="仿宋_GB2312" w:cs="仿宋_GB2312"/>
          <w:sz w:val="32"/>
        </w:rPr>
        <w:t xml:space="preserve">  各级各类实验室及其设立单位应当加强对实验室产生的固体废物的管理，依法收集、贮存、运输、利用、处置实验室固体废物。实验室固体废物属于危险废物的，应当按照危险废物管理。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第六章  危险废物</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第七十四条</w:t>
      </w:r>
      <w:r>
        <w:rPr>
          <w:rFonts w:ascii="仿宋_GB2312" w:hAnsi="仿宋_GB2312" w:eastAsia="仿宋_GB2312" w:cs="仿宋_GB2312"/>
          <w:sz w:val="32"/>
        </w:rPr>
        <w:t xml:space="preserve">  危险废物污染环境的防治，适用本章规定；本章未作规定的，适用本法其他有关规定。</w:t>
      </w:r>
    </w:p>
    <w:p>
      <w:pPr>
        <w:spacing w:line="560" w:lineRule="exact"/>
        <w:ind w:firstLine="640"/>
        <w:jc w:val="both"/>
      </w:pPr>
      <w:r>
        <w:rPr>
          <w:rFonts w:ascii="黑体" w:hAnsi="黑体" w:eastAsia="黑体" w:cs="黑体"/>
          <w:sz w:val="32"/>
        </w:rPr>
        <w:t>第七十五条</w:t>
      </w:r>
      <w:r>
        <w:rPr>
          <w:rFonts w:ascii="仿宋_GB2312" w:hAnsi="仿宋_GB2312" w:eastAsia="仿宋_GB2312" w:cs="仿宋_GB2312"/>
          <w:sz w:val="32"/>
        </w:rPr>
        <w:t xml:space="preserve">  国务院生态环境主管部门应当会同国务院有关部门制定国家危险废物名录，规定统一的危险废物鉴别标准、鉴别方法、识别标志和鉴别单位管理要求。国家危险废物名录应当动态调整。</w:t>
      </w:r>
    </w:p>
    <w:p>
      <w:pPr>
        <w:spacing w:line="560" w:lineRule="exact"/>
        <w:ind w:firstLine="640"/>
        <w:jc w:val="both"/>
      </w:pPr>
      <w:r>
        <w:rPr>
          <w:rFonts w:ascii="仿宋_GB2312" w:hAnsi="仿宋_GB2312" w:eastAsia="仿宋_GB2312" w:cs="仿宋_GB2312"/>
          <w:sz w:val="32"/>
        </w:rPr>
        <w:t>国务院生态环境主管部门根据危险废物的危害特性和产生数量，科学评估其环境风险，实施分级分类管理，建立信息化监管体系，并通过信息化手段管理、共享危险废物转移数据和信息。</w:t>
      </w:r>
    </w:p>
    <w:p>
      <w:pPr>
        <w:spacing w:line="560" w:lineRule="exact"/>
        <w:ind w:firstLine="640"/>
        <w:jc w:val="both"/>
      </w:pPr>
      <w:r>
        <w:rPr>
          <w:rFonts w:ascii="黑体" w:hAnsi="黑体" w:eastAsia="黑体" w:cs="黑体"/>
          <w:sz w:val="32"/>
        </w:rPr>
        <w:t>第七十六条</w:t>
      </w:r>
      <w:r>
        <w:rPr>
          <w:rFonts w:ascii="仿宋_GB2312" w:hAnsi="仿宋_GB2312" w:eastAsia="仿宋_GB2312" w:cs="仿宋_GB2312"/>
          <w:sz w:val="32"/>
        </w:rPr>
        <w:t xml:space="preserve">  省、自治区、直辖市人民政府应当组织有关部门编制危险废物集中处置设施、场所的建设规划，科学评估危险废物处置需求，合理布局危险废物集中处置设施、场所，确保本行政区域的危险废物得到妥善处置。</w:t>
      </w:r>
    </w:p>
    <w:p>
      <w:pPr>
        <w:spacing w:line="560" w:lineRule="exact"/>
        <w:ind w:firstLine="640"/>
        <w:jc w:val="both"/>
      </w:pPr>
      <w:r>
        <w:rPr>
          <w:rFonts w:ascii="仿宋_GB2312" w:hAnsi="仿宋_GB2312" w:eastAsia="仿宋_GB2312" w:cs="仿宋_GB2312"/>
          <w:sz w:val="32"/>
        </w:rPr>
        <w:t>编制危险废物集中处置设施、场所的建设规划，应当征求有关行业协会、企业事业单位、专家和公众等方面的意见。</w:t>
      </w:r>
    </w:p>
    <w:p>
      <w:pPr>
        <w:spacing w:line="560" w:lineRule="exact"/>
        <w:ind w:firstLine="640"/>
        <w:jc w:val="both"/>
      </w:pPr>
      <w:r>
        <w:rPr>
          <w:rFonts w:ascii="仿宋_GB2312" w:hAnsi="仿宋_GB2312" w:eastAsia="仿宋_GB2312" w:cs="仿宋_GB2312"/>
          <w:sz w:val="32"/>
        </w:rPr>
        <w:t>相邻省、自治区、直辖市之间可以开展区域合作，统筹建设区域性危险废物集中处置设施、场所。</w:t>
      </w:r>
    </w:p>
    <w:p>
      <w:pPr>
        <w:spacing w:line="560" w:lineRule="exact"/>
        <w:ind w:firstLine="640"/>
        <w:jc w:val="both"/>
      </w:pPr>
      <w:r>
        <w:rPr>
          <w:rFonts w:ascii="黑体" w:hAnsi="黑体" w:eastAsia="黑体" w:cs="黑体"/>
          <w:sz w:val="32"/>
        </w:rPr>
        <w:t>第七十七条</w:t>
      </w:r>
      <w:r>
        <w:rPr>
          <w:rFonts w:ascii="仿宋_GB2312" w:hAnsi="仿宋_GB2312" w:eastAsia="仿宋_GB2312" w:cs="仿宋_GB2312"/>
          <w:sz w:val="32"/>
        </w:rPr>
        <w:t xml:space="preserve">  对危险废物的容器和包装物以及收集、贮存、运输、利用、处置危险废物的设施、场所，应当按照规定设置危险废物识别标志。</w:t>
      </w:r>
    </w:p>
    <w:p>
      <w:pPr>
        <w:spacing w:line="560" w:lineRule="exact"/>
        <w:ind w:firstLine="640"/>
        <w:jc w:val="both"/>
      </w:pPr>
      <w:r>
        <w:rPr>
          <w:rFonts w:ascii="黑体" w:hAnsi="黑体" w:eastAsia="黑体" w:cs="黑体"/>
          <w:sz w:val="32"/>
        </w:rPr>
        <w:t>第七十八条</w:t>
      </w:r>
      <w:r>
        <w:rPr>
          <w:rFonts w:ascii="仿宋_GB2312" w:hAnsi="仿宋_GB2312" w:eastAsia="仿宋_GB2312" w:cs="仿宋_GB2312"/>
          <w:sz w:val="32"/>
        </w:rPr>
        <w:t xml:space="preserve">  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pPr>
        <w:spacing w:line="560" w:lineRule="exact"/>
        <w:ind w:firstLine="640"/>
        <w:jc w:val="both"/>
      </w:pPr>
      <w:r>
        <w:rPr>
          <w:rFonts w:ascii="仿宋_GB2312" w:hAnsi="仿宋_GB2312" w:eastAsia="仿宋_GB2312" w:cs="仿宋_GB2312"/>
          <w:sz w:val="32"/>
        </w:rPr>
        <w:t>前款所称危险废物管理计划应当包括减少危险废物产生量和降低危险废物危害性的措施以及危险废物贮存、利用、处置措施。危险废物管理计划应当报产生危险废物的单位所在地生态环境主管部门备案。</w:t>
      </w:r>
    </w:p>
    <w:p>
      <w:pPr>
        <w:spacing w:line="560" w:lineRule="exact"/>
        <w:ind w:firstLine="640"/>
        <w:jc w:val="both"/>
      </w:pPr>
      <w:r>
        <w:rPr>
          <w:rFonts w:ascii="仿宋_GB2312" w:hAnsi="仿宋_GB2312" w:eastAsia="仿宋_GB2312" w:cs="仿宋_GB2312"/>
          <w:sz w:val="32"/>
        </w:rPr>
        <w:t>产生危险废物的单位已经取得排污许可证的，执行排污许可管理制度的规定。</w:t>
      </w:r>
    </w:p>
    <w:p>
      <w:pPr>
        <w:spacing w:line="560" w:lineRule="exact"/>
        <w:ind w:firstLine="640"/>
        <w:jc w:val="both"/>
      </w:pPr>
      <w:r>
        <w:rPr>
          <w:rFonts w:ascii="黑体" w:hAnsi="黑体" w:eastAsia="黑体" w:cs="黑体"/>
          <w:sz w:val="32"/>
        </w:rPr>
        <w:t>第七十九条</w:t>
      </w:r>
      <w:r>
        <w:rPr>
          <w:rFonts w:ascii="仿宋_GB2312" w:hAnsi="仿宋_GB2312" w:eastAsia="仿宋_GB2312" w:cs="仿宋_GB2312"/>
          <w:sz w:val="32"/>
        </w:rPr>
        <w:t xml:space="preserve">  产生危险废物的单位，应当按照国家有关规定和环境保护标准要求贮存、利用、处置危险废物，不得擅自倾倒、堆放。</w:t>
      </w:r>
    </w:p>
    <w:p>
      <w:pPr>
        <w:spacing w:line="560" w:lineRule="exact"/>
        <w:ind w:firstLine="640"/>
        <w:jc w:val="both"/>
      </w:pPr>
      <w:r>
        <w:rPr>
          <w:rFonts w:ascii="黑体" w:hAnsi="黑体" w:eastAsia="黑体" w:cs="黑体"/>
          <w:sz w:val="32"/>
        </w:rPr>
        <w:t>第八十条</w:t>
      </w:r>
      <w:r>
        <w:rPr>
          <w:rFonts w:ascii="仿宋_GB2312" w:hAnsi="仿宋_GB2312" w:eastAsia="仿宋_GB2312" w:cs="仿宋_GB2312"/>
          <w:sz w:val="32"/>
        </w:rPr>
        <w:t xml:space="preserve">  从事收集、贮存、利用、处置危险废物经营活动的单位，应当按照国家有关规定申请取得许可证。许可证的具体管理办法由国务院制定。</w:t>
      </w:r>
    </w:p>
    <w:p>
      <w:pPr>
        <w:spacing w:line="560" w:lineRule="exact"/>
        <w:ind w:firstLine="640"/>
        <w:jc w:val="both"/>
      </w:pPr>
      <w:r>
        <w:rPr>
          <w:rFonts w:ascii="仿宋_GB2312" w:hAnsi="仿宋_GB2312" w:eastAsia="仿宋_GB2312" w:cs="仿宋_GB2312"/>
          <w:sz w:val="32"/>
        </w:rPr>
        <w:t>禁止无许可证或者未按照许可证规定从事危险废物收集、贮存、利用、处置的经营活动。</w:t>
      </w:r>
    </w:p>
    <w:p>
      <w:pPr>
        <w:spacing w:line="560" w:lineRule="exact"/>
        <w:ind w:firstLine="640"/>
        <w:jc w:val="both"/>
      </w:pPr>
      <w:r>
        <w:rPr>
          <w:rFonts w:ascii="仿宋_GB2312" w:hAnsi="仿宋_GB2312" w:eastAsia="仿宋_GB2312" w:cs="仿宋_GB2312"/>
          <w:sz w:val="32"/>
        </w:rPr>
        <w:t>禁止将危险废物提供或者委托给无许可证的单位或者其他生产经营者从事收集、贮存、利用、处置活动。</w:t>
      </w:r>
    </w:p>
    <w:p>
      <w:pPr>
        <w:spacing w:line="560" w:lineRule="exact"/>
        <w:ind w:firstLine="640"/>
        <w:jc w:val="both"/>
      </w:pPr>
      <w:r>
        <w:rPr>
          <w:rFonts w:ascii="黑体" w:hAnsi="黑体" w:eastAsia="黑体" w:cs="黑体"/>
          <w:sz w:val="32"/>
        </w:rPr>
        <w:t>第八十一条</w:t>
      </w:r>
      <w:r>
        <w:rPr>
          <w:rFonts w:ascii="仿宋_GB2312" w:hAnsi="仿宋_GB2312" w:eastAsia="仿宋_GB2312" w:cs="仿宋_GB2312"/>
          <w:sz w:val="32"/>
        </w:rPr>
        <w:t xml:space="preserve">  收集、贮存危险废物，应当按照危险废物特性分类进行。禁止混合收集、贮存、运输、处置性质不相容而未经安全性处置的危险废物。</w:t>
      </w:r>
    </w:p>
    <w:p>
      <w:pPr>
        <w:spacing w:line="560" w:lineRule="exact"/>
        <w:ind w:firstLine="640"/>
        <w:jc w:val="both"/>
      </w:pPr>
      <w:r>
        <w:rPr>
          <w:rFonts w:ascii="仿宋_GB2312" w:hAnsi="仿宋_GB2312" w:eastAsia="仿宋_GB2312" w:cs="仿宋_GB2312"/>
          <w:sz w:val="32"/>
        </w:rPr>
        <w:t>贮存危险废物应当采取符合国家环境保护标准的防护措施。禁止将危险废物混入非危险废物中贮存。</w:t>
      </w:r>
    </w:p>
    <w:p>
      <w:pPr>
        <w:spacing w:line="560" w:lineRule="exact"/>
        <w:ind w:firstLine="640"/>
        <w:jc w:val="both"/>
      </w:pPr>
      <w:r>
        <w:rPr>
          <w:rFonts w:ascii="仿宋_GB2312" w:hAnsi="仿宋_GB2312" w:eastAsia="仿宋_GB2312" w:cs="仿宋_GB2312"/>
          <w:sz w:val="32"/>
        </w:rPr>
        <w:t>从事收集、贮存、利用、处置危险废物经营活动的单位，贮存危险废物不得超过一年；确需延长期限的，应当报经颁发许可证的生态环境主管部门批准；法律、行政法规另有规定的除外。</w:t>
      </w:r>
    </w:p>
    <w:p>
      <w:pPr>
        <w:spacing w:line="560" w:lineRule="exact"/>
        <w:ind w:firstLine="640"/>
        <w:jc w:val="both"/>
      </w:pPr>
      <w:r>
        <w:rPr>
          <w:rFonts w:ascii="黑体" w:hAnsi="黑体" w:eastAsia="黑体" w:cs="黑体"/>
          <w:sz w:val="32"/>
        </w:rPr>
        <w:t>第八十二条</w:t>
      </w:r>
      <w:r>
        <w:rPr>
          <w:rFonts w:ascii="仿宋_GB2312" w:hAnsi="仿宋_GB2312" w:eastAsia="仿宋_GB2312" w:cs="仿宋_GB2312"/>
          <w:sz w:val="32"/>
        </w:rPr>
        <w:t xml:space="preserve">  转移危险废物的，应当按照国家有关规定填写、运行危险废物电子或者纸质转移联单。</w:t>
      </w:r>
    </w:p>
    <w:p>
      <w:pPr>
        <w:spacing w:line="560" w:lineRule="exact"/>
        <w:ind w:firstLine="640"/>
        <w:jc w:val="both"/>
      </w:pPr>
      <w:r>
        <w:rPr>
          <w:rFonts w:ascii="仿宋_GB2312" w:hAnsi="仿宋_GB2312" w:eastAsia="仿宋_GB2312" w:cs="仿宋_GB2312"/>
          <w:sz w:val="32"/>
        </w:rPr>
        <w:t>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w:t>
      </w:r>
    </w:p>
    <w:p>
      <w:pPr>
        <w:spacing w:line="560" w:lineRule="exact"/>
        <w:ind w:firstLine="640"/>
        <w:jc w:val="both"/>
      </w:pPr>
      <w:r>
        <w:rPr>
          <w:rFonts w:ascii="仿宋_GB2312" w:hAnsi="仿宋_GB2312" w:eastAsia="仿宋_GB2312" w:cs="仿宋_GB2312"/>
          <w:sz w:val="32"/>
        </w:rPr>
        <w:t>危险废物转移管理应当全程管控、提高效率，具体办法由国务院生态环境主管部门会同国务院交通运输主管部门和公安部门制定。</w:t>
      </w:r>
    </w:p>
    <w:p>
      <w:pPr>
        <w:spacing w:line="560" w:lineRule="exact"/>
        <w:ind w:firstLine="640"/>
        <w:jc w:val="both"/>
      </w:pPr>
      <w:r>
        <w:rPr>
          <w:rFonts w:ascii="黑体" w:hAnsi="黑体" w:eastAsia="黑体" w:cs="黑体"/>
          <w:sz w:val="32"/>
        </w:rPr>
        <w:t>第八十三条</w:t>
      </w:r>
      <w:r>
        <w:rPr>
          <w:rFonts w:ascii="仿宋_GB2312" w:hAnsi="仿宋_GB2312" w:eastAsia="仿宋_GB2312" w:cs="仿宋_GB2312"/>
          <w:sz w:val="32"/>
        </w:rPr>
        <w:t xml:space="preserve">  运输危险废物，应当采取防止污染环境的措施，并遵守国家有关危险货物运输管理的规定。</w:t>
      </w:r>
    </w:p>
    <w:p>
      <w:pPr>
        <w:spacing w:line="560" w:lineRule="exact"/>
        <w:ind w:firstLine="640"/>
        <w:jc w:val="both"/>
      </w:pPr>
      <w:r>
        <w:rPr>
          <w:rFonts w:ascii="仿宋_GB2312" w:hAnsi="仿宋_GB2312" w:eastAsia="仿宋_GB2312" w:cs="仿宋_GB2312"/>
          <w:sz w:val="32"/>
        </w:rPr>
        <w:t>禁止将危险废物与旅客在同一运输工具上载运。</w:t>
      </w:r>
    </w:p>
    <w:p>
      <w:pPr>
        <w:spacing w:line="560" w:lineRule="exact"/>
        <w:ind w:firstLine="640"/>
        <w:jc w:val="both"/>
      </w:pPr>
      <w:r>
        <w:rPr>
          <w:rFonts w:ascii="黑体" w:hAnsi="黑体" w:eastAsia="黑体" w:cs="黑体"/>
          <w:sz w:val="32"/>
        </w:rPr>
        <w:t>第八十四条</w:t>
      </w:r>
      <w:r>
        <w:rPr>
          <w:rFonts w:ascii="仿宋_GB2312" w:hAnsi="仿宋_GB2312" w:eastAsia="仿宋_GB2312" w:cs="仿宋_GB2312"/>
          <w:sz w:val="32"/>
        </w:rPr>
        <w:t xml:space="preserve">  收集、贮存、运输、利用、处置危险废物的场所、设施、设备和容器、包装物及其他物品转作他用时，应当按照国家有关规定经过消除污染处理，方可使用。</w:t>
      </w:r>
    </w:p>
    <w:p>
      <w:pPr>
        <w:spacing w:line="560" w:lineRule="exact"/>
        <w:ind w:firstLine="640"/>
        <w:jc w:val="both"/>
      </w:pPr>
      <w:r>
        <w:rPr>
          <w:rFonts w:ascii="黑体" w:hAnsi="黑体" w:eastAsia="黑体" w:cs="黑体"/>
          <w:sz w:val="32"/>
        </w:rPr>
        <w:t>第八十五条</w:t>
      </w:r>
      <w:r>
        <w:rPr>
          <w:rFonts w:ascii="仿宋_GB2312" w:hAnsi="仿宋_GB2312" w:eastAsia="仿宋_GB2312" w:cs="仿宋_GB2312"/>
          <w:sz w:val="32"/>
        </w:rPr>
        <w:t xml:space="preserve">  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w:t>
      </w:r>
    </w:p>
    <w:p>
      <w:pPr>
        <w:spacing w:line="560" w:lineRule="exact"/>
        <w:ind w:firstLine="640"/>
        <w:jc w:val="both"/>
      </w:pPr>
      <w:r>
        <w:rPr>
          <w:rFonts w:ascii="黑体" w:hAnsi="黑体" w:eastAsia="黑体" w:cs="黑体"/>
          <w:sz w:val="32"/>
        </w:rPr>
        <w:t>第八十六条</w:t>
      </w:r>
      <w:r>
        <w:rPr>
          <w:rFonts w:ascii="仿宋_GB2312" w:hAnsi="仿宋_GB2312" w:eastAsia="仿宋_GB2312" w:cs="仿宋_GB2312"/>
          <w:sz w:val="32"/>
        </w:rPr>
        <w:t xml:space="preserve">  因发生事故或者其他突发性事件，造成危险废物严重污染环境的单位，应当立即采取有效措施消除或者减轻对环境的污染危害，及时通报可能受到污染危害的单位和居民，并向所在地生态环境主管部门和有关部门报告，接受调查处理。</w:t>
      </w:r>
    </w:p>
    <w:p>
      <w:pPr>
        <w:spacing w:line="560" w:lineRule="exact"/>
        <w:ind w:firstLine="640"/>
        <w:jc w:val="both"/>
      </w:pPr>
      <w:r>
        <w:rPr>
          <w:rFonts w:ascii="黑体" w:hAnsi="黑体" w:eastAsia="黑体" w:cs="黑体"/>
          <w:sz w:val="32"/>
        </w:rPr>
        <w:t>第八十七条</w:t>
      </w:r>
      <w:r>
        <w:rPr>
          <w:rFonts w:ascii="仿宋_GB2312" w:hAnsi="仿宋_GB2312" w:eastAsia="仿宋_GB2312" w:cs="仿宋_GB2312"/>
          <w:sz w:val="32"/>
        </w:rPr>
        <w:t xml:space="preserve">  在发生或者有证据证明可能发生危险废物严重污染环境、威胁居民生命财产安全时，生态环境主管部门或者其他负有固体废物污染环境防治监督管理职责的部门应当立即向本级人民政府和上一级人民政府有关部门报告，由人民政府采取防止或者减轻危害的有效措施。有关人民政府可以根据需要责令停止导致或者可能导致环境污染事故的作业。</w:t>
      </w:r>
    </w:p>
    <w:p>
      <w:pPr>
        <w:spacing w:line="560" w:lineRule="exact"/>
        <w:ind w:firstLine="640"/>
        <w:jc w:val="both"/>
      </w:pPr>
      <w:r>
        <w:rPr>
          <w:rFonts w:ascii="黑体" w:hAnsi="黑体" w:eastAsia="黑体" w:cs="黑体"/>
          <w:sz w:val="32"/>
        </w:rPr>
        <w:t>第八十八条</w:t>
      </w:r>
      <w:r>
        <w:rPr>
          <w:rFonts w:ascii="仿宋_GB2312" w:hAnsi="仿宋_GB2312" w:eastAsia="仿宋_GB2312" w:cs="仿宋_GB2312"/>
          <w:sz w:val="32"/>
        </w:rPr>
        <w:t xml:space="preserve">  重点危险废物集中处置设施、场所退役前，运营单位应当按照国家有关规定对设施、场所采取污染防治措施。退役的费用应当预提，列入投资概算或者生产成本，专门用于重点危险废物集中处置设施、场所的退役。具体提取和管理办法，由国务院财政部门、价格主管部门会同国务院生态环境主管部门规定。</w:t>
      </w:r>
    </w:p>
    <w:p>
      <w:pPr>
        <w:spacing w:line="560" w:lineRule="exact"/>
        <w:ind w:firstLine="640"/>
        <w:jc w:val="both"/>
      </w:pPr>
      <w:r>
        <w:rPr>
          <w:rFonts w:ascii="黑体" w:hAnsi="黑体" w:eastAsia="黑体" w:cs="黑体"/>
          <w:sz w:val="32"/>
        </w:rPr>
        <w:t>第八十九条</w:t>
      </w:r>
      <w:r>
        <w:rPr>
          <w:rFonts w:ascii="仿宋_GB2312" w:hAnsi="仿宋_GB2312" w:eastAsia="仿宋_GB2312" w:cs="仿宋_GB2312"/>
          <w:sz w:val="32"/>
        </w:rPr>
        <w:t xml:space="preserve">  禁止经中华人民共和国过境转移危险废物。</w:t>
      </w:r>
    </w:p>
    <w:p>
      <w:pPr>
        <w:spacing w:line="560" w:lineRule="exact"/>
        <w:ind w:firstLine="640"/>
        <w:jc w:val="both"/>
      </w:pPr>
      <w:r>
        <w:rPr>
          <w:rFonts w:ascii="黑体" w:hAnsi="黑体" w:eastAsia="黑体" w:cs="黑体"/>
          <w:sz w:val="32"/>
        </w:rPr>
        <w:t>第九十条</w:t>
      </w:r>
      <w:r>
        <w:rPr>
          <w:rFonts w:ascii="仿宋_GB2312" w:hAnsi="仿宋_GB2312" w:eastAsia="仿宋_GB2312" w:cs="仿宋_GB2312"/>
          <w:sz w:val="32"/>
        </w:rPr>
        <w:t xml:space="preserve">  医疗废物按照国家危险废物名录管理。县级以上地方人民政府应当加强医疗废物集中处置能力建设。</w:t>
      </w:r>
    </w:p>
    <w:p>
      <w:pPr>
        <w:spacing w:line="560" w:lineRule="exact"/>
        <w:ind w:firstLine="640"/>
        <w:jc w:val="both"/>
      </w:pPr>
      <w:r>
        <w:rPr>
          <w:rFonts w:ascii="仿宋_GB2312" w:hAnsi="仿宋_GB2312" w:eastAsia="仿宋_GB2312" w:cs="仿宋_GB2312"/>
          <w:sz w:val="32"/>
        </w:rPr>
        <w:t>县级以上人民政府卫生健康、生态环境等主管部门应当在各自职责范围内加强对医疗废物收集、贮存、运输、处置的监督管理，防止危害公众健康、污染环境。</w:t>
      </w:r>
    </w:p>
    <w:p>
      <w:pPr>
        <w:spacing w:line="560" w:lineRule="exact"/>
        <w:ind w:firstLine="640"/>
        <w:jc w:val="both"/>
      </w:pPr>
      <w:r>
        <w:rPr>
          <w:rFonts w:ascii="仿宋_GB2312" w:hAnsi="仿宋_GB2312" w:eastAsia="仿宋_GB2312" w:cs="仿宋_GB2312"/>
          <w:sz w:val="32"/>
        </w:rPr>
        <w:t>医疗卫生机构应当依法分类收集本单位产生的医疗废物，交由医疗废物集中处置单位处置。医疗废物集中处置单位应当及时收集、运输和处置医疗废物。</w:t>
      </w:r>
    </w:p>
    <w:p>
      <w:pPr>
        <w:spacing w:line="560" w:lineRule="exact"/>
        <w:ind w:firstLine="640"/>
        <w:jc w:val="both"/>
      </w:pPr>
      <w:r>
        <w:rPr>
          <w:rFonts w:ascii="仿宋_GB2312" w:hAnsi="仿宋_GB2312" w:eastAsia="仿宋_GB2312" w:cs="仿宋_GB2312"/>
          <w:sz w:val="32"/>
        </w:rPr>
        <w:t>医疗卫生机构和医疗废物集中处置单位，应当采取有效措施，防止医疗废物流失、泄漏、渗漏、扩散。</w:t>
      </w:r>
    </w:p>
    <w:p>
      <w:pPr>
        <w:spacing w:line="560" w:lineRule="exact"/>
        <w:ind w:firstLine="640"/>
        <w:jc w:val="both"/>
      </w:pPr>
      <w:r>
        <w:rPr>
          <w:rFonts w:ascii="黑体" w:hAnsi="黑体" w:eastAsia="黑体" w:cs="黑体"/>
          <w:sz w:val="32"/>
        </w:rPr>
        <w:t>第九十一条</w:t>
      </w:r>
      <w:r>
        <w:rPr>
          <w:rFonts w:ascii="仿宋_GB2312" w:hAnsi="仿宋_GB2312" w:eastAsia="仿宋_GB2312" w:cs="仿宋_GB2312"/>
          <w:sz w:val="32"/>
        </w:rPr>
        <w:t xml:space="preserve">  重大传染病疫情等突发事件发生时，县级以上人民政府应当统筹协调医疗废物等危险废物收集、贮存、运输、处置等工作，保障所需的车辆、场地、处置设施和防护物资。卫生健康、生态环境、环境卫生、交通运输等主管部门应当协同配合，依法履行应急处置职责。</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第七章  保障措施</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第九十二条</w:t>
      </w:r>
      <w:r>
        <w:rPr>
          <w:rFonts w:ascii="仿宋_GB2312" w:hAnsi="仿宋_GB2312" w:eastAsia="仿宋_GB2312" w:cs="仿宋_GB2312"/>
          <w:sz w:val="32"/>
        </w:rPr>
        <w:t xml:space="preserve">  国务院有关部门、县级以上地方人民政府及其有关部门在编制国土空间规划和相关专项规划时，应当统筹生活垃圾、建筑垃圾、危险废物等固体废物转运、集中处置等设施建设需求，保障转运、集中处置等设施用地。</w:t>
      </w:r>
    </w:p>
    <w:p>
      <w:pPr>
        <w:spacing w:line="560" w:lineRule="exact"/>
        <w:ind w:firstLine="640"/>
        <w:jc w:val="both"/>
      </w:pPr>
      <w:r>
        <w:rPr>
          <w:rFonts w:ascii="黑体" w:hAnsi="黑体" w:eastAsia="黑体" w:cs="黑体"/>
          <w:sz w:val="32"/>
        </w:rPr>
        <w:t>第九十三条</w:t>
      </w:r>
      <w:r>
        <w:rPr>
          <w:rFonts w:ascii="仿宋_GB2312" w:hAnsi="仿宋_GB2312" w:eastAsia="仿宋_GB2312" w:cs="仿宋_GB2312"/>
          <w:sz w:val="32"/>
        </w:rPr>
        <w:t xml:space="preserve">  国家采取有利于固体废物污染环境防治的经济、技术政策和措施，鼓励、支持有关方面采取有利于固体废物污染环境防治的措施，加强对从事固体废物污染环境防治工作人员的培训和指导，促进固体废物污染环境防治产业专业化、规模化发展。</w:t>
      </w:r>
    </w:p>
    <w:p>
      <w:pPr>
        <w:spacing w:line="560" w:lineRule="exact"/>
        <w:ind w:firstLine="640"/>
        <w:jc w:val="both"/>
      </w:pPr>
      <w:r>
        <w:rPr>
          <w:rFonts w:ascii="黑体" w:hAnsi="黑体" w:eastAsia="黑体" w:cs="黑体"/>
          <w:sz w:val="32"/>
        </w:rPr>
        <w:t>第九十四条</w:t>
      </w:r>
      <w:r>
        <w:rPr>
          <w:rFonts w:ascii="仿宋_GB2312" w:hAnsi="仿宋_GB2312" w:eastAsia="仿宋_GB2312" w:cs="仿宋_GB2312"/>
          <w:sz w:val="32"/>
        </w:rPr>
        <w:t xml:space="preserve">  国家鼓励和支持科研单位、固体废物产生单位、固体废物利用单位、固体废物处置单位等联合攻关，研究开发固体废物综合利用、集中处置等的新技术，推动固体废物污染环境防治技术进步。</w:t>
      </w:r>
    </w:p>
    <w:p>
      <w:pPr>
        <w:spacing w:line="560" w:lineRule="exact"/>
        <w:ind w:firstLine="640"/>
        <w:jc w:val="both"/>
      </w:pPr>
      <w:r>
        <w:rPr>
          <w:rFonts w:ascii="黑体" w:hAnsi="黑体" w:eastAsia="黑体" w:cs="黑体"/>
          <w:sz w:val="32"/>
        </w:rPr>
        <w:t>第九十五条</w:t>
      </w:r>
      <w:r>
        <w:rPr>
          <w:rFonts w:ascii="仿宋_GB2312" w:hAnsi="仿宋_GB2312" w:eastAsia="仿宋_GB2312" w:cs="仿宋_GB2312"/>
          <w:sz w:val="32"/>
        </w:rPr>
        <w:t xml:space="preserve">  各级人民政府应当加强固体废物污染环境的防治，按照事权划分的原则安排必要的资金用于下列事项：</w:t>
      </w:r>
    </w:p>
    <w:p>
      <w:pPr>
        <w:spacing w:line="560" w:lineRule="exact"/>
        <w:ind w:firstLine="640"/>
        <w:jc w:val="both"/>
      </w:pPr>
      <w:r>
        <w:rPr>
          <w:rFonts w:ascii="仿宋_GB2312" w:hAnsi="仿宋_GB2312" w:eastAsia="仿宋_GB2312" w:cs="仿宋_GB2312"/>
          <w:sz w:val="32"/>
        </w:rPr>
        <w:t>（一）固体废物污染环境防治的科学研究、技术开发；</w:t>
      </w:r>
    </w:p>
    <w:p>
      <w:pPr>
        <w:spacing w:line="560" w:lineRule="exact"/>
        <w:ind w:firstLine="640"/>
        <w:jc w:val="both"/>
      </w:pPr>
      <w:r>
        <w:rPr>
          <w:rFonts w:ascii="仿宋_GB2312" w:hAnsi="仿宋_GB2312" w:eastAsia="仿宋_GB2312" w:cs="仿宋_GB2312"/>
          <w:sz w:val="32"/>
        </w:rPr>
        <w:t>（二）生活垃圾分类；</w:t>
      </w:r>
    </w:p>
    <w:p>
      <w:pPr>
        <w:spacing w:line="560" w:lineRule="exact"/>
        <w:ind w:firstLine="640"/>
        <w:jc w:val="both"/>
      </w:pPr>
      <w:r>
        <w:rPr>
          <w:rFonts w:ascii="仿宋_GB2312" w:hAnsi="仿宋_GB2312" w:eastAsia="仿宋_GB2312" w:cs="仿宋_GB2312"/>
          <w:sz w:val="32"/>
        </w:rPr>
        <w:t>（三）固体废物集中处置设施建设；</w:t>
      </w:r>
    </w:p>
    <w:p>
      <w:pPr>
        <w:spacing w:line="560" w:lineRule="exact"/>
        <w:ind w:firstLine="640"/>
        <w:jc w:val="both"/>
      </w:pPr>
      <w:r>
        <w:rPr>
          <w:rFonts w:ascii="仿宋_GB2312" w:hAnsi="仿宋_GB2312" w:eastAsia="仿宋_GB2312" w:cs="仿宋_GB2312"/>
          <w:sz w:val="32"/>
        </w:rPr>
        <w:t>（四）重大传染病疫情等突发事件产生的医疗废物等危险废物应急处置；</w:t>
      </w:r>
    </w:p>
    <w:p>
      <w:pPr>
        <w:spacing w:line="560" w:lineRule="exact"/>
        <w:ind w:firstLine="640"/>
        <w:jc w:val="both"/>
      </w:pPr>
      <w:r>
        <w:rPr>
          <w:rFonts w:ascii="仿宋_GB2312" w:hAnsi="仿宋_GB2312" w:eastAsia="仿宋_GB2312" w:cs="仿宋_GB2312"/>
          <w:sz w:val="32"/>
        </w:rPr>
        <w:t>（五）涉及固体废物污染环境防治的其他事项。</w:t>
      </w:r>
    </w:p>
    <w:p>
      <w:pPr>
        <w:spacing w:line="560" w:lineRule="exact"/>
        <w:ind w:firstLine="640"/>
        <w:jc w:val="both"/>
      </w:pPr>
      <w:r>
        <w:rPr>
          <w:rFonts w:ascii="仿宋_GB2312" w:hAnsi="仿宋_GB2312" w:eastAsia="仿宋_GB2312" w:cs="仿宋_GB2312"/>
          <w:sz w:val="32"/>
        </w:rPr>
        <w:t>使用资金应当加强绩效管理和审计监督，确保资金使用效益。</w:t>
      </w:r>
    </w:p>
    <w:p>
      <w:pPr>
        <w:spacing w:line="560" w:lineRule="exact"/>
        <w:ind w:firstLine="640"/>
        <w:jc w:val="both"/>
      </w:pPr>
      <w:r>
        <w:rPr>
          <w:rFonts w:ascii="黑体" w:hAnsi="黑体" w:eastAsia="黑体" w:cs="黑体"/>
          <w:sz w:val="32"/>
        </w:rPr>
        <w:t>第九十六条</w:t>
      </w:r>
      <w:r>
        <w:rPr>
          <w:rFonts w:ascii="仿宋_GB2312" w:hAnsi="仿宋_GB2312" w:eastAsia="仿宋_GB2312" w:cs="仿宋_GB2312"/>
          <w:sz w:val="32"/>
        </w:rPr>
        <w:t xml:space="preserve">  国家鼓励和支持社会力量参与固体废物污染环境防治工作，并按照国家有关规定给予政策扶持。</w:t>
      </w:r>
    </w:p>
    <w:p>
      <w:pPr>
        <w:spacing w:line="560" w:lineRule="exact"/>
        <w:ind w:firstLine="640"/>
        <w:jc w:val="both"/>
      </w:pPr>
      <w:r>
        <w:rPr>
          <w:rFonts w:ascii="黑体" w:hAnsi="黑体" w:eastAsia="黑体" w:cs="黑体"/>
          <w:sz w:val="32"/>
        </w:rPr>
        <w:t>第九十七条</w:t>
      </w:r>
      <w:r>
        <w:rPr>
          <w:rFonts w:ascii="仿宋_GB2312" w:hAnsi="仿宋_GB2312" w:eastAsia="仿宋_GB2312" w:cs="仿宋_GB2312"/>
          <w:sz w:val="32"/>
        </w:rPr>
        <w:t xml:space="preserve">  国家发展绿色金融，鼓励金融机构加大对固体废物污染环境防治项目的信贷投放。</w:t>
      </w:r>
    </w:p>
    <w:p>
      <w:pPr>
        <w:spacing w:line="560" w:lineRule="exact"/>
        <w:ind w:firstLine="640"/>
        <w:jc w:val="both"/>
      </w:pPr>
      <w:r>
        <w:rPr>
          <w:rFonts w:ascii="黑体" w:hAnsi="黑体" w:eastAsia="黑体" w:cs="黑体"/>
          <w:sz w:val="32"/>
        </w:rPr>
        <w:t>第九十八条</w:t>
      </w:r>
      <w:r>
        <w:rPr>
          <w:rFonts w:ascii="仿宋_GB2312" w:hAnsi="仿宋_GB2312" w:eastAsia="仿宋_GB2312" w:cs="仿宋_GB2312"/>
          <w:sz w:val="32"/>
        </w:rPr>
        <w:t xml:space="preserve">  从事固体废物综合利用等固体废物污染环境防治工作的，依照法律、行政法规的规定，享受税收优惠。</w:t>
      </w:r>
    </w:p>
    <w:p>
      <w:pPr>
        <w:spacing w:line="560" w:lineRule="exact"/>
        <w:ind w:firstLine="640"/>
        <w:jc w:val="both"/>
      </w:pPr>
      <w:r>
        <w:rPr>
          <w:rFonts w:ascii="仿宋_GB2312" w:hAnsi="仿宋_GB2312" w:eastAsia="仿宋_GB2312" w:cs="仿宋_GB2312"/>
          <w:sz w:val="32"/>
        </w:rPr>
        <w:t>国家鼓励并提倡社会各界为防治固体废物污染环境捐赠财产，并依照法律、行政法规的规定，给予税收优惠。</w:t>
      </w:r>
    </w:p>
    <w:p>
      <w:pPr>
        <w:spacing w:line="560" w:lineRule="exact"/>
        <w:ind w:firstLine="640"/>
        <w:jc w:val="both"/>
      </w:pPr>
      <w:r>
        <w:rPr>
          <w:rFonts w:ascii="黑体" w:hAnsi="黑体" w:eastAsia="黑体" w:cs="黑体"/>
          <w:sz w:val="32"/>
        </w:rPr>
        <w:t>第九十九条</w:t>
      </w:r>
      <w:r>
        <w:rPr>
          <w:rFonts w:ascii="仿宋_GB2312" w:hAnsi="仿宋_GB2312" w:eastAsia="仿宋_GB2312" w:cs="仿宋_GB2312"/>
          <w:sz w:val="32"/>
        </w:rPr>
        <w:t xml:space="preserve">  收集、贮存、运输、利用、处置危险废物的单位，应当按照国家有关规定，投保环境污染责任保险。</w:t>
      </w:r>
    </w:p>
    <w:p>
      <w:pPr>
        <w:spacing w:line="560" w:lineRule="exact"/>
        <w:ind w:firstLine="640"/>
        <w:jc w:val="both"/>
      </w:pPr>
      <w:r>
        <w:rPr>
          <w:rFonts w:ascii="黑体" w:hAnsi="黑体" w:eastAsia="黑体" w:cs="黑体"/>
          <w:sz w:val="32"/>
        </w:rPr>
        <w:t>第一百条</w:t>
      </w:r>
      <w:r>
        <w:rPr>
          <w:rFonts w:ascii="仿宋_GB2312" w:hAnsi="仿宋_GB2312" w:eastAsia="仿宋_GB2312" w:cs="仿宋_GB2312"/>
          <w:sz w:val="32"/>
        </w:rPr>
        <w:t xml:space="preserve">  国家鼓励单位和个人购买、使用综合利用产品和可重复使用产品。</w:t>
      </w:r>
    </w:p>
    <w:p>
      <w:pPr>
        <w:spacing w:line="560" w:lineRule="exact"/>
        <w:ind w:firstLine="640"/>
        <w:jc w:val="both"/>
      </w:pPr>
      <w:r>
        <w:rPr>
          <w:rFonts w:ascii="仿宋_GB2312" w:hAnsi="仿宋_GB2312" w:eastAsia="仿宋_GB2312" w:cs="仿宋_GB2312"/>
          <w:sz w:val="32"/>
        </w:rPr>
        <w:t>县级以上人民政府及其有关部门在政府采购过程中，应当优先采购综合利用产品和可重复使用产品。</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第八章  法律责任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第一百零一条</w:t>
      </w:r>
      <w:r>
        <w:rPr>
          <w:rFonts w:ascii="仿宋_GB2312" w:hAnsi="仿宋_GB2312" w:eastAsia="仿宋_GB2312" w:cs="仿宋_GB2312"/>
          <w:sz w:val="32"/>
        </w:rPr>
        <w:t xml:space="preserve">  生态环境主管部门或者其他负有固体废物污染环境防治监督管理职责的部门违反本法规定，有下列行为之一，由本级人民政府或者上级人民政府有关部门责令改正，对直接负责的主管人员和其他直接责任人员依法给予处分：</w:t>
      </w:r>
    </w:p>
    <w:p>
      <w:pPr>
        <w:spacing w:line="560" w:lineRule="exact"/>
        <w:ind w:firstLine="640"/>
        <w:jc w:val="both"/>
      </w:pPr>
      <w:r>
        <w:rPr>
          <w:rFonts w:ascii="仿宋_GB2312" w:hAnsi="仿宋_GB2312" w:eastAsia="仿宋_GB2312" w:cs="仿宋_GB2312"/>
          <w:sz w:val="32"/>
        </w:rPr>
        <w:t>（一）未依法作出行政许可或者办理批准文件的；</w:t>
      </w:r>
    </w:p>
    <w:p>
      <w:pPr>
        <w:spacing w:line="560" w:lineRule="exact"/>
        <w:ind w:firstLine="640"/>
        <w:jc w:val="both"/>
      </w:pPr>
      <w:r>
        <w:rPr>
          <w:rFonts w:ascii="仿宋_GB2312" w:hAnsi="仿宋_GB2312" w:eastAsia="仿宋_GB2312" w:cs="仿宋_GB2312"/>
          <w:sz w:val="32"/>
        </w:rPr>
        <w:t>（二）对违法行为进行包庇的；</w:t>
      </w:r>
    </w:p>
    <w:p>
      <w:pPr>
        <w:spacing w:line="560" w:lineRule="exact"/>
        <w:ind w:firstLine="640"/>
        <w:jc w:val="both"/>
      </w:pPr>
      <w:r>
        <w:rPr>
          <w:rFonts w:ascii="仿宋_GB2312" w:hAnsi="仿宋_GB2312" w:eastAsia="仿宋_GB2312" w:cs="仿宋_GB2312"/>
          <w:sz w:val="32"/>
        </w:rPr>
        <w:t>（三）未依法查封、扣押的；</w:t>
      </w:r>
    </w:p>
    <w:p>
      <w:pPr>
        <w:spacing w:line="560" w:lineRule="exact"/>
        <w:ind w:firstLine="640"/>
        <w:jc w:val="both"/>
      </w:pPr>
      <w:r>
        <w:rPr>
          <w:rFonts w:ascii="仿宋_GB2312" w:hAnsi="仿宋_GB2312" w:eastAsia="仿宋_GB2312" w:cs="仿宋_GB2312"/>
          <w:sz w:val="32"/>
        </w:rPr>
        <w:t>（四）发现违法行为或者接到对违法行为的举报后未予查处的；</w:t>
      </w:r>
    </w:p>
    <w:p>
      <w:pPr>
        <w:spacing w:line="560" w:lineRule="exact"/>
        <w:ind w:firstLine="640"/>
        <w:jc w:val="both"/>
      </w:pPr>
      <w:r>
        <w:rPr>
          <w:rFonts w:ascii="仿宋_GB2312" w:hAnsi="仿宋_GB2312" w:eastAsia="仿宋_GB2312" w:cs="仿宋_GB2312"/>
          <w:sz w:val="32"/>
        </w:rPr>
        <w:t>（五）有其他滥用职权、玩忽职守、徇私舞弊等违法行为的。</w:t>
      </w:r>
    </w:p>
    <w:p>
      <w:pPr>
        <w:spacing w:line="560" w:lineRule="exact"/>
        <w:ind w:firstLine="640"/>
        <w:jc w:val="both"/>
      </w:pPr>
      <w:r>
        <w:rPr>
          <w:rFonts w:ascii="仿宋_GB2312" w:hAnsi="仿宋_GB2312" w:eastAsia="仿宋_GB2312" w:cs="仿宋_GB2312"/>
          <w:sz w:val="32"/>
        </w:rPr>
        <w:t>依照本法规定应当作出行政处罚决定而未作出的，上级主管部门可以直接作出行政处罚决定。</w:t>
      </w:r>
    </w:p>
    <w:p>
      <w:pPr>
        <w:spacing w:line="560" w:lineRule="exact"/>
        <w:ind w:firstLine="640"/>
        <w:jc w:val="both"/>
      </w:pPr>
      <w:r>
        <w:rPr>
          <w:rFonts w:ascii="黑体" w:hAnsi="黑体" w:eastAsia="黑体" w:cs="黑体"/>
          <w:sz w:val="32"/>
        </w:rPr>
        <w:t>第一百零二条</w:t>
      </w:r>
      <w:r>
        <w:rPr>
          <w:rFonts w:ascii="仿宋_GB2312" w:hAnsi="仿宋_GB2312" w:eastAsia="仿宋_GB2312" w:cs="仿宋_GB2312"/>
          <w:sz w:val="32"/>
        </w:rPr>
        <w:t xml:space="preserve">  违反本法规定，有下列行为之一，由生态环境主管部门责令改正，处以罚款，没收违法所得；情节严重的，报经有批准权的人民政府批准，可以责令停业或者关闭：</w:t>
      </w:r>
    </w:p>
    <w:p>
      <w:pPr>
        <w:spacing w:line="560" w:lineRule="exact"/>
        <w:ind w:firstLine="640"/>
        <w:jc w:val="both"/>
      </w:pPr>
      <w:r>
        <w:rPr>
          <w:rFonts w:ascii="仿宋_GB2312" w:hAnsi="仿宋_GB2312" w:eastAsia="仿宋_GB2312" w:cs="仿宋_GB2312"/>
          <w:sz w:val="32"/>
        </w:rPr>
        <w:t>（一）产生、收集、贮存、运输、利用、处置固体废物的单位未依法及时公开固体废物污染环境防治信息的；</w:t>
      </w:r>
    </w:p>
    <w:p>
      <w:pPr>
        <w:spacing w:line="560" w:lineRule="exact"/>
        <w:ind w:firstLine="640"/>
        <w:jc w:val="both"/>
      </w:pPr>
      <w:r>
        <w:rPr>
          <w:rFonts w:ascii="仿宋_GB2312" w:hAnsi="仿宋_GB2312" w:eastAsia="仿宋_GB2312" w:cs="仿宋_GB2312"/>
          <w:sz w:val="32"/>
        </w:rPr>
        <w:t>（二）生活垃圾处理单位未按照国家有关规定安装使用监测设备、实时监测污染物的排放情况并公开污染排放数据的；</w:t>
      </w:r>
    </w:p>
    <w:p>
      <w:pPr>
        <w:spacing w:line="560" w:lineRule="exact"/>
        <w:ind w:firstLine="640"/>
        <w:jc w:val="both"/>
      </w:pPr>
      <w:r>
        <w:rPr>
          <w:rFonts w:ascii="仿宋_GB2312" w:hAnsi="仿宋_GB2312" w:eastAsia="仿宋_GB2312" w:cs="仿宋_GB2312"/>
          <w:sz w:val="32"/>
        </w:rPr>
        <w:t>（三）将列入限期淘汰名录被淘汰的设备转让给他人使用的；</w:t>
      </w:r>
    </w:p>
    <w:p>
      <w:pPr>
        <w:spacing w:line="560" w:lineRule="exact"/>
        <w:ind w:firstLine="640"/>
        <w:jc w:val="both"/>
      </w:pPr>
      <w:r>
        <w:rPr>
          <w:rFonts w:ascii="仿宋_GB2312" w:hAnsi="仿宋_GB2312" w:eastAsia="仿宋_GB2312" w:cs="仿宋_GB2312"/>
          <w:sz w:val="32"/>
        </w:rPr>
        <w:t>（四）在生态保护红线区域、永久基本农田集中区域和其他需要特别保护的区域内，建设工业固体废物、危险废物集中贮存、利用、处置的设施、场所和生活垃圾填埋场的；</w:t>
      </w:r>
    </w:p>
    <w:p>
      <w:pPr>
        <w:spacing w:line="560" w:lineRule="exact"/>
        <w:ind w:firstLine="640"/>
        <w:jc w:val="both"/>
      </w:pPr>
      <w:r>
        <w:rPr>
          <w:rFonts w:ascii="仿宋_GB2312" w:hAnsi="仿宋_GB2312" w:eastAsia="仿宋_GB2312" w:cs="仿宋_GB2312"/>
          <w:sz w:val="32"/>
        </w:rPr>
        <w:t>（五）转移固体废物出省、自治区、直辖市行政区域贮存、处置未经批准的；</w:t>
      </w:r>
    </w:p>
    <w:p>
      <w:pPr>
        <w:spacing w:line="560" w:lineRule="exact"/>
        <w:ind w:firstLine="640"/>
        <w:jc w:val="both"/>
      </w:pPr>
      <w:r>
        <w:rPr>
          <w:rFonts w:ascii="仿宋_GB2312" w:hAnsi="仿宋_GB2312" w:eastAsia="仿宋_GB2312" w:cs="仿宋_GB2312"/>
          <w:sz w:val="32"/>
        </w:rPr>
        <w:t>（六）转移固体废物出省、自治区、直辖市行政区域利用未报备案的；</w:t>
      </w:r>
    </w:p>
    <w:p>
      <w:pPr>
        <w:spacing w:line="560" w:lineRule="exact"/>
        <w:ind w:firstLine="640"/>
        <w:jc w:val="both"/>
      </w:pPr>
      <w:r>
        <w:rPr>
          <w:rFonts w:ascii="仿宋_GB2312" w:hAnsi="仿宋_GB2312" w:eastAsia="仿宋_GB2312" w:cs="仿宋_GB2312"/>
          <w:sz w:val="32"/>
        </w:rPr>
        <w:t>（七）擅自倾倒、堆放、丢弃、遗撒工业固体废物，或者未采取相应防范措施，造成工业固体废物扬散、流失、渗漏或者其他环境污染的；</w:t>
      </w:r>
    </w:p>
    <w:p>
      <w:pPr>
        <w:spacing w:line="560" w:lineRule="exact"/>
        <w:ind w:firstLine="640"/>
        <w:jc w:val="both"/>
      </w:pPr>
      <w:r>
        <w:rPr>
          <w:rFonts w:ascii="仿宋_GB2312" w:hAnsi="仿宋_GB2312" w:eastAsia="仿宋_GB2312" w:cs="仿宋_GB2312"/>
          <w:sz w:val="32"/>
        </w:rPr>
        <w:t>（八）产生工业固体废物的单位未建立固体废物管理台账并如实记录的；</w:t>
      </w:r>
    </w:p>
    <w:p>
      <w:pPr>
        <w:spacing w:line="560" w:lineRule="exact"/>
        <w:ind w:firstLine="640"/>
        <w:jc w:val="both"/>
      </w:pPr>
      <w:r>
        <w:rPr>
          <w:rFonts w:ascii="仿宋_GB2312" w:hAnsi="仿宋_GB2312" w:eastAsia="仿宋_GB2312" w:cs="仿宋_GB2312"/>
          <w:sz w:val="32"/>
        </w:rPr>
        <w:t>（九）产生工业固体废物的单位违反本法规定委托他人运输、利用、处置工业固体废物的；</w:t>
      </w:r>
    </w:p>
    <w:p>
      <w:pPr>
        <w:spacing w:line="560" w:lineRule="exact"/>
        <w:ind w:firstLine="640"/>
        <w:jc w:val="both"/>
      </w:pPr>
      <w:r>
        <w:rPr>
          <w:rFonts w:ascii="仿宋_GB2312" w:hAnsi="仿宋_GB2312" w:eastAsia="仿宋_GB2312" w:cs="仿宋_GB2312"/>
          <w:sz w:val="32"/>
        </w:rPr>
        <w:t>（十）贮存工业固体废物未采取符合国家环境保护标准的防护措施的；</w:t>
      </w:r>
    </w:p>
    <w:p>
      <w:pPr>
        <w:spacing w:line="560" w:lineRule="exact"/>
        <w:ind w:firstLine="640"/>
        <w:jc w:val="both"/>
      </w:pPr>
      <w:r>
        <w:rPr>
          <w:rFonts w:ascii="仿宋_GB2312" w:hAnsi="仿宋_GB2312" w:eastAsia="仿宋_GB2312" w:cs="仿宋_GB2312"/>
          <w:sz w:val="32"/>
        </w:rPr>
        <w:t>（十一）单位和其他生产经营者违反固体废物管理其他要求，污染环境、破坏生态的。</w:t>
      </w:r>
    </w:p>
    <w:p>
      <w:pPr>
        <w:spacing w:line="560" w:lineRule="exact"/>
        <w:ind w:firstLine="640"/>
        <w:jc w:val="both"/>
      </w:pPr>
      <w:r>
        <w:rPr>
          <w:rFonts w:ascii="仿宋_GB2312" w:hAnsi="仿宋_GB2312" w:eastAsia="仿宋_GB2312" w:cs="仿宋_GB2312"/>
          <w:sz w:val="32"/>
        </w:rPr>
        <w:t>有前款第一项、第八项行为之一，处五万元以上二十万元以下的罚款；有前款第二项、第三项、第四项、第五项、第六项、第九项、第十项、第十一项行为之一，处十万元以上一百万元以下的罚款；有前款第七项行为，处所需处置费用一倍以上三倍以下的罚款，所需处置费用不足十万元的，按十万元计算。对前款第十一项行为的处罚，有关法律、行政法规另有规定的，适用其规定。</w:t>
      </w:r>
    </w:p>
    <w:p>
      <w:pPr>
        <w:spacing w:line="560" w:lineRule="exact"/>
        <w:ind w:firstLine="640"/>
        <w:jc w:val="both"/>
      </w:pPr>
      <w:r>
        <w:rPr>
          <w:rFonts w:ascii="黑体" w:hAnsi="黑体" w:eastAsia="黑体" w:cs="黑体"/>
          <w:sz w:val="32"/>
        </w:rPr>
        <w:t>第一百零三条</w:t>
      </w:r>
      <w:r>
        <w:rPr>
          <w:rFonts w:ascii="仿宋_GB2312" w:hAnsi="仿宋_GB2312" w:eastAsia="仿宋_GB2312" w:cs="仿宋_GB2312"/>
          <w:sz w:val="32"/>
        </w:rPr>
        <w:t xml:space="preserve">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p>
      <w:pPr>
        <w:spacing w:line="560" w:lineRule="exact"/>
        <w:ind w:firstLine="640"/>
        <w:jc w:val="both"/>
      </w:pPr>
      <w:r>
        <w:rPr>
          <w:rFonts w:ascii="黑体" w:hAnsi="黑体" w:eastAsia="黑体" w:cs="黑体"/>
          <w:sz w:val="32"/>
        </w:rPr>
        <w:t>第一百零四条</w:t>
      </w:r>
      <w:r>
        <w:rPr>
          <w:rFonts w:ascii="仿宋_GB2312" w:hAnsi="仿宋_GB2312" w:eastAsia="仿宋_GB2312" w:cs="仿宋_GB2312"/>
          <w:sz w:val="32"/>
        </w:rPr>
        <w:t xml:space="preserve">  违反本法规定，未依法取得排污许可证产生工业固体废物的，由生态环境主管部门责令改正或者限制生产、停产整治，处十万元以上一百万元以下的罚款；情节严重的，报经有批准权的人民政府批准，责令停业或者关闭。</w:t>
      </w:r>
    </w:p>
    <w:p>
      <w:pPr>
        <w:spacing w:line="560" w:lineRule="exact"/>
        <w:ind w:firstLine="640"/>
        <w:jc w:val="both"/>
      </w:pPr>
      <w:r>
        <w:rPr>
          <w:rFonts w:ascii="黑体" w:hAnsi="黑体" w:eastAsia="黑体" w:cs="黑体"/>
          <w:sz w:val="32"/>
        </w:rPr>
        <w:t>第一百零五条</w:t>
      </w:r>
      <w:r>
        <w:rPr>
          <w:rFonts w:ascii="仿宋_GB2312" w:hAnsi="仿宋_GB2312" w:eastAsia="仿宋_GB2312" w:cs="仿宋_GB2312"/>
          <w:sz w:val="32"/>
        </w:rPr>
        <w:t xml:space="preserve">  违反本法规定，生产经营者未遵守限制商品过度包装的强制性标准的，由县级以上地方人民政府市场监督管理部门或者有关部门责令改正；拒不改正的，处二千元以上二万元以下的罚款；情节严重的，处二万元以上十万元以下的罚款。</w:t>
      </w:r>
    </w:p>
    <w:p>
      <w:pPr>
        <w:spacing w:line="560" w:lineRule="exact"/>
        <w:ind w:firstLine="640"/>
        <w:jc w:val="both"/>
      </w:pPr>
      <w:r>
        <w:rPr>
          <w:rFonts w:ascii="黑体" w:hAnsi="黑体" w:eastAsia="黑体" w:cs="黑体"/>
          <w:sz w:val="32"/>
        </w:rPr>
        <w:t>第一百零六条</w:t>
      </w:r>
      <w:r>
        <w:rPr>
          <w:rFonts w:ascii="仿宋_GB2312" w:hAnsi="仿宋_GB2312" w:eastAsia="仿宋_GB2312" w:cs="仿宋_GB2312"/>
          <w:sz w:val="32"/>
        </w:rPr>
        <w:t xml:space="preserve">  违反本法规定，未遵守国家有关禁止、限制使用不可降解塑料袋等一次性塑料制品的规定，或者未按照国家有关规定报告塑料袋等一次性塑料制品的使用情况的，由县级以上地方人民政府商务、邮政等主管部门责令改正，处一万元以上十万元以下的罚款。</w:t>
      </w:r>
    </w:p>
    <w:p>
      <w:pPr>
        <w:spacing w:line="560" w:lineRule="exact"/>
        <w:ind w:firstLine="640"/>
        <w:jc w:val="both"/>
      </w:pPr>
      <w:r>
        <w:rPr>
          <w:rFonts w:ascii="黑体" w:hAnsi="黑体" w:eastAsia="黑体" w:cs="黑体"/>
          <w:sz w:val="32"/>
        </w:rPr>
        <w:t>第一百零七条</w:t>
      </w:r>
      <w:r>
        <w:rPr>
          <w:rFonts w:ascii="仿宋_GB2312" w:hAnsi="仿宋_GB2312" w:eastAsia="仿宋_GB2312" w:cs="仿宋_GB2312"/>
          <w:sz w:val="32"/>
        </w:rPr>
        <w:t xml:space="preserve">  从事畜禽规模养殖未及时收集、贮存、利用或者处置养殖过程中产生的畜禽粪污等固体废物的，由生态环境主管部门责令改正，可以处十万元以下的罚款；情节严重的，报经有批准权的人民政府批准，责令停业或者关闭。</w:t>
      </w:r>
    </w:p>
    <w:p>
      <w:pPr>
        <w:spacing w:line="560" w:lineRule="exact"/>
        <w:ind w:firstLine="640"/>
        <w:jc w:val="both"/>
      </w:pPr>
      <w:r>
        <w:rPr>
          <w:rFonts w:ascii="黑体" w:hAnsi="黑体" w:eastAsia="黑体" w:cs="黑体"/>
          <w:sz w:val="32"/>
        </w:rPr>
        <w:t>第一百零八条</w:t>
      </w:r>
      <w:r>
        <w:rPr>
          <w:rFonts w:ascii="仿宋_GB2312" w:hAnsi="仿宋_GB2312" w:eastAsia="仿宋_GB2312" w:cs="仿宋_GB2312"/>
          <w:sz w:val="32"/>
        </w:rPr>
        <w:t xml:space="preserve">  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p>
      <w:pPr>
        <w:spacing w:line="560" w:lineRule="exact"/>
        <w:ind w:firstLine="640"/>
        <w:jc w:val="both"/>
      </w:pPr>
      <w:r>
        <w:rPr>
          <w:rFonts w:ascii="仿宋_GB2312" w:hAnsi="仿宋_GB2312" w:eastAsia="仿宋_GB2312" w:cs="仿宋_GB2312"/>
          <w:sz w:val="32"/>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p>
      <w:pPr>
        <w:spacing w:line="560" w:lineRule="exact"/>
        <w:ind w:firstLine="640"/>
        <w:jc w:val="both"/>
      </w:pPr>
      <w:r>
        <w:rPr>
          <w:rFonts w:ascii="黑体" w:hAnsi="黑体" w:eastAsia="黑体" w:cs="黑体"/>
          <w:sz w:val="32"/>
        </w:rPr>
        <w:t>第一百零九条</w:t>
      </w:r>
      <w:r>
        <w:rPr>
          <w:rFonts w:ascii="仿宋_GB2312" w:hAnsi="仿宋_GB2312" w:eastAsia="仿宋_GB2312" w:cs="仿宋_GB2312"/>
          <w:sz w:val="32"/>
        </w:rPr>
        <w:t xml:space="preserve">  违反本法规定，生产、销售、进口或者使用淘汰的设备，或者采用淘汰的生产工艺的，由县级以上地方人民政府指定的部门责令改正，处十万元以上一百万元以下的罚款，没收违法所得；情节严重的，由县级以上地方人民政府指定的部门提出意见，报经有批准权的人民政府批准，责令停业或者关闭。</w:t>
      </w:r>
    </w:p>
    <w:p>
      <w:pPr>
        <w:spacing w:line="560" w:lineRule="exact"/>
        <w:ind w:firstLine="640"/>
        <w:jc w:val="both"/>
      </w:pPr>
      <w:r>
        <w:rPr>
          <w:rFonts w:ascii="黑体" w:hAnsi="黑体" w:eastAsia="黑体" w:cs="黑体"/>
          <w:sz w:val="32"/>
        </w:rPr>
        <w:t>第一百一十条</w:t>
      </w:r>
      <w:r>
        <w:rPr>
          <w:rFonts w:ascii="仿宋_GB2312" w:hAnsi="仿宋_GB2312" w:eastAsia="仿宋_GB2312" w:cs="仿宋_GB2312"/>
          <w:sz w:val="32"/>
        </w:rPr>
        <w:t xml:space="preserve">  尾矿、煤矸石、废石等矿业固体废物贮存设施停止使用后，未按照国家有关环境保护规定进行封场的，由生态环境主管部门责令改正，处二十万元以上一百万元以下的罚款。</w:t>
      </w:r>
    </w:p>
    <w:p>
      <w:pPr>
        <w:spacing w:line="560" w:lineRule="exact"/>
        <w:ind w:firstLine="640"/>
        <w:jc w:val="both"/>
      </w:pPr>
      <w:r>
        <w:rPr>
          <w:rFonts w:ascii="黑体" w:hAnsi="黑体" w:eastAsia="黑体" w:cs="黑体"/>
          <w:sz w:val="32"/>
        </w:rPr>
        <w:t>第一百一十一条</w:t>
      </w:r>
      <w:r>
        <w:rPr>
          <w:rFonts w:ascii="仿宋_GB2312" w:hAnsi="仿宋_GB2312" w:eastAsia="仿宋_GB2312" w:cs="仿宋_GB2312"/>
          <w:sz w:val="32"/>
        </w:rPr>
        <w:t xml:space="preserve">  违反本法规定，有下列行为之一，由县级以上地方人民政府环境卫生主管部门责令改正，处以罚款，没收违法所得：</w:t>
      </w:r>
    </w:p>
    <w:p>
      <w:pPr>
        <w:spacing w:line="560" w:lineRule="exact"/>
        <w:ind w:firstLine="640"/>
        <w:jc w:val="both"/>
      </w:pPr>
      <w:r>
        <w:rPr>
          <w:rFonts w:ascii="仿宋_GB2312" w:hAnsi="仿宋_GB2312" w:eastAsia="仿宋_GB2312" w:cs="仿宋_GB2312"/>
          <w:sz w:val="32"/>
        </w:rPr>
        <w:t>（一）随意倾倒、抛撒、堆放或者焚烧生活垃圾的；</w:t>
      </w:r>
    </w:p>
    <w:p>
      <w:pPr>
        <w:spacing w:line="560" w:lineRule="exact"/>
        <w:ind w:firstLine="640"/>
        <w:jc w:val="both"/>
      </w:pPr>
      <w:r>
        <w:rPr>
          <w:rFonts w:ascii="仿宋_GB2312" w:hAnsi="仿宋_GB2312" w:eastAsia="仿宋_GB2312" w:cs="仿宋_GB2312"/>
          <w:sz w:val="32"/>
        </w:rPr>
        <w:t>（二）擅自关闭、闲置或者拆除生活垃圾处理设施、场所的；</w:t>
      </w:r>
    </w:p>
    <w:p>
      <w:pPr>
        <w:spacing w:line="560" w:lineRule="exact"/>
        <w:ind w:firstLine="640"/>
        <w:jc w:val="both"/>
      </w:pPr>
      <w:r>
        <w:rPr>
          <w:rFonts w:ascii="仿宋_GB2312" w:hAnsi="仿宋_GB2312" w:eastAsia="仿宋_GB2312" w:cs="仿宋_GB2312"/>
          <w:sz w:val="32"/>
        </w:rPr>
        <w:t>（三）工程施工单位未编制建筑垃圾处理方案报备案，或者未及时清运施工过程中产生的固体废物的；</w:t>
      </w:r>
    </w:p>
    <w:p>
      <w:pPr>
        <w:spacing w:line="560" w:lineRule="exact"/>
        <w:ind w:firstLine="640"/>
        <w:jc w:val="both"/>
      </w:pPr>
      <w:r>
        <w:rPr>
          <w:rFonts w:ascii="仿宋_GB2312" w:hAnsi="仿宋_GB2312" w:eastAsia="仿宋_GB2312" w:cs="仿宋_GB2312"/>
          <w:sz w:val="32"/>
        </w:rPr>
        <w:t>（四）工程施工单位擅自倾倒、抛撒或者堆放工程施工过程中产生的建筑垃圾，或者未按照规定对施工过程中产生的固体废物进行利用或者处置的；</w:t>
      </w:r>
    </w:p>
    <w:p>
      <w:pPr>
        <w:spacing w:line="560" w:lineRule="exact"/>
        <w:ind w:firstLine="640"/>
        <w:jc w:val="both"/>
      </w:pPr>
      <w:r>
        <w:rPr>
          <w:rFonts w:ascii="仿宋_GB2312" w:hAnsi="仿宋_GB2312" w:eastAsia="仿宋_GB2312" w:cs="仿宋_GB2312"/>
          <w:sz w:val="32"/>
        </w:rPr>
        <w:t>（五）产生、收集厨余垃圾的单位和其他生产经营者未将厨余垃圾交由具备相应资质条件的单位进行无害化处理的；</w:t>
      </w:r>
    </w:p>
    <w:p>
      <w:pPr>
        <w:spacing w:line="560" w:lineRule="exact"/>
        <w:ind w:firstLine="640"/>
        <w:jc w:val="both"/>
      </w:pPr>
      <w:r>
        <w:rPr>
          <w:rFonts w:ascii="仿宋_GB2312" w:hAnsi="仿宋_GB2312" w:eastAsia="仿宋_GB2312" w:cs="仿宋_GB2312"/>
          <w:sz w:val="32"/>
        </w:rPr>
        <w:t>（六）畜禽养殖场、养殖小区利用未经无害化处理的厨余垃圾饲喂畜禽的；</w:t>
      </w:r>
    </w:p>
    <w:p>
      <w:pPr>
        <w:spacing w:line="560" w:lineRule="exact"/>
        <w:ind w:firstLine="640"/>
        <w:jc w:val="both"/>
      </w:pPr>
      <w:r>
        <w:rPr>
          <w:rFonts w:ascii="仿宋_GB2312" w:hAnsi="仿宋_GB2312" w:eastAsia="仿宋_GB2312" w:cs="仿宋_GB2312"/>
          <w:sz w:val="32"/>
        </w:rPr>
        <w:t>（七）在运输过程中沿途丢弃、遗撒生活垃圾的。</w:t>
      </w:r>
    </w:p>
    <w:p>
      <w:pPr>
        <w:spacing w:line="560" w:lineRule="exact"/>
        <w:ind w:firstLine="640"/>
        <w:jc w:val="both"/>
      </w:pPr>
      <w:r>
        <w:rPr>
          <w:rFonts w:ascii="仿宋_GB2312" w:hAnsi="仿宋_GB2312" w:eastAsia="仿宋_GB2312" w:cs="仿宋_GB2312"/>
          <w:sz w:val="32"/>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pPr>
        <w:spacing w:line="560" w:lineRule="exact"/>
        <w:ind w:firstLine="640"/>
        <w:jc w:val="both"/>
      </w:pPr>
      <w:r>
        <w:rPr>
          <w:rFonts w:ascii="仿宋_GB2312" w:hAnsi="仿宋_GB2312" w:eastAsia="仿宋_GB2312" w:cs="仿宋_GB2312"/>
          <w:sz w:val="32"/>
        </w:rPr>
        <w:t>违反本法规定，未在指定的地点分类投放生活垃圾的，由县级以上地方人民政府环境卫生主管部门责令改正；情节严重的，对单位处五万元以上五十万元以下的罚款，对个人依法处以罚款。</w:t>
      </w:r>
    </w:p>
    <w:p>
      <w:pPr>
        <w:spacing w:line="560" w:lineRule="exact"/>
        <w:ind w:firstLine="640"/>
        <w:jc w:val="both"/>
      </w:pPr>
      <w:r>
        <w:rPr>
          <w:rFonts w:ascii="黑体" w:hAnsi="黑体" w:eastAsia="黑体" w:cs="黑体"/>
          <w:sz w:val="32"/>
        </w:rPr>
        <w:t>第一百一十二条</w:t>
      </w:r>
      <w:r>
        <w:rPr>
          <w:rFonts w:ascii="仿宋_GB2312" w:hAnsi="仿宋_GB2312" w:eastAsia="仿宋_GB2312" w:cs="仿宋_GB2312"/>
          <w:sz w:val="32"/>
        </w:rPr>
        <w:t xml:space="preserve">  违反本法规定，有下列行为之一，由生态环境主管部门责令改正，处以罚款，没收违法所得；情节严重的，报经有批准权的人民政府批准，可以责令停业或者关闭：</w:t>
      </w:r>
    </w:p>
    <w:p>
      <w:pPr>
        <w:spacing w:line="560" w:lineRule="exact"/>
        <w:ind w:firstLine="640"/>
        <w:jc w:val="both"/>
      </w:pPr>
      <w:r>
        <w:rPr>
          <w:rFonts w:ascii="仿宋_GB2312" w:hAnsi="仿宋_GB2312" w:eastAsia="仿宋_GB2312" w:cs="仿宋_GB2312"/>
          <w:sz w:val="32"/>
        </w:rPr>
        <w:t>（一）未按照规定设置危险废物识别标志的；</w:t>
      </w:r>
    </w:p>
    <w:p>
      <w:pPr>
        <w:spacing w:line="560" w:lineRule="exact"/>
        <w:ind w:firstLine="640"/>
        <w:jc w:val="both"/>
      </w:pPr>
      <w:r>
        <w:rPr>
          <w:rFonts w:ascii="仿宋_GB2312" w:hAnsi="仿宋_GB2312" w:eastAsia="仿宋_GB2312" w:cs="仿宋_GB2312"/>
          <w:sz w:val="32"/>
        </w:rPr>
        <w:t>（二）未按照国家有关规定制定危险废物管理计划或者申报危险废物有关资料的；</w:t>
      </w:r>
    </w:p>
    <w:p>
      <w:pPr>
        <w:spacing w:line="560" w:lineRule="exact"/>
        <w:ind w:firstLine="640"/>
        <w:jc w:val="both"/>
      </w:pPr>
      <w:r>
        <w:rPr>
          <w:rFonts w:ascii="仿宋_GB2312" w:hAnsi="仿宋_GB2312" w:eastAsia="仿宋_GB2312" w:cs="仿宋_GB2312"/>
          <w:sz w:val="32"/>
        </w:rPr>
        <w:t>（三）擅自倾倒、堆放危险废物的；</w:t>
      </w:r>
    </w:p>
    <w:p>
      <w:pPr>
        <w:spacing w:line="560" w:lineRule="exact"/>
        <w:ind w:firstLine="640"/>
        <w:jc w:val="both"/>
      </w:pPr>
      <w:r>
        <w:rPr>
          <w:rFonts w:ascii="仿宋_GB2312" w:hAnsi="仿宋_GB2312" w:eastAsia="仿宋_GB2312" w:cs="仿宋_GB2312"/>
          <w:sz w:val="32"/>
        </w:rPr>
        <w:t>（四）将危险废物提供或者委托给无许可证的单位或者其他生产经营者从事经营活动的；</w:t>
      </w:r>
    </w:p>
    <w:p>
      <w:pPr>
        <w:spacing w:line="560" w:lineRule="exact"/>
        <w:ind w:firstLine="640"/>
        <w:jc w:val="both"/>
      </w:pPr>
      <w:r>
        <w:rPr>
          <w:rFonts w:ascii="仿宋_GB2312" w:hAnsi="仿宋_GB2312" w:eastAsia="仿宋_GB2312" w:cs="仿宋_GB2312"/>
          <w:sz w:val="32"/>
        </w:rPr>
        <w:t>（五）未按照国家有关规定填写、运行危险废物转移联单或者未经批准擅自转移危险废物的；</w:t>
      </w:r>
    </w:p>
    <w:p>
      <w:pPr>
        <w:spacing w:line="560" w:lineRule="exact"/>
        <w:ind w:firstLine="640"/>
        <w:jc w:val="both"/>
      </w:pPr>
      <w:r>
        <w:rPr>
          <w:rFonts w:ascii="仿宋_GB2312" w:hAnsi="仿宋_GB2312" w:eastAsia="仿宋_GB2312" w:cs="仿宋_GB2312"/>
          <w:sz w:val="32"/>
        </w:rPr>
        <w:t>（六）未按照国家环境保护标准贮存、利用、处置危险废物或者将危险废物混入非危险废物中贮存的；</w:t>
      </w:r>
    </w:p>
    <w:p>
      <w:pPr>
        <w:spacing w:line="560" w:lineRule="exact"/>
        <w:ind w:firstLine="640"/>
        <w:jc w:val="both"/>
      </w:pPr>
      <w:r>
        <w:rPr>
          <w:rFonts w:ascii="仿宋_GB2312" w:hAnsi="仿宋_GB2312" w:eastAsia="仿宋_GB2312" w:cs="仿宋_GB2312"/>
          <w:sz w:val="32"/>
        </w:rPr>
        <w:t>（七）未经安全性处置，混合收集、贮存、运输、处置具有不相容性质的危险废物的；</w:t>
      </w:r>
    </w:p>
    <w:p>
      <w:pPr>
        <w:spacing w:line="560" w:lineRule="exact"/>
        <w:ind w:firstLine="640"/>
        <w:jc w:val="both"/>
      </w:pPr>
      <w:r>
        <w:rPr>
          <w:rFonts w:ascii="仿宋_GB2312" w:hAnsi="仿宋_GB2312" w:eastAsia="仿宋_GB2312" w:cs="仿宋_GB2312"/>
          <w:sz w:val="32"/>
        </w:rPr>
        <w:t>（八）将危险废物与旅客在同一运输工具上载运的；</w:t>
      </w:r>
    </w:p>
    <w:p>
      <w:pPr>
        <w:spacing w:line="560" w:lineRule="exact"/>
        <w:ind w:firstLine="640"/>
        <w:jc w:val="both"/>
      </w:pPr>
      <w:r>
        <w:rPr>
          <w:rFonts w:ascii="仿宋_GB2312" w:hAnsi="仿宋_GB2312" w:eastAsia="仿宋_GB2312" w:cs="仿宋_GB2312"/>
          <w:sz w:val="32"/>
        </w:rPr>
        <w:t>（九）未经消除污染处理，将收集、贮存、运输、处置危险废物的场所、设施、设备和容器、包装物及其他物品转作他用的；</w:t>
      </w:r>
    </w:p>
    <w:p>
      <w:pPr>
        <w:spacing w:line="560" w:lineRule="exact"/>
        <w:ind w:firstLine="640"/>
        <w:jc w:val="both"/>
      </w:pPr>
      <w:r>
        <w:rPr>
          <w:rFonts w:ascii="仿宋_GB2312" w:hAnsi="仿宋_GB2312" w:eastAsia="仿宋_GB2312" w:cs="仿宋_GB2312"/>
          <w:sz w:val="32"/>
        </w:rPr>
        <w:t>（十）未采取相应防范措施，造成危险废物扬散、流失、渗漏或者其他环境污染的；</w:t>
      </w:r>
    </w:p>
    <w:p>
      <w:pPr>
        <w:spacing w:line="560" w:lineRule="exact"/>
        <w:ind w:firstLine="640"/>
        <w:jc w:val="both"/>
      </w:pPr>
      <w:r>
        <w:rPr>
          <w:rFonts w:ascii="仿宋_GB2312" w:hAnsi="仿宋_GB2312" w:eastAsia="仿宋_GB2312" w:cs="仿宋_GB2312"/>
          <w:sz w:val="32"/>
        </w:rPr>
        <w:t>（十一）在运输过程中沿途丢弃、遗撒危险废物的；</w:t>
      </w:r>
    </w:p>
    <w:p>
      <w:pPr>
        <w:spacing w:line="560" w:lineRule="exact"/>
        <w:ind w:firstLine="640"/>
        <w:jc w:val="both"/>
      </w:pPr>
      <w:r>
        <w:rPr>
          <w:rFonts w:ascii="仿宋_GB2312" w:hAnsi="仿宋_GB2312" w:eastAsia="仿宋_GB2312" w:cs="仿宋_GB2312"/>
          <w:sz w:val="32"/>
        </w:rPr>
        <w:t>（十二）未制定危险废物意外事故防范措施和应急预案的；</w:t>
      </w:r>
    </w:p>
    <w:p>
      <w:pPr>
        <w:spacing w:line="560" w:lineRule="exact"/>
        <w:ind w:firstLine="640"/>
        <w:jc w:val="both"/>
      </w:pPr>
      <w:r>
        <w:rPr>
          <w:rFonts w:ascii="仿宋_GB2312" w:hAnsi="仿宋_GB2312" w:eastAsia="仿宋_GB2312" w:cs="仿宋_GB2312"/>
          <w:sz w:val="32"/>
        </w:rPr>
        <w:t>（十三）未按照国家有关规定建立危险废物管理台账并如实记录的。</w:t>
      </w:r>
    </w:p>
    <w:p>
      <w:pPr>
        <w:spacing w:line="560" w:lineRule="exact"/>
        <w:ind w:firstLine="640"/>
        <w:jc w:val="both"/>
      </w:pPr>
      <w:r>
        <w:rPr>
          <w:rFonts w:ascii="仿宋_GB2312" w:hAnsi="仿宋_GB2312" w:eastAsia="仿宋_GB2312" w:cs="仿宋_GB2312"/>
          <w:sz w:val="32"/>
        </w:rPr>
        <w:t>有前款第一项、第二项、第五项、第六项、第七项、第八项、第九项、第十二项、第十三项行为之一，处十万元以上一百万元以下的罚款；有前款第三项、第四项、第十项、第十一项行为之一，处所需处置费用三倍以上五倍以下的罚款，所需处置费用不足二十万元的，按二十万元计算。</w:t>
      </w:r>
    </w:p>
    <w:p>
      <w:pPr>
        <w:spacing w:line="560" w:lineRule="exact"/>
        <w:ind w:firstLine="640"/>
        <w:jc w:val="both"/>
      </w:pPr>
      <w:r>
        <w:rPr>
          <w:rFonts w:ascii="黑体" w:hAnsi="黑体" w:eastAsia="黑体" w:cs="黑体"/>
          <w:sz w:val="32"/>
        </w:rPr>
        <w:t>第一百一十三条</w:t>
      </w:r>
      <w:r>
        <w:rPr>
          <w:rFonts w:ascii="仿宋_GB2312" w:hAnsi="仿宋_GB2312" w:eastAsia="仿宋_GB2312" w:cs="仿宋_GB2312"/>
          <w:sz w:val="32"/>
        </w:rPr>
        <w:t xml:space="preserve">  违反本法规定，危险废物产生者未按照规定处置其产生的危险废物被责令改正后拒不改正的，由生态环境主管部门组织代为处置，处置费用由危险废物产生者承担；拒不承担代为处置费用的，处代为处置费用一倍以上三倍以下的罚款。</w:t>
      </w:r>
    </w:p>
    <w:p>
      <w:pPr>
        <w:spacing w:line="560" w:lineRule="exact"/>
        <w:ind w:firstLine="640"/>
        <w:jc w:val="both"/>
      </w:pPr>
      <w:r>
        <w:rPr>
          <w:rFonts w:ascii="黑体" w:hAnsi="黑体" w:eastAsia="黑体" w:cs="黑体"/>
          <w:sz w:val="32"/>
        </w:rPr>
        <w:t>第一百一十四条</w:t>
      </w:r>
      <w:r>
        <w:rPr>
          <w:rFonts w:ascii="仿宋_GB2312" w:hAnsi="仿宋_GB2312" w:eastAsia="仿宋_GB2312" w:cs="仿宋_GB2312"/>
          <w:sz w:val="32"/>
        </w:rPr>
        <w:t xml:space="preserve">  无许可证从事收集、贮存、利用、处置危险废物经营活动的，由生态环境主管部门责令改正，处一百万元以上五百万元以下的罚款，并报经有批准权的人民政府批准，责令停业或者关闭；对法定代表人、主要负责人、直接负责的主管人员和其他责任人员，处十万元以上一百万元以下的罚款。</w:t>
      </w:r>
    </w:p>
    <w:p>
      <w:pPr>
        <w:spacing w:line="560" w:lineRule="exact"/>
        <w:ind w:firstLine="640"/>
        <w:jc w:val="both"/>
      </w:pPr>
      <w:r>
        <w:rPr>
          <w:rFonts w:ascii="仿宋_GB2312" w:hAnsi="仿宋_GB2312" w:eastAsia="仿宋_GB2312" w:cs="仿宋_GB2312"/>
          <w:sz w:val="32"/>
        </w:rPr>
        <w:t>未按照许可证规定从事收集、贮存、利用、处置危险废物经营活动的，由生态环境主管部门责令改正，限制生产、停产整治，处五十万元以上二百万元以下的罚款；对法定代表人、主要负责人、直接负责的主管人员和其他责任人员，处五万元以上五十万元以下的罚款；情节严重的，报经有批准权的人民政府批准，责令停业或者关闭，还可以由发证机关吊销许可证。</w:t>
      </w:r>
    </w:p>
    <w:p>
      <w:pPr>
        <w:spacing w:line="560" w:lineRule="exact"/>
        <w:ind w:firstLine="640"/>
        <w:jc w:val="both"/>
      </w:pPr>
      <w:r>
        <w:rPr>
          <w:rFonts w:ascii="黑体" w:hAnsi="黑体" w:eastAsia="黑体" w:cs="黑体"/>
          <w:sz w:val="32"/>
        </w:rPr>
        <w:t>第一百一十五条</w:t>
      </w:r>
      <w:r>
        <w:rPr>
          <w:rFonts w:ascii="仿宋_GB2312" w:hAnsi="仿宋_GB2312" w:eastAsia="仿宋_GB2312" w:cs="仿宋_GB2312"/>
          <w:sz w:val="32"/>
        </w:rPr>
        <w:t xml:space="preserve">  违反本法规定，将中华人民共和国境外的固体废物输入境内的，由海关责令退运该固体废物，处五十万元以上五百万元以下的罚款。</w:t>
      </w:r>
    </w:p>
    <w:p>
      <w:pPr>
        <w:spacing w:line="560" w:lineRule="exact"/>
        <w:ind w:firstLine="640"/>
        <w:jc w:val="both"/>
      </w:pPr>
      <w:r>
        <w:rPr>
          <w:rFonts w:ascii="仿宋_GB2312" w:hAnsi="仿宋_GB2312" w:eastAsia="仿宋_GB2312" w:cs="仿宋_GB2312"/>
          <w:sz w:val="32"/>
        </w:rPr>
        <w:t>承运人对前款规定的固体废物的退运、处置，与进口者承担连带责任。</w:t>
      </w:r>
    </w:p>
    <w:p>
      <w:pPr>
        <w:spacing w:line="560" w:lineRule="exact"/>
        <w:ind w:firstLine="640"/>
        <w:jc w:val="both"/>
      </w:pPr>
      <w:r>
        <w:rPr>
          <w:rFonts w:ascii="黑体" w:hAnsi="黑体" w:eastAsia="黑体" w:cs="黑体"/>
          <w:sz w:val="32"/>
        </w:rPr>
        <w:t>第一百一十六条</w:t>
      </w:r>
      <w:r>
        <w:rPr>
          <w:rFonts w:ascii="仿宋_GB2312" w:hAnsi="仿宋_GB2312" w:eastAsia="仿宋_GB2312" w:cs="仿宋_GB2312"/>
          <w:sz w:val="32"/>
        </w:rPr>
        <w:t xml:space="preserve">  违反本法规定，经中华人民共和国过境转移危险废物的，由海关责令退运该危险废物，处五十万元以上五百万元以下的罚款。</w:t>
      </w:r>
    </w:p>
    <w:p>
      <w:pPr>
        <w:spacing w:line="560" w:lineRule="exact"/>
        <w:ind w:firstLine="640"/>
        <w:jc w:val="both"/>
      </w:pPr>
      <w:r>
        <w:rPr>
          <w:rFonts w:ascii="黑体" w:hAnsi="黑体" w:eastAsia="黑体" w:cs="黑体"/>
          <w:sz w:val="32"/>
        </w:rPr>
        <w:t>第一百一十七条</w:t>
      </w:r>
      <w:r>
        <w:rPr>
          <w:rFonts w:ascii="仿宋_GB2312" w:hAnsi="仿宋_GB2312" w:eastAsia="仿宋_GB2312" w:cs="仿宋_GB2312"/>
          <w:sz w:val="32"/>
        </w:rPr>
        <w:t xml:space="preserve">  对已经非法入境的固体废物，由省级以上人民政府生态环境主管部门依法向海关提出处理意见，海关应当依照本法第一百一十五条的规定作出处罚决定；已经造成环境污染的，由省级以上人民政府生态环境主管部门责令进口者消除污染。</w:t>
      </w:r>
    </w:p>
    <w:p>
      <w:pPr>
        <w:spacing w:line="560" w:lineRule="exact"/>
        <w:ind w:firstLine="640"/>
        <w:jc w:val="both"/>
      </w:pPr>
      <w:r>
        <w:rPr>
          <w:rFonts w:ascii="黑体" w:hAnsi="黑体" w:eastAsia="黑体" w:cs="黑体"/>
          <w:sz w:val="32"/>
        </w:rPr>
        <w:t>第一百一十八条</w:t>
      </w:r>
      <w:r>
        <w:rPr>
          <w:rFonts w:ascii="仿宋_GB2312" w:hAnsi="仿宋_GB2312" w:eastAsia="仿宋_GB2312" w:cs="仿宋_GB2312"/>
          <w:sz w:val="32"/>
        </w:rPr>
        <w:t xml:space="preserve">  违反本法规定，造成固体废物污染环境事故的，除依法承担赔偿责任外，由生态环境主管部门依照本条第二款的规定处以罚款，责令限期采取治理措施；造成重大或者特大固体废物污染环境事故的，还可以报经有批准权的人民政府批准，责令关闭。</w:t>
      </w:r>
    </w:p>
    <w:p>
      <w:pPr>
        <w:spacing w:line="560" w:lineRule="exact"/>
        <w:ind w:firstLine="640"/>
        <w:jc w:val="both"/>
      </w:pPr>
      <w:r>
        <w:rPr>
          <w:rFonts w:ascii="仿宋_GB2312" w:hAnsi="仿宋_GB2312" w:eastAsia="仿宋_GB2312" w:cs="仿宋_GB2312"/>
          <w:sz w:val="32"/>
        </w:rPr>
        <w:t>造成一般或者较大固体废物污染环境事故的，按照事故造成的直接经济损失的一倍以上三倍以下计算罚款；造成重大或者特大固体废物污染环境事故的，按照事故造成的直接经济损失的三倍以上五倍以下计算罚款，并对法定代表人、主要负责人、直接负责的主管人员和其他责任人员处上一年度从本单位取得的收入百分之五十以下的罚款。</w:t>
      </w:r>
    </w:p>
    <w:p>
      <w:pPr>
        <w:spacing w:line="560" w:lineRule="exact"/>
        <w:ind w:firstLine="640"/>
        <w:jc w:val="both"/>
      </w:pPr>
      <w:r>
        <w:rPr>
          <w:rFonts w:ascii="黑体" w:hAnsi="黑体" w:eastAsia="黑体" w:cs="黑体"/>
          <w:sz w:val="32"/>
        </w:rPr>
        <w:t>第一百一十九条</w:t>
      </w:r>
      <w:r>
        <w:rPr>
          <w:rFonts w:ascii="仿宋_GB2312" w:hAnsi="仿宋_GB2312" w:eastAsia="仿宋_GB2312" w:cs="仿宋_GB2312"/>
          <w:sz w:val="32"/>
        </w:rPr>
        <w:t xml:space="preserve">  单位和其他生产经营者违反本法规定排放固体废物，受到罚款处罚，被责令改正的，依法作出处罚决定的行政机关应当组织复查，发现其继续实施该违法行为的，依照《中华人民共和国环境保护法》的规定按日连续处罚。</w:t>
      </w:r>
    </w:p>
    <w:p>
      <w:pPr>
        <w:spacing w:line="560" w:lineRule="exact"/>
        <w:ind w:firstLine="640"/>
        <w:jc w:val="both"/>
      </w:pPr>
      <w:r>
        <w:rPr>
          <w:rFonts w:ascii="黑体" w:hAnsi="黑体" w:eastAsia="黑体" w:cs="黑体"/>
          <w:sz w:val="32"/>
        </w:rPr>
        <w:t>第一百二十条</w:t>
      </w:r>
      <w:r>
        <w:rPr>
          <w:rFonts w:ascii="仿宋_GB2312" w:hAnsi="仿宋_GB2312" w:eastAsia="仿宋_GB2312" w:cs="仿宋_GB2312"/>
          <w:sz w:val="32"/>
        </w:rPr>
        <w:t xml:space="preserve">  违反本法规定，有下列行为之一，尚不构成犯罪的，由公安机关对法定代表人、主要负责人、直接负责的主管人员和其他责任人员处十日以上十五日以下的拘留；情节较轻的，处五日以上十日以下的拘留：</w:t>
      </w:r>
    </w:p>
    <w:p>
      <w:pPr>
        <w:spacing w:line="560" w:lineRule="exact"/>
        <w:ind w:firstLine="640"/>
        <w:jc w:val="both"/>
      </w:pPr>
      <w:r>
        <w:rPr>
          <w:rFonts w:ascii="仿宋_GB2312" w:hAnsi="仿宋_GB2312" w:eastAsia="仿宋_GB2312" w:cs="仿宋_GB2312"/>
          <w:sz w:val="32"/>
        </w:rPr>
        <w:t>（一）擅自倾倒、堆放、丢弃、遗撒固体废物，造成严重后果的；</w:t>
      </w:r>
    </w:p>
    <w:p>
      <w:pPr>
        <w:spacing w:line="560" w:lineRule="exact"/>
        <w:ind w:firstLine="640"/>
        <w:jc w:val="both"/>
      </w:pPr>
      <w:r>
        <w:rPr>
          <w:rFonts w:ascii="仿宋_GB2312" w:hAnsi="仿宋_GB2312" w:eastAsia="仿宋_GB2312" w:cs="仿宋_GB2312"/>
          <w:sz w:val="32"/>
        </w:rPr>
        <w:t>（二）在生态保护红线区域、永久基本农田集中区域和其他需要特别保护的区域内，建设工业固体废物、危险废物集中贮存、利用、处置的设施、场所和生活垃圾填埋场的；</w:t>
      </w:r>
    </w:p>
    <w:p>
      <w:pPr>
        <w:spacing w:line="560" w:lineRule="exact"/>
        <w:ind w:firstLine="640"/>
        <w:jc w:val="both"/>
      </w:pPr>
      <w:r>
        <w:rPr>
          <w:rFonts w:ascii="仿宋_GB2312" w:hAnsi="仿宋_GB2312" w:eastAsia="仿宋_GB2312" w:cs="仿宋_GB2312"/>
          <w:sz w:val="32"/>
        </w:rPr>
        <w:t>（三）将危险废物提供或者委托给无许可证的单位或者其他生产经营者堆放、利用、处置的；</w:t>
      </w:r>
    </w:p>
    <w:p>
      <w:pPr>
        <w:spacing w:line="560" w:lineRule="exact"/>
        <w:ind w:firstLine="640"/>
        <w:jc w:val="both"/>
      </w:pPr>
      <w:r>
        <w:rPr>
          <w:rFonts w:ascii="仿宋_GB2312" w:hAnsi="仿宋_GB2312" w:eastAsia="仿宋_GB2312" w:cs="仿宋_GB2312"/>
          <w:sz w:val="32"/>
        </w:rPr>
        <w:t>（四）无许可证或者未按照许可证规定从事收集、贮存、利用、处置危险废物经营活动的；</w:t>
      </w:r>
    </w:p>
    <w:p>
      <w:pPr>
        <w:spacing w:line="560" w:lineRule="exact"/>
        <w:ind w:firstLine="640"/>
        <w:jc w:val="both"/>
      </w:pPr>
      <w:r>
        <w:rPr>
          <w:rFonts w:ascii="仿宋_GB2312" w:hAnsi="仿宋_GB2312" w:eastAsia="仿宋_GB2312" w:cs="仿宋_GB2312"/>
          <w:sz w:val="32"/>
        </w:rPr>
        <w:t>（五）未经批准擅自转移危险废物的；</w:t>
      </w:r>
    </w:p>
    <w:p>
      <w:pPr>
        <w:spacing w:line="560" w:lineRule="exact"/>
        <w:ind w:firstLine="640"/>
        <w:jc w:val="both"/>
      </w:pPr>
      <w:r>
        <w:rPr>
          <w:rFonts w:ascii="仿宋_GB2312" w:hAnsi="仿宋_GB2312" w:eastAsia="仿宋_GB2312" w:cs="仿宋_GB2312"/>
          <w:sz w:val="32"/>
        </w:rPr>
        <w:t>（六）未采取防范措施，造成危险废物扬散、流失、渗漏或者其他严重后果的。</w:t>
      </w:r>
    </w:p>
    <w:p>
      <w:pPr>
        <w:spacing w:line="560" w:lineRule="exact"/>
        <w:ind w:firstLine="640"/>
        <w:jc w:val="both"/>
      </w:pPr>
      <w:r>
        <w:rPr>
          <w:rFonts w:ascii="黑体" w:hAnsi="黑体" w:eastAsia="黑体" w:cs="黑体"/>
          <w:sz w:val="32"/>
        </w:rPr>
        <w:t>第一百二十一条</w:t>
      </w:r>
      <w:r>
        <w:rPr>
          <w:rFonts w:ascii="仿宋_GB2312" w:hAnsi="仿宋_GB2312" w:eastAsia="仿宋_GB2312" w:cs="仿宋_GB2312"/>
          <w:sz w:val="32"/>
        </w:rPr>
        <w:t xml:space="preserve">  固体废物污染环境、破坏生态，损害国家利益、社会公共利益的，有关机关和组织可以依照《中华人民共和国环境保护法》、《中华人民共和国民事诉讼法》、《中华人民共和国行政诉讼法》等法律的规定向人民法院提起诉讼。</w:t>
      </w:r>
    </w:p>
    <w:p>
      <w:pPr>
        <w:spacing w:line="560" w:lineRule="exact"/>
        <w:ind w:firstLine="640"/>
        <w:jc w:val="both"/>
      </w:pPr>
      <w:r>
        <w:rPr>
          <w:rFonts w:ascii="黑体" w:hAnsi="黑体" w:eastAsia="黑体" w:cs="黑体"/>
          <w:sz w:val="32"/>
        </w:rPr>
        <w:t>第一百二十二条</w:t>
      </w:r>
      <w:r>
        <w:rPr>
          <w:rFonts w:ascii="仿宋_GB2312" w:hAnsi="仿宋_GB2312" w:eastAsia="仿宋_GB2312" w:cs="仿宋_GB2312"/>
          <w:sz w:val="32"/>
        </w:rPr>
        <w:t xml:space="preserve">  固体废物污染环境、破坏生态给国家造成重大损失的，由设区的市级以上地方人民政府或者其指定的部门、机构组织与造成环境污染和生态破坏的单位和其他生产经营者进行磋商，要求其承担损害赔偿责任；磋商未达成一致的，可以向人民法院提起诉讼。</w:t>
      </w:r>
    </w:p>
    <w:p>
      <w:pPr>
        <w:spacing w:line="560" w:lineRule="exact"/>
        <w:ind w:firstLine="640"/>
        <w:jc w:val="both"/>
      </w:pPr>
      <w:r>
        <w:rPr>
          <w:rFonts w:ascii="仿宋_GB2312" w:hAnsi="仿宋_GB2312" w:eastAsia="仿宋_GB2312" w:cs="仿宋_GB2312"/>
          <w:sz w:val="32"/>
        </w:rPr>
        <w:t>对于执法过程中查获的无法确定责任人或者无法退运的固体废物，由所在地县级以上地方人民政府组织处理。</w:t>
      </w:r>
    </w:p>
    <w:p>
      <w:pPr>
        <w:spacing w:line="560" w:lineRule="exact"/>
        <w:ind w:firstLine="640"/>
        <w:jc w:val="both"/>
      </w:pPr>
      <w:r>
        <w:rPr>
          <w:rFonts w:ascii="黑体" w:hAnsi="黑体" w:eastAsia="黑体" w:cs="黑体"/>
          <w:sz w:val="32"/>
        </w:rPr>
        <w:t>第一百二十三条</w:t>
      </w:r>
      <w:r>
        <w:rPr>
          <w:rFonts w:ascii="仿宋_GB2312" w:hAnsi="仿宋_GB2312" w:eastAsia="仿宋_GB2312" w:cs="仿宋_GB2312"/>
          <w:sz w:val="32"/>
        </w:rPr>
        <w:t xml:space="preserve">  违反本法规定，构成违反治安管理行为的，由公安机关依法给予治安管理处罚；构成犯罪的，依法追究刑事责任；造成人身、财产损害的，依法承担民事责任。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第九章  附则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第一百二十四条</w:t>
      </w:r>
      <w:r>
        <w:rPr>
          <w:rFonts w:ascii="仿宋_GB2312" w:hAnsi="仿宋_GB2312" w:eastAsia="仿宋_GB2312" w:cs="仿宋_GB2312"/>
          <w:sz w:val="32"/>
        </w:rPr>
        <w:t xml:space="preserve">  本法下列用语的含义：</w:t>
      </w:r>
    </w:p>
    <w:p>
      <w:pPr>
        <w:spacing w:line="560" w:lineRule="exact"/>
        <w:ind w:firstLine="640"/>
        <w:jc w:val="both"/>
      </w:pPr>
      <w:r>
        <w:rPr>
          <w:rFonts w:ascii="仿宋_GB2312" w:hAnsi="仿宋_GB2312" w:eastAsia="仿宋_GB2312" w:cs="仿宋_GB2312"/>
          <w:sz w:val="32"/>
        </w:rPr>
        <w:t>（一）固体废物，是指在生产、生活和其他活动中产生的丧失原有利用价值或者虽未丧失利用价值但被抛弃或者放弃的固态、半固态和置于容器中的气态的物品、物质以及法律、行政法规规定纳入固体废物管理的物品、物质。经无害化加工处理，并且符合强制性国家产品质量标准，不会危害公众健康和生态安全，或者根据固体废物鉴别标准和鉴别程序认定为不属于固体废物的除外。</w:t>
      </w:r>
    </w:p>
    <w:p>
      <w:pPr>
        <w:spacing w:line="560" w:lineRule="exact"/>
        <w:ind w:firstLine="640"/>
        <w:jc w:val="both"/>
      </w:pPr>
      <w:r>
        <w:rPr>
          <w:rFonts w:ascii="仿宋_GB2312" w:hAnsi="仿宋_GB2312" w:eastAsia="仿宋_GB2312" w:cs="仿宋_GB2312"/>
          <w:sz w:val="32"/>
        </w:rPr>
        <w:t>（二）工业固体废物，是指在工业生产活动中产生的固体废物。</w:t>
      </w:r>
    </w:p>
    <w:p>
      <w:pPr>
        <w:spacing w:line="560" w:lineRule="exact"/>
        <w:ind w:firstLine="640"/>
        <w:jc w:val="both"/>
      </w:pPr>
      <w:r>
        <w:rPr>
          <w:rFonts w:ascii="仿宋_GB2312" w:hAnsi="仿宋_GB2312" w:eastAsia="仿宋_GB2312" w:cs="仿宋_GB2312"/>
          <w:sz w:val="32"/>
        </w:rPr>
        <w:t>（三）生活垃圾，是指在日常生活中或者为日常生活提供服务的活动中产生的固体废物，以及法律、行政法规规定视为生活垃圾的固体废物。</w:t>
      </w:r>
    </w:p>
    <w:p>
      <w:pPr>
        <w:spacing w:line="560" w:lineRule="exact"/>
        <w:ind w:firstLine="640"/>
        <w:jc w:val="both"/>
      </w:pPr>
      <w:r>
        <w:rPr>
          <w:rFonts w:ascii="仿宋_GB2312" w:hAnsi="仿宋_GB2312" w:eastAsia="仿宋_GB2312" w:cs="仿宋_GB2312"/>
          <w:sz w:val="32"/>
        </w:rPr>
        <w:t>（四）建筑垃圾，是指建设单位、施工单位新建、改建、扩建和拆除各类建筑物、构筑物、管网等，以及居民装饰装修房屋过程中产生的弃土、弃料和其他固体废物。</w:t>
      </w:r>
    </w:p>
    <w:p>
      <w:pPr>
        <w:spacing w:line="560" w:lineRule="exact"/>
        <w:ind w:firstLine="640"/>
        <w:jc w:val="both"/>
      </w:pPr>
      <w:r>
        <w:rPr>
          <w:rFonts w:ascii="仿宋_GB2312" w:hAnsi="仿宋_GB2312" w:eastAsia="仿宋_GB2312" w:cs="仿宋_GB2312"/>
          <w:sz w:val="32"/>
        </w:rPr>
        <w:t>（五）农业固体废物，是指在农业生产活动中产生的固体废物。</w:t>
      </w:r>
    </w:p>
    <w:p>
      <w:pPr>
        <w:spacing w:line="560" w:lineRule="exact"/>
        <w:ind w:firstLine="640"/>
        <w:jc w:val="both"/>
      </w:pPr>
      <w:r>
        <w:rPr>
          <w:rFonts w:ascii="仿宋_GB2312" w:hAnsi="仿宋_GB2312" w:eastAsia="仿宋_GB2312" w:cs="仿宋_GB2312"/>
          <w:sz w:val="32"/>
        </w:rPr>
        <w:t>（六）危险废物，是指列入国家危险废物名录或者根据国家规定的危险废物鉴别标准和鉴别方法认定的具有危险特性的固体废物。</w:t>
      </w:r>
    </w:p>
    <w:p>
      <w:pPr>
        <w:spacing w:line="560" w:lineRule="exact"/>
        <w:ind w:firstLine="640"/>
        <w:jc w:val="both"/>
      </w:pPr>
      <w:r>
        <w:rPr>
          <w:rFonts w:ascii="仿宋_GB2312" w:hAnsi="仿宋_GB2312" w:eastAsia="仿宋_GB2312" w:cs="仿宋_GB2312"/>
          <w:sz w:val="32"/>
        </w:rPr>
        <w:t>（七）贮存，是指将固体废物临时置于特定设施或者场所中的活动。</w:t>
      </w:r>
    </w:p>
    <w:p>
      <w:pPr>
        <w:spacing w:line="560" w:lineRule="exact"/>
        <w:ind w:firstLine="640"/>
        <w:jc w:val="both"/>
      </w:pPr>
      <w:r>
        <w:rPr>
          <w:rFonts w:ascii="仿宋_GB2312" w:hAnsi="仿宋_GB2312" w:eastAsia="仿宋_GB2312" w:cs="仿宋_GB2312"/>
          <w:sz w:val="32"/>
        </w:rPr>
        <w:t>（八）利用，是指从固体废物中提取物质作为原材料或者燃料的活动。</w:t>
      </w:r>
    </w:p>
    <w:p>
      <w:pPr>
        <w:spacing w:line="560" w:lineRule="exact"/>
        <w:ind w:firstLine="640"/>
        <w:jc w:val="both"/>
      </w:pPr>
      <w:r>
        <w:rPr>
          <w:rFonts w:ascii="仿宋_GB2312" w:hAnsi="仿宋_GB2312" w:eastAsia="仿宋_GB2312" w:cs="仿宋_GB2312"/>
          <w:sz w:val="32"/>
        </w:rPr>
        <w:t>（九）处置，是指将固体废物焚烧和用其他改变固体废物的物理、化学、生物特性的方法，达到减少已产生的固体废物数量、缩小固体废物体积、减少或者消除其危险成分的活动，或者将固体废物最终置于符合环境保护规定要求的填埋场的活动。</w:t>
      </w:r>
    </w:p>
    <w:p>
      <w:pPr>
        <w:spacing w:line="560" w:lineRule="exact"/>
        <w:ind w:firstLine="640"/>
        <w:jc w:val="both"/>
      </w:pPr>
      <w:r>
        <w:rPr>
          <w:rFonts w:ascii="黑体" w:hAnsi="黑体" w:eastAsia="黑体" w:cs="黑体"/>
          <w:sz w:val="32"/>
        </w:rPr>
        <w:t>第一百二十五条</w:t>
      </w:r>
      <w:r>
        <w:rPr>
          <w:rFonts w:ascii="仿宋_GB2312" w:hAnsi="仿宋_GB2312" w:eastAsia="仿宋_GB2312" w:cs="仿宋_GB2312"/>
          <w:sz w:val="32"/>
        </w:rPr>
        <w:t xml:space="preserve">  液态废物的污染防治，适用本法；但是，排入水体的废水的污染防治适用有关法律，不适用本法。</w:t>
      </w:r>
    </w:p>
    <w:p>
      <w:pPr>
        <w:spacing w:line="560" w:lineRule="exact"/>
        <w:ind w:firstLine="640"/>
        <w:jc w:val="both"/>
      </w:pPr>
      <w:r>
        <w:rPr>
          <w:rFonts w:ascii="黑体" w:hAnsi="黑体" w:eastAsia="黑体" w:cs="黑体"/>
          <w:sz w:val="32"/>
        </w:rPr>
        <w:t>第一百二十六条</w:t>
      </w:r>
      <w:r>
        <w:rPr>
          <w:rFonts w:ascii="仿宋_GB2312" w:hAnsi="仿宋_GB2312" w:eastAsia="仿宋_GB2312" w:cs="仿宋_GB2312"/>
          <w:sz w:val="32"/>
        </w:rPr>
        <w:t xml:space="preserve">  本法自</w:t>
      </w:r>
      <w:r>
        <w:rPr>
          <w:rFonts w:hint="default" w:ascii="Times New Roman" w:hAnsi="Times New Roman" w:eastAsia="仿宋_GB2312" w:cs="Times New Roman"/>
          <w:sz w:val="32"/>
        </w:rPr>
        <w:t>2020</w:t>
      </w:r>
      <w:r>
        <w:rPr>
          <w:rFonts w:ascii="仿宋_GB2312" w:hAnsi="仿宋_GB2312" w:eastAsia="仿宋_GB2312" w:cs="仿宋_GB2312"/>
          <w:sz w:val="32"/>
        </w:rPr>
        <w:t>年</w:t>
      </w:r>
      <w:r>
        <w:rPr>
          <w:rFonts w:hint="default" w:ascii="Times New Roman" w:hAnsi="Times New Roman" w:eastAsia="仿宋_GB2312" w:cs="Times New Roman"/>
          <w:sz w:val="32"/>
        </w:rPr>
        <w:t>9</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sz w:val="44"/>
          <w:szCs w:val="44"/>
        </w:rPr>
      </w:pPr>
      <w:r>
        <w:rPr>
          <w:rFonts w:hint="eastAsia" w:ascii="宋体" w:hAnsi="宋体" w:eastAsia="宋体" w:cs="宋体"/>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91" w:name="_Toc16649"/>
      <w:r>
        <w:rPr>
          <w:rFonts w:hint="eastAsia" w:ascii="宋体" w:hAnsi="宋体" w:eastAsia="宋体" w:cs="宋体"/>
          <w:kern w:val="0"/>
          <w:sz w:val="44"/>
          <w:szCs w:val="44"/>
          <w:lang w:val="en-US" w:eastAsia="zh-CN"/>
        </w:rPr>
        <w:t>中华人民共和国进出口商品检验法</w:t>
      </w:r>
      <w:bookmarkEnd w:id="191"/>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rPr>
      </w:pPr>
    </w:p>
    <w:p>
      <w:pPr>
        <w:widowControl w:val="0"/>
        <w:wordWrap/>
        <w:overflowPunct w:val="0"/>
        <w:adjustRightInd/>
        <w:snapToGrid/>
        <w:spacing w:beforeAutospacing="0" w:afterAutospacing="0" w:line="560" w:lineRule="exact"/>
        <w:ind w:left="640" w:leftChars="200" w:right="640" w:rightChars="200"/>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w:t>
      </w:r>
      <w:r>
        <w:rPr>
          <w:rFonts w:hint="eastAsia" w:ascii="宋体" w:hAnsi="宋体" w:eastAsia="楷体_GB2312" w:cs="楷体_GB2312"/>
        </w:rPr>
        <w:t>1989年2月21日</w:t>
      </w:r>
      <w:r>
        <w:rPr>
          <w:rFonts w:hint="eastAsia" w:ascii="宋体" w:hAnsi="宋体" w:eastAsia="楷体_GB2312" w:cs="楷体_GB2312"/>
          <w:lang w:eastAsia="zh-CN"/>
        </w:rPr>
        <w:t>第</w:t>
      </w:r>
      <w:r>
        <w:rPr>
          <w:rFonts w:hint="eastAsia" w:ascii="宋体" w:hAnsi="宋体" w:eastAsia="楷体_GB2312" w:cs="楷体_GB2312"/>
        </w:rPr>
        <w:t>七届全国人民代表大会常务委员会</w:t>
      </w:r>
      <w:r>
        <w:rPr>
          <w:rFonts w:hint="eastAsia" w:ascii="宋体" w:hAnsi="宋体" w:eastAsia="楷体_GB2312" w:cs="楷体_GB2312"/>
          <w:lang w:eastAsia="zh-CN"/>
        </w:rPr>
        <w:t>第</w:t>
      </w:r>
      <w:r>
        <w:rPr>
          <w:rFonts w:hint="eastAsia" w:ascii="宋体" w:hAnsi="宋体" w:eastAsia="楷体_GB2312" w:cs="楷体_GB2312"/>
        </w:rPr>
        <w:t>六次会议通过　根据2002年4月28日</w:t>
      </w:r>
      <w:r>
        <w:rPr>
          <w:rFonts w:hint="eastAsia" w:ascii="宋体" w:hAnsi="宋体" w:eastAsia="楷体_GB2312" w:cs="楷体_GB2312"/>
          <w:lang w:eastAsia="zh-CN"/>
        </w:rPr>
        <w:t>第</w:t>
      </w:r>
      <w:r>
        <w:rPr>
          <w:rFonts w:hint="eastAsia" w:ascii="宋体" w:hAnsi="宋体" w:eastAsia="楷体_GB2312" w:cs="楷体_GB2312"/>
        </w:rPr>
        <w:t>九届全国人民代表大会常务委员会</w:t>
      </w:r>
      <w:r>
        <w:rPr>
          <w:rFonts w:hint="eastAsia" w:ascii="宋体" w:hAnsi="宋体" w:eastAsia="楷体_GB2312" w:cs="楷体_GB2312"/>
          <w:lang w:eastAsia="zh-CN"/>
        </w:rPr>
        <w:t>第</w:t>
      </w:r>
      <w:r>
        <w:rPr>
          <w:rFonts w:hint="eastAsia" w:ascii="宋体" w:hAnsi="宋体" w:eastAsia="楷体_GB2312" w:cs="楷体_GB2312"/>
        </w:rPr>
        <w:t>二十七次会议《关于修改</w:t>
      </w:r>
      <w:r>
        <w:rPr>
          <w:rFonts w:hint="eastAsia" w:ascii="宋体" w:hAnsi="宋体" w:eastAsia="楷体_GB2312" w:cs="楷体_GB2312"/>
          <w:lang w:val="en-US" w:eastAsia="zh-CN"/>
        </w:rPr>
        <w:t>&lt;</w:t>
      </w:r>
      <w:r>
        <w:rPr>
          <w:rFonts w:hint="eastAsia" w:ascii="宋体" w:hAnsi="宋体" w:eastAsia="楷体_GB2312" w:cs="楷体_GB2312"/>
        </w:rPr>
        <w:t>中华人民共和国进出口商品检验法</w:t>
      </w:r>
      <w:r>
        <w:rPr>
          <w:rFonts w:hint="eastAsia" w:ascii="宋体" w:hAnsi="宋体" w:eastAsia="楷体_GB2312" w:cs="楷体_GB2312"/>
          <w:lang w:val="en-US" w:eastAsia="zh-CN"/>
        </w:rPr>
        <w:t>&gt;</w:t>
      </w:r>
      <w:r>
        <w:rPr>
          <w:rFonts w:hint="eastAsia" w:ascii="宋体" w:hAnsi="宋体" w:eastAsia="楷体_GB2312" w:cs="楷体_GB2312"/>
        </w:rPr>
        <w:t>的决定》</w:t>
      </w:r>
      <w:r>
        <w:rPr>
          <w:rFonts w:hint="eastAsia" w:ascii="宋体" w:hAnsi="宋体" w:eastAsia="楷体_GB2312" w:cs="楷体_GB2312"/>
          <w:lang w:eastAsia="zh-CN"/>
        </w:rPr>
        <w:t>第</w:t>
      </w:r>
      <w:r>
        <w:rPr>
          <w:rFonts w:hint="eastAsia" w:ascii="宋体" w:hAnsi="宋体" w:eastAsia="楷体_GB2312" w:cs="楷体_GB2312"/>
        </w:rPr>
        <w:t>一次修正　根据2013年6月29日</w:t>
      </w:r>
      <w:r>
        <w:rPr>
          <w:rFonts w:hint="eastAsia" w:ascii="宋体" w:hAnsi="宋体" w:eastAsia="楷体_GB2312" w:cs="楷体_GB2312"/>
          <w:lang w:eastAsia="zh-CN"/>
        </w:rPr>
        <w:t>第</w:t>
      </w:r>
      <w:r>
        <w:rPr>
          <w:rFonts w:hint="eastAsia" w:ascii="宋体" w:hAnsi="宋体" w:eastAsia="楷体_GB2312" w:cs="楷体_GB2312"/>
        </w:rPr>
        <w:t>十二届全国人民代表大会常务委员会</w:t>
      </w:r>
      <w:r>
        <w:rPr>
          <w:rFonts w:hint="eastAsia" w:ascii="宋体" w:hAnsi="宋体" w:eastAsia="楷体_GB2312" w:cs="楷体_GB2312"/>
          <w:lang w:eastAsia="zh-CN"/>
        </w:rPr>
        <w:t>第</w:t>
      </w:r>
      <w:r>
        <w:rPr>
          <w:rFonts w:hint="eastAsia" w:ascii="宋体" w:hAnsi="宋体" w:eastAsia="楷体_GB2312" w:cs="楷体_GB2312"/>
        </w:rPr>
        <w:t>三次会议《关于修改</w:t>
      </w:r>
      <w:r>
        <w:rPr>
          <w:rFonts w:hint="eastAsia" w:ascii="宋体" w:hAnsi="宋体" w:eastAsia="楷体_GB2312" w:cs="楷体_GB2312"/>
          <w:lang w:val="en-US" w:eastAsia="zh-CN"/>
        </w:rPr>
        <w:t>&lt;</w:t>
      </w:r>
      <w:r>
        <w:rPr>
          <w:rFonts w:hint="eastAsia" w:ascii="宋体" w:hAnsi="宋体" w:eastAsia="楷体_GB2312" w:cs="楷体_GB2312"/>
        </w:rPr>
        <w:t>中华人民共和国文物保护法</w:t>
      </w:r>
      <w:r>
        <w:rPr>
          <w:rFonts w:hint="eastAsia" w:ascii="宋体" w:hAnsi="宋体" w:eastAsia="楷体_GB2312" w:cs="楷体_GB2312"/>
          <w:lang w:val="en-US" w:eastAsia="zh-CN"/>
        </w:rPr>
        <w:t>&gt;</w:t>
      </w:r>
      <w:r>
        <w:rPr>
          <w:rFonts w:hint="eastAsia" w:ascii="宋体" w:hAnsi="宋体" w:eastAsia="楷体_GB2312" w:cs="楷体_GB2312"/>
        </w:rPr>
        <w:t>等十二部法律的决定》</w:t>
      </w:r>
      <w:r>
        <w:rPr>
          <w:rFonts w:hint="eastAsia" w:ascii="宋体" w:hAnsi="宋体" w:eastAsia="楷体_GB2312" w:cs="楷体_GB2312"/>
          <w:lang w:eastAsia="zh-CN"/>
        </w:rPr>
        <w:t>第</w:t>
      </w:r>
      <w:r>
        <w:rPr>
          <w:rFonts w:hint="eastAsia" w:ascii="宋体" w:hAnsi="宋体" w:eastAsia="楷体_GB2312" w:cs="楷体_GB2312"/>
        </w:rPr>
        <w:t>二次修正　根据</w:t>
      </w:r>
    </w:p>
    <w:p>
      <w:pPr>
        <w:widowControl w:val="0"/>
        <w:wordWrap/>
        <w:overflowPunct w:val="0"/>
        <w:adjustRightInd/>
        <w:snapToGrid/>
        <w:spacing w:beforeAutospacing="0" w:afterAutospacing="0" w:line="560" w:lineRule="exact"/>
        <w:ind w:left="640" w:leftChars="200" w:right="640" w:rightChars="200"/>
        <w:jc w:val="left"/>
        <w:textAlignment w:val="auto"/>
        <w:outlineLvl w:val="9"/>
        <w:rPr>
          <w:rFonts w:hint="eastAsia" w:ascii="宋体" w:hAnsi="宋体" w:eastAsia="楷体_GB2312" w:cs="楷体_GB2312"/>
        </w:rPr>
      </w:pPr>
      <w:r>
        <w:rPr>
          <w:rFonts w:hint="eastAsia" w:ascii="宋体" w:hAnsi="宋体" w:eastAsia="楷体_GB2312" w:cs="楷体_GB2312"/>
        </w:rPr>
        <w:t>2018年4月27日</w:t>
      </w:r>
      <w:r>
        <w:rPr>
          <w:rFonts w:hint="eastAsia" w:ascii="宋体" w:hAnsi="宋体" w:eastAsia="楷体_GB2312" w:cs="楷体_GB2312"/>
          <w:lang w:eastAsia="zh-CN"/>
        </w:rPr>
        <w:t>第</w:t>
      </w:r>
      <w:r>
        <w:rPr>
          <w:rFonts w:hint="eastAsia" w:ascii="宋体" w:hAnsi="宋体" w:eastAsia="楷体_GB2312" w:cs="楷体_GB2312"/>
        </w:rPr>
        <w:t>十三届全国人民代表大会常务委员会</w:t>
      </w:r>
      <w:r>
        <w:rPr>
          <w:rFonts w:hint="eastAsia" w:ascii="宋体" w:hAnsi="宋体" w:eastAsia="楷体_GB2312" w:cs="楷体_GB2312"/>
          <w:lang w:eastAsia="zh-CN"/>
        </w:rPr>
        <w:t>第</w:t>
      </w:r>
      <w:r>
        <w:rPr>
          <w:rFonts w:hint="eastAsia" w:ascii="宋体" w:hAnsi="宋体" w:eastAsia="楷体_GB2312" w:cs="楷体_GB2312"/>
        </w:rPr>
        <w:t>二次会议《关于修改</w:t>
      </w:r>
      <w:r>
        <w:rPr>
          <w:rFonts w:hint="eastAsia" w:ascii="宋体" w:hAnsi="宋体" w:eastAsia="楷体_GB2312" w:cs="楷体_GB2312"/>
          <w:lang w:val="en-US" w:eastAsia="zh-CN"/>
        </w:rPr>
        <w:t>&lt;</w:t>
      </w:r>
      <w:r>
        <w:rPr>
          <w:rFonts w:hint="eastAsia" w:ascii="宋体" w:hAnsi="宋体" w:eastAsia="楷体_GB2312" w:cs="楷体_GB2312"/>
        </w:rPr>
        <w:t>中华人民共和国国境卫生检疫法</w:t>
      </w:r>
      <w:r>
        <w:rPr>
          <w:rFonts w:hint="eastAsia" w:ascii="宋体" w:hAnsi="宋体" w:eastAsia="楷体_GB2312" w:cs="楷体_GB2312"/>
          <w:lang w:val="en-US" w:eastAsia="zh-CN"/>
        </w:rPr>
        <w:t>&gt;</w:t>
      </w:r>
      <w:r>
        <w:rPr>
          <w:rFonts w:hint="eastAsia" w:ascii="宋体" w:hAnsi="宋体" w:eastAsia="楷体_GB2312" w:cs="楷体_GB2312"/>
        </w:rPr>
        <w:t>等六部法律的决定》</w:t>
      </w:r>
      <w:r>
        <w:rPr>
          <w:rFonts w:hint="eastAsia" w:ascii="宋体" w:hAnsi="宋体" w:eastAsia="楷体_GB2312" w:cs="楷体_GB2312"/>
          <w:lang w:eastAsia="zh-CN"/>
        </w:rPr>
        <w:t>第</w:t>
      </w:r>
      <w:r>
        <w:rPr>
          <w:rFonts w:hint="eastAsia" w:ascii="宋体" w:hAnsi="宋体" w:eastAsia="楷体_GB2312" w:cs="楷体_GB2312"/>
        </w:rPr>
        <w:t>三次修正</w:t>
      </w:r>
      <w:r>
        <w:rPr>
          <w:rFonts w:hint="eastAsia" w:ascii="宋体" w:hAnsi="宋体" w:eastAsia="楷体_GB2312" w:cs="楷体_GB2312"/>
          <w:lang w:val="en-US" w:eastAsia="zh-CN"/>
        </w:rPr>
        <w:t xml:space="preserve"> 根据2018年12月29日第十三届全国人民代表大会常务委员会第七次会议《关于修改〈中华人民共和国产品质量法〉等五部法律的决定》第四次修正</w:t>
      </w:r>
      <w:r>
        <w:rPr>
          <w:rFonts w:hint="eastAsia" w:ascii="宋体" w:hAnsi="宋体" w:eastAsia="楷体_GB2312" w:cs="楷体_GB2312"/>
        </w:rPr>
        <w:t>）</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rPr>
      </w:pPr>
      <w:r>
        <w:rPr>
          <w:rFonts w:hint="eastAsia" w:ascii="宋体" w:hAnsi="宋体" w:eastAsia="楷体_GB2312" w:cs="楷体_GB2312"/>
        </w:rPr>
        <w:t>目</w:t>
      </w:r>
      <w:r>
        <w:rPr>
          <w:rFonts w:hint="eastAsia" w:ascii="宋体" w:hAnsi="宋体" w:eastAsia="楷体_GB2312" w:cs="楷体_GB2312"/>
          <w:lang w:eastAsia="zh-CN"/>
        </w:rPr>
        <w:t>　　</w:t>
      </w:r>
      <w:r>
        <w:rPr>
          <w:rFonts w:hint="eastAsia" w:ascii="宋体" w:hAnsi="宋体" w:eastAsia="楷体_GB2312" w:cs="楷体_GB2312"/>
        </w:rPr>
        <w:t>录</w:t>
      </w:r>
    </w:p>
    <w:p>
      <w:pPr>
        <w:widowControl w:val="0"/>
        <w:wordWrap/>
        <w:overflowPunct w:val="0"/>
        <w:adjustRightInd/>
        <w:snapToGrid/>
        <w:spacing w:beforeAutospacing="0" w:afterAutospacing="0" w:line="560" w:lineRule="exact"/>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　　第</w:t>
      </w:r>
      <w:r>
        <w:rPr>
          <w:rFonts w:hint="eastAsia" w:ascii="宋体" w:hAnsi="宋体" w:eastAsia="楷体_GB2312" w:cs="楷体_GB2312"/>
        </w:rPr>
        <w:t>一章</w:t>
      </w:r>
      <w:r>
        <w:rPr>
          <w:rFonts w:hint="eastAsia" w:ascii="宋体" w:hAnsi="宋体" w:eastAsia="楷体_GB2312" w:cs="楷体_GB2312"/>
          <w:lang w:eastAsia="zh-CN"/>
        </w:rPr>
        <w:t>　</w:t>
      </w:r>
      <w:r>
        <w:rPr>
          <w:rFonts w:hint="eastAsia" w:ascii="宋体" w:hAnsi="宋体" w:eastAsia="楷体_GB2312" w:cs="楷体_GB2312"/>
        </w:rPr>
        <w:t>总则</w:t>
      </w:r>
    </w:p>
    <w:p>
      <w:pPr>
        <w:widowControl w:val="0"/>
        <w:wordWrap/>
        <w:overflowPunct w:val="0"/>
        <w:adjustRightInd/>
        <w:snapToGrid/>
        <w:spacing w:beforeAutospacing="0" w:afterAutospacing="0" w:line="560" w:lineRule="exact"/>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　　第</w:t>
      </w:r>
      <w:r>
        <w:rPr>
          <w:rFonts w:hint="eastAsia" w:ascii="宋体" w:hAnsi="宋体" w:eastAsia="楷体_GB2312" w:cs="楷体_GB2312"/>
        </w:rPr>
        <w:t>二章</w:t>
      </w:r>
      <w:r>
        <w:rPr>
          <w:rFonts w:hint="eastAsia" w:ascii="宋体" w:hAnsi="宋体" w:eastAsia="楷体_GB2312" w:cs="楷体_GB2312"/>
          <w:lang w:eastAsia="zh-CN"/>
        </w:rPr>
        <w:t>　</w:t>
      </w:r>
      <w:r>
        <w:rPr>
          <w:rFonts w:hint="eastAsia" w:ascii="宋体" w:hAnsi="宋体" w:eastAsia="楷体_GB2312" w:cs="楷体_GB2312"/>
        </w:rPr>
        <w:t>进口商品的检验</w:t>
      </w:r>
    </w:p>
    <w:p>
      <w:pPr>
        <w:widowControl w:val="0"/>
        <w:wordWrap/>
        <w:overflowPunct w:val="0"/>
        <w:adjustRightInd/>
        <w:snapToGrid/>
        <w:spacing w:beforeAutospacing="0" w:afterAutospacing="0" w:line="560" w:lineRule="exact"/>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　　第</w:t>
      </w:r>
      <w:r>
        <w:rPr>
          <w:rFonts w:hint="eastAsia" w:ascii="宋体" w:hAnsi="宋体" w:eastAsia="楷体_GB2312" w:cs="楷体_GB2312"/>
        </w:rPr>
        <w:t>三章</w:t>
      </w:r>
      <w:r>
        <w:rPr>
          <w:rFonts w:hint="eastAsia" w:ascii="宋体" w:hAnsi="宋体" w:eastAsia="楷体_GB2312" w:cs="楷体_GB2312"/>
          <w:lang w:eastAsia="zh-CN"/>
        </w:rPr>
        <w:t>　</w:t>
      </w:r>
      <w:r>
        <w:rPr>
          <w:rFonts w:hint="eastAsia" w:ascii="宋体" w:hAnsi="宋体" w:eastAsia="楷体_GB2312" w:cs="楷体_GB2312"/>
        </w:rPr>
        <w:t>出口商品的检验</w:t>
      </w:r>
    </w:p>
    <w:p>
      <w:pPr>
        <w:widowControl w:val="0"/>
        <w:wordWrap/>
        <w:overflowPunct w:val="0"/>
        <w:adjustRightInd/>
        <w:snapToGrid/>
        <w:spacing w:beforeAutospacing="0" w:afterAutospacing="0" w:line="560" w:lineRule="exact"/>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　　第</w:t>
      </w:r>
      <w:r>
        <w:rPr>
          <w:rFonts w:hint="eastAsia" w:ascii="宋体" w:hAnsi="宋体" w:eastAsia="楷体_GB2312" w:cs="楷体_GB2312"/>
        </w:rPr>
        <w:t>四章</w:t>
      </w:r>
      <w:r>
        <w:rPr>
          <w:rFonts w:hint="eastAsia" w:ascii="宋体" w:hAnsi="宋体" w:eastAsia="楷体_GB2312" w:cs="楷体_GB2312"/>
          <w:lang w:eastAsia="zh-CN"/>
        </w:rPr>
        <w:t>　</w:t>
      </w:r>
      <w:r>
        <w:rPr>
          <w:rFonts w:hint="eastAsia" w:ascii="宋体" w:hAnsi="宋体" w:eastAsia="楷体_GB2312" w:cs="楷体_GB2312"/>
        </w:rPr>
        <w:t>监督管理</w:t>
      </w:r>
    </w:p>
    <w:p>
      <w:pPr>
        <w:widowControl w:val="0"/>
        <w:wordWrap/>
        <w:overflowPunct w:val="0"/>
        <w:adjustRightInd/>
        <w:snapToGrid/>
        <w:spacing w:beforeAutospacing="0" w:afterAutospacing="0" w:line="560" w:lineRule="exact"/>
        <w:jc w:val="left"/>
        <w:textAlignment w:val="auto"/>
        <w:outlineLvl w:val="9"/>
        <w:rPr>
          <w:rFonts w:hint="eastAsia" w:ascii="宋体" w:hAnsi="宋体"/>
        </w:rPr>
      </w:pPr>
      <w:r>
        <w:rPr>
          <w:rFonts w:hint="eastAsia" w:ascii="宋体" w:hAnsi="宋体" w:eastAsia="楷体_GB2312" w:cs="楷体_GB2312"/>
          <w:lang w:eastAsia="zh-CN"/>
        </w:rPr>
        <w:t>　　第</w:t>
      </w:r>
      <w:r>
        <w:rPr>
          <w:rFonts w:hint="eastAsia" w:ascii="宋体" w:hAnsi="宋体" w:eastAsia="楷体_GB2312" w:cs="楷体_GB2312"/>
        </w:rPr>
        <w:t>五章</w:t>
      </w:r>
      <w:r>
        <w:rPr>
          <w:rFonts w:hint="eastAsia" w:ascii="宋体" w:hAnsi="宋体" w:eastAsia="楷体_GB2312" w:cs="楷体_GB2312"/>
          <w:lang w:eastAsia="zh-CN"/>
        </w:rPr>
        <w:t>　</w:t>
      </w:r>
      <w:r>
        <w:rPr>
          <w:rFonts w:hint="eastAsia" w:ascii="宋体" w:hAnsi="宋体" w:eastAsia="楷体_GB2312" w:cs="楷体_GB2312"/>
        </w:rPr>
        <w:t>法律责任</w:t>
      </w:r>
    </w:p>
    <w:p>
      <w:pPr>
        <w:widowControl w:val="0"/>
        <w:wordWrap/>
        <w:overflowPunct w:val="0"/>
        <w:adjustRightInd/>
        <w:snapToGrid/>
        <w:spacing w:beforeAutospacing="0" w:afterAutospacing="0" w:line="560" w:lineRule="exact"/>
        <w:jc w:val="left"/>
        <w:textAlignment w:val="auto"/>
        <w:outlineLvl w:val="9"/>
        <w:rPr>
          <w:rFonts w:ascii="宋体" w:hAnsi="宋体"/>
        </w:rPr>
      </w:pPr>
      <w:r>
        <w:rPr>
          <w:rFonts w:hint="eastAsia" w:ascii="宋体" w:hAnsi="宋体" w:eastAsia="楷体_GB2312" w:cs="楷体_GB2312"/>
          <w:lang w:eastAsia="zh-CN"/>
        </w:rPr>
        <w:t>　　第</w:t>
      </w:r>
      <w:r>
        <w:rPr>
          <w:rFonts w:hint="eastAsia" w:ascii="宋体" w:hAnsi="宋体" w:eastAsia="楷体_GB2312" w:cs="楷体_GB2312"/>
        </w:rPr>
        <w:t>六章</w:t>
      </w:r>
      <w:r>
        <w:rPr>
          <w:rFonts w:hint="eastAsia" w:ascii="宋体" w:hAnsi="宋体" w:eastAsia="楷体_GB2312" w:cs="楷体_GB2312"/>
          <w:lang w:eastAsia="zh-CN"/>
        </w:rPr>
        <w:t>　</w:t>
      </w:r>
      <w:r>
        <w:rPr>
          <w:rFonts w:hint="eastAsia" w:ascii="宋体" w:hAnsi="宋体" w:eastAsia="楷体_GB2312" w:cs="楷体_GB2312"/>
        </w:rPr>
        <w:t>附则</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第一章　总则</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第一条 </w:t>
      </w:r>
      <w:r>
        <w:rPr>
          <w:rFonts w:hint="eastAsia" w:ascii="宋体" w:hAnsi="宋体" w:cs="仿宋_GB2312"/>
          <w:szCs w:val="32"/>
        </w:rPr>
        <w:t>为了加强进出口商品检验工作，规范进出口商品检验行为，维护社会公共利益和进出口贸易有关各方的合法权益，促进对外经济贸易关系的顺利发展，制定本法。</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第二条</w:t>
      </w:r>
      <w:r>
        <w:rPr>
          <w:rFonts w:hint="eastAsia" w:ascii="宋体" w:hAnsi="宋体" w:cs="仿宋_GB2312"/>
          <w:szCs w:val="32"/>
        </w:rPr>
        <w:t xml:space="preserve"> 国务院设立进出口商品检验部门（以下简称国家商检部门），主管全国进出口商品检验工作。国家商检部门设在各地的进出口商品检验机构（以下简称商检机构）管理所辖地区的进出口商品检验工作。</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第三条</w:t>
      </w:r>
      <w:r>
        <w:rPr>
          <w:rFonts w:hint="eastAsia" w:ascii="宋体" w:hAnsi="宋体" w:cs="仿宋_GB2312"/>
          <w:szCs w:val="32"/>
        </w:rPr>
        <w:t xml:space="preserve"> 商检机构和经国家商检部门许可的检验机构，依法对进出口商品实施检验。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第四条</w:t>
      </w:r>
      <w:r>
        <w:rPr>
          <w:rFonts w:hint="eastAsia" w:ascii="宋体" w:hAnsi="宋体" w:cs="仿宋_GB2312"/>
          <w:szCs w:val="32"/>
        </w:rPr>
        <w:t xml:space="preserve"> 进出口商品检验应当根据保护人类健康和安全、保护动物或者植物的生命和健康、保护环境、防止欺诈行为、维护国家安全的原则，由国家商检部门制定、调整必须实施检验的进出口商品目录（以下简称目录）并公布实施。</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第五条</w:t>
      </w:r>
      <w:r>
        <w:rPr>
          <w:rFonts w:hint="eastAsia" w:ascii="宋体" w:hAnsi="宋体" w:cs="仿宋_GB2312"/>
          <w:szCs w:val="32"/>
        </w:rPr>
        <w:t xml:space="preserve"> 列入目录的进出口商品，由商检机构实施检验。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前款规定的进口商品未经检验的，不准销售、使用；前款规定的出口商品未经检验合格的，不准出口。</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本条第一款规定的进出口商品，其中符合国家规定的免予检验条件的，由收货人或者发货人申请，经国家商检部门审查批准，可以免予检验。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第六条</w:t>
      </w:r>
      <w:r>
        <w:rPr>
          <w:rFonts w:hint="eastAsia" w:ascii="宋体" w:hAnsi="宋体" w:cs="仿宋_GB2312"/>
          <w:szCs w:val="32"/>
        </w:rPr>
        <w:t xml:space="preserve"> 必须实施的进出口商品检验，是指确定列入目录的进出口商品是否符合国家技术规范的强制性要求的合格评定活动。</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合格评定程序包括：抽样、检验和检查；评估、验证和合格保证；注册、认可和批准以及各项的组合。</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第七条</w:t>
      </w:r>
      <w:r>
        <w:rPr>
          <w:rFonts w:hint="eastAsia" w:ascii="宋体" w:hAnsi="宋体" w:cs="仿宋_GB2312"/>
          <w:szCs w:val="32"/>
        </w:rPr>
        <w:t xml:space="preserve"> 列入目录的进出口商品，按照国家技术规范的强制性要求进行检验；尚未制定国家技术规范的强制性要求的，应当依法及时制定，未制定之前，可以参照国家商检部门指定的国外有关标准进行检验。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第八条</w:t>
      </w:r>
      <w:r>
        <w:rPr>
          <w:rFonts w:hint="eastAsia" w:ascii="宋体" w:hAnsi="宋体" w:cs="仿宋_GB2312"/>
          <w:szCs w:val="32"/>
        </w:rPr>
        <w:t xml:space="preserve"> 经国家商检部门许可的检验机构，可以接受对外贸易关系人或者外国检验机构的委托，办理进出口商品检验鉴定业务。</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第九条</w:t>
      </w:r>
      <w:r>
        <w:rPr>
          <w:rFonts w:hint="eastAsia" w:ascii="宋体" w:hAnsi="宋体" w:cs="仿宋_GB2312"/>
          <w:szCs w:val="32"/>
        </w:rPr>
        <w:t xml:space="preserve"> 法律、行政法规规定由其他检验机构实施检验的进出口商品或者检验项目，依照有关法律、行政法规的规定办理。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第十条</w:t>
      </w:r>
      <w:r>
        <w:rPr>
          <w:rFonts w:hint="eastAsia" w:ascii="宋体" w:hAnsi="宋体" w:cs="仿宋_GB2312"/>
          <w:szCs w:val="32"/>
        </w:rPr>
        <w:t xml:space="preserve"> 国家商检部门和商检机构应当及时收集和向有关方面提供进出口商品检验方面的信息。</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国家商检部门和商检机构的工作人员在履行进出口商品检验的职责中，对所知悉的商业秘密负有保密义务。</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第二章　进口商品的检验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第十一条</w:t>
      </w:r>
      <w:r>
        <w:rPr>
          <w:rFonts w:hint="eastAsia" w:ascii="宋体" w:hAnsi="宋体" w:cs="仿宋_GB2312"/>
          <w:szCs w:val="32"/>
        </w:rPr>
        <w:t xml:space="preserve"> 本法规定必须经商检机构检验的进口商品的收货人或者其代理人，应当向报关地的商检机构报检。</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第十二条</w:t>
      </w:r>
      <w:r>
        <w:rPr>
          <w:rFonts w:hint="eastAsia" w:ascii="宋体" w:hAnsi="宋体" w:cs="仿宋_GB2312"/>
          <w:szCs w:val="32"/>
        </w:rPr>
        <w:t xml:space="preserve"> 本法规定必须经商检机构检验的进口商品的收货人或者其代理人，应当在商检机构规定的地点和期限内，接受商检机构对进口商品的检验。商检机构应当在国家商检部门统一规定的期限内检验完毕，并出具检验证单。</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第十三条</w:t>
      </w:r>
      <w:r>
        <w:rPr>
          <w:rFonts w:hint="eastAsia" w:ascii="宋体" w:hAnsi="宋体" w:cs="仿宋_GB2312"/>
          <w:szCs w:val="32"/>
        </w:rPr>
        <w:t xml:space="preserve"> 本法规定必须经商检机构检验的进口商品以外的进口商品的收货人，发现进口商品质量不合格或者残损短缺，需要由商检机构出证索赔的，应当向商检机构申请检验出证。</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第十四条 </w:t>
      </w:r>
      <w:r>
        <w:rPr>
          <w:rFonts w:hint="eastAsia" w:ascii="宋体" w:hAnsi="宋体" w:cs="仿宋_GB2312"/>
          <w:szCs w:val="32"/>
        </w:rPr>
        <w:t>对重要的进口商品和大型的成套设备，收货人应当依据对外贸易合同约定在出口国装运前进行预检验、监造或者监装，主管部门应当加强监督；商检机构根据需要可以派出检验人员参加。</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第三章　出口商品的检验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第十五条</w:t>
      </w:r>
      <w:r>
        <w:rPr>
          <w:rFonts w:hint="eastAsia" w:ascii="宋体" w:hAnsi="宋体" w:cs="仿宋_GB2312"/>
          <w:szCs w:val="32"/>
        </w:rPr>
        <w:t xml:space="preserve"> 本法规定必须经商检机构检验的出口商品的发货人或者其代理人，应当在商检机构规定的地点和期限内，向商检机构报检。商检机构应当在国家商检部门统一规定的期限内检验完毕，并出具检验证单。</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第十六条</w:t>
      </w:r>
      <w:r>
        <w:rPr>
          <w:rFonts w:hint="eastAsia" w:ascii="宋体" w:hAnsi="宋体" w:cs="仿宋_GB2312"/>
          <w:szCs w:val="32"/>
        </w:rPr>
        <w:t xml:space="preserve"> 经商检机构检验合格发给检验证单的出口商品，应当在商检机构规定的期限内报关出口；超过期限的，应当重新报检。</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第十七条</w:t>
      </w:r>
      <w:r>
        <w:rPr>
          <w:rFonts w:hint="eastAsia" w:ascii="宋体" w:hAnsi="宋体" w:cs="仿宋_GB2312"/>
          <w:szCs w:val="32"/>
        </w:rPr>
        <w:t xml:space="preserve"> 为出口危险货物生产包装容器的企业，必须申请商检机构进行包装容器的性能鉴定。生产出口危险货物的企业，必须申请商检机构进行包装容器的使用鉴定。使用未经鉴定合格的包装容器的危险货物，不准出口。</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第十八条</w:t>
      </w:r>
      <w:r>
        <w:rPr>
          <w:rFonts w:hint="eastAsia" w:ascii="宋体" w:hAnsi="宋体" w:cs="仿宋_GB2312"/>
          <w:szCs w:val="32"/>
        </w:rPr>
        <w:t xml:space="preserve"> 对装运出口易腐烂变质食品的船舱和集装箱，承运人或者装箱单位必须在装货前申请检验。未经检验合格的，不准装运。</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第四章　监督管理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第十九条</w:t>
      </w:r>
      <w:r>
        <w:rPr>
          <w:rFonts w:hint="eastAsia" w:ascii="宋体" w:hAnsi="宋体" w:cs="仿宋_GB2312"/>
          <w:szCs w:val="32"/>
        </w:rPr>
        <w:t xml:space="preserve"> 商检机构对本法规定必须经商检机构检验的进出口商品以外的进出口商品，根据国家规定实施抽查检验。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国家商检部门可以公布抽查检验结果或者向有关部门通报抽查检验情况。</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第二十条</w:t>
      </w:r>
      <w:r>
        <w:rPr>
          <w:rFonts w:hint="eastAsia" w:ascii="宋体" w:hAnsi="宋体" w:cs="仿宋_GB2312"/>
          <w:szCs w:val="32"/>
        </w:rPr>
        <w:t xml:space="preserve"> 商检机构根据便利对外贸易的需要，可以按照国家规定对列入目录的出口商品进行出厂前的质量监督管理和检验。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第二十一条 </w:t>
      </w:r>
      <w:r>
        <w:rPr>
          <w:rFonts w:hint="eastAsia" w:ascii="宋体" w:hAnsi="宋体" w:cs="仿宋_GB2312"/>
          <w:szCs w:val="32"/>
        </w:rPr>
        <w:t>为进出口货物的收发货人办理报检手续的代理人办理报检手续时应当向商检机构提交授权委托书。</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第二十二条</w:t>
      </w:r>
      <w:r>
        <w:rPr>
          <w:rFonts w:hint="eastAsia" w:ascii="宋体" w:hAnsi="宋体" w:cs="仿宋_GB2312"/>
          <w:szCs w:val="32"/>
        </w:rPr>
        <w:t xml:space="preserve"> 国家商检部门可以按照国家有关规定，通过考核，许可符合条件的国内外检验机构承担委托的进出口商品检验鉴定业务。</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第二十三条</w:t>
      </w:r>
      <w:r>
        <w:rPr>
          <w:rFonts w:hint="eastAsia" w:ascii="宋体" w:hAnsi="宋体" w:cs="仿宋_GB2312"/>
          <w:szCs w:val="32"/>
        </w:rPr>
        <w:t xml:space="preserve"> 国家商检部门和商检机构依法对经国家商检部门许可的检验机构的进出口商品检验鉴定业务活动进行监督，可以对其检验的商品抽查检验。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第二十四条</w:t>
      </w:r>
      <w:r>
        <w:rPr>
          <w:rFonts w:hint="eastAsia" w:ascii="宋体" w:hAnsi="宋体" w:cs="仿宋_GB2312"/>
          <w:szCs w:val="32"/>
        </w:rPr>
        <w:t xml:space="preserve"> 国家商检部门根据国家统一的认证制度，对有关的进出口商品实施认证管理。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第二十五条</w:t>
      </w:r>
      <w:r>
        <w:rPr>
          <w:rFonts w:hint="eastAsia" w:ascii="宋体" w:hAnsi="宋体" w:cs="仿宋_GB2312"/>
          <w:szCs w:val="32"/>
        </w:rPr>
        <w:t xml:space="preserve"> 商检机构可以根据国家商检部门同外国有关机构签订的协议或者接受外国有关机构的委托进行进出口商品质量认证工作，准许在认证合格的进出口商品上使用质量认证标志。</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第二十六条 </w:t>
      </w:r>
      <w:r>
        <w:rPr>
          <w:rFonts w:hint="eastAsia" w:ascii="宋体" w:hAnsi="宋体" w:cs="仿宋_GB2312"/>
          <w:szCs w:val="32"/>
        </w:rPr>
        <w:t>商检机构依照本法对实施许可制度的进出口商品实行验证管理，查验单证，核对证货是否相符。</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第二十七条</w:t>
      </w:r>
      <w:r>
        <w:rPr>
          <w:rFonts w:hint="eastAsia" w:ascii="宋体" w:hAnsi="宋体" w:cs="仿宋_GB2312"/>
          <w:szCs w:val="32"/>
        </w:rPr>
        <w:t xml:space="preserve"> 商检机构根据需要，对检验合格的进出口商品，可以加施商检标志或者封识。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第二十八条</w:t>
      </w:r>
      <w:r>
        <w:rPr>
          <w:rFonts w:hint="eastAsia" w:ascii="宋体" w:hAnsi="宋体" w:cs="仿宋_GB2312"/>
          <w:szCs w:val="32"/>
        </w:rPr>
        <w:t xml:space="preserve"> 进出口商品的报检人对商检机构作出的检验结果有异议的，可以向原商检机构或者其上级商检机构以至国家商检部门申请复验，由受理复验的商检机构或者国家商检部门及时作出复验结论。</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第二十九条</w:t>
      </w:r>
      <w:r>
        <w:rPr>
          <w:rFonts w:hint="eastAsia" w:ascii="宋体" w:hAnsi="宋体" w:cs="仿宋_GB2312"/>
          <w:szCs w:val="32"/>
        </w:rPr>
        <w:t xml:space="preserve"> 当事人对商检机构、国家商检部门作出的复验结论不服或者对商检机构作出的处罚决定不服的，可以依法申请行政复议，也可以依法向人民法院提起诉讼。</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第三十条</w:t>
      </w:r>
      <w:r>
        <w:rPr>
          <w:rFonts w:hint="eastAsia" w:ascii="宋体" w:hAnsi="宋体" w:cs="仿宋_GB2312"/>
          <w:szCs w:val="32"/>
        </w:rPr>
        <w:t xml:space="preserve"> 国家商检部门和商检机构履行职责，必须遵守法律，维护国家利益，依照法定职权和法定程序严格执法，接受监督。</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国家商检部门和商检机构应当根据依法履行职责的需要，加强队伍建设，使商检工作人员具有良好的政治、业务素质。商检工作人员应当定期接受业务培训和考核，经考核合格，方可上岗执行职务。</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商检工作人员必须忠于职守，文明服务，遵守职业道德，不得滥用职权，谋取私利。</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第三十一条</w:t>
      </w:r>
      <w:r>
        <w:rPr>
          <w:rFonts w:hint="eastAsia" w:ascii="宋体" w:hAnsi="宋体" w:cs="仿宋_GB2312"/>
          <w:szCs w:val="32"/>
        </w:rPr>
        <w:t xml:space="preserve"> 国家商检部门和商检机构应当建立健全内部监督制度，对其工作人员的执法活动进行监督检查。</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商检机构内部负责受理报检、检验、出证放行等主要岗位的职责权限应当明确，并相互分离、相互制约。</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第三十二条 </w:t>
      </w:r>
      <w:r>
        <w:rPr>
          <w:rFonts w:hint="eastAsia" w:ascii="宋体" w:hAnsi="宋体" w:cs="仿宋_GB2312"/>
          <w:szCs w:val="32"/>
        </w:rPr>
        <w:t>任何单位和个人均有权对国家商检部门、商检机构及其工作人员的违法、违纪行为进行控告、检举。收到控告、检举的机关应当依法按照职责分工及时查处，并为控告人、检举人保密。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第五章　法律责任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第三十三条 </w:t>
      </w:r>
      <w:r>
        <w:rPr>
          <w:rFonts w:hint="eastAsia" w:ascii="宋体" w:hAnsi="宋体" w:cs="仿宋_GB2312"/>
          <w:szCs w:val="32"/>
        </w:rPr>
        <w:t>违反本法规定，将必须经商检机构检验的进口商品未报经检验而擅自销售或者使用的，或者将必须经商检机构检验的出口商品未报经检验合格而擅自出口的，由商检机构没收违法所得，并处货值金额百分之五以上百分之二十以下的罚款；构成犯罪的，依法追究刑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第三十四条</w:t>
      </w:r>
      <w:r>
        <w:rPr>
          <w:rFonts w:hint="eastAsia" w:ascii="宋体" w:hAnsi="宋体" w:cs="仿宋_GB2312"/>
          <w:szCs w:val="32"/>
        </w:rPr>
        <w:t xml:space="preserve"> 违反本法规定，未经国家商检部门许可，擅自从事进出口商品检验鉴定业务的，由商检机构责令停止非法经营，没收违法所得，并处违法所得一倍以上三倍以下的罚款。</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第三十五条 </w:t>
      </w:r>
      <w:r>
        <w:rPr>
          <w:rFonts w:hint="eastAsia" w:ascii="宋体" w:hAnsi="宋体" w:cs="仿宋_GB2312"/>
          <w:szCs w:val="32"/>
        </w:rPr>
        <w:t>进口或者出口属于掺杂掺假、以假充真、以次充好的商品或者以不合格进出口商品冒充合格进出口商品的，由商检机构责令停止进口或者出口，没收违法所得，并处货值金额百分之五十以上三倍以下的罚款；构成犯罪的，依法追究刑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第三十六条</w:t>
      </w:r>
      <w:r>
        <w:rPr>
          <w:rFonts w:hint="eastAsia" w:ascii="宋体" w:hAnsi="宋体" w:cs="仿宋_GB2312"/>
          <w:szCs w:val="32"/>
        </w:rPr>
        <w:t xml:space="preserve"> 伪造、变造、买卖或者盗窃商检单证、印章、标志、封识、质量认证标志的，依法追究刑事责任；尚不够刑事处罚的，由商检机构责令改正，没收违法所得，并处货值金额等值以下的罚款。</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第三十七条</w:t>
      </w:r>
      <w:r>
        <w:rPr>
          <w:rFonts w:hint="eastAsia" w:ascii="宋体" w:hAnsi="宋体" w:cs="仿宋_GB2312"/>
          <w:szCs w:val="32"/>
        </w:rPr>
        <w:t xml:space="preserve"> 国家商检部门、商检机构的工作人员违反本法规定，泄露所知悉的商业秘密的，依法给予行政处分，有违法所得的，没收违法所得；构成犯罪的，依法追究刑事责任。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第三十八条</w:t>
      </w:r>
      <w:r>
        <w:rPr>
          <w:rFonts w:hint="eastAsia" w:ascii="宋体" w:hAnsi="宋体" w:cs="仿宋_GB2312"/>
          <w:szCs w:val="32"/>
        </w:rPr>
        <w:t xml:space="preserve"> 国家商检部门、商检机构的工作人员滥用职权，故意刁难的，徇私舞弊，伪造检验结果的，或者玩忽职守，延误检验出证的，依法给予行政处分；构成犯罪的，依法追究刑事责任。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第六章　附则</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第三十九条</w:t>
      </w:r>
      <w:r>
        <w:rPr>
          <w:rFonts w:hint="eastAsia" w:ascii="宋体" w:hAnsi="宋体" w:cs="仿宋_GB2312"/>
          <w:szCs w:val="32"/>
        </w:rPr>
        <w:t xml:space="preserve"> 商检机构和其他检验机构依照本法的规定实施检验和办理检验鉴定业务，依照国家有关规定收取费用。</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第四十条</w:t>
      </w:r>
      <w:r>
        <w:rPr>
          <w:rFonts w:hint="eastAsia" w:ascii="宋体" w:hAnsi="宋体" w:cs="仿宋_GB2312"/>
          <w:szCs w:val="32"/>
        </w:rPr>
        <w:t xml:space="preserve"> 国务院根据本法制定实施条例。</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第四十一条</w:t>
      </w:r>
      <w:r>
        <w:rPr>
          <w:rFonts w:hint="eastAsia" w:ascii="宋体" w:hAnsi="宋体" w:cs="仿宋_GB2312"/>
          <w:szCs w:val="32"/>
        </w:rPr>
        <w:t xml:space="preserve"> 本法自1989年8月1日起施行。</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92" w:name="_Toc2880"/>
      <w:r>
        <w:rPr>
          <w:rFonts w:hint="eastAsia" w:ascii="宋体" w:hAnsi="宋体" w:eastAsia="宋体" w:cs="宋体"/>
          <w:kern w:val="0"/>
          <w:sz w:val="44"/>
          <w:szCs w:val="44"/>
          <w:lang w:val="en-US" w:eastAsia="zh-CN"/>
        </w:rPr>
        <w:t>中华人民共和国旅游法</w:t>
      </w:r>
      <w:bookmarkEnd w:id="192"/>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（2013年4月25日第十二届全国人民代表大会常务委员会第二次会议通过　根据2016年11月7日第十二届全国人民代表大会常务委员会第二十四次会议《关于修改〈中华人民共和国对外贸易法〉等十二部法律的决定》第一次修正　根据2018年10月26日第十三届全国人民代表大会常务委员会第六次会议《关于修改〈中华人民共和国野生动物保护法〉等十五部法律的决定》第二次修正）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第二章　旅游者</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第三章　旅游规划和促进</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第四章　旅游经营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第五章　旅游服务合同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第六章　旅游安全</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第七章　旅游监督管理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第八章　旅游纠纷处理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第九章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第十章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第一条</w:t>
      </w:r>
      <w:r>
        <w:rPr>
          <w:rFonts w:hint="eastAsia" w:ascii="宋体" w:hAnsi="宋体" w:cs="Arial"/>
          <w:kern w:val="0"/>
          <w:szCs w:val="32"/>
        </w:rPr>
        <w:t>　为保障旅游者和旅游经营者的合法权益，规范旅游市场秩序，保护和合理利用旅游资源，促进旅游业持续健康发展，制定本法。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第二条</w:t>
      </w:r>
      <w:r>
        <w:rPr>
          <w:rFonts w:hint="eastAsia" w:ascii="宋体" w:hAnsi="宋体" w:cs="Arial"/>
          <w:kern w:val="0"/>
          <w:szCs w:val="32"/>
        </w:rPr>
        <w:t>　在中华人民共和国境内的和在中华人民共和国境内组织到境外的游览、度假、休闲等形式的旅游活动以及为旅游活动提供相关服务的经营活动，适用本法。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第三条</w:t>
      </w:r>
      <w:r>
        <w:rPr>
          <w:rFonts w:hint="eastAsia" w:ascii="宋体" w:hAnsi="宋体" w:cs="Arial"/>
          <w:kern w:val="0"/>
          <w:szCs w:val="32"/>
        </w:rPr>
        <w:t>　国家发展旅游事业，完善旅游公共服务，依法保护旅游者在旅游活动中的权利。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第四条</w:t>
      </w:r>
      <w:r>
        <w:rPr>
          <w:rFonts w:hint="eastAsia" w:ascii="宋体" w:hAnsi="宋体" w:cs="Arial"/>
          <w:kern w:val="0"/>
          <w:szCs w:val="32"/>
        </w:rPr>
        <w:t>　旅游业发展应当遵循社会效益、经济效益和生态效益相统一的原则。国家鼓励各类市场主体在有效保护旅游资源的前提下，依法合理利用旅游资源。利用公共资源建设的游览场所应当体现公益性质。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第五条</w:t>
      </w:r>
      <w:r>
        <w:rPr>
          <w:rFonts w:hint="eastAsia" w:ascii="宋体" w:hAnsi="宋体" w:cs="Arial"/>
          <w:kern w:val="0"/>
          <w:szCs w:val="32"/>
        </w:rPr>
        <w:t>　国家倡导健康、文明、环保的旅游方式，支持和鼓励各类社会机构开展旅游公益宣传，对促进旅游业发展做出突出贡献的单位和个人给予奖励。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第六条</w:t>
      </w:r>
      <w:r>
        <w:rPr>
          <w:rFonts w:hint="eastAsia" w:ascii="宋体" w:hAnsi="宋体" w:cs="Arial"/>
          <w:kern w:val="0"/>
          <w:szCs w:val="32"/>
        </w:rPr>
        <w:t>　国家建立健全旅游服务标准和市场规则，禁止行业垄断和地区垄断。旅游经营者应当诚信经营，公平竞争，承担社会责任，为旅游者提供安全、健康、卫生、方便的旅游服务。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第七条</w:t>
      </w:r>
      <w:r>
        <w:rPr>
          <w:rFonts w:hint="eastAsia" w:ascii="宋体" w:hAnsi="宋体" w:cs="Arial"/>
          <w:kern w:val="0"/>
          <w:szCs w:val="32"/>
        </w:rPr>
        <w:t>　国务院建立健全旅游综合协调机制，对旅游业发展进行综合协调。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县级以上地方人民政府应当加强对旅游工作的组织和领导，明确相关部门或者机构，对本行政区域的旅游业发展和监督管理进行统筹协调。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第八条</w:t>
      </w:r>
      <w:r>
        <w:rPr>
          <w:rFonts w:hint="eastAsia" w:ascii="宋体" w:hAnsi="宋体" w:cs="Arial"/>
          <w:kern w:val="0"/>
          <w:szCs w:val="32"/>
        </w:rPr>
        <w:t>　依法成立的旅游行业组织，实行自律管理。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旅游者</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第九条</w:t>
      </w:r>
      <w:r>
        <w:rPr>
          <w:rFonts w:hint="eastAsia" w:ascii="宋体" w:hAnsi="宋体" w:cs="Arial"/>
          <w:kern w:val="0"/>
          <w:szCs w:val="32"/>
        </w:rPr>
        <w:t>　旅游者有权自主选择旅游产品和服务，有权拒绝旅游经营者的强制交易行为。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旅游者有权知悉其购买的旅游产品和服务的真实情况。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旅游者有权要求旅游经营者按照约定提供产品和服务。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第十条</w:t>
      </w:r>
      <w:r>
        <w:rPr>
          <w:rFonts w:hint="eastAsia" w:ascii="宋体" w:hAnsi="宋体" w:cs="Arial"/>
          <w:kern w:val="0"/>
          <w:szCs w:val="32"/>
        </w:rPr>
        <w:t>　旅游者的人格尊严、民族风俗习惯和宗教信仰应当得到尊重。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第十一条</w:t>
      </w:r>
      <w:r>
        <w:rPr>
          <w:rFonts w:hint="eastAsia" w:ascii="宋体" w:hAnsi="宋体" w:cs="Arial"/>
          <w:kern w:val="0"/>
          <w:szCs w:val="32"/>
        </w:rPr>
        <w:t>　残疾人、老年人、未成年人等旅游者在旅游活动中依照法律、法规和有关规定享受便利和优惠。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第十二条</w:t>
      </w:r>
      <w:r>
        <w:rPr>
          <w:rFonts w:hint="eastAsia" w:ascii="宋体" w:hAnsi="宋体" w:cs="Arial"/>
          <w:kern w:val="0"/>
          <w:szCs w:val="32"/>
        </w:rPr>
        <w:t>　旅游者在人身、财产安全遇有危险时，有请求救助和保护的权利。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旅游者人身、财产受到侵害的，有依法获得赔偿的权利。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第十三条</w:t>
      </w:r>
      <w:r>
        <w:rPr>
          <w:rFonts w:hint="eastAsia" w:ascii="宋体" w:hAnsi="宋体" w:cs="Arial"/>
          <w:kern w:val="0"/>
          <w:szCs w:val="32"/>
        </w:rPr>
        <w:t>　旅游者在旅游活动中应当遵守社会公共秩序和社会公德，尊重当地的风俗习惯、文化传统和宗教信仰，爱护旅游资源，保护生态环境，遵守旅游文明行为规范。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第十四条</w:t>
      </w:r>
      <w:r>
        <w:rPr>
          <w:rFonts w:hint="eastAsia" w:ascii="宋体" w:hAnsi="宋体" w:cs="Arial"/>
          <w:kern w:val="0"/>
          <w:szCs w:val="32"/>
        </w:rPr>
        <w:t>　旅游者在旅游活动中或者在解决纠纷时，不得损害当地居民的合法权益，不得干扰他人的旅游活动，不得损害旅游经营者和旅游从业人员的合法权益。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第十五条</w:t>
      </w:r>
      <w:r>
        <w:rPr>
          <w:rFonts w:hint="eastAsia" w:ascii="宋体" w:hAnsi="宋体" w:cs="Arial"/>
          <w:kern w:val="0"/>
          <w:szCs w:val="32"/>
        </w:rPr>
        <w:t>　旅游者购买、接受旅游服务时，应当向旅游经营者如实告知与旅游活动相关的个人健康信息，遵守旅游活动中的安全警示规定。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旅游者对国家应对重大突发事件暂时限制旅游活动的措施以及有关部门、机构或者旅游经营者采取的安全防范和应急处置措施，应当予以配合。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旅游者违反安全警示规定，或者对国家应对重大突发事件暂时限制旅游活动的措施、安全防范和应急处置措施不予配合的，依法承担相应责任。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第十六条</w:t>
      </w:r>
      <w:r>
        <w:rPr>
          <w:rFonts w:hint="eastAsia" w:ascii="宋体" w:hAnsi="宋体" w:cs="Arial"/>
          <w:kern w:val="0"/>
          <w:szCs w:val="32"/>
        </w:rPr>
        <w:t>　出境旅游者不得在境外非法滞留，随团出境的旅游者不得擅自分团、脱团。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入境旅游者不得在境内非法滞留，随团入境的旅游者不得擅自分团、脱团。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旅游规划和促进</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第十七条</w:t>
      </w:r>
      <w:r>
        <w:rPr>
          <w:rFonts w:hint="eastAsia" w:ascii="宋体" w:hAnsi="宋体" w:cs="Arial"/>
          <w:kern w:val="0"/>
          <w:szCs w:val="32"/>
        </w:rPr>
        <w:t>　国务院和县级以上地方人民政府应当将旅游业发展纳入国民经济和社会发展规划。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务院和省、自治区、直辖市人民政府以及旅游资源丰富的设区的市和县级人民政府，应当按照国民经济和社会发展规划的要求，组织编制旅游发展规划。对跨行政区域且适宜进行整体利用的旅游资源进行利用时，应当由上级人民政府组织编制或者由相关地方人民政府协商编制统一的旅游发展规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第十八条</w:t>
      </w:r>
      <w:r>
        <w:rPr>
          <w:rFonts w:hint="eastAsia" w:ascii="宋体" w:hAnsi="宋体" w:cs="Arial"/>
          <w:kern w:val="0"/>
          <w:szCs w:val="32"/>
        </w:rPr>
        <w:t>　旅游发展规划应当包括旅游业发展的总体要求和发展目标，旅游资源保护和利用的要求和措施，以及旅游产品开发、旅游服务质量提升、旅游文化建设、旅游形象推广、旅游基础设施和公共服务设施建设的要求和促进措施等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根据旅游发展规划，县级以上地方人民政府可以编制重点旅游资源开发利用的专项规划，对特定区域内的旅游项目、设施和服务功能配套提出专门要求。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第十九条</w:t>
      </w:r>
      <w:r>
        <w:rPr>
          <w:rFonts w:hint="eastAsia" w:ascii="宋体" w:hAnsi="宋体" w:cs="Arial"/>
          <w:kern w:val="0"/>
          <w:szCs w:val="32"/>
        </w:rPr>
        <w:t>　旅游发展规划应当与土地利用总体规划、城乡规划、环境保护规划以及其他自然资源和文物等人文资源的保护和利用规划相衔接。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第二十条</w:t>
      </w:r>
      <w:r>
        <w:rPr>
          <w:rFonts w:hint="eastAsia" w:ascii="宋体" w:hAnsi="宋体" w:cs="Arial"/>
          <w:kern w:val="0"/>
          <w:szCs w:val="32"/>
        </w:rPr>
        <w:t>　各级人民政府编制土地利用总体规划、城乡规划，应当充分考虑相关旅游项目、设施的空间布局和建设用地要求。规划和建设交通、通信、供水、供电、环保等基础设施和公共服务设施，应当兼顾旅游业发展的需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第二十一条</w:t>
      </w:r>
      <w:r>
        <w:rPr>
          <w:rFonts w:hint="eastAsia" w:ascii="宋体" w:hAnsi="宋体" w:cs="Arial"/>
          <w:kern w:val="0"/>
          <w:szCs w:val="32"/>
        </w:rPr>
        <w:t>　对自然资源和文物等人文资源进行旅游利用，必须严格遵守有关法律、法规的规定，符合资源、生态保护和文物安全的要求，尊重和维护当地传统文化和习俗，维护资源的区域整体性、文化代表性和地域特殊性，并考虑军事设施保护的需要。有关主管部门应当加强对资源保护和旅游利用状况的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第二十二条</w:t>
      </w:r>
      <w:r>
        <w:rPr>
          <w:rFonts w:hint="eastAsia" w:ascii="宋体" w:hAnsi="宋体" w:cs="Arial"/>
          <w:kern w:val="0"/>
          <w:szCs w:val="32"/>
        </w:rPr>
        <w:t>　各级人民政府应当组织对本级政府编制的旅游发展规划的执行情况进行评估，并向社会公布。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第二十三条</w:t>
      </w:r>
      <w:r>
        <w:rPr>
          <w:rFonts w:hint="eastAsia" w:ascii="宋体" w:hAnsi="宋体" w:cs="Arial"/>
          <w:kern w:val="0"/>
          <w:szCs w:val="32"/>
        </w:rPr>
        <w:t>　国务院和县级以上地方人民政府应当制定并组织实施有利于旅游业持续健康发展的产业政策，推进旅游休闲体系建设，采取措施推动区域旅游合作，鼓励跨区域旅游线路和产品开发，促进旅游与工业、农业、商业、文化、卫生、体育、科教等领域的融合，扶持少数民族地区、革命老区、边远地区和贫困地区旅游业发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第二十四条</w:t>
      </w:r>
      <w:r>
        <w:rPr>
          <w:rFonts w:hint="eastAsia" w:ascii="宋体" w:hAnsi="宋体" w:cs="Arial"/>
          <w:kern w:val="0"/>
          <w:szCs w:val="32"/>
        </w:rPr>
        <w:t>　国务院和县级以上地方人民政府应当根据实际情况安排资金，加强旅游基础设施建设、旅游公共服务和旅游形象推广。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第二十五条</w:t>
      </w:r>
      <w:r>
        <w:rPr>
          <w:rFonts w:hint="eastAsia" w:ascii="宋体" w:hAnsi="宋体" w:cs="Arial"/>
          <w:kern w:val="0"/>
          <w:szCs w:val="32"/>
        </w:rPr>
        <w:t>　国家制定并实施旅游形象推广战略。国务院旅游主管部门统筹组织国家旅游形象的境外推广工作，建立旅游形象推广机构和网络，开展旅游国际合作与交流。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县级以上地方人民政府统筹组织本地的旅游形象推广工作。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第二十六条</w:t>
      </w:r>
      <w:r>
        <w:rPr>
          <w:rFonts w:hint="eastAsia" w:ascii="宋体" w:hAnsi="宋体" w:cs="Arial"/>
          <w:kern w:val="0"/>
          <w:szCs w:val="32"/>
        </w:rPr>
        <w:t>　国务院旅游主管部门和县级以上地方人民政府应当根据需要建立旅游公共信息和咨询平台，无偿向旅游者提供旅游景区、线路、交通、气象、住宿、安全、医疗急救等必要信息和咨询服务。设区的市和县级人民政府有关部门应当根据需要在交通枢纽、商业中心和旅游者集中场所设置旅游咨询中心，在景区和通往主要景区的道路设置旅游指示标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旅游资源丰富的设区的市和县级人民政府可以根据本地的实际情况，建立旅游客运专线或者游客中转站，为旅游者在城市及周边旅游提供服务。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第二十七条</w:t>
      </w:r>
      <w:r>
        <w:rPr>
          <w:rFonts w:hint="eastAsia" w:ascii="宋体" w:hAnsi="宋体" w:cs="Arial"/>
          <w:kern w:val="0"/>
          <w:szCs w:val="32"/>
        </w:rPr>
        <w:t>　国家鼓励和支持发展旅游职业教育和培训，提高旅游从业人员素质。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旅游经营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第二十八条</w:t>
      </w:r>
      <w:r>
        <w:rPr>
          <w:rFonts w:hint="eastAsia" w:ascii="宋体" w:hAnsi="宋体" w:cs="Arial"/>
          <w:kern w:val="0"/>
          <w:szCs w:val="32"/>
        </w:rPr>
        <w:t>　设立旅行社，招徕、组织、接待旅游者，为其提供旅游服务，应当具备下列条件，取得旅游主管部门的许可，依法办理工商登记：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（一）有固定的经营场所；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（二）有必要的营业设施；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（三）有符合规定的注册资本；</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（四）有必要的经营管理人员和导游；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（五）法律、行政法规规定的其他条件。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第二十九条</w:t>
      </w:r>
      <w:r>
        <w:rPr>
          <w:rFonts w:hint="eastAsia" w:ascii="宋体" w:hAnsi="宋体" w:cs="Arial"/>
          <w:kern w:val="0"/>
          <w:szCs w:val="32"/>
        </w:rPr>
        <w:t>　旅行社可以经营下列业务：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（一）境内旅游；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（二）出境旅游；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（三）边境旅游；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（四）入境旅游；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（五）其他旅游业务。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旅行社经营</w:t>
      </w:r>
      <w:r>
        <w:rPr>
          <w:rFonts w:hint="eastAsia" w:ascii="宋体" w:hAnsi="宋体" w:eastAsia="仿宋_GB2312" w:cs="仿宋_GB2312"/>
          <w:kern w:val="0"/>
          <w:szCs w:val="32"/>
        </w:rPr>
        <w:t>前款第二项和第三项业务，应当取得相应的业务经营许可，具体条件由国务院规定。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第三十条</w:t>
      </w:r>
      <w:r>
        <w:rPr>
          <w:rFonts w:hint="eastAsia" w:ascii="宋体" w:hAnsi="宋体" w:cs="Arial"/>
          <w:kern w:val="0"/>
          <w:szCs w:val="32"/>
        </w:rPr>
        <w:t>　旅行社不得出租、出借旅行社业务经营许可证，或者以其他形式非法转让旅行社业务经营许可。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第三十一条</w:t>
      </w:r>
      <w:r>
        <w:rPr>
          <w:rFonts w:hint="eastAsia" w:ascii="宋体" w:hAnsi="宋体" w:cs="Arial"/>
          <w:kern w:val="0"/>
          <w:szCs w:val="32"/>
        </w:rPr>
        <w:t>　旅行社应当按照规定交纳旅游服务质量保证金，用于旅游者权益损害赔偿和垫付旅游者人身安全遇有危险时紧急救助的费用。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第三十二条</w:t>
      </w:r>
      <w:r>
        <w:rPr>
          <w:rFonts w:hint="eastAsia" w:ascii="宋体" w:hAnsi="宋体" w:cs="Arial"/>
          <w:kern w:val="0"/>
          <w:szCs w:val="32"/>
        </w:rPr>
        <w:t>　旅行社为招徕、组织旅游者发布信息，必须真实、准确，不得进行虚假宣传，误导旅游者。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第三十三条</w:t>
      </w:r>
      <w:r>
        <w:rPr>
          <w:rFonts w:hint="eastAsia" w:ascii="宋体" w:hAnsi="宋体" w:cs="Arial"/>
          <w:kern w:val="0"/>
          <w:szCs w:val="32"/>
        </w:rPr>
        <w:t>　旅行社及其从业人员组织、接待旅游者，不得安排参观或者参与违反我国法律、法规和社会公德的项目或者活动。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第三十四条</w:t>
      </w:r>
      <w:r>
        <w:rPr>
          <w:rFonts w:hint="eastAsia" w:ascii="宋体" w:hAnsi="宋体" w:cs="Arial"/>
          <w:kern w:val="0"/>
          <w:szCs w:val="32"/>
        </w:rPr>
        <w:t>　旅行社组织旅游活动应当向合格的供应商订购产品和服务。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第三十五条</w:t>
      </w:r>
      <w:r>
        <w:rPr>
          <w:rFonts w:hint="eastAsia" w:ascii="宋体" w:hAnsi="宋体" w:cs="Arial"/>
          <w:kern w:val="0"/>
          <w:szCs w:val="32"/>
        </w:rPr>
        <w:t>　旅行社不得以不合理的低价组织旅游活动，诱骗旅游者，并通过安排购物或者另行付费旅游项目获取回扣等不正当利益。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旅行社组织、接待旅游者，不得指定具体购物场所，不得安排另行付费旅游项目。但是，经双方协商一致或者旅游者要求，且不影响其他旅游者行程安排的除外。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发生违反前两款规定情形的，旅游者有权在旅游行程结束后三十日内，要求旅行社为其办理退货并先行垫付退货货款，或者退还另行付费旅游项目的费用。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第三十六条</w:t>
      </w:r>
      <w:r>
        <w:rPr>
          <w:rFonts w:hint="eastAsia" w:ascii="宋体" w:hAnsi="宋体" w:cs="Arial"/>
          <w:kern w:val="0"/>
          <w:szCs w:val="32"/>
        </w:rPr>
        <w:t>　旅行社组织团队出境旅游或者组织、接待团队入境旅游，应当按照规定安排领队或者导游全程陪同。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第三十七条</w:t>
      </w:r>
      <w:r>
        <w:rPr>
          <w:rFonts w:hint="eastAsia" w:ascii="宋体" w:hAnsi="宋体" w:cs="Arial"/>
          <w:kern w:val="0"/>
          <w:szCs w:val="32"/>
        </w:rPr>
        <w:t>　参加导游资格考试成绩合格，与旅行社订立劳动合同或者在相关旅游行业组织注册的人员，可以申请取得导游证。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第三十八条</w:t>
      </w:r>
      <w:r>
        <w:rPr>
          <w:rFonts w:hint="eastAsia" w:ascii="宋体" w:hAnsi="宋体" w:cs="Arial"/>
          <w:kern w:val="0"/>
          <w:szCs w:val="32"/>
        </w:rPr>
        <w:t>　旅行社应当与其聘用的导游依法订立劳动合同，支付劳动报酬，缴纳社会保险费用。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旅行社临时聘用导游为旅游者提供服务的，应当全额向导游支付本</w:t>
      </w:r>
      <w:r>
        <w:rPr>
          <w:rFonts w:hint="eastAsia" w:ascii="宋体" w:hAnsi="宋体" w:eastAsia="仿宋_GB2312" w:cs="仿宋_GB2312"/>
          <w:kern w:val="0"/>
          <w:szCs w:val="32"/>
        </w:rPr>
        <w:t>法第六十条第三款规定的导游服务费用。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旅行社安排导游为团队旅游提供服务的，不得要求导游垫付或者向导游收取任何费用。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第三十九条</w:t>
      </w:r>
      <w:r>
        <w:rPr>
          <w:rFonts w:hint="eastAsia" w:ascii="宋体" w:hAnsi="宋体" w:cs="Arial"/>
          <w:kern w:val="0"/>
          <w:szCs w:val="32"/>
        </w:rPr>
        <w:t>　从事领队业务，应当取得导游证，具有相应的学历、语言能力和旅游从业经历，并与委派其从事领队业务的取得出境旅游业务经营许可的旅行社订立劳动合同。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第四十条</w:t>
      </w:r>
      <w:r>
        <w:rPr>
          <w:rFonts w:hint="eastAsia" w:ascii="宋体" w:hAnsi="宋体" w:cs="Arial"/>
          <w:kern w:val="0"/>
          <w:szCs w:val="32"/>
        </w:rPr>
        <w:t>　导游和领队为旅游者提供服务必须接受旅行社委派，不得私自承揽导游和领队业务。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第四十一条</w:t>
      </w:r>
      <w:r>
        <w:rPr>
          <w:rFonts w:hint="eastAsia" w:ascii="宋体" w:hAnsi="宋体" w:cs="Arial"/>
          <w:kern w:val="0"/>
          <w:szCs w:val="32"/>
        </w:rPr>
        <w:t>　导游和领队从事业务活动，应当佩戴导游证，遵守职业道德，尊重旅游者的风俗习惯和宗教信仰，应当向旅游者告知和解释旅游文明行为规范，引导旅游者健康、文明旅游，劝阻旅游者违反社会公德的行为。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导游和领队应当严格执行旅游行程安排，不得擅自变更旅游行程或者中止服务活动，不得向旅游者索取小费，不得诱导、欺骗、强迫或者变相强迫旅游者购物或者参加另行付费旅游项目。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第四十二条</w:t>
      </w:r>
      <w:r>
        <w:rPr>
          <w:rFonts w:hint="eastAsia" w:ascii="宋体" w:hAnsi="宋体" w:cs="Arial"/>
          <w:kern w:val="0"/>
          <w:szCs w:val="32"/>
        </w:rPr>
        <w:t>　景区开放应当具备下列条件，并听取旅游主管部门的意见：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（一）有必要的旅游配套服务和辅助设施；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（二）有必要的安全设施及制度，经过安全风险评估，满足安全条件；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（三）有必要的环境保护设施和生态保护措施；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（四）法律、行政法规规定的其他条件。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第四十三条</w:t>
      </w:r>
      <w:r>
        <w:rPr>
          <w:rFonts w:hint="eastAsia" w:ascii="宋体" w:hAnsi="宋体" w:cs="Arial"/>
          <w:kern w:val="0"/>
          <w:szCs w:val="32"/>
        </w:rPr>
        <w:t>　利用公共资源建设的景区的门票以及景区内的游览场所、交通工具等另行收费项目，实行政府定价或者政府指导价，严格控制价格上涨。拟收费或者提高价格的，应当举行听证会，征求旅游者、经营者和有关方面的意见，论证其必要性、可行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利用公共资源建设的景区，不得通过增加另行收费项目等方式变相涨价；另行收费项目已收回投资成本的，应当相应降低价格或者取消收费。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公益性的城市公园、博物馆、纪念馆等，除重点文物保护单位和珍贵文物收藏单位外，应当逐步免费开放。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第四十四条</w:t>
      </w:r>
      <w:r>
        <w:rPr>
          <w:rFonts w:hint="eastAsia" w:ascii="宋体" w:hAnsi="宋体" w:cs="Arial"/>
          <w:kern w:val="0"/>
          <w:szCs w:val="32"/>
        </w:rPr>
        <w:t>　景区应当在醒目位置公示门票价格、另行收费项目的价格及团体收费价格。景区提高门票价格应当提前六个月公布。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将不同景区的门票或者同一景区内不同游览场所的门票合并出售的，合并后的价格不得高于各单项门票的价格之和，且旅游者有权选择购买其中的单项票。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景区内的核心游览项目因故暂停向旅游者开放或者停止提供服务的，应当公示并相应减少收费。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第四十五条</w:t>
      </w:r>
      <w:r>
        <w:rPr>
          <w:rFonts w:hint="eastAsia" w:ascii="宋体" w:hAnsi="宋体" w:cs="Arial"/>
          <w:kern w:val="0"/>
          <w:szCs w:val="32"/>
        </w:rPr>
        <w:t>　景区接待旅游者不得超过景区主管部门核定的最大承载量。景区应当公布景区主管部门核定的最大承载量，制定和实施旅游者流量控制方案，并可以采取门票预约等方式，对景区接待旅游者的数量进行控制。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旅游者数量可能达到最大承载量时，景区应当提前公告并同时向当地人民政府报告，景区和当地人民政府应当及时采取疏导、分流等措施。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第四十六条</w:t>
      </w:r>
      <w:r>
        <w:rPr>
          <w:rFonts w:hint="eastAsia" w:ascii="宋体" w:hAnsi="宋体" w:cs="Arial"/>
          <w:kern w:val="0"/>
          <w:szCs w:val="32"/>
        </w:rPr>
        <w:t>　城镇和乡村居民利用自有住宅或者其他条件依法从事旅游经营，其管理办法由省、自治区、直辖市制定。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第四十七条</w:t>
      </w:r>
      <w:r>
        <w:rPr>
          <w:rFonts w:hint="eastAsia" w:ascii="宋体" w:hAnsi="宋体" w:cs="Arial"/>
          <w:kern w:val="0"/>
          <w:szCs w:val="32"/>
        </w:rPr>
        <w:t>　经营高空、高速、水上、潜水、探险等高风险旅游项目，应当按照国家有关规定取得经营许可。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第四十八条</w:t>
      </w:r>
      <w:r>
        <w:rPr>
          <w:rFonts w:hint="eastAsia" w:ascii="宋体" w:hAnsi="宋体" w:cs="Arial"/>
          <w:kern w:val="0"/>
          <w:szCs w:val="32"/>
        </w:rPr>
        <w:t>　通过网络经营旅行社业务的，应当依法取得旅行社业务经营许可，并在其网站主页的显著位置标明其业务经营许可证信息。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发布旅游经营信息的网站，应当保证其信息真实、准确。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第四十九条</w:t>
      </w:r>
      <w:r>
        <w:rPr>
          <w:rFonts w:hint="eastAsia" w:ascii="宋体" w:hAnsi="宋体" w:cs="Arial"/>
          <w:kern w:val="0"/>
          <w:szCs w:val="32"/>
        </w:rPr>
        <w:t>　为旅游者提供交通、住宿、餐饮、娱乐等服务的经营者，应当符合法律、法规规定的要求，按照合同约定履行义务。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第五十条</w:t>
      </w:r>
      <w:r>
        <w:rPr>
          <w:rFonts w:hint="eastAsia" w:ascii="宋体" w:hAnsi="宋体" w:cs="Arial"/>
          <w:kern w:val="0"/>
          <w:szCs w:val="32"/>
        </w:rPr>
        <w:t>　旅游经营者应当保证其提供的商品和服务符合保障人身、财产安全的要求。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旅游经营者取得相关质量标准等级的，其设施和服务不得低于相应标准；未取得质量标准等级的，不得使用相关质量等级的称谓和标识。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第五十一条</w:t>
      </w:r>
      <w:r>
        <w:rPr>
          <w:rFonts w:hint="eastAsia" w:ascii="宋体" w:hAnsi="宋体" w:cs="Arial"/>
          <w:kern w:val="0"/>
          <w:szCs w:val="32"/>
        </w:rPr>
        <w:t>　旅游经营者销售、购买商品或者服务，不得给予或者收受贿赂。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第五十二条</w:t>
      </w:r>
      <w:r>
        <w:rPr>
          <w:rFonts w:hint="eastAsia" w:ascii="宋体" w:hAnsi="宋体" w:cs="Arial"/>
          <w:kern w:val="0"/>
          <w:szCs w:val="32"/>
        </w:rPr>
        <w:t>　旅游经营者对其在经营活动中知悉的旅游者个人信息，应当予以保密。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第五十三条</w:t>
      </w:r>
      <w:r>
        <w:rPr>
          <w:rFonts w:hint="eastAsia" w:ascii="宋体" w:hAnsi="宋体" w:cs="Arial"/>
          <w:kern w:val="0"/>
          <w:szCs w:val="32"/>
        </w:rPr>
        <w:t>　从事道路旅游客运的经营者应当遵守道路客运安全管理的各项制度，并在车辆显著位置明示道路旅游客运专用标识，在车厢内显著位置公示经营者和驾驶人信息、道路运输管理机构监督电话等事项。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第五十四条</w:t>
      </w:r>
      <w:r>
        <w:rPr>
          <w:rFonts w:hint="eastAsia" w:ascii="宋体" w:hAnsi="宋体" w:cs="Arial"/>
          <w:kern w:val="0"/>
          <w:szCs w:val="32"/>
        </w:rPr>
        <w:t>　景区、住宿经营者将其部分经营项目或者场地交由他人从事住宿、餐饮、购物、游览、娱乐、旅游交通等经营的，应当对实际经营者的经营行为给旅游者造成的损害承担连带责任。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第五十五条</w:t>
      </w:r>
      <w:r>
        <w:rPr>
          <w:rFonts w:hint="eastAsia" w:ascii="宋体" w:hAnsi="宋体" w:cs="Arial"/>
          <w:kern w:val="0"/>
          <w:szCs w:val="32"/>
        </w:rPr>
        <w:t>　旅游经营者组织、接待出入境旅游，发现旅游</w:t>
      </w:r>
      <w:r>
        <w:rPr>
          <w:rFonts w:hint="eastAsia" w:ascii="宋体" w:hAnsi="宋体" w:eastAsia="仿宋_GB2312" w:cs="仿宋_GB2312"/>
          <w:kern w:val="0"/>
          <w:szCs w:val="32"/>
        </w:rPr>
        <w:t>者从事违法活动或者有违反本法第十六条规定情形的，应当及时</w:t>
      </w:r>
      <w:r>
        <w:rPr>
          <w:rFonts w:hint="eastAsia" w:ascii="宋体" w:hAnsi="宋体" w:cs="Arial"/>
          <w:kern w:val="0"/>
          <w:szCs w:val="32"/>
        </w:rPr>
        <w:t>向公安机关、旅游主管部门或者我国驻外机构报告。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第五十六条</w:t>
      </w:r>
      <w:r>
        <w:rPr>
          <w:rFonts w:hint="eastAsia" w:ascii="宋体" w:hAnsi="宋体" w:cs="Arial"/>
          <w:kern w:val="0"/>
          <w:szCs w:val="32"/>
        </w:rPr>
        <w:t>　国家根据旅游活动的风险程度，对旅行社、住宿、旅游交通以及</w:t>
      </w:r>
      <w:r>
        <w:rPr>
          <w:rFonts w:hint="eastAsia" w:ascii="宋体" w:hAnsi="宋体" w:eastAsia="仿宋_GB2312" w:cs="仿宋_GB2312"/>
          <w:kern w:val="0"/>
          <w:szCs w:val="32"/>
        </w:rPr>
        <w:t>本法第四十七条规</w:t>
      </w:r>
      <w:r>
        <w:rPr>
          <w:rFonts w:hint="eastAsia" w:ascii="宋体" w:hAnsi="宋体" w:cs="Arial"/>
          <w:kern w:val="0"/>
          <w:szCs w:val="32"/>
        </w:rPr>
        <w:t>定的高风险旅游项目等经营者实施责任保险制度。</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旅游服务合同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第五十七条</w:t>
      </w:r>
      <w:r>
        <w:rPr>
          <w:rFonts w:hint="eastAsia" w:ascii="宋体" w:hAnsi="宋体" w:cs="Arial"/>
          <w:kern w:val="0"/>
          <w:szCs w:val="32"/>
        </w:rPr>
        <w:t>　旅行社组织和安排旅游活动，应当与旅游者订立合同。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第五十八条</w:t>
      </w:r>
      <w:r>
        <w:rPr>
          <w:rFonts w:hint="eastAsia" w:ascii="宋体" w:hAnsi="宋体" w:cs="Arial"/>
          <w:kern w:val="0"/>
          <w:szCs w:val="32"/>
        </w:rPr>
        <w:t>　包价旅游合同应当采用书面形式，包括下列内容：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（一）旅行社、旅游者的基本信息；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（二）旅游行程安排；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（三）旅游团成团的最低人数；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（四）交通、住宿、餐饮等旅游服务安排和标准；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（五）游览、娱乐等项目的具体内容和时间；</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（六）自由活动时间安排；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（七）旅游费用及其交纳的期限和方式；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（八）违约责任和解决纠纷的方式；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（九）法律、法规规定和双方约定的其他事项。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订立包</w:t>
      </w:r>
      <w:r>
        <w:rPr>
          <w:rFonts w:hint="eastAsia" w:ascii="宋体" w:hAnsi="宋体" w:eastAsia="仿宋_GB2312" w:cs="仿宋_GB2312"/>
          <w:kern w:val="0"/>
          <w:szCs w:val="32"/>
        </w:rPr>
        <w:t>价旅游合同时，旅行社应当向旅游者详细说明前款第二项至第八项所载内容。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第五十九条</w:t>
      </w:r>
      <w:r>
        <w:rPr>
          <w:rFonts w:hint="eastAsia" w:ascii="宋体" w:hAnsi="宋体" w:cs="Arial"/>
          <w:kern w:val="0"/>
          <w:szCs w:val="32"/>
        </w:rPr>
        <w:t>　旅行社应当在旅游行程开始前向旅游者提供旅游行程单。旅游行程单是包价旅游合同的组成部分。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第六十条</w:t>
      </w:r>
      <w:r>
        <w:rPr>
          <w:rFonts w:hint="eastAsia" w:ascii="宋体" w:hAnsi="宋体" w:cs="Arial"/>
          <w:kern w:val="0"/>
          <w:szCs w:val="32"/>
        </w:rPr>
        <w:t>　旅行社委托其他旅行社代理销售包价旅游产品并与旅游者订立包价旅游合同的，应当在包价旅游合同中载明委托社和代理社的基本信息。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旅行社依照本法规定将包价旅游合同中的接待业务委托给地接社履行的，应当在包价旅游合同中载明地接社的基本信息。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安排导游为旅游者提供服务的，应当在包价旅游合同中载明导游服务费用。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第六十一条</w:t>
      </w:r>
      <w:r>
        <w:rPr>
          <w:rFonts w:hint="eastAsia" w:ascii="宋体" w:hAnsi="宋体" w:cs="Arial"/>
          <w:kern w:val="0"/>
          <w:szCs w:val="32"/>
        </w:rPr>
        <w:t>　旅行社应当提示参加团队旅游的旅游者按照规定投保人身意外伤害保险。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第六十二条</w:t>
      </w:r>
      <w:r>
        <w:rPr>
          <w:rFonts w:hint="eastAsia" w:ascii="宋体" w:hAnsi="宋体" w:cs="Arial"/>
          <w:kern w:val="0"/>
          <w:szCs w:val="32"/>
        </w:rPr>
        <w:t>　订立包价旅游合同时，旅行社应当向旅游者告知下列事项：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（一）旅游者不适合参加旅游活动的情形；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（二）旅游活动中的安全注意事项；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（三）旅行社依法可以减免责任的信息；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（四）旅游者应当注意的旅游目的地相关法律、法规和风俗习惯、宗教禁忌，依照中国法律不宜参加的活动等；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（五）法律、法规规定的其他应当告知的事项。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在包价旅游合同履行中，遇有前款规定事项的，旅行社也应当告知旅游者。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第六十三条</w:t>
      </w:r>
      <w:r>
        <w:rPr>
          <w:rFonts w:hint="eastAsia" w:ascii="宋体" w:hAnsi="宋体" w:cs="Arial"/>
          <w:kern w:val="0"/>
          <w:szCs w:val="32"/>
        </w:rPr>
        <w:t>　旅行社招徕旅游者组团旅游，因未达到约定人数不能出团的，组团社可以解除合同。但是，境内旅游应当至少提前七日通知旅游者，出境旅游应当至少提前三十日通知旅游者。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因未达到约定人数不能出团的，组团社经征得旅游者书面同意，可以委托其他旅行社履行合同。组团社对旅游者承担责任，受委托的旅行社对组团社承担责任。旅游者不同意的，可以解除合同。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因未达到约定的成团人数解除合同的，组团社应当向旅游者退还已收取的全部费用。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第六十四条</w:t>
      </w:r>
      <w:r>
        <w:rPr>
          <w:rFonts w:hint="eastAsia" w:ascii="宋体" w:hAnsi="宋体" w:cs="Arial"/>
          <w:kern w:val="0"/>
          <w:szCs w:val="32"/>
        </w:rPr>
        <w:t>　旅游行程开始前，旅游者可以将包价旅游合同中自身的权利</w:t>
      </w:r>
      <w:r>
        <w:rPr>
          <w:rFonts w:hint="eastAsia" w:ascii="宋体" w:hAnsi="宋体" w:eastAsia="仿宋_GB2312" w:cs="仿宋_GB2312"/>
          <w:kern w:val="0"/>
          <w:szCs w:val="32"/>
        </w:rPr>
        <w:t>义务转让给第三人，旅行社没有正当理由的不得拒绝，因此增加的费用由旅游者和第三人承担。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lang w:eastAsia="zh-CN"/>
        </w:rPr>
        <w:t>　</w:t>
      </w:r>
      <w:r>
        <w:rPr>
          <w:rFonts w:hint="eastAsia" w:ascii="宋体" w:hAnsi="宋体" w:eastAsia="黑体" w:cs="黑体"/>
          <w:kern w:val="0"/>
          <w:szCs w:val="32"/>
        </w:rPr>
        <w:t>第六十五条</w:t>
      </w:r>
      <w:r>
        <w:rPr>
          <w:rFonts w:hint="eastAsia" w:ascii="宋体" w:hAnsi="宋体" w:cs="Arial"/>
          <w:kern w:val="0"/>
          <w:szCs w:val="32"/>
        </w:rPr>
        <w:t>　旅游行程结束前，旅游者解除合同的，组团社应当在扣除必要的费用后，将余款退还旅游者。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第六十六条</w:t>
      </w:r>
      <w:r>
        <w:rPr>
          <w:rFonts w:hint="eastAsia" w:ascii="宋体" w:hAnsi="宋体" w:cs="Arial"/>
          <w:kern w:val="0"/>
          <w:szCs w:val="32"/>
        </w:rPr>
        <w:t>　旅游者有下列情形之一的，旅行社可以解除合同：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（一）患有传染病等疾病，可能危害其他旅游者健康和安全的；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（二）携带危害公共安全的物品且不同意交有关部门处理的；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（三）从事违法或者违反社会公德的活动的；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（四）从事严重影响其他旅游者权益的活动，且不听劝阻、不能制止的；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（五）法律规定的其他情形。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因前款规定情形解除合同的，组团社应当在扣除必要的费用后，将余款退还旅游者；给旅行社造成损失的，旅游者应当依法承担赔偿责任。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第六十七条</w:t>
      </w:r>
      <w:r>
        <w:rPr>
          <w:rFonts w:hint="eastAsia" w:ascii="宋体" w:hAnsi="宋体" w:cs="Arial"/>
          <w:kern w:val="0"/>
          <w:szCs w:val="32"/>
        </w:rPr>
        <w:t>　因不可抗力或者旅行社、履行辅助人已尽合理注意义务仍不能避免的事件，影响旅游行程的，按照下列情形处理：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（一）合同不能继续履行的，旅行社和旅游者均可以解除合同。合同不能完全履行的，旅行社经向旅游者作出说明，可以在合理范围内变更合同；旅游者不同意变更的，可以解除合同。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（二）合同解除的，组团社应当在扣除已向地接社或者履行辅助人支付且不可退还的费用后，将余款退还旅游者；合同变更的，因此增加的费用由旅游者承担，减少的费用退还旅游者。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（三）危及旅游者人身、财产安全的，旅行社应当采取相应的安全措施，因此支出的费用，由旅行社与旅游者分担。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（四）造成旅游者滞留的，旅行社应当采取相应的安置措施。因此增加的食宿费用，由旅游者承担；增加的返程费用，由旅行社与旅游者分担。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第六十八条</w:t>
      </w:r>
      <w:r>
        <w:rPr>
          <w:rFonts w:hint="eastAsia" w:ascii="宋体" w:hAnsi="宋体" w:cs="Arial"/>
          <w:kern w:val="0"/>
          <w:szCs w:val="32"/>
        </w:rPr>
        <w:t>　旅游行程中解除合同的，旅行社应当协助旅游者返回出发地或者旅游者指定的合理地点。由于旅行社或者履行辅助人的原因导致合同解除的，返程费用由旅行社承担。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第六十九条</w:t>
      </w:r>
      <w:r>
        <w:rPr>
          <w:rFonts w:hint="eastAsia" w:ascii="宋体" w:hAnsi="宋体" w:cs="Arial"/>
          <w:kern w:val="0"/>
          <w:szCs w:val="32"/>
        </w:rPr>
        <w:t>　旅行社应当按照包价旅游合同的约定履行义务，不得擅自变更旅游行程安排。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经旅游者同意，旅行社将包价旅游合同中的接待业务委托给其他具有相应资质的地接社履行的，应当与地接社订立书面委托合同，约定双方的权利和义务，向地接社提供与旅游者订立的包价旅游合同的副本，并向地接社支付不低于接待和服务成本的费用。地接社应当按照包价旅游合同和委托合同提供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第七十条</w:t>
      </w:r>
      <w:r>
        <w:rPr>
          <w:rFonts w:hint="eastAsia" w:ascii="宋体" w:hAnsi="宋体" w:cs="Arial"/>
          <w:kern w:val="0"/>
          <w:szCs w:val="32"/>
        </w:rPr>
        <w:t>　旅行社不履行包价旅游合同义务或者履行合同义务不符合约定的，应当依法承担继续履行、采取补救措施或者赔偿损失等违约责任；造成旅游者人身损害、财产损失的，应当依法承担赔偿责任。旅行社具备履行条件，经旅游者要求仍拒绝履行合同，造成旅游者人身损害、滞留等严重后果的，旅游者还可以要求旅行社支付旅游费用一倍以上三倍以下的赔偿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由于旅游者自身原因导致包价旅游合同不能履行或者不能按照约定履行，或者造成旅游者人身损害、财产损失的，旅行社不承担责任。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在旅游者自行安排活动期间，旅行社未尽到安全提示、救助义务的，应当对旅游者的人身损害、财产损失承担相应责任。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第七十一条</w:t>
      </w:r>
      <w:r>
        <w:rPr>
          <w:rFonts w:hint="eastAsia" w:ascii="宋体" w:hAnsi="宋体" w:cs="Arial"/>
          <w:kern w:val="0"/>
          <w:szCs w:val="32"/>
        </w:rPr>
        <w:t>　由于地接社、履行辅助人的原因导致违约的，由组团社承担责任；组团社承担责任后可以向地接社、履行辅助人追偿。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由于地接社、履行辅助人的原因造成旅游者人身损害、财产损失的，旅游者可以要求地接社、履行辅助人承担赔偿责任，也可以要求组团社承担赔偿责任；组团社承担责任后可以向地接社、履行辅助人追偿。但是，由于公共交通经营者的原因造成旅游者人身损害、财产损失的，由公共交通经营者依法承担赔偿责任，旅行社应当协助旅游者向公共交通经营者索赔。</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第七十二条</w:t>
      </w:r>
      <w:r>
        <w:rPr>
          <w:rFonts w:hint="eastAsia" w:ascii="宋体" w:hAnsi="宋体" w:cs="Arial"/>
          <w:kern w:val="0"/>
          <w:szCs w:val="32"/>
        </w:rPr>
        <w:t>　旅游者在旅游活动中或者在解决纠纷时，损害旅行社、履行辅助人、旅游从业人员或者其他旅游者的合法权益的，依法承担赔偿责任。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第七十三条</w:t>
      </w:r>
      <w:r>
        <w:rPr>
          <w:rFonts w:hint="eastAsia" w:ascii="宋体" w:hAnsi="宋体" w:cs="Arial"/>
          <w:kern w:val="0"/>
          <w:szCs w:val="32"/>
        </w:rPr>
        <w:t>　旅行社根据旅游者的具体要求安排旅游行程，与旅游者订立包价旅游合同的，旅游者请求变更旅游行程安排，因此增加的费用由旅游者承担，减少的费用退还旅游者。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第七十四条</w:t>
      </w:r>
      <w:r>
        <w:rPr>
          <w:rFonts w:hint="eastAsia" w:ascii="宋体" w:hAnsi="宋体" w:cs="Arial"/>
          <w:kern w:val="0"/>
          <w:szCs w:val="32"/>
        </w:rPr>
        <w:t>　旅行社接受旅游者的委托，为其代订交通、住宿、餐饮、游览、娱乐等旅游服务，收取代办费用的，应当亲自处理委托事务。因旅行社的过错给旅游者造成损失的，旅行社应当承担赔偿责任。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旅行社接受旅游者的委托，为其提供旅游行程设计、旅游信息咨询等服务的，应当保证设计合理、可行，信息及时、准确。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第七十五条</w:t>
      </w:r>
      <w:r>
        <w:rPr>
          <w:rFonts w:hint="eastAsia" w:ascii="宋体" w:hAnsi="宋体" w:cs="Arial"/>
          <w:kern w:val="0"/>
          <w:szCs w:val="32"/>
        </w:rPr>
        <w:t>　住宿经营者应当按照旅游服务合同的约定为团队旅游者提供住宿服务。住宿经营者未能按照旅游服务合同提供服务的，应当为旅游者提供不低于原定标准的住宿服务，因此增加的费用由住宿经营者承担；但由于不可抗力、政府因公共利益需要采取措施造成不能提供服务的，住宿经营者应当协助安排旅游者住宿。</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　旅游安全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第七十六条</w:t>
      </w:r>
      <w:r>
        <w:rPr>
          <w:rFonts w:hint="eastAsia" w:ascii="宋体" w:hAnsi="宋体" w:cs="Arial"/>
          <w:kern w:val="0"/>
          <w:szCs w:val="32"/>
        </w:rPr>
        <w:t>　县级以上人民政府统一负责旅游安全工作。县级以上人民政府有关部门依照法律、法规履行旅游安全监管职责。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第七十七条</w:t>
      </w:r>
      <w:r>
        <w:rPr>
          <w:rFonts w:hint="eastAsia" w:ascii="宋体" w:hAnsi="宋体" w:cs="Arial"/>
          <w:kern w:val="0"/>
          <w:szCs w:val="32"/>
        </w:rPr>
        <w:t>　国家建立旅游目的地安全风险提示制度。旅游目的地安全风险提示的级别划分和实施程序，由国务院旅游主管部门会同有关部门制定。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县级以上人民政府及其有关部门应当将旅游安全作为突发事件监测和评估的重要内容。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第七十八条</w:t>
      </w:r>
      <w:r>
        <w:rPr>
          <w:rFonts w:hint="eastAsia" w:ascii="宋体" w:hAnsi="宋体" w:cs="Arial"/>
          <w:kern w:val="0"/>
          <w:szCs w:val="32"/>
        </w:rPr>
        <w:t>　县级以上人民政府应当依法将旅游应急管理纳入政府应急管理体系，制定应急预案，建立旅游突发事件应对机制。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突发事件发生后，当地人民政府及其有关部门和机构应当采取措施开展救援，并协助旅游者返回出发地或者旅游者指定的合理地点。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第七十九条</w:t>
      </w:r>
      <w:r>
        <w:rPr>
          <w:rFonts w:hint="eastAsia" w:ascii="宋体" w:hAnsi="宋体" w:cs="Arial"/>
          <w:kern w:val="0"/>
          <w:szCs w:val="32"/>
        </w:rPr>
        <w:t>　旅游经营者应当严格执行安全生产管理和消防安全管理的法律、法规和国家标准、行业标准，具备相应的安全生产条件，制定旅游者安全保护制度和应急预案。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旅游经营者应当对直接为旅游者提供服务的从业人员开展经常性应急救助技能培训，对提供的产品和服务进行安全检验、监测和评估，采取必要措施防止危害发生。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旅游经营者组织、接待老年人、未成年人、残疾人等旅游者，应当采取相应的安全保障措施。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第八十条</w:t>
      </w:r>
      <w:r>
        <w:rPr>
          <w:rFonts w:hint="eastAsia" w:ascii="宋体" w:hAnsi="宋体" w:cs="Arial"/>
          <w:kern w:val="0"/>
          <w:szCs w:val="32"/>
        </w:rPr>
        <w:t>　旅游经营者应当就旅游活动中的下列事项，以明示的方式事先向旅游者作出说明或者警示：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（一）正确使用相关设施、设备的方法；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（二）必要的安全防范和应急措施；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（三）未向旅游者开放的经营、服务场所和设施、设备；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（四）不适宜参加相关活动的群体；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（五）可能危及旅游者人身、财产安全的其他情形。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第八十一条</w:t>
      </w:r>
      <w:r>
        <w:rPr>
          <w:rFonts w:hint="eastAsia" w:ascii="宋体" w:hAnsi="宋体" w:cs="Arial"/>
          <w:kern w:val="0"/>
          <w:szCs w:val="32"/>
        </w:rPr>
        <w:t>　突发事件或者旅游安全事故发生后，旅游经营者应当立即采取必要的救助和处置措施，依法履行报告义务，并对旅游者作出妥善安排。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第八十二条</w:t>
      </w:r>
      <w:r>
        <w:rPr>
          <w:rFonts w:hint="eastAsia" w:ascii="宋体" w:hAnsi="宋体" w:cs="Arial"/>
          <w:kern w:val="0"/>
          <w:szCs w:val="32"/>
        </w:rPr>
        <w:t>　旅游者在人身、财产安全遇有危险时，有权请求旅游经营者、当地政府和相关机构进行及时救助。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中国出境旅游者在境外陷于困境时，有权请求我国驻当地机构在其职责范围内给予协助和保护。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旅游者接受相关组织或者机构的救助后，应当支付应由个人承担的费用。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旅游监督管理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第八十三条</w:t>
      </w:r>
      <w:r>
        <w:rPr>
          <w:rFonts w:hint="eastAsia" w:ascii="宋体" w:hAnsi="宋体" w:cs="Arial"/>
          <w:kern w:val="0"/>
          <w:szCs w:val="32"/>
        </w:rPr>
        <w:t>　县级以上人民政府旅游主管部门和有关部门依照本法和有关法律、法规的规定，在各自职责范围内对旅游市场实施监督管理。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县级以上人民政府应当组织旅游主管部门、有关主管部门和市场监督管理、交通等执法部门对相关旅游经营行为实施监督检查。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第八十四条</w:t>
      </w:r>
      <w:r>
        <w:rPr>
          <w:rFonts w:hint="eastAsia" w:ascii="宋体" w:hAnsi="宋体" w:cs="Arial"/>
          <w:kern w:val="0"/>
          <w:szCs w:val="32"/>
        </w:rPr>
        <w:t>　旅游主管部门履行监督管理职责，不得违反法律、行政法规的规定向监督管理对象收取费用。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旅游主管部门及其工作人员不得参与任何形式的旅游经营活动。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第八十五条</w:t>
      </w:r>
      <w:r>
        <w:rPr>
          <w:rFonts w:hint="eastAsia" w:ascii="宋体" w:hAnsi="宋体" w:cs="Arial"/>
          <w:kern w:val="0"/>
          <w:szCs w:val="32"/>
        </w:rPr>
        <w:t>　县级以上人民政府旅游主管部门有权对下列事项实施监督检查：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（一）经营旅行社业务以及从事导游、领队服务是否取得经营、执业许可；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（二）旅行社的经营行为；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（三）导游和领队等旅游从业人员的服务行为；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（四）法律、法规规定的其他事项。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旅游主管部门依照前款规定实施监督检查，可以对涉嫌违法的合同、票据、账簿以及其他资料进行查阅、复制。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第八十六条</w:t>
      </w:r>
      <w:r>
        <w:rPr>
          <w:rFonts w:hint="eastAsia" w:ascii="宋体" w:hAnsi="宋体" w:cs="Arial"/>
          <w:kern w:val="0"/>
          <w:szCs w:val="32"/>
        </w:rPr>
        <w:t>　旅游主管部门和有关部门依法实施监督检查，其监督检查人员不得少于二人，并应当出示合法证件。监督检查人员少于二人或者未出示合法证件的，被检查单位和个人有权拒绝。</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监督检查人员对在监督检查中知悉的被检查单位的商业秘密和个人信息应当依法保密。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第八十七条</w:t>
      </w:r>
      <w:r>
        <w:rPr>
          <w:rFonts w:hint="eastAsia" w:ascii="宋体" w:hAnsi="宋体" w:cs="Arial"/>
          <w:kern w:val="0"/>
          <w:szCs w:val="32"/>
        </w:rPr>
        <w:t>　对依法实施的监督检查，有关单位和个人应当配合，如实说明情况并提供文件、资料，不得拒绝、阻碍和隐瞒。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第八十八条</w:t>
      </w:r>
      <w:r>
        <w:rPr>
          <w:rFonts w:hint="eastAsia" w:ascii="宋体" w:hAnsi="宋体" w:cs="Arial"/>
          <w:kern w:val="0"/>
          <w:szCs w:val="32"/>
        </w:rPr>
        <w:t>　县级以上人民政府旅游主管部门和有关部门，在履行监督检查职责中或者在处理举报、投诉时，发现违反本法规定行为的，应当依法及时作出处理；对不属于本部门职责范围的事项，应当及时书面通知并移交有关部门查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第八十九条</w:t>
      </w:r>
      <w:r>
        <w:rPr>
          <w:rFonts w:hint="eastAsia" w:ascii="宋体" w:hAnsi="宋体" w:cs="Arial"/>
          <w:kern w:val="0"/>
          <w:szCs w:val="32"/>
        </w:rPr>
        <w:t>　县级以上地方人民政府建立旅游违法行为查处信息的共享机制，对需要跨部门、跨地区联合查处的违法行为，应当进行督办。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旅游主管部门和有关部门应当按照各自职责，及时向社会公布监督检查的情况。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第九十条</w:t>
      </w:r>
      <w:r>
        <w:rPr>
          <w:rFonts w:hint="eastAsia" w:ascii="宋体" w:hAnsi="宋体" w:cs="Arial"/>
          <w:kern w:val="0"/>
          <w:szCs w:val="32"/>
        </w:rPr>
        <w:t>　依法成立的旅游行业组织依照法律、行政法规和章程的规定，制定行业经营规范和服务标准，对其会员的经营行为和服务质量进行自律管理，组织开展职业道德教育和业务培训，提高从业人员素质。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第八章　旅游纠纷处理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第九十一条</w:t>
      </w:r>
      <w:r>
        <w:rPr>
          <w:rFonts w:hint="eastAsia" w:ascii="宋体" w:hAnsi="宋体" w:cs="Arial"/>
          <w:kern w:val="0"/>
          <w:szCs w:val="32"/>
        </w:rPr>
        <w:t>　县级以上人民政府应当指定或者设立统一的旅游投诉受理机构。受理机构接到投诉，应当及时进行处理或者移交有关部门处理，并告知投诉者。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第九十二条</w:t>
      </w:r>
      <w:r>
        <w:rPr>
          <w:rFonts w:hint="eastAsia" w:ascii="宋体" w:hAnsi="宋体" w:cs="Arial"/>
          <w:kern w:val="0"/>
          <w:szCs w:val="32"/>
        </w:rPr>
        <w:t>　旅游者与旅游经营者发生纠纷，可以通过下列途径解决：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（一）双方协商；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（二）向消费者协会、旅游投诉受理机构或者有关调解组织申请调解；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（三）根据与旅游经营者达成的仲裁协议提请仲裁机构仲裁；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第九十三条</w:t>
      </w:r>
      <w:r>
        <w:rPr>
          <w:rFonts w:hint="eastAsia" w:ascii="宋体" w:hAnsi="宋体" w:cs="Arial"/>
          <w:kern w:val="0"/>
          <w:szCs w:val="32"/>
        </w:rPr>
        <w:t>　消费者协会、旅游投诉受理机构和有关调解组织在双方自愿的基础上，依法对旅游者与旅游经营者之间的纠纷进行调解。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第九十四条</w:t>
      </w:r>
      <w:r>
        <w:rPr>
          <w:rFonts w:hint="eastAsia" w:ascii="宋体" w:hAnsi="宋体" w:cs="Arial"/>
          <w:kern w:val="0"/>
          <w:szCs w:val="32"/>
        </w:rPr>
        <w:t>　旅游者与旅游经营者发生纠纷，旅游者一方人数众多并有共同请求的，可以推选代表人参加协商、调解、仲裁、诉讼活动。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第九章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第九十五条</w:t>
      </w:r>
      <w:r>
        <w:rPr>
          <w:rFonts w:hint="eastAsia" w:ascii="宋体" w:hAnsi="宋体" w:cs="Arial"/>
          <w:kern w:val="0"/>
          <w:szCs w:val="32"/>
        </w:rPr>
        <w:t>　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旅</w:t>
      </w:r>
      <w:r>
        <w:rPr>
          <w:rFonts w:hint="eastAsia" w:ascii="宋体" w:hAnsi="宋体" w:eastAsia="仿宋_GB2312" w:cs="仿宋_GB2312"/>
          <w:kern w:val="0"/>
          <w:szCs w:val="32"/>
        </w:rPr>
        <w:t>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第九十六条</w:t>
      </w:r>
      <w:r>
        <w:rPr>
          <w:rFonts w:hint="eastAsia" w:ascii="宋体" w:hAnsi="宋体" w:cs="Arial"/>
          <w:kern w:val="0"/>
          <w:szCs w:val="32"/>
        </w:rPr>
        <w:t>　旅行社违反本法规定，有下列行为之一的，由旅游主管部门责令改正，没收违法所得，并处五千元以上五万元以下罚款；情节严重的，责令停业整顿或者吊销旅行社业务经营许可证；对直接负责的主管人员和其他直接责任人员，处二千元以上二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（一）未按照规定为出境或者入境团队旅游安排领队或者导游全程陪同的；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（二）安排未取得导游证的人员提供导游服务或者安排不具备领队条件的人员提供领队服务的；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（三）未向临时聘用的导游支付导游服务费用的；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（四）要求导游垫付或者向导游收取费用的。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第九十七条</w:t>
      </w:r>
      <w:r>
        <w:rPr>
          <w:rFonts w:hint="eastAsia" w:ascii="宋体" w:hAnsi="宋体" w:cs="Arial"/>
          <w:kern w:val="0"/>
          <w:szCs w:val="32"/>
        </w:rPr>
        <w:t>　旅行社违反本法规定，有下列行为之一的，由旅游主管部门或者有关部门责令改正，没收违法所得，并处五千元以上五万元以下罚款；违法所得五万元以上的，并处违法所得一倍以上五倍以下罚款；情节严重的，责令停业整顿或者吊销旅行社业务经营许可证；对直接负责的主管人员和其他直接责任人员，处二千元以上二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（一）进行虚假宣传，误导旅游者的；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（二）向不合格的供应商订购产品和服务的；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（三）未按照规定投保旅行社责任保险的。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第九十八条</w:t>
      </w:r>
      <w:r>
        <w:rPr>
          <w:rFonts w:hint="eastAsia" w:ascii="宋体" w:hAnsi="宋体" w:cs="Arial"/>
          <w:kern w:val="0"/>
          <w:szCs w:val="32"/>
        </w:rPr>
        <w:t>　旅行社违反</w:t>
      </w:r>
      <w:r>
        <w:rPr>
          <w:rFonts w:hint="eastAsia" w:ascii="宋体" w:hAnsi="宋体" w:eastAsia="仿宋_GB2312" w:cs="仿宋_GB2312"/>
          <w:kern w:val="0"/>
          <w:szCs w:val="32"/>
        </w:rPr>
        <w:t>本法第三十五条规定的</w:t>
      </w:r>
      <w:r>
        <w:rPr>
          <w:rFonts w:hint="eastAsia" w:ascii="宋体" w:hAnsi="宋体" w:cs="Arial"/>
          <w:kern w:val="0"/>
          <w:szCs w:val="32"/>
        </w:rPr>
        <w:t>，由旅游主管部门责令改正，没收违法所得，责令停业整顿，并处三万元以上三十万元以下罚款；违法所得三十万元以上的，并处违法所得一倍以上五倍以下罚款；情节严重的，吊销旅行社业务经营许可证；对直接负责的主管人员和其他直接责任人员，没收违法所得，处二千元以上二万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第九十九条</w:t>
      </w:r>
      <w:r>
        <w:rPr>
          <w:rFonts w:hint="eastAsia" w:ascii="宋体" w:hAnsi="宋体" w:cs="Arial"/>
          <w:kern w:val="0"/>
          <w:szCs w:val="32"/>
        </w:rPr>
        <w:t>　旅行社未履行本</w:t>
      </w:r>
      <w:r>
        <w:rPr>
          <w:rFonts w:hint="eastAsia" w:ascii="宋体" w:hAnsi="宋体" w:eastAsia="仿宋_GB2312" w:cs="仿宋_GB2312"/>
          <w:kern w:val="0"/>
          <w:szCs w:val="32"/>
        </w:rPr>
        <w:t>法第五十五条规</w:t>
      </w:r>
      <w:r>
        <w:rPr>
          <w:rFonts w:hint="eastAsia" w:ascii="宋体" w:hAnsi="宋体" w:cs="Arial"/>
          <w:kern w:val="0"/>
          <w:szCs w:val="32"/>
        </w:rPr>
        <w:t>定的报告义务的，由旅游主管部门处五千元以上五万元以下罚款；情节严重的，责令停业整顿或者吊销旅行社业务经营许可证；对直接负责的主管人员和其他直接责任人员，处二千元以上二万元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第一百条</w:t>
      </w:r>
      <w:r>
        <w:rPr>
          <w:rFonts w:hint="eastAsia" w:ascii="宋体" w:hAnsi="宋体" w:cs="Arial"/>
          <w:kern w:val="0"/>
          <w:szCs w:val="32"/>
        </w:rPr>
        <w:t>　旅行社违反本法规定，有下列行为之一的，由旅游主管部门责令改正，处三万元以上三十万元以下罚款，并责令停业整顿；造成旅游者滞留等严重后果的，吊销旅行社业务经营许可证；对直接负责的主管人员和其他直接责任人员，处二千元以上二万元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（一）在旅游行程中擅自变更旅游行程安排，严重损害旅游者权益的；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（二）拒绝履行合同的；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（三）未征得旅游者书面同意，委托其他旅行社履行包价旅游合同的。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第一百零一条</w:t>
      </w:r>
      <w:r>
        <w:rPr>
          <w:rFonts w:hint="eastAsia" w:ascii="宋体" w:hAnsi="宋体" w:cs="Arial"/>
          <w:kern w:val="0"/>
          <w:szCs w:val="32"/>
        </w:rPr>
        <w:t>　旅行社违反本法规定，安排旅游者参观或者参与违反我国法律、法规和社会公德的项目或者活动的，由旅游主管部门责令改正，没收违法所得，责令停业整顿，并处二万元以上二十万元以下罚款；情节严重的，吊销旅行社业务经营许可证；对直接负责的主管人员和其他直接责任人员，处二千元以上二万元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第一百零二条</w:t>
      </w:r>
      <w:r>
        <w:rPr>
          <w:rFonts w:hint="eastAsia" w:ascii="宋体" w:hAnsi="宋体" w:cs="Arial"/>
          <w:kern w:val="0"/>
          <w:szCs w:val="32"/>
        </w:rPr>
        <w:t>　违反本法规定，未取得导游证或者不具备领队条件而从事导游、领队活动的，由旅游主管部门责令改正，没收违法所得，并处一千元以上一万元以下罚款，予以公告。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导游、领队违反本法规定，私自承揽业务的，由旅游主管部门责令改正，没收违法所得，处一千元以上一万元以下罚款，并暂扣或者吊销导游证。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导游、领队违反本法规定，向旅游者索取小费的，由旅游主管部门责令退还，处一千元以上一万元以下罚款；情节严重的，并暂扣或者吊销导游证。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第一百零三条</w:t>
      </w:r>
      <w:r>
        <w:rPr>
          <w:rFonts w:hint="eastAsia" w:ascii="宋体" w:hAnsi="宋体" w:cs="Arial"/>
          <w:kern w:val="0"/>
          <w:szCs w:val="32"/>
        </w:rPr>
        <w:t>　违反本法规定被吊销导游证的导游、领队和受到吊销旅行社业务经营许可证处罚的旅行社的有关管理人员，自处罚之日起未逾三年的，不得重新申请导游证或者从事旅行社业务。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第一百零四条</w:t>
      </w:r>
      <w:r>
        <w:rPr>
          <w:rFonts w:hint="eastAsia" w:ascii="宋体" w:hAnsi="宋体" w:cs="Arial"/>
          <w:kern w:val="0"/>
          <w:szCs w:val="32"/>
        </w:rPr>
        <w:t>　旅游经营者违反本法规定，给予或者收受贿赂的，由市场监督管理部门依照有关法律、法规的规定处罚；情节严重的，并由旅游主管部门吊销旅行社业务经营许可证。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第一百零五条</w:t>
      </w:r>
      <w:r>
        <w:rPr>
          <w:rFonts w:hint="eastAsia" w:ascii="宋体" w:hAnsi="宋体" w:cs="Arial"/>
          <w:kern w:val="0"/>
          <w:szCs w:val="32"/>
        </w:rPr>
        <w:t>　景区不符合本法规定的开放条件而接待旅游者的，由景区主管部门责令停业整顿直至符合开放条件，并处二万元以上二十万元以下罚款。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景区在旅游者数量可能达到最大承载量时，未依照本法规定公告或者未向当地人民政府报告，未及时采取疏导、分流等措施，或者超过最大承载量接待旅游者的，由景区主管部门责令改正，情节严重的，责令停业整顿一个月至六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第一百零六条</w:t>
      </w:r>
      <w:r>
        <w:rPr>
          <w:rFonts w:hint="eastAsia" w:ascii="宋体" w:hAnsi="宋体" w:cs="Arial"/>
          <w:kern w:val="0"/>
          <w:szCs w:val="32"/>
        </w:rPr>
        <w:t>　景区违反本法规定，擅自提高门票或者另行收费项目的价格，或者有其他价格违法行为的，由有关主管部门依照有关法律、法规的规定处罚。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第一百零七条</w:t>
      </w:r>
      <w:r>
        <w:rPr>
          <w:rFonts w:hint="eastAsia" w:ascii="宋体" w:hAnsi="宋体" w:cs="Arial"/>
          <w:kern w:val="0"/>
          <w:szCs w:val="32"/>
        </w:rPr>
        <w:t>　旅游经营者违反有关安全生产管理和消防安全管理的法律、法规或者国家标准、行业标准的，由有关主管部门依照有关法律、法规的规定处罚。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第一百零八条</w:t>
      </w:r>
      <w:r>
        <w:rPr>
          <w:rFonts w:hint="eastAsia" w:ascii="宋体" w:hAnsi="宋体" w:cs="Arial"/>
          <w:kern w:val="0"/>
          <w:szCs w:val="32"/>
        </w:rPr>
        <w:t>　对违反本法规定的旅游经营者及其从业人员，旅游主管部门和有关部门应当记入信用档案，向社会公布。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第一百零九条</w:t>
      </w:r>
      <w:r>
        <w:rPr>
          <w:rFonts w:hint="eastAsia" w:ascii="宋体" w:hAnsi="宋体" w:cs="Arial"/>
          <w:kern w:val="0"/>
          <w:szCs w:val="32"/>
        </w:rPr>
        <w:t>　旅游主管部门和有关部门的工作人员在履行监督管理职责中，滥用职权、玩忽职守、徇私舞弊，尚不构成犯罪的，依法给予处分。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第一百一十条</w:t>
      </w:r>
      <w:r>
        <w:rPr>
          <w:rFonts w:hint="eastAsia" w:ascii="宋体" w:hAnsi="宋体" w:cs="Arial"/>
          <w:kern w:val="0"/>
          <w:szCs w:val="32"/>
        </w:rPr>
        <w:t>　违反本法规定，构成犯罪的，依法追究刑事责任。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第十章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第一百一十一条</w:t>
      </w:r>
      <w:r>
        <w:rPr>
          <w:rFonts w:hint="eastAsia" w:ascii="宋体" w:hAnsi="宋体" w:cs="Arial"/>
          <w:kern w:val="0"/>
          <w:szCs w:val="32"/>
        </w:rPr>
        <w:t>　本法下列用语的含义：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（一）旅游经营者，是指旅行社、景区以及为旅游者提供交通、住宿、餐饮、购物、娱乐等服务的经营者。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（二）景区，是指为旅游者提供游览服务、有明确的管理界限的场所或者区域。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（三）包价旅游合同，是指旅行社预先安排行程，提供或者通过履行辅助人提供交通、住宿、餐饮、游览、导游或者领队等两项以上旅游服务，旅游者以总价支付旅游费用的合同。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（四）组团社，是指与旅游者订立包价旅游合同的旅行社。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（五）地接社，是指接受组团社委托，在目的地接待旅游者的旅行社。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（六）履行辅助人，是指与旅行社存在合同关系，协助其履行包价旅游合同义务，实际提供相关服务的法人或者自然人。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第一百一十二条</w:t>
      </w:r>
      <w:r>
        <w:rPr>
          <w:rFonts w:hint="eastAsia" w:ascii="宋体" w:hAnsi="宋体" w:cs="Arial"/>
          <w:kern w:val="0"/>
          <w:szCs w:val="32"/>
        </w:rPr>
        <w:t>　本法自2013年10月1日起施行。</w:t>
      </w:r>
    </w:p>
    <w:p>
      <w:pPr>
        <w:widowControl w:val="0"/>
        <w:wordWrap/>
        <w:overflowPunct w:val="0"/>
        <w:spacing w:beforeAutospacing="0" w:afterAutospacing="0" w:line="560" w:lineRule="exact"/>
        <w:textAlignment w:val="auto"/>
        <w:rPr>
          <w:rFonts w:hint="eastAsia" w:ascii="宋体" w:hAnsi="宋体" w:eastAsia="宋体" w:cs="宋体"/>
          <w:szCs w:val="32"/>
          <w:lang w:eastAsia="zh-CN"/>
        </w:rPr>
      </w:pPr>
    </w:p>
    <w:p>
      <w:pPr>
        <w:widowControl w:val="0"/>
        <w:wordWrap/>
        <w:overflowPunct w:val="0"/>
        <w:spacing w:beforeAutospacing="0" w:afterAutospacing="0" w:line="560" w:lineRule="exact"/>
        <w:textAlignment w:val="auto"/>
        <w:rPr>
          <w:rFonts w:hint="eastAsia" w:ascii="宋体" w:hAnsi="宋体" w:eastAsia="宋体" w:cs="宋体"/>
          <w:szCs w:val="32"/>
          <w:lang w:eastAsia="zh-CN"/>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93" w:name="_Toc5784"/>
      <w:r>
        <w:rPr>
          <w:rFonts w:hint="eastAsia" w:ascii="宋体" w:hAnsi="宋体" w:eastAsia="宋体" w:cs="宋体"/>
          <w:kern w:val="0"/>
          <w:sz w:val="44"/>
          <w:szCs w:val="44"/>
          <w:lang w:val="en-US" w:eastAsia="zh-CN"/>
        </w:rPr>
        <w:t>中华人民共和国出境入境管理法</w:t>
      </w:r>
      <w:bookmarkEnd w:id="193"/>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楷体_GB2312" w:cs="楷体_GB2312"/>
          <w:szCs w:val="32"/>
        </w:rPr>
      </w:pPr>
      <w:r>
        <w:rPr>
          <w:rFonts w:hint="eastAsia" w:ascii="宋体" w:hAnsi="宋体" w:eastAsia="楷体_GB2312" w:cs="楷体_GB2312"/>
          <w:szCs w:val="32"/>
        </w:rPr>
        <w:t>（2012年6月30日第十一届全国人民代表大会常务委员会第二十七次会议通过）</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楷体_GB2312" w:cs="楷体_GB2312"/>
          <w:szCs w:val="32"/>
        </w:rPr>
      </w:pPr>
      <w:r>
        <w:rPr>
          <w:rFonts w:hint="eastAsia" w:ascii="宋体" w:hAnsi="宋体" w:eastAsia="楷体_GB2312" w:cs="楷体_GB2312"/>
          <w:szCs w:val="32"/>
        </w:rPr>
        <w:t>目　　录</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第一章　总则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第二章　中国公民出境入境</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第三章　外国人入境出境</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w:t>
      </w:r>
      <w:r>
        <w:rPr>
          <w:rFonts w:hint="eastAsia" w:ascii="宋体" w:hAnsi="宋体" w:eastAsia="楷体_GB2312" w:cs="楷体_GB2312"/>
          <w:szCs w:val="32"/>
          <w:lang w:eastAsia="zh-CN"/>
        </w:rPr>
        <w:t>　</w:t>
      </w:r>
      <w:r>
        <w:rPr>
          <w:rFonts w:hint="eastAsia" w:ascii="宋体" w:hAnsi="宋体" w:eastAsia="楷体_GB2312" w:cs="楷体_GB2312"/>
          <w:szCs w:val="32"/>
        </w:rPr>
        <w:t>第一节　签证</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w:t>
      </w:r>
      <w:r>
        <w:rPr>
          <w:rFonts w:hint="eastAsia" w:ascii="宋体" w:hAnsi="宋体" w:eastAsia="楷体_GB2312" w:cs="楷体_GB2312"/>
          <w:szCs w:val="32"/>
          <w:lang w:eastAsia="zh-CN"/>
        </w:rPr>
        <w:t>　</w:t>
      </w:r>
      <w:r>
        <w:rPr>
          <w:rFonts w:hint="eastAsia" w:ascii="宋体" w:hAnsi="宋体" w:eastAsia="楷体_GB2312" w:cs="楷体_GB2312"/>
          <w:szCs w:val="32"/>
        </w:rPr>
        <w:t>第二节　入境出境</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第四章　外国人停留居留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w:t>
      </w:r>
      <w:r>
        <w:rPr>
          <w:rFonts w:hint="eastAsia" w:ascii="宋体" w:hAnsi="宋体" w:eastAsia="楷体_GB2312" w:cs="楷体_GB2312"/>
          <w:szCs w:val="32"/>
          <w:lang w:eastAsia="zh-CN"/>
        </w:rPr>
        <w:t>　</w:t>
      </w:r>
      <w:r>
        <w:rPr>
          <w:rFonts w:hint="eastAsia" w:ascii="宋体" w:hAnsi="宋体" w:eastAsia="楷体_GB2312" w:cs="楷体_GB2312"/>
          <w:szCs w:val="32"/>
        </w:rPr>
        <w:t>第一节　停留居留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w:t>
      </w:r>
      <w:r>
        <w:rPr>
          <w:rFonts w:hint="eastAsia" w:ascii="宋体" w:hAnsi="宋体" w:eastAsia="楷体_GB2312" w:cs="楷体_GB2312"/>
          <w:szCs w:val="32"/>
          <w:lang w:eastAsia="zh-CN"/>
        </w:rPr>
        <w:t>　</w:t>
      </w:r>
      <w:r>
        <w:rPr>
          <w:rFonts w:hint="eastAsia" w:ascii="宋体" w:hAnsi="宋体" w:eastAsia="楷体_GB2312" w:cs="楷体_GB2312"/>
          <w:szCs w:val="32"/>
        </w:rPr>
        <w:t>第二节　永久居留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第五章　交通运输工具出境入境边防检查</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第六章　调查和遣返</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第七章　法律责任</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第八章　附则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第一章　总则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宋体" w:cs="宋体"/>
          <w:szCs w:val="32"/>
        </w:rPr>
        <w:t>　　</w:t>
      </w:r>
      <w:r>
        <w:rPr>
          <w:rFonts w:hint="eastAsia" w:ascii="宋体" w:hAnsi="宋体" w:eastAsia="黑体" w:cs="黑体"/>
          <w:szCs w:val="32"/>
        </w:rPr>
        <w:t>第一</w:t>
      </w:r>
      <w:r>
        <w:rPr>
          <w:rFonts w:hint="eastAsia" w:ascii="宋体" w:hAnsi="宋体" w:eastAsia="黑体" w:cs="仿宋_GB2312"/>
          <w:szCs w:val="32"/>
        </w:rPr>
        <w:t>条</w:t>
      </w:r>
      <w:r>
        <w:rPr>
          <w:rFonts w:hint="eastAsia" w:ascii="宋体" w:hAnsi="宋体" w:cs="仿宋_GB2312"/>
          <w:szCs w:val="32"/>
        </w:rPr>
        <w:t>　为了规范出境入境管理，维护中华人民共和国的主权、安全和社会秩序，促进对外交往和对外开放，制定本法。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w:t>
      </w:r>
      <w:r>
        <w:rPr>
          <w:rFonts w:hint="eastAsia" w:ascii="宋体" w:hAnsi="宋体" w:eastAsia="黑体" w:cs="仿宋_GB2312"/>
          <w:szCs w:val="32"/>
        </w:rPr>
        <w:t>条</w:t>
      </w:r>
      <w:r>
        <w:rPr>
          <w:rFonts w:hint="eastAsia" w:ascii="宋体" w:hAnsi="宋体" w:cs="仿宋_GB2312"/>
          <w:szCs w:val="32"/>
        </w:rPr>
        <w:t>　中国公民出境入境、外国人入境出境、外国人在中国境内停留居留的管理，以及交通运输工具出境入境的边防检查，适用本法。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w:t>
      </w:r>
      <w:r>
        <w:rPr>
          <w:rFonts w:hint="eastAsia" w:ascii="宋体" w:hAnsi="宋体" w:eastAsia="黑体" w:cs="仿宋_GB2312"/>
          <w:szCs w:val="32"/>
        </w:rPr>
        <w:t>条</w:t>
      </w:r>
      <w:r>
        <w:rPr>
          <w:rFonts w:hint="eastAsia" w:ascii="宋体" w:hAnsi="宋体" w:cs="仿宋_GB2312"/>
          <w:szCs w:val="32"/>
        </w:rPr>
        <w:t>　国家保护中国公民出境入境合法权益。</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在中国境内的外国人的合法权益受法律保护。在中国境内的外国人应当遵守中国法律，不得危害中国国家安全、损害社会公共利益、破坏社会公共秩序。</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w:t>
      </w:r>
      <w:r>
        <w:rPr>
          <w:rFonts w:hint="eastAsia" w:ascii="宋体" w:hAnsi="宋体" w:eastAsia="黑体" w:cs="仿宋_GB2312"/>
          <w:szCs w:val="32"/>
        </w:rPr>
        <w:t>条</w:t>
      </w:r>
      <w:r>
        <w:rPr>
          <w:rFonts w:hint="eastAsia" w:ascii="宋体" w:hAnsi="宋体" w:cs="仿宋_GB2312"/>
          <w:szCs w:val="32"/>
        </w:rPr>
        <w:t>　公安部、外交部按照各自职责负责有关出境入境事务的管理。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华人民共和国驻外使馆、领馆或者外交部委托的其他驻外机构（以下称驻外签证机关）负责在境外签发外国人入境签证。出入境边防检查机关负责实施出境入境边防检查。县级以上地方人民政府公安机关及其出入境管理机构负责外国人停留居留管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公安部、外交部可以在各自职责范围内委托县级以上地方人民政府公安机关出入境管理机构、县级以上地方人民政府外事部门受理外国人入境、停留居留申请。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公安部、外交部在出境入境事务管理中，应当加强沟通配合，并与国务院有关部门密切合作，按照各自职责分工，依法行使职权，承担责任。</w:t>
      </w:r>
    </w:p>
    <w:p>
      <w:pPr>
        <w:widowControl w:val="0"/>
        <w:wordWrap/>
        <w:overflowPunct w:val="0"/>
        <w:spacing w:beforeAutospacing="0" w:afterAutospacing="0" w:line="560" w:lineRule="exact"/>
        <w:textAlignment w:val="auto"/>
        <w:rPr>
          <w:rFonts w:ascii="宋体" w:hAnsi="宋体" w:eastAsia="黑体" w:cs="黑体"/>
          <w:szCs w:val="32"/>
        </w:rPr>
      </w:pPr>
      <w:r>
        <w:rPr>
          <w:rFonts w:hint="eastAsia" w:ascii="宋体" w:hAnsi="宋体" w:cs="仿宋_GB2312"/>
          <w:szCs w:val="32"/>
        </w:rPr>
        <w:t>　　</w:t>
      </w:r>
      <w:r>
        <w:rPr>
          <w:rFonts w:hint="eastAsia" w:ascii="宋体" w:hAnsi="宋体" w:eastAsia="黑体" w:cs="黑体"/>
          <w:szCs w:val="32"/>
        </w:rPr>
        <w:t>第五</w:t>
      </w:r>
      <w:r>
        <w:rPr>
          <w:rFonts w:hint="eastAsia" w:ascii="宋体" w:hAnsi="宋体" w:eastAsia="黑体" w:cs="仿宋_GB2312"/>
          <w:szCs w:val="32"/>
        </w:rPr>
        <w:t>条</w:t>
      </w:r>
      <w:r>
        <w:rPr>
          <w:rFonts w:hint="eastAsia" w:ascii="宋体" w:hAnsi="宋体" w:cs="仿宋_GB2312"/>
          <w:szCs w:val="32"/>
        </w:rPr>
        <w:t>　国家建立统一的出境入境管理信息平台，实现有关管理部门信息共享。</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黑体"/>
          <w:szCs w:val="32"/>
        </w:rPr>
        <w:t>　　第六</w:t>
      </w:r>
      <w:r>
        <w:rPr>
          <w:rFonts w:hint="eastAsia" w:ascii="宋体" w:hAnsi="宋体" w:eastAsia="黑体" w:cs="仿宋_GB2312"/>
          <w:szCs w:val="32"/>
        </w:rPr>
        <w:t>条</w:t>
      </w:r>
      <w:r>
        <w:rPr>
          <w:rFonts w:hint="eastAsia" w:ascii="宋体" w:hAnsi="宋体" w:cs="仿宋_GB2312"/>
          <w:szCs w:val="32"/>
        </w:rPr>
        <w:t>　国家在对外开放的口岸设立出入境边防检查机关。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中国公民、外国人以及交通运输工具应当从对外开放的口岸出境入境，特殊情况下，可以从国务院或者国务院授权的部门批准的地点出境入境。出境入境人员和交通运输工具应当接受出境入境边防检查。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入境边防检查机关负责对口岸限定区域实施管理。根据维护国家安全和出境入境管理秩序的需要，出入境边防检查机关可以对出境入境人员携带的物品实施边防检查。必要时，出入境边防检查机关可以对出境入境交通运输工具载运的货物实施边防检查，但是应当通知海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w:t>
      </w:r>
      <w:r>
        <w:rPr>
          <w:rFonts w:hint="eastAsia" w:ascii="宋体" w:hAnsi="宋体" w:eastAsia="黑体" w:cs="仿宋_GB2312"/>
          <w:szCs w:val="32"/>
        </w:rPr>
        <w:t>条</w:t>
      </w:r>
      <w:r>
        <w:rPr>
          <w:rFonts w:hint="eastAsia" w:ascii="宋体" w:hAnsi="宋体" w:cs="仿宋_GB2312"/>
          <w:szCs w:val="32"/>
        </w:rPr>
        <w:t>　经国务院批准，公安部、外交部根据出境入境管理的需要，可以对留存出境入境人员的指纹等人体生物识别信息作出规定。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外国政府对中国公民签发签证、出境入境管理有特别规定的，中国政府可以根据情况采取相应的对等措施。</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w:t>
      </w:r>
      <w:r>
        <w:rPr>
          <w:rFonts w:hint="eastAsia" w:ascii="宋体" w:hAnsi="宋体" w:eastAsia="黑体" w:cs="仿宋_GB2312"/>
          <w:szCs w:val="32"/>
        </w:rPr>
        <w:t>条</w:t>
      </w:r>
      <w:r>
        <w:rPr>
          <w:rFonts w:hint="eastAsia" w:ascii="宋体" w:hAnsi="宋体" w:cs="仿宋_GB2312"/>
          <w:szCs w:val="32"/>
        </w:rPr>
        <w:t>　履行出境入境管理职责的部门和机构应当切实采取措施，不断提升服务和管理水平，公正执法，便民高效，维护安全、便捷的出境入境秩序。</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第二章　中国公民出境入境</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w:t>
      </w:r>
      <w:r>
        <w:rPr>
          <w:rFonts w:hint="eastAsia" w:ascii="宋体" w:hAnsi="宋体" w:eastAsia="黑体" w:cs="仿宋_GB2312"/>
          <w:szCs w:val="32"/>
        </w:rPr>
        <w:t>条</w:t>
      </w:r>
      <w:r>
        <w:rPr>
          <w:rFonts w:hint="eastAsia" w:ascii="宋体" w:hAnsi="宋体" w:cs="仿宋_GB2312"/>
          <w:szCs w:val="32"/>
        </w:rPr>
        <w:t>　中国公民出境入境，应当依法申请办理护照或者其他旅行证件。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中国公民前往其他国家或者地区，还需要取得前往国签证或者其他入境许可证明。但是，中国政府与其他国家政府签订互免签证协议或者公安部、外交部另有规定的除外。</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中国公民以海员身份出境入境和在国外船舶上从事工作的，应当依法申请办理海员证。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w:t>
      </w:r>
      <w:r>
        <w:rPr>
          <w:rFonts w:hint="eastAsia" w:ascii="宋体" w:hAnsi="宋体" w:eastAsia="黑体" w:cs="仿宋_GB2312"/>
          <w:szCs w:val="32"/>
        </w:rPr>
        <w:t>条</w:t>
      </w:r>
      <w:r>
        <w:rPr>
          <w:rFonts w:hint="eastAsia" w:ascii="宋体" w:hAnsi="宋体" w:cs="仿宋_GB2312"/>
          <w:szCs w:val="32"/>
        </w:rPr>
        <w:t>　中国公民往来内地与香港特别行政区、澳门特别行政区，中国公民往来大陆与台湾地区，应当依法申请办理通行证件，并遵守本法有关规定。具体管理办法由国务院规定。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第十一</w:t>
      </w:r>
      <w:r>
        <w:rPr>
          <w:rFonts w:hint="eastAsia" w:ascii="宋体" w:hAnsi="宋体" w:eastAsia="黑体" w:cs="仿宋_GB2312"/>
          <w:szCs w:val="32"/>
        </w:rPr>
        <w:t>条</w:t>
      </w:r>
      <w:r>
        <w:rPr>
          <w:rFonts w:hint="eastAsia" w:ascii="宋体" w:hAnsi="宋体" w:cs="仿宋_GB2312"/>
          <w:szCs w:val="32"/>
        </w:rPr>
        <w:t>　中国公民出境入境，应当向出入境边防检查机关交验本人的护照或者其他旅行证件等出境入境证件，履行规定的手续，经查验准许，方可出境入境。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具备条件的口岸，出入境边防检查机关应当为中国公民出境入境提供专用通道等便利措施。</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第十二</w:t>
      </w:r>
      <w:r>
        <w:rPr>
          <w:rFonts w:hint="eastAsia" w:ascii="宋体" w:hAnsi="宋体" w:eastAsia="黑体" w:cs="仿宋_GB2312"/>
          <w:szCs w:val="32"/>
        </w:rPr>
        <w:t>条</w:t>
      </w:r>
      <w:r>
        <w:rPr>
          <w:rFonts w:hint="eastAsia" w:ascii="宋体" w:hAnsi="宋体" w:cs="仿宋_GB2312"/>
          <w:szCs w:val="32"/>
        </w:rPr>
        <w:t>　中国公民有下列情形之一的，不准出境: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（一）未持有效出境入境证件或者拒绝、逃避接受边防检查的；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（二）被判处刑罚尚未执行完毕或者属于刑事案件被告人、犯罪嫌疑人的；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（三）有未了结的民事案件，人民法院决定不准出境的；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（四）因妨害国（边）境管理受到刑事处罚或者因非法出境、非法居留、非法就业被其他国家或者地区遣返，未满不准出境规定年限的；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（五）可能危害国家安全和利益，国务院有关主管部门决定不准出境的；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（六）法律、行政法规规定不准出境的其他情形。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第十三</w:t>
      </w:r>
      <w:r>
        <w:rPr>
          <w:rFonts w:hint="eastAsia" w:ascii="宋体" w:hAnsi="宋体" w:eastAsia="黑体" w:cs="仿宋_GB2312"/>
          <w:szCs w:val="32"/>
        </w:rPr>
        <w:t>条</w:t>
      </w:r>
      <w:r>
        <w:rPr>
          <w:rFonts w:hint="eastAsia" w:ascii="宋体" w:hAnsi="宋体" w:cs="仿宋_GB2312"/>
          <w:szCs w:val="32"/>
        </w:rPr>
        <w:t>　定居国外的中国公民要求回国定居的，应当在入境前向中华人民共和国驻外使馆、领馆或者外交部委托的其他驻外机构提出申请，也可以由本人或者经由国内亲属向拟定居地的县级以上地方人民政府侨务部门提出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第十四</w:t>
      </w:r>
      <w:r>
        <w:rPr>
          <w:rFonts w:hint="eastAsia" w:ascii="宋体" w:hAnsi="宋体" w:eastAsia="黑体" w:cs="仿宋_GB2312"/>
          <w:szCs w:val="32"/>
        </w:rPr>
        <w:t>条</w:t>
      </w:r>
      <w:r>
        <w:rPr>
          <w:rFonts w:hint="eastAsia" w:ascii="宋体" w:hAnsi="宋体" w:cs="仿宋_GB2312"/>
          <w:szCs w:val="32"/>
        </w:rPr>
        <w:t>　定居国外的中国公民在中国境内办理金融、教育、医疗、交通、电信、社会保险、财产登记等事务需要提供身份证明的，可以凭本人的护照证明其身份。</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第三章　外国人入境出境</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签证</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第十五</w:t>
      </w:r>
      <w:r>
        <w:rPr>
          <w:rFonts w:hint="eastAsia" w:ascii="宋体" w:hAnsi="宋体" w:eastAsia="黑体" w:cs="仿宋_GB2312"/>
          <w:szCs w:val="32"/>
        </w:rPr>
        <w:t>条</w:t>
      </w:r>
      <w:r>
        <w:rPr>
          <w:rFonts w:hint="eastAsia" w:ascii="宋体" w:hAnsi="宋体" w:cs="仿宋_GB2312"/>
          <w:szCs w:val="32"/>
        </w:rPr>
        <w:t>　外国人入境，应当向驻外签证机关申请办理签证，但是本法另有规定的除外。</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第十六</w:t>
      </w:r>
      <w:r>
        <w:rPr>
          <w:rFonts w:hint="eastAsia" w:ascii="宋体" w:hAnsi="宋体" w:eastAsia="黑体" w:cs="仿宋_GB2312"/>
          <w:szCs w:val="32"/>
        </w:rPr>
        <w:t>条</w:t>
      </w:r>
      <w:r>
        <w:rPr>
          <w:rFonts w:hint="eastAsia" w:ascii="宋体" w:hAnsi="宋体" w:cs="仿宋_GB2312"/>
          <w:szCs w:val="32"/>
        </w:rPr>
        <w:t>　签证分为外交签证、礼遇签证、公务签证、普通签证。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对因外交、公务事由入境的外国人，签发外交、公务签证；对因身份特殊需要给予礼遇的外国人，签发礼遇签证。外交签证、礼遇签证、公务签证的签发范围和签发办法由外交部规定。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对因工作、学习、探亲、旅游、商务活动、人才引进等非外交、公务事由入境的外国人，签发相应类别的普通签证。普通签证的类别和签发办法由国务院规定。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第十七</w:t>
      </w:r>
      <w:r>
        <w:rPr>
          <w:rFonts w:hint="eastAsia" w:ascii="宋体" w:hAnsi="宋体" w:eastAsia="黑体" w:cs="仿宋_GB2312"/>
          <w:szCs w:val="32"/>
        </w:rPr>
        <w:t>条</w:t>
      </w:r>
      <w:r>
        <w:rPr>
          <w:rFonts w:hint="eastAsia" w:ascii="宋体" w:hAnsi="宋体" w:cs="仿宋_GB2312"/>
          <w:szCs w:val="32"/>
        </w:rPr>
        <w:t>　签证的登记项目包括:签证种类，持有人姓名、性别、出生日期、入境次数、入境有效期、停留期限，签发日期、地点，护照或者其他国际旅行证件号码等。</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第十八</w:t>
      </w:r>
      <w:r>
        <w:rPr>
          <w:rFonts w:hint="eastAsia" w:ascii="宋体" w:hAnsi="宋体" w:eastAsia="黑体" w:cs="仿宋_GB2312"/>
          <w:szCs w:val="32"/>
        </w:rPr>
        <w:t>条</w:t>
      </w:r>
      <w:r>
        <w:rPr>
          <w:rFonts w:hint="eastAsia" w:ascii="宋体" w:hAnsi="宋体" w:cs="仿宋_GB2312"/>
          <w:szCs w:val="32"/>
        </w:rPr>
        <w:t>　外国人申请办理签证，应当向驻外签证机关提交本人的护照或者其他国际旅行证件，以及申请事由的相关材料，按照驻外签证机关的要求办理相关手续、接受面谈。</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第十九</w:t>
      </w:r>
      <w:r>
        <w:rPr>
          <w:rFonts w:hint="eastAsia" w:ascii="宋体" w:hAnsi="宋体" w:eastAsia="黑体" w:cs="仿宋_GB2312"/>
          <w:szCs w:val="32"/>
        </w:rPr>
        <w:t>条</w:t>
      </w:r>
      <w:r>
        <w:rPr>
          <w:rFonts w:hint="eastAsia" w:ascii="宋体" w:hAnsi="宋体" w:cs="仿宋_GB2312"/>
          <w:szCs w:val="32"/>
        </w:rPr>
        <w:t>　外国人申请办理签证需要提供中国境内的单位或者个人出具的邀请函件的，申请人应当按照驻外签证机关的要求提供。出具邀请函件的单位或者个人应当对邀请内容的真实性负责。</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w:t>
      </w:r>
      <w:r>
        <w:rPr>
          <w:rFonts w:hint="eastAsia" w:ascii="宋体" w:hAnsi="宋体" w:eastAsia="黑体" w:cs="仿宋_GB2312"/>
          <w:szCs w:val="32"/>
        </w:rPr>
        <w:t>条</w:t>
      </w:r>
      <w:r>
        <w:rPr>
          <w:rFonts w:hint="eastAsia" w:ascii="宋体" w:hAnsi="宋体" w:cs="仿宋_GB2312"/>
          <w:szCs w:val="32"/>
        </w:rPr>
        <w:t>　出于人道原因需要紧急入境，应邀入境从事紧急商务、工程抢修或者具有其他紧急入境需要并持有有关主管部门同意在口岸申办签证的证明材料的外国人，可以在国务院批准办理口岸签证业务的口岸，向公安部委托的口岸签证机关（以下简称口岸签证机关）申请办理口岸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旅行社按照国家有关规定组织入境旅游的，可以向口岸签证机关申请办理团体旅游签证。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外国人向口岸签证机关申请办理签证，应当提交本人的护照或者其他国际旅行证件，以及申请事由的相关材料，按照口岸签证机关的要求办理相关手续，并从申请签证的口岸入境。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口岸签证机关签发的签证一次入境有效，签证注明的停留期限不得超过三十日。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第二十一</w:t>
      </w:r>
      <w:r>
        <w:rPr>
          <w:rFonts w:hint="eastAsia" w:ascii="宋体" w:hAnsi="宋体" w:eastAsia="黑体" w:cs="仿宋_GB2312"/>
          <w:szCs w:val="32"/>
        </w:rPr>
        <w:t>条</w:t>
      </w:r>
      <w:r>
        <w:rPr>
          <w:rFonts w:hint="eastAsia" w:ascii="宋体" w:hAnsi="宋体" w:cs="仿宋_GB2312"/>
          <w:szCs w:val="32"/>
        </w:rPr>
        <w:t>　外国人有下列情形之一的，不予签发签证: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（一）被处驱逐出境或者被决定遣送出境，未满不准入境规定年限的；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（二）患有严重精神障碍、传染性肺结核病或者有可能对公共卫生造成重大危害的其他传染病的；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（三）可能危害中国国家安全和利益、破坏社会公共秩序或者从事其他违法犯罪活动的；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（四）在申请签证过程中弄虚作假或者不能保障在中国境内期间所需费用的；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（五）不能提交签证机关要求提交的相关材料的；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（六）签证机关认为不宜签发签证的其他情形。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对不予签发签证的，签证机关可以不说明理由。</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第二十二</w:t>
      </w:r>
      <w:r>
        <w:rPr>
          <w:rFonts w:hint="eastAsia" w:ascii="宋体" w:hAnsi="宋体" w:eastAsia="黑体" w:cs="仿宋_GB2312"/>
          <w:szCs w:val="32"/>
        </w:rPr>
        <w:t>条</w:t>
      </w:r>
      <w:r>
        <w:rPr>
          <w:rFonts w:hint="eastAsia" w:ascii="宋体" w:hAnsi="宋体" w:cs="仿宋_GB2312"/>
          <w:szCs w:val="32"/>
        </w:rPr>
        <w:t>　外国人有下列情形之一的，可以免办签证: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（一）根据中国政府与其他国家政府签订的互免签证协议，属于免办签证人员的；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（二）持有效的外国人居留证件的；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（三）持联程客票搭乘国际航行的航空器、船舶、列车从中国过境前往第三国或者地区，在中国境内停留不超过二十四小时且不离开口岸，或者在国务院批准的特定区域内停留不超过规定时限的；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（四）国务院规定的可以免办签证的其他情形。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第二十三</w:t>
      </w:r>
      <w:r>
        <w:rPr>
          <w:rFonts w:hint="eastAsia" w:ascii="宋体" w:hAnsi="宋体" w:eastAsia="黑体" w:cs="仿宋_GB2312"/>
          <w:szCs w:val="32"/>
        </w:rPr>
        <w:t>条</w:t>
      </w:r>
      <w:r>
        <w:rPr>
          <w:rFonts w:hint="eastAsia" w:ascii="宋体" w:hAnsi="宋体" w:cs="仿宋_GB2312"/>
          <w:szCs w:val="32"/>
        </w:rPr>
        <w:t>　有下列情形之一的外国人需要临时入境的，应当向出入境边防检查机关申请办理临时入境手续:</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（一）外国船员及其随行家属登陆港口所在城市的；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（二）本法第二十二条第三项规定的人员需要离开口岸的；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（三）因不可抗力或者其他紧急原因需要临时入境的。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临时入境的期限不得超过十五日。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对申请办理临时入境手续的外国人，出入境边防检查机关可以要求外国人本人、载运其入境的交通运输工具的负责人或者交通运输工具出境入境业务代理单位提供必要的保证措施。</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入境出境</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第二十四</w:t>
      </w:r>
      <w:r>
        <w:rPr>
          <w:rFonts w:hint="eastAsia" w:ascii="宋体" w:hAnsi="宋体" w:eastAsia="黑体" w:cs="仿宋_GB2312"/>
          <w:szCs w:val="32"/>
        </w:rPr>
        <w:t>条</w:t>
      </w:r>
      <w:r>
        <w:rPr>
          <w:rFonts w:hint="eastAsia" w:ascii="宋体" w:hAnsi="宋体" w:cs="仿宋_GB2312"/>
          <w:szCs w:val="32"/>
        </w:rPr>
        <w:t>　外国人入境，应当向出入境边防检查机关交验本人的护照或者其他国际旅行证件、签证或者其他入境许可证明，履行规定的手续，经查验准许，方可入境。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第二十五</w:t>
      </w:r>
      <w:r>
        <w:rPr>
          <w:rFonts w:hint="eastAsia" w:ascii="宋体" w:hAnsi="宋体" w:eastAsia="黑体" w:cs="仿宋_GB2312"/>
          <w:szCs w:val="32"/>
        </w:rPr>
        <w:t>条</w:t>
      </w:r>
      <w:r>
        <w:rPr>
          <w:rFonts w:hint="eastAsia" w:ascii="宋体" w:hAnsi="宋体" w:cs="仿宋_GB2312"/>
          <w:szCs w:val="32"/>
        </w:rPr>
        <w:t>　外国人有下列情形之一的，不准入境: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（一）未持有效出境入境证件或者拒绝、逃避接受边防检查的；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（二）具有本法第二十一条第一款第一项至第四项规定情形的；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（三）入境后可能从事与签证种类不符的活动的；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（四）法律、行政法规规定不准入境的其他情形。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对不准入境的，出入境边防检查机关可以不说明理由。</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第二十六</w:t>
      </w:r>
      <w:r>
        <w:rPr>
          <w:rFonts w:hint="eastAsia" w:ascii="宋体" w:hAnsi="宋体" w:eastAsia="黑体" w:cs="仿宋_GB2312"/>
          <w:szCs w:val="32"/>
        </w:rPr>
        <w:t>条</w:t>
      </w:r>
      <w:r>
        <w:rPr>
          <w:rFonts w:hint="eastAsia" w:ascii="宋体" w:hAnsi="宋体" w:cs="仿宋_GB2312"/>
          <w:szCs w:val="32"/>
        </w:rPr>
        <w:t>　对未被准许入境的外国人，出入境边防检查机关应当责令其返回；对拒不返回的，强制其返回。外国人等待返回期间，不得离开限定的区域。</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第二十七</w:t>
      </w:r>
      <w:r>
        <w:rPr>
          <w:rFonts w:hint="eastAsia" w:ascii="宋体" w:hAnsi="宋体" w:eastAsia="黑体" w:cs="仿宋_GB2312"/>
          <w:szCs w:val="32"/>
        </w:rPr>
        <w:t>条</w:t>
      </w:r>
      <w:r>
        <w:rPr>
          <w:rFonts w:hint="eastAsia" w:ascii="宋体" w:hAnsi="宋体" w:cs="仿宋_GB2312"/>
          <w:szCs w:val="32"/>
        </w:rPr>
        <w:t>　外国人出境，应当向出入境边防检查机关交验本人的护照或者其他国际旅行证件等出境入境证件，履行规定的手续，经查验准许，方可出境。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第二十八</w:t>
      </w:r>
      <w:r>
        <w:rPr>
          <w:rFonts w:hint="eastAsia" w:ascii="宋体" w:hAnsi="宋体" w:eastAsia="黑体" w:cs="仿宋_GB2312"/>
          <w:szCs w:val="32"/>
        </w:rPr>
        <w:t>条</w:t>
      </w:r>
      <w:r>
        <w:rPr>
          <w:rFonts w:hint="eastAsia" w:ascii="宋体" w:hAnsi="宋体" w:cs="仿宋_GB2312"/>
          <w:szCs w:val="32"/>
        </w:rPr>
        <w:t>　外国人有下列情形之一的，不准出境: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（一）被判处刑罚尚未执行完毕或者属于刑事案件被告人、犯罪嫌疑人的，但是按照中国与外国签订的有关协议，移管被判刑人的除外；</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（二）有未了结的民事案件，人民法院决定不准出境的；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（三）拖欠劳动者的劳动报酬，经国务院有关部门或者省、自治区、直辖市人民政府决定不准出境的；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（四）法律、行政法规规定不准出境的其他情形。</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第四章　外国人停留居留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停留居留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第二十九</w:t>
      </w:r>
      <w:r>
        <w:rPr>
          <w:rFonts w:hint="eastAsia" w:ascii="宋体" w:hAnsi="宋体" w:eastAsia="黑体" w:cs="仿宋_GB2312"/>
          <w:szCs w:val="32"/>
        </w:rPr>
        <w:t>条</w:t>
      </w:r>
      <w:r>
        <w:rPr>
          <w:rFonts w:hint="eastAsia" w:ascii="宋体" w:hAnsi="宋体" w:cs="仿宋_GB2312"/>
          <w:szCs w:val="32"/>
        </w:rPr>
        <w:t>　外国人所持签证注明的停留期限不超过一百八十日的，持证人凭签证并按照签证注明的停留期限在中国境内停留。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需要延长签证停留期限的，应当在签证注明的停留期限届满七日前向停留地县级以上地方人民政府公安机关出入境管理机构申请，按照要求提交申请事由的相关材料。经审查，延期理由合理、充分的，准予延长停留期限；不予延长停留期限的，应当按期离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延长签证停留期限，累计不得超过签证原注明的停留期限。</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w:t>
      </w:r>
      <w:r>
        <w:rPr>
          <w:rFonts w:hint="eastAsia" w:ascii="宋体" w:hAnsi="宋体" w:eastAsia="黑体" w:cs="仿宋_GB2312"/>
          <w:szCs w:val="32"/>
        </w:rPr>
        <w:t>条</w:t>
      </w:r>
      <w:r>
        <w:rPr>
          <w:rFonts w:hint="eastAsia" w:ascii="宋体" w:hAnsi="宋体" w:cs="仿宋_GB2312"/>
          <w:szCs w:val="32"/>
        </w:rPr>
        <w:t>　外国人所持签证注明入境后需要办理居留证件的，应当自入境之日起三十日内，向拟居留地县级以上地方人民政府公安机关出入境管理机构申请办理外国人居留证件。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申请办理外国人居留证件，应当提交本人的护照或者其他国际旅行证件，以及申请事由的相关材料，并留存指纹等人体生物识别信息。公安机关出入境管理机构应当自收到申请材料之日起十五日内进行审查并作出审查决定，根据居留事由签发相应类别和期限的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外国人工作类居留证件的有效期最短为九十日，最长为五年；非工作类居留证件的有效期最短为一百八十日，最长为五年。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第三十一</w:t>
      </w:r>
      <w:r>
        <w:rPr>
          <w:rFonts w:hint="eastAsia" w:ascii="宋体" w:hAnsi="宋体" w:eastAsia="黑体" w:cs="仿宋_GB2312"/>
          <w:szCs w:val="32"/>
        </w:rPr>
        <w:t>条</w:t>
      </w:r>
      <w:r>
        <w:rPr>
          <w:rFonts w:hint="eastAsia" w:ascii="宋体" w:hAnsi="宋体" w:cs="仿宋_GB2312"/>
          <w:szCs w:val="32"/>
        </w:rPr>
        <w:t>　外国人有下列情形之一的，不予签发外国人居留证件: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（一）所持签证类别属于不应办理外国人居留证件的；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（二）在申请过程中弄虚作假的；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（三）不能按照规定提供相关证明材料的；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（四）违反中国有关法律、行政法规，不适合在中国境内居留的；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（五）签发机关认为不宜签发外国人居留证件的其他情形。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符合国家规定的专门人才、投资者或者出于人道等原因确需由停留变更为居留的外国人，经设区的市级以上地方人民政府公安机关出入境管理机构批准可以办理外国人居留证件。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第三十二</w:t>
      </w:r>
      <w:r>
        <w:rPr>
          <w:rFonts w:hint="eastAsia" w:ascii="宋体" w:hAnsi="宋体" w:eastAsia="黑体" w:cs="仿宋_GB2312"/>
          <w:szCs w:val="32"/>
        </w:rPr>
        <w:t>条</w:t>
      </w:r>
      <w:r>
        <w:rPr>
          <w:rFonts w:hint="eastAsia" w:ascii="宋体" w:hAnsi="宋体" w:cs="仿宋_GB2312"/>
          <w:szCs w:val="32"/>
        </w:rPr>
        <w:t>　在中国境内居留的外国人申请延长居留期限的，应当在居留证件有效期限届满三十日前向居留地县级以上地方人民政府公安机关出入境管理机构提出申请，按照要求提交申请事由的相关材料。经审查，延期理由合理、充分的，准予延长居留期限；不予延长居留期限的，应当按期离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第三十三</w:t>
      </w:r>
      <w:r>
        <w:rPr>
          <w:rFonts w:hint="eastAsia" w:ascii="宋体" w:hAnsi="宋体" w:eastAsia="黑体" w:cs="仿宋_GB2312"/>
          <w:szCs w:val="32"/>
        </w:rPr>
        <w:t>条</w:t>
      </w:r>
      <w:r>
        <w:rPr>
          <w:rFonts w:hint="eastAsia" w:ascii="宋体" w:hAnsi="宋体" w:cs="仿宋_GB2312"/>
          <w:szCs w:val="32"/>
        </w:rPr>
        <w:t>　外国人居留证件的登记项目包括:持有人姓名、性别、出生日期、居留事由、居留期限，签发日期、地点，护照或者其他国际旅行证件号码等。</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外国人居留证件登记事项发生变更的，持证件人应当自登记事项发生变更之日起十日内向居留地县级以上地方人民政府公安机关出入境管理机构申请办理变更。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第三十四</w:t>
      </w:r>
      <w:r>
        <w:rPr>
          <w:rFonts w:hint="eastAsia" w:ascii="宋体" w:hAnsi="宋体" w:eastAsia="黑体" w:cs="仿宋_GB2312"/>
          <w:szCs w:val="32"/>
        </w:rPr>
        <w:t>条</w:t>
      </w:r>
      <w:r>
        <w:rPr>
          <w:rFonts w:hint="eastAsia" w:ascii="宋体" w:hAnsi="宋体" w:cs="仿宋_GB2312"/>
          <w:szCs w:val="32"/>
        </w:rPr>
        <w:t>　免办签证入境的外国人需要超过免签期限在中国境内停留的，外国船员及其随行家属在中国境内停留需要离开港口所在城市，或者具有需要办理外国人停留证件其他情形的，应当按照规定办理外国人停留证件。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外国人停留证件的有效期最长为一百八十日。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第三十五</w:t>
      </w:r>
      <w:r>
        <w:rPr>
          <w:rFonts w:hint="eastAsia" w:ascii="宋体" w:hAnsi="宋体" w:eastAsia="黑体" w:cs="仿宋_GB2312"/>
          <w:szCs w:val="32"/>
        </w:rPr>
        <w:t>条</w:t>
      </w:r>
      <w:r>
        <w:rPr>
          <w:rFonts w:hint="eastAsia" w:ascii="宋体" w:hAnsi="宋体" w:cs="仿宋_GB2312"/>
          <w:szCs w:val="32"/>
        </w:rPr>
        <w:t>　外国人入境后，所持的普通签证、停留居留证件损毁、遗失、被盗抢或者有符合国家规定的事由需要换发、补发的，应当按照规定向停留居留地县级以上地方人民政府公安机关出入境管理机构提出申请。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第三十六</w:t>
      </w:r>
      <w:r>
        <w:rPr>
          <w:rFonts w:hint="eastAsia" w:ascii="宋体" w:hAnsi="宋体" w:eastAsia="黑体" w:cs="仿宋_GB2312"/>
          <w:szCs w:val="32"/>
        </w:rPr>
        <w:t>条</w:t>
      </w:r>
      <w:r>
        <w:rPr>
          <w:rFonts w:hint="eastAsia" w:ascii="宋体" w:hAnsi="宋体" w:cs="仿宋_GB2312"/>
          <w:szCs w:val="32"/>
        </w:rPr>
        <w:t>　公安机关出入境管理机构作出的不予办理普通签证延期、换发、补发，不予办理外国人停留居留证件、不予延长居留期限的决定为最终决定。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第三十七</w:t>
      </w:r>
      <w:r>
        <w:rPr>
          <w:rFonts w:hint="eastAsia" w:ascii="宋体" w:hAnsi="宋体" w:eastAsia="黑体" w:cs="仿宋_GB2312"/>
          <w:szCs w:val="32"/>
        </w:rPr>
        <w:t>条</w:t>
      </w:r>
      <w:r>
        <w:rPr>
          <w:rFonts w:hint="eastAsia" w:ascii="宋体" w:hAnsi="宋体" w:cs="仿宋_GB2312"/>
          <w:szCs w:val="32"/>
        </w:rPr>
        <w:t>　外国人在中国境内停留居留，不得从事与停留居留事由不相符的活动，并应当在规定的停留居留期限届满前离境。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第三十八</w:t>
      </w:r>
      <w:r>
        <w:rPr>
          <w:rFonts w:hint="eastAsia" w:ascii="宋体" w:hAnsi="宋体" w:eastAsia="黑体" w:cs="仿宋_GB2312"/>
          <w:szCs w:val="32"/>
        </w:rPr>
        <w:t>条</w:t>
      </w:r>
      <w:r>
        <w:rPr>
          <w:rFonts w:hint="eastAsia" w:ascii="宋体" w:hAnsi="宋体" w:cs="仿宋_GB2312"/>
          <w:szCs w:val="32"/>
        </w:rPr>
        <w:t>　年满十六周岁的外国人在中国境内停留居留，应当随身携带本人的护照或者其他国际旅行证件，或者外国人停留居留证件，接受公安机关的查验。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在中国境内居留的外国人，应当在规定的时间内到居留地县级以上地方人民政府公安机关交验外国人居留证件。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第三十九</w:t>
      </w:r>
      <w:r>
        <w:rPr>
          <w:rFonts w:hint="eastAsia" w:ascii="宋体" w:hAnsi="宋体" w:eastAsia="黑体" w:cs="仿宋_GB2312"/>
          <w:szCs w:val="32"/>
        </w:rPr>
        <w:t>条</w:t>
      </w:r>
      <w:r>
        <w:rPr>
          <w:rFonts w:hint="eastAsia" w:ascii="宋体" w:hAnsi="宋体" w:cs="仿宋_GB2312"/>
          <w:szCs w:val="32"/>
        </w:rPr>
        <w:t>　外国人在中国境内旅馆住宿的，旅馆应当按照旅馆业治安管理的有关规定为其办理住宿登记，并向所在地公安机关报送外国人住宿登记信息。</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外国人在旅馆以外的其他住所居住或者住宿的，应当在入住后二十四小时内由本人或者留宿人，向居住地的公安机关办理登记。</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w:t>
      </w:r>
      <w:r>
        <w:rPr>
          <w:rFonts w:hint="eastAsia" w:ascii="宋体" w:hAnsi="宋体" w:eastAsia="黑体" w:cs="仿宋_GB2312"/>
          <w:szCs w:val="32"/>
        </w:rPr>
        <w:t>条</w:t>
      </w:r>
      <w:r>
        <w:rPr>
          <w:rFonts w:hint="eastAsia" w:ascii="宋体" w:hAnsi="宋体" w:cs="仿宋_GB2312"/>
          <w:szCs w:val="32"/>
        </w:rPr>
        <w:t>　在中国境内出生的外国婴儿，其父母或者代理人应当在婴儿出生六十日内，持该婴儿的出生证明到父母停留居留地县级以上地方人民政府公安机关出入境管理机构为其办理停留或者居留登记。</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外国人在中国境内死亡的，其家属、监护人或者代理人，应当按照规定，持该外国人的死亡证明向县级以上地方人民政府公安机关出入境管理机构申报，注销外国人停留居留证件。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第四十一</w:t>
      </w:r>
      <w:r>
        <w:rPr>
          <w:rFonts w:hint="eastAsia" w:ascii="宋体" w:hAnsi="宋体" w:eastAsia="黑体" w:cs="仿宋_GB2312"/>
          <w:szCs w:val="32"/>
        </w:rPr>
        <w:t>条</w:t>
      </w:r>
      <w:r>
        <w:rPr>
          <w:rFonts w:hint="eastAsia" w:ascii="宋体" w:hAnsi="宋体" w:cs="仿宋_GB2312"/>
          <w:szCs w:val="32"/>
        </w:rPr>
        <w:t>　外国人在中国境内工作，应当按照规定取得工作许可和工作类居留证件。任何单位和个人不得聘用未取得工作许可和工作类居留证件的外国人。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外国人在中国境内工作管理办法由国务院规定。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第四十二</w:t>
      </w:r>
      <w:r>
        <w:rPr>
          <w:rFonts w:hint="eastAsia" w:ascii="宋体" w:hAnsi="宋体" w:eastAsia="黑体" w:cs="仿宋_GB2312"/>
          <w:szCs w:val="32"/>
        </w:rPr>
        <w:t>条</w:t>
      </w:r>
      <w:r>
        <w:rPr>
          <w:rFonts w:hint="eastAsia" w:ascii="宋体" w:hAnsi="宋体" w:cs="仿宋_GB2312"/>
          <w:szCs w:val="32"/>
        </w:rPr>
        <w:t>　国务院人力资源社会保障主管部门、外国专家主管部门会同国务院有关部门根据经济社会发展需要和人力资源供求状况制定并定期调整外国人在中国境内工作指导目录。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国务院教育主管部门会同国务院有关部门建立外国留学生勤工助学管理制度，对外国留学生勤工助学的岗位范围和时限作出规定。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第四十三</w:t>
      </w:r>
      <w:r>
        <w:rPr>
          <w:rFonts w:hint="eastAsia" w:ascii="宋体" w:hAnsi="宋体" w:eastAsia="黑体" w:cs="仿宋_GB2312"/>
          <w:szCs w:val="32"/>
        </w:rPr>
        <w:t>条</w:t>
      </w:r>
      <w:r>
        <w:rPr>
          <w:rFonts w:hint="eastAsia" w:ascii="宋体" w:hAnsi="宋体" w:cs="仿宋_GB2312"/>
          <w:szCs w:val="32"/>
        </w:rPr>
        <w:t>　外国人有下列行为之一的，属于非法就业: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（一）未按照规定取得工作许可和工作类居留证件在中国境内工作的；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（二）超出工作许可限定范围在中国境内工作的；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（三）外国留学生违反勤工助学管理规定，超出规定的岗位范围或者时限在中国境内工作的。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第四十四</w:t>
      </w:r>
      <w:r>
        <w:rPr>
          <w:rFonts w:hint="eastAsia" w:ascii="宋体" w:hAnsi="宋体" w:eastAsia="黑体" w:cs="仿宋_GB2312"/>
          <w:szCs w:val="32"/>
        </w:rPr>
        <w:t>条</w:t>
      </w:r>
      <w:r>
        <w:rPr>
          <w:rFonts w:hint="eastAsia" w:ascii="宋体" w:hAnsi="宋体" w:cs="仿宋_GB2312"/>
          <w:szCs w:val="32"/>
        </w:rPr>
        <w:t>　根据维护国家安全、公共安全的需要，公安机关、国家安全机关可以限制外国人、外国机构在某些地区设立居住或者办公场所；对已经设立的，可以限期迁离。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未经批准，外国人不得进入限制外国人进入的区域。</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第四十五</w:t>
      </w:r>
      <w:r>
        <w:rPr>
          <w:rFonts w:hint="eastAsia" w:ascii="宋体" w:hAnsi="宋体" w:eastAsia="黑体" w:cs="仿宋_GB2312"/>
          <w:szCs w:val="32"/>
        </w:rPr>
        <w:t>条</w:t>
      </w:r>
      <w:r>
        <w:rPr>
          <w:rFonts w:hint="eastAsia" w:ascii="宋体" w:hAnsi="宋体" w:cs="仿宋_GB2312"/>
          <w:szCs w:val="32"/>
        </w:rPr>
        <w:t>　聘用外国人工作或者招收外国留学生的单位，应当按照规定向所在地公安机关报告有关信息。</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公民、法人或者其他组织发现外国人有非法入境、非法居留、非法就业情形的，应当及时向所在地公安机关报告。</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第四十六</w:t>
      </w:r>
      <w:r>
        <w:rPr>
          <w:rFonts w:hint="eastAsia" w:ascii="宋体" w:hAnsi="宋体" w:eastAsia="黑体" w:cs="仿宋_GB2312"/>
          <w:szCs w:val="32"/>
        </w:rPr>
        <w:t>条</w:t>
      </w:r>
      <w:r>
        <w:rPr>
          <w:rFonts w:hint="eastAsia" w:ascii="宋体" w:hAnsi="宋体" w:cs="仿宋_GB2312"/>
          <w:szCs w:val="32"/>
        </w:rPr>
        <w:t>　申请难民地位的外国人，在难民地位甄别期间，可以凭公安机关签发的临时身份证明在中国境内停留；被认定为难民的外国人，可以凭公安机关签发的难民身份证件在中国境内停留居留。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第二节　永久居留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第四十七</w:t>
      </w:r>
      <w:r>
        <w:rPr>
          <w:rFonts w:hint="eastAsia" w:ascii="宋体" w:hAnsi="宋体" w:eastAsia="黑体" w:cs="仿宋_GB2312"/>
          <w:szCs w:val="32"/>
        </w:rPr>
        <w:t>条</w:t>
      </w:r>
      <w:r>
        <w:rPr>
          <w:rFonts w:hint="eastAsia" w:ascii="宋体" w:hAnsi="宋体" w:cs="仿宋_GB2312"/>
          <w:szCs w:val="32"/>
        </w:rPr>
        <w:t>　对中国经济社会发展作出突出贡献或者符合其他在中国境内永久居留条件的外国人，经本人申请和公安部批准，取得永久居留资格。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外国人在中国境内永久居留的审批管理办法由公安部、外交部会同国务院有关部门规定。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第四十八</w:t>
      </w:r>
      <w:r>
        <w:rPr>
          <w:rFonts w:hint="eastAsia" w:ascii="宋体" w:hAnsi="宋体" w:eastAsia="黑体" w:cs="仿宋_GB2312"/>
          <w:szCs w:val="32"/>
        </w:rPr>
        <w:t>条</w:t>
      </w:r>
      <w:r>
        <w:rPr>
          <w:rFonts w:hint="eastAsia" w:ascii="宋体" w:hAnsi="宋体" w:cs="仿宋_GB2312"/>
          <w:szCs w:val="32"/>
        </w:rPr>
        <w:t>　取得永久居留资格的外国人，凭永久居留证件在中国境内居留和工作，凭本人的护照和永久居留证件出境入境。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第四十九</w:t>
      </w:r>
      <w:r>
        <w:rPr>
          <w:rFonts w:hint="eastAsia" w:ascii="宋体" w:hAnsi="宋体" w:eastAsia="黑体" w:cs="仿宋_GB2312"/>
          <w:szCs w:val="32"/>
        </w:rPr>
        <w:t>条</w:t>
      </w:r>
      <w:r>
        <w:rPr>
          <w:rFonts w:hint="eastAsia" w:ascii="宋体" w:hAnsi="宋体" w:cs="仿宋_GB2312"/>
          <w:szCs w:val="32"/>
        </w:rPr>
        <w:t>　外国人有下列情形之一的，由公安部决定取消其在中国境内永久居留资格: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（一）对中国国家安全和利益造成危害的；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（二）被处驱逐出境的；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（三）弄虚作假骗取在中国境内永久居留资格的；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（四）在中国境内居留未达到规定时限的；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（五）不适宜在中国境内永久居留的其他情形。</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第五章　交通运输工具出境入境边防检查</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w:t>
      </w:r>
      <w:r>
        <w:rPr>
          <w:rFonts w:hint="eastAsia" w:ascii="宋体" w:hAnsi="宋体" w:eastAsia="黑体" w:cs="仿宋_GB2312"/>
          <w:szCs w:val="32"/>
        </w:rPr>
        <w:t>条</w:t>
      </w:r>
      <w:r>
        <w:rPr>
          <w:rFonts w:hint="eastAsia" w:ascii="宋体" w:hAnsi="宋体" w:cs="仿宋_GB2312"/>
          <w:szCs w:val="32"/>
        </w:rPr>
        <w:t>　出境入境交通运输工具离开、抵达口岸时，应当接受边防检查。对交通运输工具的入境边防检查，在其最先抵达的口岸进行；对交通运输工具的出境边防检查，在其最后离开的口岸进行。特殊情况下，可以在有关主管机关指定的地点进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出境的交通运输工具自出境检查后至出境前，入境的交通运输工具自入境后至入境检查前，未经出入境边防检查机关按照规定程序许可，不得上下人员、装卸货物或者物品。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第五十一</w:t>
      </w:r>
      <w:r>
        <w:rPr>
          <w:rFonts w:hint="eastAsia" w:ascii="宋体" w:hAnsi="宋体" w:eastAsia="黑体" w:cs="仿宋_GB2312"/>
          <w:szCs w:val="32"/>
        </w:rPr>
        <w:t>条</w:t>
      </w:r>
      <w:r>
        <w:rPr>
          <w:rFonts w:hint="eastAsia" w:ascii="宋体" w:hAnsi="宋体" w:cs="仿宋_GB2312"/>
          <w:szCs w:val="32"/>
        </w:rPr>
        <w:t>　交通运输工具负责人或者交通运输工具出境入境业务代理单位应当按照规定提前向出入境边防检查机关报告入境、出境的交通运输工具抵达、离开口岸的时间和停留地点，如实申报员工、旅客、货物或者物品等信息。</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第五十二</w:t>
      </w:r>
      <w:r>
        <w:rPr>
          <w:rFonts w:hint="eastAsia" w:ascii="宋体" w:hAnsi="宋体" w:eastAsia="黑体" w:cs="仿宋_GB2312"/>
          <w:szCs w:val="32"/>
        </w:rPr>
        <w:t>条</w:t>
      </w:r>
      <w:r>
        <w:rPr>
          <w:rFonts w:hint="eastAsia" w:ascii="宋体" w:hAnsi="宋体" w:cs="仿宋_GB2312"/>
          <w:szCs w:val="32"/>
        </w:rPr>
        <w:t>　交通运输工具负责人、交通运输工具出境入境业务代理单位应当配合出境入境边防检查，发现违反本法规定行为的，应当立即报告并协助调查处理。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入境交通运输工具载运不准入境人员的，交通运输工具负责人应当负责载离。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第五十三</w:t>
      </w:r>
      <w:r>
        <w:rPr>
          <w:rFonts w:hint="eastAsia" w:ascii="宋体" w:hAnsi="宋体" w:eastAsia="黑体" w:cs="仿宋_GB2312"/>
          <w:szCs w:val="32"/>
        </w:rPr>
        <w:t>条</w:t>
      </w:r>
      <w:r>
        <w:rPr>
          <w:rFonts w:hint="eastAsia" w:ascii="宋体" w:hAnsi="宋体" w:cs="仿宋_GB2312"/>
          <w:szCs w:val="32"/>
        </w:rPr>
        <w:t>　出入境边防检查机关按照规定对处于下列情形之一的出境入境交通运输工具进行监护:</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（一）出境的交通运输工具在出境边防检查开始后至出境前、入境的交通运输工具在入境后至入境边防检查完成前；</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（二）外国船舶在中国内河航行期间；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（三）有必要进行监护的其他情形。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第五十四</w:t>
      </w:r>
      <w:r>
        <w:rPr>
          <w:rFonts w:hint="eastAsia" w:ascii="宋体" w:hAnsi="宋体" w:eastAsia="黑体" w:cs="仿宋_GB2312"/>
          <w:szCs w:val="32"/>
        </w:rPr>
        <w:t>条</w:t>
      </w:r>
      <w:r>
        <w:rPr>
          <w:rFonts w:hint="eastAsia" w:ascii="宋体" w:hAnsi="宋体" w:cs="仿宋_GB2312"/>
          <w:szCs w:val="32"/>
        </w:rPr>
        <w:t>　因装卸物品、维修作业、参观访问等事由需要上下外国船舶的人员，应当向出入境边防检查机关申请办理登轮证件。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中国船舶与外国船舶或者外国船舶之间需要搭靠作业的，应当由船长或者交通运输工具出境入境业务代理单位向出入境边防检查机关申请办理船舶搭靠手续。</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第五十五</w:t>
      </w:r>
      <w:r>
        <w:rPr>
          <w:rFonts w:hint="eastAsia" w:ascii="宋体" w:hAnsi="宋体" w:eastAsia="黑体" w:cs="仿宋_GB2312"/>
          <w:szCs w:val="32"/>
        </w:rPr>
        <w:t>条</w:t>
      </w:r>
      <w:r>
        <w:rPr>
          <w:rFonts w:hint="eastAsia" w:ascii="宋体" w:hAnsi="宋体" w:cs="仿宋_GB2312"/>
          <w:szCs w:val="32"/>
        </w:rPr>
        <w:t>　外国船舶、航空器在中国境内应当按照规定的路线、航线行驶。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出境入境的船舶、航空器不得驶入对外开放口岸以外地区。因不可预见的紧急情况或者不可抗力驶入的，应当立即向就近的出入境边防检查机关或者当地公安机关报告，并接受监护和管理。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第五十六</w:t>
      </w:r>
      <w:r>
        <w:rPr>
          <w:rFonts w:hint="eastAsia" w:ascii="宋体" w:hAnsi="宋体" w:eastAsia="黑体" w:cs="仿宋_GB2312"/>
          <w:szCs w:val="32"/>
        </w:rPr>
        <w:t>条</w:t>
      </w:r>
      <w:r>
        <w:rPr>
          <w:rFonts w:hint="eastAsia" w:ascii="宋体" w:hAnsi="宋体" w:cs="仿宋_GB2312"/>
          <w:szCs w:val="32"/>
        </w:rPr>
        <w:t>　交通运输工具有下列情形之一的，不准出境入境；已经驶离口岸的，可以责令返回:</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（一）离开、抵达口岸时，未经查验准许擅自出境入境的；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（二）未经批准擅自改变出境入境口岸的；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（三）涉嫌载有不准出境入境人员，需要查验核实的；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（四）涉嫌载有危害国家安全、利益和社会公共秩序的物品，需要查验核实的；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（五）拒绝接受出入境边防检查机关管理的其他情形。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前款所列情形消失后，出入境边防检查机关对有关交通运输工具应当立即放行。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第五十七</w:t>
      </w:r>
      <w:r>
        <w:rPr>
          <w:rFonts w:hint="eastAsia" w:ascii="宋体" w:hAnsi="宋体" w:eastAsia="黑体" w:cs="仿宋_GB2312"/>
          <w:szCs w:val="32"/>
        </w:rPr>
        <w:t>条</w:t>
      </w:r>
      <w:r>
        <w:rPr>
          <w:rFonts w:hint="eastAsia" w:ascii="宋体" w:hAnsi="宋体" w:cs="仿宋_GB2312"/>
          <w:szCs w:val="32"/>
        </w:rPr>
        <w:t>　从事交通运输工具出境入境业务代理的单位，应当向出入境边防检查机关备案。从事业务代理的人员，由所在单位向出入境边防检查机关办理备案手续。</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第六章　调查和遣返</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第五十八</w:t>
      </w:r>
      <w:r>
        <w:rPr>
          <w:rFonts w:hint="eastAsia" w:ascii="宋体" w:hAnsi="宋体" w:eastAsia="黑体" w:cs="仿宋_GB2312"/>
          <w:szCs w:val="32"/>
        </w:rPr>
        <w:t>条</w:t>
      </w:r>
      <w:r>
        <w:rPr>
          <w:rFonts w:hint="eastAsia" w:ascii="宋体" w:hAnsi="宋体" w:cs="仿宋_GB2312"/>
          <w:szCs w:val="32"/>
        </w:rPr>
        <w:t>　本章规定的当场盘问、继续盘问、拘留审查、限制活动范围、遣送出境措施，由县级以上地方人民政府公安机关或者出入境边防检查机关实施。</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第五十九</w:t>
      </w:r>
      <w:r>
        <w:rPr>
          <w:rFonts w:hint="eastAsia" w:ascii="宋体" w:hAnsi="宋体" w:eastAsia="黑体" w:cs="仿宋_GB2312"/>
          <w:szCs w:val="32"/>
        </w:rPr>
        <w:t>条</w:t>
      </w:r>
      <w:r>
        <w:rPr>
          <w:rFonts w:hint="eastAsia" w:ascii="宋体" w:hAnsi="宋体" w:cs="仿宋_GB2312"/>
          <w:szCs w:val="32"/>
        </w:rPr>
        <w:t>　对涉嫌违反出境入境管理的人员，可以当场盘问；经当场盘问，有下列情形之一的，可以依法继续盘问: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（一）有非法出境入境嫌疑的；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（二）有协助他人非法出境入境嫌疑的；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（三）外国人有非法居留、非法就业嫌疑的；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（四）有危害国家安全和利益，破坏社会公共秩序或者从事其他违法犯罪活动嫌疑的。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当场盘问和继续盘问应当依据《中华人民共和国人民警察法》规定的程序进行。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县级以上地方人民政府公安机关或者出入境边防检查机关需要传唤涉嫌违反出境入境管理的人员的，依照《中华人民共和国治安管理处罚法》的有关规定执行。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w:t>
      </w:r>
      <w:r>
        <w:rPr>
          <w:rFonts w:hint="eastAsia" w:ascii="宋体" w:hAnsi="宋体" w:eastAsia="黑体" w:cs="仿宋_GB2312"/>
          <w:szCs w:val="32"/>
        </w:rPr>
        <w:t>条</w:t>
      </w:r>
      <w:r>
        <w:rPr>
          <w:rFonts w:hint="eastAsia" w:ascii="宋体" w:hAnsi="宋体" w:cs="仿宋_GB2312"/>
          <w:szCs w:val="32"/>
        </w:rPr>
        <w:t>　外国人有本法第五十九条第一款规定情形之一的，经当场盘问或者继续盘问后仍不能排除嫌疑，需要作进一步调查的，可以拘留审查。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实施拘留审查，应当出示拘留审查决定书，并在二十四小时内进行询问。发现不应当拘留审查的，应当立即解除拘留审查。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拘留审查的期限不得超过三十日；案情复杂的，经上一级地方人民政府公安机关或者出入境边防检查机关批准可以延长至六十日。对国籍、身份不明的外国人，拘留审查期限自查清其国籍、身份之日起计算。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第六十一</w:t>
      </w:r>
      <w:r>
        <w:rPr>
          <w:rFonts w:hint="eastAsia" w:ascii="宋体" w:hAnsi="宋体" w:eastAsia="黑体" w:cs="仿宋_GB2312"/>
          <w:szCs w:val="32"/>
        </w:rPr>
        <w:t>条</w:t>
      </w:r>
      <w:r>
        <w:rPr>
          <w:rFonts w:hint="eastAsia" w:ascii="宋体" w:hAnsi="宋体" w:cs="仿宋_GB2312"/>
          <w:szCs w:val="32"/>
        </w:rPr>
        <w:t>　外国人有下列情形之一的，不适用拘留审查，可以限制其活动范围: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（一）患有严重疾病的；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（二）怀孕或者哺乳自己不满一周岁婴儿的；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（三）未满十六周岁或者已满七十周岁的；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（四）不宜适用拘留审查的其他情形。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被限制活动范围的外国人，应当按照要求接受审查，未经公安机关批准，不得离开限定的区域。限制活动范围的期限不得超过六十日。对国籍、身份不明的外国人，限制活动范围期限自查清其国籍、身份之日起计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第六十二</w:t>
      </w:r>
      <w:r>
        <w:rPr>
          <w:rFonts w:hint="eastAsia" w:ascii="宋体" w:hAnsi="宋体" w:eastAsia="黑体" w:cs="仿宋_GB2312"/>
          <w:szCs w:val="32"/>
        </w:rPr>
        <w:t>条</w:t>
      </w:r>
      <w:r>
        <w:rPr>
          <w:rFonts w:hint="eastAsia" w:ascii="宋体" w:hAnsi="宋体" w:cs="仿宋_GB2312"/>
          <w:szCs w:val="32"/>
        </w:rPr>
        <w:t>　外国人有下列情形之一的，可以遣送出境: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（一）被处限期出境，未在规定期限内离境的；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（二）有不准入境情形的；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（三）非法居留、非法就业的；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（四）违反本法或者其他法律、行政法规需要遣送出境的。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其他境外人员有前款所列情形之一的，可以依法遣送出境。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被遣送出境的人员，自被遣送出境之日起一至五年内不准入境。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第六十三</w:t>
      </w:r>
      <w:r>
        <w:rPr>
          <w:rFonts w:hint="eastAsia" w:ascii="宋体" w:hAnsi="宋体" w:eastAsia="黑体" w:cs="仿宋_GB2312"/>
          <w:szCs w:val="32"/>
        </w:rPr>
        <w:t>条</w:t>
      </w:r>
      <w:r>
        <w:rPr>
          <w:rFonts w:hint="eastAsia" w:ascii="宋体" w:hAnsi="宋体" w:cs="仿宋_GB2312"/>
          <w:szCs w:val="32"/>
        </w:rPr>
        <w:t>　被拘留审查或者被决定遣送出境但不能立即执行的人员，应当羁押在拘留所或者遣返场所。</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第六十四</w:t>
      </w:r>
      <w:r>
        <w:rPr>
          <w:rFonts w:hint="eastAsia" w:ascii="宋体" w:hAnsi="宋体" w:eastAsia="黑体" w:cs="仿宋_GB2312"/>
          <w:szCs w:val="32"/>
        </w:rPr>
        <w:t>条</w:t>
      </w:r>
      <w:r>
        <w:rPr>
          <w:rFonts w:hint="eastAsia" w:ascii="宋体" w:hAnsi="宋体" w:cs="仿宋_GB2312"/>
          <w:szCs w:val="32"/>
        </w:rPr>
        <w:t>　外国人对依照本法规定对其实施的继续盘问、拘留审查、限制活动范围、遣送出境措施不服的，可以依法申请行政复议，该行政复议决定为最终决定。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其他境外人员对依照本法规定对其实施的遣送出境措施不服，申请行政复议的，适用前款规定。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第六十五</w:t>
      </w:r>
      <w:r>
        <w:rPr>
          <w:rFonts w:hint="eastAsia" w:ascii="宋体" w:hAnsi="宋体" w:eastAsia="黑体" w:cs="仿宋_GB2312"/>
          <w:szCs w:val="32"/>
        </w:rPr>
        <w:t>条</w:t>
      </w:r>
      <w:r>
        <w:rPr>
          <w:rFonts w:hint="eastAsia" w:ascii="宋体" w:hAnsi="宋体" w:cs="仿宋_GB2312"/>
          <w:szCs w:val="32"/>
        </w:rPr>
        <w:t>　对依法决定不准出境或者不准入境的人员，决定机关应当按照规定及时通知出入境边防检查机关；不准出境、入境情形消失的，决定机关应当及时撤销不准出境、入境决定，并通知出入境边防检查机关。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第六十六</w:t>
      </w:r>
      <w:r>
        <w:rPr>
          <w:rFonts w:hint="eastAsia" w:ascii="宋体" w:hAnsi="宋体" w:eastAsia="黑体" w:cs="仿宋_GB2312"/>
          <w:szCs w:val="32"/>
        </w:rPr>
        <w:t>条</w:t>
      </w:r>
      <w:r>
        <w:rPr>
          <w:rFonts w:hint="eastAsia" w:ascii="宋体" w:hAnsi="宋体" w:cs="仿宋_GB2312"/>
          <w:szCs w:val="32"/>
        </w:rPr>
        <w:t>　根据维护国家安全和出境入境管理秩序的需要，必要时，出入境边防检查机关可以对出境入境的人员进行人身检查。人身检查应当由两名与受检查人同性别的边防检查人员进行。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第六十七</w:t>
      </w:r>
      <w:r>
        <w:rPr>
          <w:rFonts w:hint="eastAsia" w:ascii="宋体" w:hAnsi="宋体" w:eastAsia="黑体" w:cs="仿宋_GB2312"/>
          <w:szCs w:val="32"/>
        </w:rPr>
        <w:t>条</w:t>
      </w:r>
      <w:r>
        <w:rPr>
          <w:rFonts w:hint="eastAsia" w:ascii="宋体" w:hAnsi="宋体" w:cs="仿宋_GB2312"/>
          <w:szCs w:val="32"/>
        </w:rPr>
        <w:t>　签证、外国人停留居留证件等出境入境证件发生损毁、遗失、被盗抢或者签发后发现持证人不符合签发条件等情形的，由签发机关宣布该出境入境证件作废。</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伪造、变造、骗取或者被证件签发机关宣布作废的出境入境证件无效。</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公安机关可以对前款规定的或被他人冒用的出境入境证件予以注销或者收缴。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第六十八</w:t>
      </w:r>
      <w:r>
        <w:rPr>
          <w:rFonts w:hint="eastAsia" w:ascii="宋体" w:hAnsi="宋体" w:eastAsia="黑体" w:cs="仿宋_GB2312"/>
          <w:szCs w:val="32"/>
        </w:rPr>
        <w:t>条</w:t>
      </w:r>
      <w:r>
        <w:rPr>
          <w:rFonts w:hint="eastAsia" w:ascii="宋体" w:hAnsi="宋体" w:cs="仿宋_GB2312"/>
          <w:szCs w:val="32"/>
        </w:rPr>
        <w:t>　对用于组织、运送、协助他人非法出境入境的交通运输工具，以及需要作为办案证据的物品，公安机关可以扣押。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对查获的违禁物品，涉及国家秘密的文件、资料以及用于实施违反出境入境管理活动的工具等，公安机关应当予以扣押，并依照相关法律、行政法规规定处理。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第六十九</w:t>
      </w:r>
      <w:r>
        <w:rPr>
          <w:rFonts w:hint="eastAsia" w:ascii="宋体" w:hAnsi="宋体" w:eastAsia="黑体" w:cs="仿宋_GB2312"/>
          <w:szCs w:val="32"/>
        </w:rPr>
        <w:t>条</w:t>
      </w:r>
      <w:r>
        <w:rPr>
          <w:rFonts w:hint="eastAsia" w:ascii="宋体" w:hAnsi="宋体" w:cs="仿宋_GB2312"/>
          <w:szCs w:val="32"/>
        </w:rPr>
        <w:t>　出境入境证件的真伪由签发机关、出入境边防检查机关或者公安机关出入境管理机构认定。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第七章　法律责任</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w:t>
      </w:r>
      <w:r>
        <w:rPr>
          <w:rFonts w:hint="eastAsia" w:ascii="宋体" w:hAnsi="宋体" w:eastAsia="黑体" w:cs="仿宋_GB2312"/>
          <w:szCs w:val="32"/>
        </w:rPr>
        <w:t>条</w:t>
      </w:r>
      <w:r>
        <w:rPr>
          <w:rFonts w:hint="eastAsia" w:ascii="宋体" w:hAnsi="宋体" w:cs="仿宋_GB2312"/>
          <w:szCs w:val="32"/>
        </w:rPr>
        <w:t>　本章规定的行政处罚，除本章另有规定外，由县级以上地方人民政府公安机关或者出入境边防检查机关决定；其中警告或者五千元以下罚款，可以由县级以上地方人民政府公安机关出入境管理机构决定。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第七十一</w:t>
      </w:r>
      <w:r>
        <w:rPr>
          <w:rFonts w:hint="eastAsia" w:ascii="宋体" w:hAnsi="宋体" w:eastAsia="黑体" w:cs="仿宋_GB2312"/>
          <w:szCs w:val="32"/>
        </w:rPr>
        <w:t>条</w:t>
      </w:r>
      <w:r>
        <w:rPr>
          <w:rFonts w:hint="eastAsia" w:ascii="宋体" w:hAnsi="宋体" w:cs="仿宋_GB2312"/>
          <w:szCs w:val="32"/>
        </w:rPr>
        <w:t>　有下列行为之一的，处一千元以上五千元以下罚款；情节严重的，处五日以上十日以下拘留，可以并处二千元以上一万元以下罚款: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（一）持用伪造、变造、骗取的出境入境证件出境入境的；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（二）冒用他人出境入境证件出境入境的；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（三）逃避出境入境边防检查的；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（四）以其他方式非法出境入境的。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第七十二</w:t>
      </w:r>
      <w:r>
        <w:rPr>
          <w:rFonts w:hint="eastAsia" w:ascii="宋体" w:hAnsi="宋体" w:eastAsia="黑体" w:cs="仿宋_GB2312"/>
          <w:szCs w:val="32"/>
        </w:rPr>
        <w:t>条</w:t>
      </w:r>
      <w:r>
        <w:rPr>
          <w:rFonts w:hint="eastAsia" w:ascii="宋体" w:hAnsi="宋体" w:cs="仿宋_GB2312"/>
          <w:szCs w:val="32"/>
        </w:rPr>
        <w:t>　协助他人非法出境入境的，处二千元以上一万元以下罚款；情节严重的，处十日以上十五日以下拘留，并处五千元以上二万元以下罚款，有违法所得的，没收违法所得。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单位有前款行为的，处一万元以上五万元以下罚款，有违法所得的，没收违法所得，并对其直接负责的主管人员和其他直接责任人员依照前款规定予以处罚。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第七十三</w:t>
      </w:r>
      <w:r>
        <w:rPr>
          <w:rFonts w:hint="eastAsia" w:ascii="宋体" w:hAnsi="宋体" w:eastAsia="黑体" w:cs="仿宋_GB2312"/>
          <w:szCs w:val="32"/>
        </w:rPr>
        <w:t>条</w:t>
      </w:r>
      <w:r>
        <w:rPr>
          <w:rFonts w:hint="eastAsia" w:ascii="宋体" w:hAnsi="宋体" w:cs="仿宋_GB2312"/>
          <w:szCs w:val="32"/>
        </w:rPr>
        <w:t>　弄虚作假骗取签证、停留居留证件等出境入境证件的，处二千元以上五千元以下罚款；情节严重的，处十日以上十五日以下拘留，并处五千元以上二万元以下罚款。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单位有前款行为的，处一万元以上五万元以下罚款，并对其直接负责的主管人员和其他直接责任人员依照前款规定予以处罚。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第七十四</w:t>
      </w:r>
      <w:r>
        <w:rPr>
          <w:rFonts w:hint="eastAsia" w:ascii="宋体" w:hAnsi="宋体" w:eastAsia="黑体" w:cs="仿宋_GB2312"/>
          <w:szCs w:val="32"/>
        </w:rPr>
        <w:t>条</w:t>
      </w:r>
      <w:r>
        <w:rPr>
          <w:rFonts w:hint="eastAsia" w:ascii="宋体" w:hAnsi="宋体" w:cs="仿宋_GB2312"/>
          <w:szCs w:val="32"/>
        </w:rPr>
        <w:t>　违反本法规定，为外国人出具邀请函件或者其他申请材料的，处五千元以上一万元以下罚款，有违法所得的，没收违法所得，并责令其承担所邀请外国人的出境费用。</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单位有前款行为的，处一万元以上五万元以下罚款，有违法所得的，没收违法所得，并责令其承担所邀请外国人的出境费用，对其直接负责的主管人员和其他直接责任人员依照前款规定予以处罚。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第七十五</w:t>
      </w:r>
      <w:r>
        <w:rPr>
          <w:rFonts w:hint="eastAsia" w:ascii="宋体" w:hAnsi="宋体" w:eastAsia="黑体" w:cs="仿宋_GB2312"/>
          <w:szCs w:val="32"/>
        </w:rPr>
        <w:t>条</w:t>
      </w:r>
      <w:r>
        <w:rPr>
          <w:rFonts w:hint="eastAsia" w:ascii="宋体" w:hAnsi="宋体" w:cs="仿宋_GB2312"/>
          <w:szCs w:val="32"/>
        </w:rPr>
        <w:t>　中国公民出境后非法前往其他国家或者地区被遣返的，出入境边防检查机关应当收缴其出境入境证件，出境入境证件签发机关自其被遣返之日起六个月至三年以内不予签发出境入境证件。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第七十六</w:t>
      </w:r>
      <w:r>
        <w:rPr>
          <w:rFonts w:hint="eastAsia" w:ascii="宋体" w:hAnsi="宋体" w:eastAsia="黑体" w:cs="仿宋_GB2312"/>
          <w:szCs w:val="32"/>
        </w:rPr>
        <w:t>条</w:t>
      </w:r>
      <w:r>
        <w:rPr>
          <w:rFonts w:hint="eastAsia" w:ascii="宋体" w:hAnsi="宋体" w:cs="仿宋_GB2312"/>
          <w:szCs w:val="32"/>
        </w:rPr>
        <w:t>　有下列情形之一的，给予警告，可以并处二千元以下罚款: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（一）外国人拒不接受公安机关查验其出境入境证件的；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（二）外国人拒不交验居留证件的；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（三）未按照规定办理外国人出生登记、死亡申报的；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（四）外国人居留证件登记事项发生变更，未按照规定办理变更的；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（五）在中国境内的外国人冒用他人出境入境证件的；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（六）未按照本法第三十九条第二款规定办理登记的。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旅馆未按照规定办理外国人住宿登记的，依照《中华人民共和国治安管理处罚法》的有关规定予以处罚；未按照规定向公安机关报送外国人住宿登记信息的，给予警告；情节严重的，处一千元以上五千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第七十七</w:t>
      </w:r>
      <w:r>
        <w:rPr>
          <w:rFonts w:hint="eastAsia" w:ascii="宋体" w:hAnsi="宋体" w:eastAsia="黑体" w:cs="仿宋_GB2312"/>
          <w:szCs w:val="32"/>
        </w:rPr>
        <w:t>条</w:t>
      </w:r>
      <w:r>
        <w:rPr>
          <w:rFonts w:hint="eastAsia" w:ascii="宋体" w:hAnsi="宋体" w:cs="仿宋_GB2312"/>
          <w:szCs w:val="32"/>
        </w:rPr>
        <w:t>　外国人未经批准，擅自进入限制外国人进入的区域，责令立即离开；情节严重的，处五日以上十日以下拘留。对外国人非法获取的文字记录、音像资料、电子数据和其他物品，予以收缴或者销毁，所用工具予以收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外国人、外国机构违反本法规定，拒不执行公安机关、国家安全机关限期迁离决定的，给予警告并强制迁离；情节严重的，对有关责任人员处五日以上十五日以下拘留。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第七十八</w:t>
      </w:r>
      <w:r>
        <w:rPr>
          <w:rFonts w:hint="eastAsia" w:ascii="宋体" w:hAnsi="宋体" w:eastAsia="黑体" w:cs="仿宋_GB2312"/>
          <w:szCs w:val="32"/>
        </w:rPr>
        <w:t>条</w:t>
      </w:r>
      <w:r>
        <w:rPr>
          <w:rFonts w:hint="eastAsia" w:ascii="宋体" w:hAnsi="宋体" w:cs="仿宋_GB2312"/>
          <w:szCs w:val="32"/>
        </w:rPr>
        <w:t>　外国人非法居留的，给予警告；情节严重的，处每非法居留一日五百元，总额不超过一万元的罚款或者五日以上十五日以下拘留。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因监护人或者其他负有监护责任的人未尽到监护义务，致使未满十六周岁的外国人非法居留的，对监护人或者其他负有监护责任的人给予警告，可以并处一千元以下罚款。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第七十九</w:t>
      </w:r>
      <w:r>
        <w:rPr>
          <w:rFonts w:hint="eastAsia" w:ascii="宋体" w:hAnsi="宋体" w:eastAsia="黑体" w:cs="仿宋_GB2312"/>
          <w:szCs w:val="32"/>
        </w:rPr>
        <w:t>条</w:t>
      </w:r>
      <w:r>
        <w:rPr>
          <w:rFonts w:hint="eastAsia" w:ascii="宋体" w:hAnsi="宋体" w:cs="仿宋_GB2312"/>
          <w:szCs w:val="32"/>
        </w:rPr>
        <w:t>　容留、藏匿非法入境、非法居留的外国人，协助非法入境、非法居留的外国人逃避检查，或者为非法居留的外国人违法提供出境入境证件的，处二千元以上一万元以下罚款；情节严重的，处五日以上十五日以下拘留，并处五千元以上二万元以下罚款，有违法所得的，没收违法所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单位有前款行为的，处一万元以上五万元以下罚款，有违法所得的，没收违法所得，并对其直接负责的主管人员和其他直接责任人员依照前款规定予以处罚。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w:t>
      </w:r>
      <w:r>
        <w:rPr>
          <w:rFonts w:hint="eastAsia" w:ascii="宋体" w:hAnsi="宋体" w:eastAsia="黑体" w:cs="仿宋_GB2312"/>
          <w:szCs w:val="32"/>
        </w:rPr>
        <w:t>条</w:t>
      </w:r>
      <w:r>
        <w:rPr>
          <w:rFonts w:hint="eastAsia" w:ascii="宋体" w:hAnsi="宋体" w:cs="仿宋_GB2312"/>
          <w:szCs w:val="32"/>
        </w:rPr>
        <w:t>　外国人非法就业的，处五千元以上二万元以下罚款；情节严重的，处五日以上十五日以下拘留，并处五千元以上二万元以下罚款。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介绍外国人非法就业的，对个人处每非法介绍一人五千元，总额不超过五万元的罚款；对单位处每非法介绍一人五千元，总额不超过十万元的罚款；有违法所得的，没收违法所得。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非法聘用外国人的，处每非法聘用一人一万元，总额不超过十万元的罚款；有违法所得的，没收违法所得。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第八十一</w:t>
      </w:r>
      <w:r>
        <w:rPr>
          <w:rFonts w:hint="eastAsia" w:ascii="宋体" w:hAnsi="宋体" w:eastAsia="黑体" w:cs="仿宋_GB2312"/>
          <w:szCs w:val="32"/>
        </w:rPr>
        <w:t>条</w:t>
      </w:r>
      <w:r>
        <w:rPr>
          <w:rFonts w:hint="eastAsia" w:ascii="宋体" w:hAnsi="宋体" w:cs="仿宋_GB2312"/>
          <w:szCs w:val="32"/>
        </w:rPr>
        <w:t>　外国人从事与停留居留事由不相符的活动，或者有其他违反中国法律、法规规定，不适宜在中国境内继续停留居留情形的，可以处限期出境。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外国人违反本法规定，情节严重，尚不构成犯罪的，公安部可以处驱逐出境。公安部的处罚决定为最终决定。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被驱逐出境的外国人，自被驱逐出境之日起十年内不准入境。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第八十二</w:t>
      </w:r>
      <w:r>
        <w:rPr>
          <w:rFonts w:hint="eastAsia" w:ascii="宋体" w:hAnsi="宋体" w:eastAsia="黑体" w:cs="仿宋_GB2312"/>
          <w:szCs w:val="32"/>
        </w:rPr>
        <w:t>条</w:t>
      </w:r>
      <w:r>
        <w:rPr>
          <w:rFonts w:hint="eastAsia" w:ascii="宋体" w:hAnsi="宋体" w:cs="仿宋_GB2312"/>
          <w:szCs w:val="32"/>
        </w:rPr>
        <w:t>　有下列情形之一的，给予警告，可以并处二千元以下罚款: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（一）扰乱口岸限定区域管理秩序的；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（二）外国船员及其随行家属未办理临时入境手续登陆的；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（三）未办理登轮证件上下外国船舶的。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违反前款第一项规定，情节严重的，可以并处五日以上十日以下拘留。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第八十三</w:t>
      </w:r>
      <w:r>
        <w:rPr>
          <w:rFonts w:hint="eastAsia" w:ascii="宋体" w:hAnsi="宋体" w:eastAsia="黑体" w:cs="仿宋_GB2312"/>
          <w:szCs w:val="32"/>
        </w:rPr>
        <w:t>条</w:t>
      </w:r>
      <w:r>
        <w:rPr>
          <w:rFonts w:hint="eastAsia" w:ascii="宋体" w:hAnsi="宋体" w:cs="仿宋_GB2312"/>
          <w:szCs w:val="32"/>
        </w:rPr>
        <w:t>　交通运输工具有下列情形之一的，对其负责人处五千元以上五万元以下罚款: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（一）未经查验准许擅自出境入境或者未经批准擅自改变出境入境口岸的；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（二）未按照规定如实申报员工、旅客、货物或者物品等信息，或者拒绝协助出境入境边防检查的；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（三）违反出境入境边防检查规定上下人员、装卸货物或者物品的。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出境入境交通运输工具载运不准出境入境人员出境入境的，处每载运一人五千元以上一万元以下罚款。交通运输工具负责人证明其已经采取合理预防措施的，可以减轻或者免予处罚。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第八十四</w:t>
      </w:r>
      <w:r>
        <w:rPr>
          <w:rFonts w:hint="eastAsia" w:ascii="宋体" w:hAnsi="宋体" w:eastAsia="黑体" w:cs="仿宋_GB2312"/>
          <w:szCs w:val="32"/>
        </w:rPr>
        <w:t>条</w:t>
      </w:r>
      <w:r>
        <w:rPr>
          <w:rFonts w:hint="eastAsia" w:ascii="宋体" w:hAnsi="宋体" w:cs="仿宋_GB2312"/>
          <w:szCs w:val="32"/>
        </w:rPr>
        <w:t>　交通运输工具有下列情形之一的，对其负责人处二千元以上二万元以下罚款: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（一）中国或者外国船舶未经批准擅自搭靠外国船舶的；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（二）外国船舶、航空器在中国境内未按照规定的路线、航线行驶的；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（三）出境入境的船舶、航空器违反规定驶入对外开放口岸以外地区的。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第八十五</w:t>
      </w:r>
      <w:r>
        <w:rPr>
          <w:rFonts w:hint="eastAsia" w:ascii="宋体" w:hAnsi="宋体" w:eastAsia="黑体" w:cs="仿宋_GB2312"/>
          <w:szCs w:val="32"/>
        </w:rPr>
        <w:t>条</w:t>
      </w:r>
      <w:r>
        <w:rPr>
          <w:rFonts w:hint="eastAsia" w:ascii="宋体" w:hAnsi="宋体" w:cs="仿宋_GB2312"/>
          <w:szCs w:val="32"/>
        </w:rPr>
        <w:t>　履行出境入境管理职责的工作人员，有下列行为之一的，依法给予处分: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（一）违反法律、行政法规，为不符合规定条件的外国人签发签证、外国人停留居留证件等出境入境证件的；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（二）违反法律、行政法规，审核验放不符合规定条件的人员或者交通运输工具出境入境的；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（三）泄露在出境入境管理工作中知悉的个人信息，侵害当事人合法权益的；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（四）不按照规定将依法收取的费用、收缴的罚款及没收的违法所得、非法财物上缴国库的；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（五）私分、侵占、挪用罚没、扣押的款物或者收取的费用的；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（六）滥用职权、玩忽职守、徇私舞弊，不依法履行法定职责的其他行为。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第八十六</w:t>
      </w:r>
      <w:r>
        <w:rPr>
          <w:rFonts w:hint="eastAsia" w:ascii="宋体" w:hAnsi="宋体" w:eastAsia="黑体" w:cs="仿宋_GB2312"/>
          <w:szCs w:val="32"/>
        </w:rPr>
        <w:t>条</w:t>
      </w:r>
      <w:r>
        <w:rPr>
          <w:rFonts w:hint="eastAsia" w:ascii="宋体" w:hAnsi="宋体" w:cs="仿宋_GB2312"/>
          <w:szCs w:val="32"/>
        </w:rPr>
        <w:t>　对违反出境入境管理行为处五百元以下罚款的，出入境边防检查机关可以当场作出处罚决定。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第八十七</w:t>
      </w:r>
      <w:r>
        <w:rPr>
          <w:rFonts w:hint="eastAsia" w:ascii="宋体" w:hAnsi="宋体" w:eastAsia="黑体" w:cs="仿宋_GB2312"/>
          <w:szCs w:val="32"/>
        </w:rPr>
        <w:t>条</w:t>
      </w:r>
      <w:r>
        <w:rPr>
          <w:rFonts w:hint="eastAsia" w:ascii="宋体" w:hAnsi="宋体" w:cs="仿宋_GB2312"/>
          <w:szCs w:val="32"/>
        </w:rPr>
        <w:t>　对违反出境入境管理行为处罚款的，被处罚人应当自收到处罚决定书之日起十五日内，到指定的银行缴纳罚款。被处罚人在所在地没有固定住所，不当场收缴罚款事后难以执行或者在口岸向指定银行缴纳罚款确有困难的，可以当场收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第八十八</w:t>
      </w:r>
      <w:r>
        <w:rPr>
          <w:rFonts w:hint="eastAsia" w:ascii="宋体" w:hAnsi="宋体" w:eastAsia="黑体" w:cs="仿宋_GB2312"/>
          <w:szCs w:val="32"/>
        </w:rPr>
        <w:t>条</w:t>
      </w:r>
      <w:r>
        <w:rPr>
          <w:rFonts w:hint="eastAsia" w:ascii="宋体" w:hAnsi="宋体" w:cs="仿宋_GB2312"/>
          <w:szCs w:val="32"/>
        </w:rPr>
        <w:t>　违反本法规定，构成犯罪的，依法追究刑事责任。</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第八章　附则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第八十九</w:t>
      </w:r>
      <w:r>
        <w:rPr>
          <w:rFonts w:hint="eastAsia" w:ascii="宋体" w:hAnsi="宋体" w:eastAsia="黑体" w:cs="仿宋_GB2312"/>
          <w:szCs w:val="32"/>
        </w:rPr>
        <w:t>条</w:t>
      </w:r>
      <w:r>
        <w:rPr>
          <w:rFonts w:hint="eastAsia" w:ascii="宋体" w:hAnsi="宋体" w:cs="仿宋_GB2312"/>
          <w:szCs w:val="32"/>
        </w:rPr>
        <w:t>　本法下列用语的含义:</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出境，是指由中国内地前往其他国家或者地区，由中国内地前往香港特别行政区、澳门特别行政区，由中国大陆前往台湾地区。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入境，是指由其他国家或者地区进入中国内地，由香港特别行政区、澳门特别行政区进入中国内地，由台湾地区进入中国大陆。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外国人，是指不具有中国国籍的人。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第九十</w:t>
      </w:r>
      <w:r>
        <w:rPr>
          <w:rFonts w:hint="eastAsia" w:ascii="宋体" w:hAnsi="宋体" w:eastAsia="黑体" w:cs="仿宋_GB2312"/>
          <w:szCs w:val="32"/>
        </w:rPr>
        <w:t>条</w:t>
      </w:r>
      <w:r>
        <w:rPr>
          <w:rFonts w:hint="eastAsia" w:ascii="宋体" w:hAnsi="宋体" w:cs="仿宋_GB2312"/>
          <w:szCs w:val="32"/>
        </w:rPr>
        <w:t>　经国务院批准，同毗邻国家接壤的省、自治区可以根据中国与有关国家签订的边界管理协定制定地方性法规、地方政府规章，对两国边境接壤地区的居民往来作出规定。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第九十一</w:t>
      </w:r>
      <w:r>
        <w:rPr>
          <w:rFonts w:hint="eastAsia" w:ascii="宋体" w:hAnsi="宋体" w:eastAsia="黑体" w:cs="仿宋_GB2312"/>
          <w:szCs w:val="32"/>
        </w:rPr>
        <w:t>条</w:t>
      </w:r>
      <w:r>
        <w:rPr>
          <w:rFonts w:hint="eastAsia" w:ascii="宋体" w:hAnsi="宋体" w:cs="仿宋_GB2312"/>
          <w:szCs w:val="32"/>
        </w:rPr>
        <w:t>　外国驻中国的外交代表机构、领事机构成员以及享有特权和豁免的其他外国人，其入境出境及停留居留管理，其他法律另有规定的，依照其规定。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第九十二</w:t>
      </w:r>
      <w:r>
        <w:rPr>
          <w:rFonts w:hint="eastAsia" w:ascii="宋体" w:hAnsi="宋体" w:eastAsia="黑体" w:cs="仿宋_GB2312"/>
          <w:szCs w:val="32"/>
        </w:rPr>
        <w:t>条</w:t>
      </w:r>
      <w:r>
        <w:rPr>
          <w:rFonts w:hint="eastAsia" w:ascii="宋体" w:hAnsi="宋体" w:cs="仿宋_GB2312"/>
          <w:szCs w:val="32"/>
        </w:rPr>
        <w:t>　外国人申请办理签证、外国人停留居留证件等出境入境证件或者申请办理证件延期、变更的，应当按照规定缴纳签证费、证件费。</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第九十三</w:t>
      </w:r>
      <w:r>
        <w:rPr>
          <w:rFonts w:hint="eastAsia" w:ascii="宋体" w:hAnsi="宋体" w:eastAsia="黑体" w:cs="仿宋_GB2312"/>
          <w:szCs w:val="32"/>
        </w:rPr>
        <w:t>条</w:t>
      </w:r>
      <w:r>
        <w:rPr>
          <w:rFonts w:hint="eastAsia" w:ascii="宋体" w:hAnsi="宋体" w:cs="仿宋_GB2312"/>
          <w:szCs w:val="32"/>
        </w:rPr>
        <w:t>　本法自2013年7月1日起施行。《中华人民共和国外国人入境出境管理法》和《中华人民共和国公民出境入境管理法》同时废止。</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pStyle w:val="4"/>
        <w:widowControl w:val="0"/>
        <w:wordWrap/>
        <w:adjustRightInd/>
        <w:snapToGrid/>
        <w:spacing w:before="0" w:after="0" w:line="560" w:lineRule="exact"/>
        <w:jc w:val="center"/>
        <w:textAlignment w:val="auto"/>
        <w:rPr>
          <w:rFonts w:hint="eastAsia" w:ascii="宋体" w:hAnsi="宋体" w:eastAsia="宋体" w:cs="宋体"/>
          <w:b w:val="0"/>
          <w:bCs w:val="0"/>
          <w:kern w:val="0"/>
          <w:sz w:val="44"/>
          <w:szCs w:val="44"/>
          <w:lang w:val="en-US" w:eastAsia="zh-CN" w:bidi="ar-SA"/>
        </w:rPr>
      </w:pPr>
      <w:bookmarkStart w:id="194" w:name="_Toc22126"/>
      <w:bookmarkStart w:id="195" w:name="_Toc22327"/>
      <w:bookmarkStart w:id="196" w:name="_Toc14425"/>
      <w:bookmarkStart w:id="197" w:name="_Toc4751"/>
      <w:bookmarkStart w:id="198" w:name="_Toc5365"/>
      <w:bookmarkStart w:id="199" w:name="_Toc7851"/>
      <w:bookmarkStart w:id="200" w:name="_Toc23756"/>
      <w:bookmarkStart w:id="201" w:name="_Toc3910"/>
      <w:bookmarkStart w:id="202" w:name="_Toc32660"/>
      <w:bookmarkStart w:id="203" w:name="_Toc2336"/>
      <w:r>
        <w:rPr>
          <w:rFonts w:hint="eastAsia" w:ascii="宋体" w:hAnsi="宋体" w:eastAsia="宋体" w:cs="宋体"/>
          <w:b w:val="0"/>
          <w:bCs w:val="0"/>
          <w:kern w:val="0"/>
          <w:sz w:val="44"/>
          <w:szCs w:val="44"/>
          <w:lang w:val="en-US" w:eastAsia="zh-CN" w:bidi="ar-SA"/>
        </w:rPr>
        <w:t>中华人民共和国进出境动植物检疫法</w:t>
      </w:r>
      <w:bookmarkEnd w:id="194"/>
      <w:bookmarkEnd w:id="195"/>
      <w:bookmarkEnd w:id="196"/>
      <w:bookmarkEnd w:id="197"/>
      <w:bookmarkEnd w:id="198"/>
      <w:bookmarkEnd w:id="199"/>
      <w:bookmarkEnd w:id="200"/>
      <w:bookmarkEnd w:id="201"/>
      <w:bookmarkEnd w:id="202"/>
      <w:bookmarkEnd w:id="203"/>
    </w:p>
    <w:p>
      <w:pPr>
        <w:widowControl w:val="0"/>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p>
    <w:p>
      <w:pPr>
        <w:widowControl w:val="0"/>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（1991年10月30日第七届全国人民代表大会常务委员会第二十二次会议通过 1991年10月30日中华人民共和国主席令第53号公布 根据2009年8月27日中华人民共和国主席令第18号《全国人民代表大会常务委员会关于修改部分法律的决定》修正 自公布之日起施行）</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p>
    <w:p>
      <w:pPr>
        <w:wordWrap/>
        <w:adjustRightInd/>
        <w:snapToGrid/>
        <w:spacing w:line="560" w:lineRule="exact"/>
        <w:ind w:left="0" w:leftChars="0" w:right="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目 录</w:t>
      </w:r>
    </w:p>
    <w:p>
      <w:pPr>
        <w:wordWrap/>
        <w:adjustRightInd/>
        <w:snapToGrid/>
        <w:spacing w:line="560" w:lineRule="exact"/>
        <w:ind w:left="0" w:leftChars="0" w:right="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第一章　总则</w:t>
      </w:r>
    </w:p>
    <w:p>
      <w:pPr>
        <w:wordWrap/>
        <w:adjustRightInd/>
        <w:snapToGrid/>
        <w:spacing w:line="560" w:lineRule="exact"/>
        <w:ind w:left="0" w:leftChars="0" w:right="0" w:firstLine="640" w:firstLineChars="200"/>
        <w:jc w:val="both"/>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第二章　进境检疫</w:t>
      </w:r>
    </w:p>
    <w:p>
      <w:pPr>
        <w:wordWrap/>
        <w:adjustRightInd/>
        <w:snapToGrid/>
        <w:spacing w:line="560" w:lineRule="exact"/>
        <w:ind w:left="0" w:leftChars="0" w:right="0" w:firstLine="640" w:firstLineChars="20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第三章　出境检疫</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第四章　过境检疫</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第五章　携带、邮寄物检疫 </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第六章　运输工具检疫 </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第七章　法律责任 </w:t>
      </w:r>
    </w:p>
    <w:p>
      <w:pPr>
        <w:wordWrap/>
        <w:adjustRightInd/>
        <w:snapToGrid/>
        <w:spacing w:line="560" w:lineRule="exact"/>
        <w:ind w:left="0" w:leftChars="0" w:right="0" w:firstLine="64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第八章　附则</w:t>
      </w:r>
    </w:p>
    <w:p>
      <w:pPr>
        <w:wordWrap/>
        <w:adjustRightInd/>
        <w:snapToGrid/>
        <w:spacing w:line="560" w:lineRule="exact"/>
        <w:ind w:left="0" w:leftChars="0" w:right="0" w:firstLine="64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w:t>
      </w:r>
    </w:p>
    <w:p>
      <w:pPr>
        <w:wordWrap/>
        <w:adjustRightInd/>
        <w:snapToGrid/>
        <w:spacing w:line="560" w:lineRule="exact"/>
        <w:ind w:left="0" w:leftChars="0" w:right="0"/>
        <w:jc w:val="center"/>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第一章  总则</w:t>
      </w:r>
    </w:p>
    <w:p>
      <w:pPr>
        <w:wordWrap/>
        <w:adjustRightInd/>
        <w:snapToGrid/>
        <w:spacing w:line="560" w:lineRule="exact"/>
        <w:ind w:left="0" w:leftChars="0" w:right="0" w:firstLine="640" w:firstLineChars="200"/>
        <w:textAlignment w:val="auto"/>
        <w:outlineLvl w:val="9"/>
        <w:rPr>
          <w:rFonts w:hint="eastAsia" w:ascii="仿宋_GB2312" w:hAnsi="仿宋_GB2312" w:eastAsia="仿宋_GB2312" w:cs="仿宋_GB2312"/>
          <w:sz w:val="32"/>
          <w:szCs w:val="32"/>
          <w:lang w:val="en-US" w:eastAsia="zh-CN"/>
        </w:rPr>
      </w:pPr>
    </w:p>
    <w:p>
      <w:pPr>
        <w:wordWrap/>
        <w:adjustRightInd/>
        <w:snapToGrid/>
        <w:spacing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第一条</w:t>
      </w:r>
      <w:r>
        <w:rPr>
          <w:rFonts w:hint="eastAsia" w:ascii="仿宋_GB2312" w:hAnsi="仿宋_GB2312" w:eastAsia="仿宋_GB2312" w:cs="仿宋_GB2312"/>
          <w:sz w:val="32"/>
          <w:szCs w:val="32"/>
          <w:lang w:val="en-US" w:eastAsia="zh-CN"/>
        </w:rPr>
        <w:t>　为防止动物传染病、寄生虫病和植物危险性病、虫、杂草以及其他有害生物（以下简称病虫害）传入、传出国境，保护农、林、牧、渔业生产和人体健康，促进对外经济贸易的发展，制定本法。</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第二条</w:t>
      </w:r>
      <w:r>
        <w:rPr>
          <w:rFonts w:hint="eastAsia" w:ascii="仿宋_GB2312" w:hAnsi="仿宋_GB2312" w:eastAsia="仿宋_GB2312" w:cs="仿宋_GB2312"/>
          <w:sz w:val="32"/>
          <w:szCs w:val="32"/>
          <w:lang w:val="en-US" w:eastAsia="zh-CN"/>
        </w:rPr>
        <w:t>　进出境的动植物、动植物产品和其他检疫物，装载动植物、动植物产品和其他检疫物的装载容器、包装物，以及来自动植物疫区的运输工具，依照本法规定实施检疫。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第三条</w:t>
      </w:r>
      <w:r>
        <w:rPr>
          <w:rFonts w:hint="eastAsia" w:ascii="仿宋_GB2312" w:hAnsi="仿宋_GB2312" w:eastAsia="仿宋_GB2312" w:cs="仿宋_GB2312"/>
          <w:sz w:val="32"/>
          <w:szCs w:val="32"/>
          <w:lang w:val="en-US" w:eastAsia="zh-CN"/>
        </w:rPr>
        <w:t>　国务院设立动植物检疫机关（以下简称国家动植物检疫机关），统一管理全国进出境动植物检疫工作。国家动植物检疫机关在对外开放的口岸和进出境动植物检疫业务集中的地点设立的口岸动植物检疫机关，依照本法规定实施进出境动植物检疫。贸易性动物产品出境的检疫机关，由国务院根据情况规定。国务院农业行政主管部门主管全国进出境动植物检疫工作。</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第四条</w:t>
      </w:r>
      <w:r>
        <w:rPr>
          <w:rFonts w:hint="eastAsia" w:ascii="仿宋_GB2312" w:hAnsi="仿宋_GB2312" w:eastAsia="仿宋_GB2312" w:cs="仿宋_GB2312"/>
          <w:sz w:val="32"/>
          <w:szCs w:val="32"/>
          <w:lang w:val="en-US" w:eastAsia="zh-CN"/>
        </w:rPr>
        <w:t>　口岸动植物检疫机关在实施检疫时可以行使下列职权:（一）依照本法规定登船、登车、登机实施检疫；（二）进入港口、机场、车站、邮局以及检疫物的存放、加工、养殖、种植场所实施检疫，并依照规定采样；（三）根据检疫需要，进入有关生产、仓库等场所，进行疫情监测、调查和检疫监督管理；（四）查阅、复制、摘录与检疫物有关的运行日志、货运单、合同、发票及其他单证。</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第五条</w:t>
      </w:r>
      <w:r>
        <w:rPr>
          <w:rFonts w:hint="eastAsia" w:ascii="仿宋_GB2312" w:hAnsi="仿宋_GB2312" w:eastAsia="仿宋_GB2312" w:cs="仿宋_GB2312"/>
          <w:sz w:val="32"/>
          <w:szCs w:val="32"/>
          <w:lang w:val="en-US" w:eastAsia="zh-CN"/>
        </w:rPr>
        <w:t>　国家禁止下列各物进境:（一）动植物病原体（包括菌种、毒种等）、害虫及其他有害生物；（二）动植物疫情流行的国家和地区的有关动植物、动植物产品和其他检疫物；（三）动物尸体；（四）土壤。口岸动植物检疫机关发现有前款规定的禁止进境物的，作退回或者销毁处理。因科学研究等特殊需要引进本条第一款规定的禁止进境物的，必须事先提出申请，经国家动植物检疫机关批准。本条第一款第二项规定的禁止进境物的名录，由国务院农业行政主管部门制定并公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第六条</w:t>
      </w:r>
      <w:r>
        <w:rPr>
          <w:rFonts w:hint="eastAsia" w:ascii="仿宋_GB2312" w:hAnsi="仿宋_GB2312" w:eastAsia="仿宋_GB2312" w:cs="仿宋_GB2312"/>
          <w:sz w:val="32"/>
          <w:szCs w:val="32"/>
          <w:lang w:val="en-US" w:eastAsia="zh-CN"/>
        </w:rPr>
        <w:t>　国外发生重大动植物疫情并可能传入中国时，国务院应当采取紧急预防措施，必要时可以下令禁止来自动植物疫区的运输工具进境或者封锁有关口岸；受动植物疫情威胁地区的地方人民政府和有关口岸动植物检疫机关，应当立即采取紧急措施，同时向上级人民政府和国家动植物检疫机关报告。邮电、运输部门对重大动植物疫情报告和送检材料应当优先传送。</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第七条</w:t>
      </w:r>
      <w:r>
        <w:rPr>
          <w:rFonts w:hint="eastAsia" w:ascii="仿宋_GB2312" w:hAnsi="仿宋_GB2312" w:eastAsia="仿宋_GB2312" w:cs="仿宋_GB2312"/>
          <w:sz w:val="32"/>
          <w:szCs w:val="32"/>
          <w:lang w:val="en-US" w:eastAsia="zh-CN"/>
        </w:rPr>
        <w:t>　国家动植物检疫机关和口岸动植物检疫机关对进出境动植物、动植物产品的生产、加工、存放过程，实行检疫监督制度。</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第八条</w:t>
      </w:r>
      <w:r>
        <w:rPr>
          <w:rFonts w:hint="eastAsia" w:ascii="仿宋_GB2312" w:hAnsi="仿宋_GB2312" w:eastAsia="仿宋_GB2312" w:cs="仿宋_GB2312"/>
          <w:sz w:val="32"/>
          <w:szCs w:val="32"/>
          <w:lang w:val="en-US" w:eastAsia="zh-CN"/>
        </w:rPr>
        <w:t>　口岸动植物检疫机关在港口、机场、车站、邮局执行检疫任务时，海关、交通、民航、铁路、邮电等有关部门应当配合。</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第九条</w:t>
      </w:r>
      <w:r>
        <w:rPr>
          <w:rFonts w:hint="eastAsia" w:ascii="仿宋_GB2312" w:hAnsi="仿宋_GB2312" w:eastAsia="仿宋_GB2312" w:cs="仿宋_GB2312"/>
          <w:sz w:val="32"/>
          <w:szCs w:val="32"/>
          <w:lang w:val="en-US" w:eastAsia="zh-CN"/>
        </w:rPr>
        <w:t>　动植物检疫机关检疫人员必须忠于职守，秉公执法。动植物检疫机关检疫人员依法执行公务，任何单位和个人不得阻挠。</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第二章  进境检疫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第十条</w:t>
      </w:r>
      <w:r>
        <w:rPr>
          <w:rFonts w:hint="eastAsia" w:ascii="仿宋_GB2312" w:hAnsi="仿宋_GB2312" w:eastAsia="仿宋_GB2312" w:cs="仿宋_GB2312"/>
          <w:sz w:val="32"/>
          <w:szCs w:val="32"/>
          <w:lang w:val="en-US" w:eastAsia="zh-CN"/>
        </w:rPr>
        <w:t>　输入动物、动物产品、植物种子、种苗及其他繁殖材料的，必须事先提出申请，办理检疫审批手续。</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第十一条</w:t>
      </w:r>
      <w:r>
        <w:rPr>
          <w:rFonts w:hint="eastAsia" w:ascii="仿宋_GB2312" w:hAnsi="仿宋_GB2312" w:eastAsia="仿宋_GB2312" w:cs="仿宋_GB2312"/>
          <w:sz w:val="32"/>
          <w:szCs w:val="32"/>
          <w:lang w:val="en-US" w:eastAsia="zh-CN"/>
        </w:rPr>
        <w:t>　通过贸易、科技合作、交换、赠送、援助等方式输入动植物、动植物产品和其他检疫物的，应当在合同或者协议中订明中国法定的检疫要求，并订明必须附有输出国家或者地区政府动植物检疫机关出具的检疫证书。</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第十二条</w:t>
      </w:r>
      <w:r>
        <w:rPr>
          <w:rFonts w:hint="eastAsia" w:ascii="仿宋_GB2312" w:hAnsi="仿宋_GB2312" w:eastAsia="仿宋_GB2312" w:cs="仿宋_GB2312"/>
          <w:sz w:val="32"/>
          <w:szCs w:val="32"/>
          <w:lang w:val="en-US" w:eastAsia="zh-CN"/>
        </w:rPr>
        <w:t>　货主或者其代理人应当在动植物、动植物产品和其他检疫物进境前或者进境时持输出国家或者地区的检疫证书、贸易合同等单证，向进境口岸动植物检疫机关报检。</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第十三条</w:t>
      </w:r>
      <w:r>
        <w:rPr>
          <w:rFonts w:hint="eastAsia" w:ascii="仿宋_GB2312" w:hAnsi="仿宋_GB2312" w:eastAsia="仿宋_GB2312" w:cs="仿宋_GB2312"/>
          <w:sz w:val="32"/>
          <w:szCs w:val="32"/>
          <w:lang w:val="en-US" w:eastAsia="zh-CN"/>
        </w:rPr>
        <w:t>　装载动物的运输工具抵达口岸时，口岸动植物检疫机关应当采取现场预防措施，对上下运输工具或者接近动物的人员、装载动物的运输工具和被污染的场地作防疫消毒处理。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第十四条</w:t>
      </w:r>
      <w:r>
        <w:rPr>
          <w:rFonts w:hint="eastAsia" w:ascii="仿宋_GB2312" w:hAnsi="仿宋_GB2312" w:eastAsia="仿宋_GB2312" w:cs="仿宋_GB2312"/>
          <w:sz w:val="32"/>
          <w:szCs w:val="32"/>
          <w:lang w:val="en-US" w:eastAsia="zh-CN"/>
        </w:rPr>
        <w:t>　输入动植物、动植物产品和其他检疫物，应当在进境口岸实施检疫。未经口岸动植物检疫机关同意，不得卸离运输工具。输入动植物，需隔离检疫的，在口岸动植物检疫机关指定的隔离场所检疫。因口岸条件限制等原因，可以由国家动植物检疫机关决定将动植物、动植物产品和其他检疫物运往指定地点检疫。在运输、装卸过程中，货主或者其代理人应当采取防疫措施。指定的存放、加工和隔离饲养或者隔离种植的场所，应当符合动植物检疫和防疫的规定。</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第十五条</w:t>
      </w:r>
      <w:r>
        <w:rPr>
          <w:rFonts w:hint="eastAsia" w:ascii="仿宋_GB2312" w:hAnsi="仿宋_GB2312" w:eastAsia="仿宋_GB2312" w:cs="仿宋_GB2312"/>
          <w:sz w:val="32"/>
          <w:szCs w:val="32"/>
          <w:lang w:val="en-US" w:eastAsia="zh-CN"/>
        </w:rPr>
        <w:t>　输入动植物、动植物产品和其他检疫物，经检疫合格的，准予进境；海关凭口岸动植物检疫机关签发的检疫单证或者在报关单上加盖的印章验放。输入动植物、动植物产品和其他检疫物，需调离海关监管区检疫的，海关凭口岸动植物检疫机关签发的《检疫调离通知单》验放。</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第十六条</w:t>
      </w:r>
      <w:r>
        <w:rPr>
          <w:rFonts w:hint="eastAsia" w:ascii="仿宋_GB2312" w:hAnsi="仿宋_GB2312" w:eastAsia="仿宋_GB2312" w:cs="仿宋_GB2312"/>
          <w:sz w:val="32"/>
          <w:szCs w:val="32"/>
          <w:lang w:val="en-US" w:eastAsia="zh-CN"/>
        </w:rPr>
        <w:t>　输入动物，经检疫不合格的，由口岸动植物检疫机关签发《检疫处理通知单》，通知货主或者其代理人作如下处理:（一）检出一类传染病、寄生虫病的动物，连同其同群动物全群退回或者全群扑杀并销毁尸体；（二）检出二类传染病、寄生虫病的动物，退回或者扑杀，同群其他动物在隔离场或者其他指定地点隔离观察。输入动物产品和其他检疫物经检疫不合格的，由口岸动植物检疫机关签发《检疫处理通知单》，通知货主或者其代理人作除害、退回或者销毁处理。经除害处理合格的，准予进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第十七条</w:t>
      </w:r>
      <w:r>
        <w:rPr>
          <w:rFonts w:hint="eastAsia" w:ascii="仿宋_GB2312" w:hAnsi="仿宋_GB2312" w:eastAsia="仿宋_GB2312" w:cs="仿宋_GB2312"/>
          <w:sz w:val="32"/>
          <w:szCs w:val="32"/>
          <w:lang w:val="en-US" w:eastAsia="zh-CN"/>
        </w:rPr>
        <w:t>　输入植物、植物产品和其他检疫物，经检疫发现有植物危险性病、虫、杂草的，由口岸动植物检疫机关签发《检疫处理通知单》，通知货主或者其代理人作除害、退回或者销毁处理。经除害处理合格的，准予进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第十八条</w:t>
      </w:r>
      <w:r>
        <w:rPr>
          <w:rFonts w:hint="eastAsia" w:ascii="仿宋_GB2312" w:hAnsi="仿宋_GB2312" w:eastAsia="仿宋_GB2312" w:cs="仿宋_GB2312"/>
          <w:sz w:val="32"/>
          <w:szCs w:val="32"/>
          <w:lang w:val="en-US" w:eastAsia="zh-CN"/>
        </w:rPr>
        <w:t>　本法第十六条第一款第一项、第二项所称一类、二类动物传染病、寄生虫病的名录和本法第十七条所称植物危险性病、虫、杂草的名录，由国务院农业行政主管部门制定并公布。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第十九条</w:t>
      </w:r>
      <w:r>
        <w:rPr>
          <w:rFonts w:hint="eastAsia" w:ascii="仿宋_GB2312" w:hAnsi="仿宋_GB2312" w:eastAsia="仿宋_GB2312" w:cs="仿宋_GB2312"/>
          <w:sz w:val="32"/>
          <w:szCs w:val="32"/>
          <w:lang w:val="en-US" w:eastAsia="zh-CN"/>
        </w:rPr>
        <w:t>　输入动植物、动植物产品和其他检疫物，经检疫发现有本法第十八条规定的名录之外，对农、林、牧、渔业有严重危害的其他病虫害的，由口岸动植物检疫机关依照国务院农业行政主管部门的规定，通知货主或者其代理人作除害、退回或者销毁处理。经除害处理合格的，准予进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第三章  出境检疫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firstLine="640"/>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第二十条</w:t>
      </w:r>
      <w:r>
        <w:rPr>
          <w:rFonts w:hint="eastAsia" w:ascii="仿宋_GB2312" w:hAnsi="仿宋_GB2312" w:eastAsia="仿宋_GB2312" w:cs="仿宋_GB2312"/>
          <w:sz w:val="32"/>
          <w:szCs w:val="32"/>
          <w:lang w:val="en-US" w:eastAsia="zh-CN"/>
        </w:rPr>
        <w:t>　货主或者其代理人在动植物、动植物产品和其他检疫物出境前，向口岸动植物检疫机关报检。出境前需经隔离检疫的动物，在口岸动植物检疫机关指定的隔离场所检疫。</w:t>
      </w:r>
    </w:p>
    <w:p>
      <w:pPr>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第二十一条</w:t>
      </w:r>
      <w:r>
        <w:rPr>
          <w:rFonts w:hint="eastAsia" w:ascii="仿宋_GB2312" w:hAnsi="仿宋_GB2312" w:eastAsia="仿宋_GB2312" w:cs="仿宋_GB2312"/>
          <w:sz w:val="32"/>
          <w:szCs w:val="32"/>
          <w:lang w:val="en-US" w:eastAsia="zh-CN"/>
        </w:rPr>
        <w:t>　输出动植物、动植物产品和其他检疫物，由口岸动植物检疫机关实施检疫，经检疫合格或者经除害处理合格的，准予出境；海关凭口岸动植物检疫机关签发的检疫证书或者在报关单上加盖的印章验放。检疫不合格又无有效方法作除害处理的，不准出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第二十二条</w:t>
      </w:r>
      <w:r>
        <w:rPr>
          <w:rFonts w:hint="eastAsia" w:ascii="仿宋_GB2312" w:hAnsi="仿宋_GB2312" w:eastAsia="仿宋_GB2312" w:cs="仿宋_GB2312"/>
          <w:sz w:val="32"/>
          <w:szCs w:val="32"/>
          <w:lang w:val="en-US" w:eastAsia="zh-CN"/>
        </w:rPr>
        <w:t>　经检疫合格的动植物、动植物产品和其他检疫物，有下列情形之一的，货主或者其代理人应当重新报检:（一）更改输入国家或者地区，更改后的输入国家或者地区又有不同检疫要求的；（二）改换包装或者原未拼装后来拼装的；（三）超过检疫规定有效期限的。</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第四章  过境检疫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第二十三条</w:t>
      </w:r>
      <w:r>
        <w:rPr>
          <w:rFonts w:hint="eastAsia" w:ascii="仿宋_GB2312" w:hAnsi="仿宋_GB2312" w:eastAsia="仿宋_GB2312" w:cs="仿宋_GB2312"/>
          <w:sz w:val="32"/>
          <w:szCs w:val="32"/>
          <w:lang w:val="en-US" w:eastAsia="zh-CN"/>
        </w:rPr>
        <w:t>　要求运输动物过境的，必须事先商得中国国家动植物检疫机关同意，并按照指定的口岸和路线过境。装载过境动物的运输工具、装载容器、饲料和铺垫材料，必须符合中国动植物检疫的规定。</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第二十四条</w:t>
      </w:r>
      <w:r>
        <w:rPr>
          <w:rFonts w:hint="eastAsia" w:ascii="仿宋_GB2312" w:hAnsi="仿宋_GB2312" w:eastAsia="仿宋_GB2312" w:cs="仿宋_GB2312"/>
          <w:sz w:val="32"/>
          <w:szCs w:val="32"/>
          <w:lang w:val="en-US" w:eastAsia="zh-CN"/>
        </w:rPr>
        <w:t>　运输动植物、动植物产品和其他检疫物过境的，由承运人或者押运人持货运单和输出国家或者地区政府动植物检疫机关出具的检疫证书，在进境时向口岸动植物检疫机关报检，出境口岸不再检疫。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第二十五条</w:t>
      </w:r>
      <w:r>
        <w:rPr>
          <w:rFonts w:hint="eastAsia" w:ascii="仿宋_GB2312" w:hAnsi="仿宋_GB2312" w:eastAsia="仿宋_GB2312" w:cs="仿宋_GB2312"/>
          <w:sz w:val="32"/>
          <w:szCs w:val="32"/>
          <w:lang w:val="en-US" w:eastAsia="zh-CN"/>
        </w:rPr>
        <w:t>　过境的动物经检疫合格的，准予过境；发现有本法第十八条规定的名录所列的动物传染病、寄生虫病的，全群动物不准过境。过境动物的饲料受病虫害污染的，作除害、不准过境或者销毁处理。过境的动物的尸体、排泄物、铺垫材料及其他废弃物，必须按照动植物检疫机关的规定处理，不得擅自抛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第二十六条</w:t>
      </w:r>
      <w:r>
        <w:rPr>
          <w:rFonts w:hint="eastAsia" w:ascii="仿宋_GB2312" w:hAnsi="仿宋_GB2312" w:eastAsia="仿宋_GB2312" w:cs="仿宋_GB2312"/>
          <w:sz w:val="32"/>
          <w:szCs w:val="32"/>
          <w:lang w:val="en-US" w:eastAsia="zh-CN"/>
        </w:rPr>
        <w:t>　对过境植物、动植物产品和其他检疫物，口岸动植物检疫机关检查运输工具或者包装，经检疫合格的，准予过境；发现有本法第十八条规定的名录所列的病虫害的，作除害处理或者不准过境。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第二十七条</w:t>
      </w:r>
      <w:r>
        <w:rPr>
          <w:rFonts w:hint="eastAsia" w:ascii="仿宋_GB2312" w:hAnsi="仿宋_GB2312" w:eastAsia="仿宋_GB2312" w:cs="仿宋_GB2312"/>
          <w:sz w:val="32"/>
          <w:szCs w:val="32"/>
          <w:lang w:val="en-US" w:eastAsia="zh-CN"/>
        </w:rPr>
        <w:t>　动植物、动植物产品和其他检疫物过境期间，未经动植物检疫机关批准，不得开拆包装或者卸离运输工具。</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第五章  携带、邮寄物检疫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第二十八条</w:t>
      </w:r>
      <w:r>
        <w:rPr>
          <w:rFonts w:hint="eastAsia" w:ascii="仿宋_GB2312" w:hAnsi="仿宋_GB2312" w:eastAsia="仿宋_GB2312" w:cs="仿宋_GB2312"/>
          <w:sz w:val="32"/>
          <w:szCs w:val="32"/>
          <w:lang w:val="en-US" w:eastAsia="zh-CN"/>
        </w:rPr>
        <w:t>　携带、邮寄植物种子、种苗及其他繁殖材料进境的，必须事先提出申请，办理检疫审批手续。</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第二十九条</w:t>
      </w:r>
      <w:r>
        <w:rPr>
          <w:rFonts w:hint="eastAsia" w:ascii="仿宋_GB2312" w:hAnsi="仿宋_GB2312" w:eastAsia="仿宋_GB2312" w:cs="仿宋_GB2312"/>
          <w:sz w:val="32"/>
          <w:szCs w:val="32"/>
          <w:lang w:val="en-US" w:eastAsia="zh-CN"/>
        </w:rPr>
        <w:t>　禁止携带、邮寄进境的动植物、动植物产品和其他检疫物的名录，由国务院农业行政主管部门制定并公布。携带、邮寄前款规定的名录所列的动植物、动植物产品和其他检疫物进境的，作退回或者销毁处理。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第三十条</w:t>
      </w:r>
      <w:r>
        <w:rPr>
          <w:rFonts w:hint="eastAsia" w:ascii="仿宋_GB2312" w:hAnsi="仿宋_GB2312" w:eastAsia="仿宋_GB2312" w:cs="仿宋_GB2312"/>
          <w:sz w:val="32"/>
          <w:szCs w:val="32"/>
          <w:lang w:val="en-US" w:eastAsia="zh-CN"/>
        </w:rPr>
        <w:t>　携带本法第二十九条规定的名录以外的动植物、动植物产品和其他检疫物进境的，在进境时向海关申报并接受口岸动植物检疫机关检疫。携带动物进境的，必须持有输出国家或者地区的检疫证书等证件。</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第三十一条</w:t>
      </w:r>
      <w:r>
        <w:rPr>
          <w:rFonts w:hint="eastAsia" w:ascii="仿宋_GB2312" w:hAnsi="仿宋_GB2312" w:eastAsia="仿宋_GB2312" w:cs="仿宋_GB2312"/>
          <w:sz w:val="32"/>
          <w:szCs w:val="32"/>
          <w:lang w:val="en-US" w:eastAsia="zh-CN"/>
        </w:rPr>
        <w:t>　邮寄本法第二十九条规定的名录以外的动植物、动植物产品和其他检疫物进境的，由口岸动植物检疫机关在国际邮件互换局实施检疫，必要时可以取回口岸动植物检疫机关检疫；未经检疫不得运递。</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第三十二条</w:t>
      </w:r>
      <w:r>
        <w:rPr>
          <w:rFonts w:hint="eastAsia" w:ascii="仿宋_GB2312" w:hAnsi="仿宋_GB2312" w:eastAsia="仿宋_GB2312" w:cs="仿宋_GB2312"/>
          <w:sz w:val="32"/>
          <w:szCs w:val="32"/>
          <w:lang w:val="en-US" w:eastAsia="zh-CN"/>
        </w:rPr>
        <w:t>　邮寄进境的动植物、动植物产品和其他检疫物，经检疫或者除害处理合格后放行；经检疫不合格又无有效方法作除害处理的，作退回或者销毁处理，并签发《检疫处理通知单》。</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第三十三条</w:t>
      </w:r>
      <w:r>
        <w:rPr>
          <w:rFonts w:hint="eastAsia" w:ascii="仿宋_GB2312" w:hAnsi="仿宋_GB2312" w:eastAsia="仿宋_GB2312" w:cs="仿宋_GB2312"/>
          <w:sz w:val="32"/>
          <w:szCs w:val="32"/>
          <w:lang w:val="en-US" w:eastAsia="zh-CN"/>
        </w:rPr>
        <w:t>　携带、邮寄出境的动植物、动植物产品和其他检疫物，物主有检疫要求的，由口岸动植物检疫机关实施检疫。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第六章  运输工具检疫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第三十四条</w:t>
      </w:r>
      <w:r>
        <w:rPr>
          <w:rFonts w:hint="eastAsia" w:ascii="仿宋_GB2312" w:hAnsi="仿宋_GB2312" w:eastAsia="仿宋_GB2312" w:cs="仿宋_GB2312"/>
          <w:sz w:val="32"/>
          <w:szCs w:val="32"/>
          <w:lang w:val="en-US" w:eastAsia="zh-CN"/>
        </w:rPr>
        <w:t>　来自动植物疫区的船舶、飞机、火车抵达口岸时，由口岸动植物检疫机关实施检疫。发现有本法第十八条规定的名录所列的病虫害的，作不准带离运输工具、除害、封存或者销毁处理。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第三十五条</w:t>
      </w:r>
      <w:r>
        <w:rPr>
          <w:rFonts w:hint="eastAsia" w:ascii="仿宋_GB2312" w:hAnsi="仿宋_GB2312" w:eastAsia="仿宋_GB2312" w:cs="仿宋_GB2312"/>
          <w:sz w:val="32"/>
          <w:szCs w:val="32"/>
          <w:lang w:val="en-US" w:eastAsia="zh-CN"/>
        </w:rPr>
        <w:t>　进境的车辆，由口岸动植物检疫机关作防疫消毒处理。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第三十六条</w:t>
      </w:r>
      <w:r>
        <w:rPr>
          <w:rFonts w:hint="eastAsia" w:ascii="仿宋_GB2312" w:hAnsi="仿宋_GB2312" w:eastAsia="仿宋_GB2312" w:cs="仿宋_GB2312"/>
          <w:sz w:val="32"/>
          <w:szCs w:val="32"/>
          <w:lang w:val="en-US" w:eastAsia="zh-CN"/>
        </w:rPr>
        <w:t>　进出境运输工具上的泔水、动植物性废弃物，依照口岸动植物检疫机关的规定处理，不得擅自抛弃。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第三十七条</w:t>
      </w:r>
      <w:r>
        <w:rPr>
          <w:rFonts w:hint="eastAsia" w:ascii="仿宋_GB2312" w:hAnsi="仿宋_GB2312" w:eastAsia="仿宋_GB2312" w:cs="仿宋_GB2312"/>
          <w:sz w:val="32"/>
          <w:szCs w:val="32"/>
          <w:lang w:val="en-US" w:eastAsia="zh-CN"/>
        </w:rPr>
        <w:t>　装载出境的动植物、动植物产品和其他检疫物的运输工具，应当符合动植物检疫和防疫的规定。</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第三十八条</w:t>
      </w:r>
      <w:r>
        <w:rPr>
          <w:rFonts w:hint="eastAsia" w:ascii="仿宋_GB2312" w:hAnsi="仿宋_GB2312" w:eastAsia="仿宋_GB2312" w:cs="仿宋_GB2312"/>
          <w:sz w:val="32"/>
          <w:szCs w:val="32"/>
          <w:lang w:val="en-US" w:eastAsia="zh-CN"/>
        </w:rPr>
        <w:t>　进境供拆船用的废旧船舶，由口岸动植物检疫机关实施检疫，发现有本法第十八条规定的名录所列的病虫害的，作除害处理。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第七章  法律责任</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第三十九条</w:t>
      </w:r>
      <w:r>
        <w:rPr>
          <w:rFonts w:hint="eastAsia" w:ascii="仿宋_GB2312" w:hAnsi="仿宋_GB2312" w:eastAsia="仿宋_GB2312" w:cs="仿宋_GB2312"/>
          <w:sz w:val="32"/>
          <w:szCs w:val="32"/>
          <w:lang w:val="en-US" w:eastAsia="zh-CN"/>
        </w:rPr>
        <w:t>　违反本法规定，有下列行为之一的，由口岸动植物检疫机关处以罚款:（一）未报检或者未依法办理检疫审批手续的；（二）未经口岸动植物检疫机关许可擅自将进境动植物、动植物产品或者其他检疫物卸离运输工具或者运递的；（三）擅自调离或者处理在口岸动植物检疫机关指定的隔离场所中隔离检疫的动植物的。</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第四十条</w:t>
      </w:r>
      <w:r>
        <w:rPr>
          <w:rFonts w:hint="eastAsia" w:ascii="仿宋_GB2312" w:hAnsi="仿宋_GB2312" w:eastAsia="仿宋_GB2312" w:cs="仿宋_GB2312"/>
          <w:sz w:val="32"/>
          <w:szCs w:val="32"/>
          <w:lang w:val="en-US" w:eastAsia="zh-CN"/>
        </w:rPr>
        <w:t>　报检的动植物、动植物产品或者其他检疫物与实际不符的，由口岸动植物检疫机关处以罚款；已取得检疫单证的，予以吊销。</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第四十一条</w:t>
      </w:r>
      <w:r>
        <w:rPr>
          <w:rFonts w:hint="eastAsia" w:ascii="仿宋_GB2312" w:hAnsi="仿宋_GB2312" w:eastAsia="仿宋_GB2312" w:cs="仿宋_GB2312"/>
          <w:sz w:val="32"/>
          <w:szCs w:val="32"/>
          <w:lang w:val="en-US" w:eastAsia="zh-CN"/>
        </w:rPr>
        <w:t>　违反本法规定，擅自开拆过境动植物、动植物产品或者其他检疫物的包装的，擅自将过境动植物、动植物产品或者其他检疫物卸离运输工具的，擅自抛弃过境动物的尸体、排泄物、铺垫材料或者其他废弃物的，由动植物检疫机关处以罚款。</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第四十二条　</w:t>
      </w:r>
      <w:r>
        <w:rPr>
          <w:rFonts w:hint="eastAsia" w:ascii="仿宋_GB2312" w:hAnsi="仿宋_GB2312" w:eastAsia="仿宋_GB2312" w:cs="仿宋_GB2312"/>
          <w:sz w:val="32"/>
          <w:szCs w:val="32"/>
          <w:lang w:val="en-US" w:eastAsia="zh-CN"/>
        </w:rPr>
        <w:t>违反本法规定，引起重大动植物疫情的，依照刑法有关规定追究刑事责任。</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第四十三条</w:t>
      </w:r>
      <w:r>
        <w:rPr>
          <w:rFonts w:hint="eastAsia" w:ascii="仿宋_GB2312" w:hAnsi="仿宋_GB2312" w:eastAsia="仿宋_GB2312" w:cs="仿宋_GB2312"/>
          <w:sz w:val="32"/>
          <w:szCs w:val="32"/>
          <w:lang w:val="en-US" w:eastAsia="zh-CN"/>
        </w:rPr>
        <w:t>　伪造、变造检疫单证、印章、标志、封识，依照刑法有关规定追究刑事责任。</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第四十四条</w:t>
      </w:r>
      <w:r>
        <w:rPr>
          <w:rFonts w:hint="eastAsia" w:ascii="仿宋_GB2312" w:hAnsi="仿宋_GB2312" w:eastAsia="仿宋_GB2312" w:cs="仿宋_GB2312"/>
          <w:sz w:val="32"/>
          <w:szCs w:val="32"/>
          <w:lang w:val="en-US" w:eastAsia="zh-CN"/>
        </w:rPr>
        <w:t>　当事人对动植物检疫机关的处罚决定不服的，可以在接到处罚通知之日起十五日内向作出处罚决定的机关的上一级机关申请复议；当事人也可以在接到处罚通知之日起十五日内直接向人民法院起诉。复议机关应当在接到复议申请之日起六十日内作出复议决定。当事人对复议决定不服的，可以在接到复议决定之日起十五日内向人民法院起诉。复议机关逾期不作出复议决定的，当事人可以在复议期满之日起十五日内向人民法院起诉。当事人逾期不申请复议也不向人民法院起诉、又不履行处罚决定的，作出处罚决定的机关可以申请人民法院强制执行。</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第四十五条</w:t>
      </w:r>
      <w:r>
        <w:rPr>
          <w:rFonts w:hint="eastAsia" w:ascii="仿宋_GB2312" w:hAnsi="仿宋_GB2312" w:eastAsia="仿宋_GB2312" w:cs="仿宋_GB2312"/>
          <w:sz w:val="32"/>
          <w:szCs w:val="32"/>
          <w:lang w:val="en-US" w:eastAsia="zh-CN"/>
        </w:rPr>
        <w:t>　动植物检疫机关检疫人员滥用职权，徇私舞弊，伪造检疫结果，或者玩忽职守，延误检疫出证，构成犯罪的，依法追究刑事责任；不构成犯罪的，给予行政处分。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第八章  附则</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第四十六条</w:t>
      </w:r>
      <w:r>
        <w:rPr>
          <w:rFonts w:hint="eastAsia" w:ascii="仿宋_GB2312" w:hAnsi="仿宋_GB2312" w:eastAsia="仿宋_GB2312" w:cs="仿宋_GB2312"/>
          <w:sz w:val="32"/>
          <w:szCs w:val="32"/>
          <w:lang w:val="en-US" w:eastAsia="zh-CN"/>
        </w:rPr>
        <w:t>　本法下列用语的含义是:（一）“动物”是指饲养、野生的活动物，如畜、禽、兽、蛇、龟、鱼、虾、蟹、贝、蚕、蜂等；（二）“动物产品”是指来源于动物未经加工或者虽经加工但仍有可能传播疫病的产品，如生皮张、毛类、肉类、脏器、油脂、动物水产品、奶制品、蛋类、血液、精液、胚胎、骨、蹄、角等；（三）“植物”是指栽培植物、野生植物及其种子、种苗及其他繁殖材料等；（四）“植物产品”是指来源于植物未经加工或者虽经加工但仍有可能传播病虫害的产品，如粮食、豆、棉花、油、麻、烟草、籽仁、干果、鲜果、蔬菜、生药材、木材、饲料等；（五）“其他检疫物”是指动物疫苗、血清、诊断液、动植物性废弃物等。</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第四十七条</w:t>
      </w:r>
      <w:r>
        <w:rPr>
          <w:rFonts w:hint="eastAsia" w:ascii="仿宋_GB2312" w:hAnsi="仿宋_GB2312" w:eastAsia="仿宋_GB2312" w:cs="仿宋_GB2312"/>
          <w:sz w:val="32"/>
          <w:szCs w:val="32"/>
          <w:lang w:val="en-US" w:eastAsia="zh-CN"/>
        </w:rPr>
        <w:t>　中华人民共和国缔结或者参加的有关动植物检疫的国际条约与本法有不同规定的，适用该国际条约的规定。但是，中华人民共和国声明保留的条款除外。</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第四十八条</w:t>
      </w:r>
      <w:r>
        <w:rPr>
          <w:rFonts w:hint="eastAsia" w:ascii="仿宋_GB2312" w:hAnsi="仿宋_GB2312" w:eastAsia="仿宋_GB2312" w:cs="仿宋_GB2312"/>
          <w:sz w:val="32"/>
          <w:szCs w:val="32"/>
          <w:lang w:val="en-US" w:eastAsia="zh-CN"/>
        </w:rPr>
        <w:t>　口岸动植物检疫机关实施检疫依照规定收费。收费办法由国务院农业行政主管部门会同国务院物价等有关主管部门制定。</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第四十九条</w:t>
      </w:r>
      <w:r>
        <w:rPr>
          <w:rFonts w:hint="eastAsia" w:ascii="仿宋_GB2312" w:hAnsi="仿宋_GB2312" w:eastAsia="仿宋_GB2312" w:cs="仿宋_GB2312"/>
          <w:sz w:val="32"/>
          <w:szCs w:val="32"/>
          <w:lang w:val="en-US" w:eastAsia="zh-CN"/>
        </w:rPr>
        <w:t>　国务院根据本法制定实施条例。</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第五十条</w:t>
      </w:r>
      <w:r>
        <w:rPr>
          <w:rFonts w:hint="eastAsia" w:ascii="仿宋_GB2312" w:hAnsi="仿宋_GB2312" w:eastAsia="仿宋_GB2312" w:cs="仿宋_GB2312"/>
          <w:sz w:val="32"/>
          <w:szCs w:val="32"/>
          <w:lang w:val="en-US" w:eastAsia="zh-CN"/>
        </w:rPr>
        <w:t>　本法自1992年4月1日起施行。1982年6月4日国务院发布的《中华人民共和国进出口动植物检疫条例》同时废止。</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p>
    <w:p>
      <w:pPr>
        <w:wordWrap/>
        <w:spacing w:line="560" w:lineRule="exact"/>
        <w:textAlignment w:val="auto"/>
        <w:rPr>
          <w:rFonts w:hint="eastAsia" w:ascii="宋体" w:hAnsi="宋体" w:eastAsia="宋体" w:cs="宋体"/>
          <w:sz w:val="44"/>
          <w:szCs w:val="44"/>
        </w:rPr>
      </w:pPr>
      <w:r>
        <w:rPr>
          <w:rFonts w:hint="eastAsia" w:ascii="宋体" w:hAnsi="宋体" w:eastAsia="宋体" w:cs="宋体"/>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204" w:name="_Toc2828"/>
      <w:r>
        <w:rPr>
          <w:rFonts w:hint="eastAsia" w:ascii="宋体" w:hAnsi="宋体" w:eastAsia="宋体" w:cs="宋体"/>
          <w:kern w:val="0"/>
          <w:sz w:val="44"/>
          <w:szCs w:val="44"/>
          <w:lang w:val="en-US" w:eastAsia="zh-CN"/>
        </w:rPr>
        <w:t>中华人民共和国治安管理处罚法</w:t>
      </w:r>
      <w:bookmarkEnd w:id="204"/>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宋体" w:cs="宋体"/>
          <w:szCs w:val="32"/>
        </w:rPr>
      </w:pPr>
      <w:r>
        <w:rPr>
          <w:rFonts w:hint="eastAsia" w:ascii="宋体" w:hAnsi="宋体" w:eastAsia="楷体_GB2312" w:cs="楷体_GB2312"/>
          <w:szCs w:val="32"/>
        </w:rPr>
        <w:t>（2005年8月28日第十届全国人民代表大会常务委员会第十七次会议通过　根据2012年10月26日第十一届全国人民代表大会常务委员会第二十九次会议《关于修改&lt;中华人民共和国治安管理处罚法&gt;的决定》修正</w:t>
      </w:r>
      <w:r>
        <w:rPr>
          <w:rFonts w:hint="eastAsia" w:ascii="宋体" w:hAnsi="宋体" w:eastAsia="宋体" w:cs="宋体"/>
          <w:szCs w:val="32"/>
        </w:rPr>
        <w:t>）</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楷体_GB2312" w:cs="楷体_GB2312"/>
          <w:szCs w:val="32"/>
        </w:rPr>
      </w:pPr>
      <w:r>
        <w:rPr>
          <w:rFonts w:hint="eastAsia" w:ascii="宋体" w:hAnsi="宋体" w:eastAsia="楷体_GB2312" w:cs="楷体_GB2312"/>
          <w:szCs w:val="32"/>
        </w:rPr>
        <w:t>目　　录</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第一章　总则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第二章　处罚的种类和适用</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第三章　违反治安管理的行为和处罚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第一节　扰乱公共秩序的行为和处罚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第二节　妨害公共安全的行为和处罚</w:t>
      </w:r>
    </w:p>
    <w:p>
      <w:pPr>
        <w:widowControl w:val="0"/>
        <w:wordWrap/>
        <w:overflowPunct w:val="0"/>
        <w:spacing w:beforeAutospacing="0" w:afterAutospacing="0" w:line="560" w:lineRule="exact"/>
        <w:textAlignment w:val="auto"/>
        <w:rPr>
          <w:rFonts w:hint="eastAsia" w:ascii="宋体" w:hAnsi="宋体" w:eastAsia="楷体_GB2312" w:cs="楷体_GB2312"/>
          <w:szCs w:val="32"/>
          <w:lang w:eastAsia="zh-CN"/>
        </w:rPr>
      </w:pPr>
      <w:r>
        <w:rPr>
          <w:rFonts w:hint="eastAsia" w:ascii="宋体" w:hAnsi="宋体" w:eastAsia="楷体_GB2312" w:cs="楷体_GB2312"/>
          <w:szCs w:val="32"/>
        </w:rPr>
        <w:t>　　　　第三节　侵犯人身权利、财产权利的行为和处</w:t>
      </w:r>
      <w:r>
        <w:rPr>
          <w:rFonts w:hint="eastAsia" w:ascii="宋体" w:hAnsi="宋体" w:eastAsia="楷体_GB2312" w:cs="楷体_GB2312"/>
          <w:szCs w:val="32"/>
          <w:lang w:eastAsia="zh-CN"/>
        </w:rPr>
        <w:t>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第四节　妨害社会管理的行为和处罚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第四章　处罚程序</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第一节　调查</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第二节　决定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第三节　执行</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第五章　执法监督</w:t>
      </w:r>
    </w:p>
    <w:p>
      <w:pPr>
        <w:widowControl w:val="0"/>
        <w:wordWrap/>
        <w:overflowPunct w:val="0"/>
        <w:spacing w:beforeAutospacing="0" w:afterAutospacing="0" w:line="560" w:lineRule="exact"/>
        <w:textAlignment w:val="auto"/>
        <w:rPr>
          <w:rFonts w:ascii="宋体" w:hAnsi="宋体" w:eastAsia="宋体" w:cs="宋体"/>
          <w:szCs w:val="32"/>
        </w:rPr>
      </w:pPr>
      <w:r>
        <w:rPr>
          <w:rFonts w:hint="eastAsia" w:ascii="宋体" w:hAnsi="宋体" w:eastAsia="楷体_GB2312" w:cs="楷体_GB2312"/>
          <w:szCs w:val="32"/>
        </w:rPr>
        <w:t>　　第六章　附则</w:t>
      </w: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第一章　总则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宋体"/>
          <w:szCs w:val="32"/>
        </w:rPr>
        <w:t>　　</w:t>
      </w:r>
      <w:r>
        <w:rPr>
          <w:rFonts w:hint="eastAsia" w:ascii="宋体" w:hAnsi="宋体" w:eastAsia="黑体" w:cs="黑体"/>
          <w:szCs w:val="32"/>
        </w:rPr>
        <w:t>第一条</w:t>
      </w:r>
      <w:r>
        <w:rPr>
          <w:rFonts w:hint="eastAsia" w:ascii="宋体" w:hAnsi="宋体" w:eastAsia="宋体" w:cs="宋体"/>
          <w:szCs w:val="32"/>
        </w:rPr>
        <w:t>　</w:t>
      </w:r>
      <w:r>
        <w:rPr>
          <w:rFonts w:hint="eastAsia" w:ascii="宋体" w:hAnsi="宋体" w:cs="仿宋_GB2312"/>
          <w:szCs w:val="32"/>
        </w:rPr>
        <w:t>为维护社会治安秩序，保障公共安全，保护公民、法人和其他组织的合法权益，规范和保障公安机关及其人民警察依法履行治安管理职责，制定本法。</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w:t>
      </w:r>
      <w:r>
        <w:rPr>
          <w:rFonts w:hint="eastAsia" w:ascii="宋体" w:hAnsi="宋体" w:eastAsia="黑体" w:cs="仿宋_GB2312"/>
          <w:szCs w:val="32"/>
        </w:rPr>
        <w:t>条</w:t>
      </w:r>
      <w:r>
        <w:rPr>
          <w:rFonts w:hint="eastAsia" w:ascii="宋体" w:hAnsi="宋体" w:cs="仿宋_GB2312"/>
          <w:szCs w:val="32"/>
        </w:rPr>
        <w:t>　扰乱公共秩序，妨害公共安全，侵犯人身权利、财产权利，妨害社会管理，具有社会危害性，依照《中华人民共和国刑法》的规定构成犯罪的，依法追究刑事责任；尚不够刑事处罚的，由公安机关依照本法给予治安管理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w:t>
      </w:r>
      <w:r>
        <w:rPr>
          <w:rFonts w:hint="eastAsia" w:ascii="宋体" w:hAnsi="宋体" w:eastAsia="黑体" w:cs="仿宋_GB2312"/>
          <w:szCs w:val="32"/>
        </w:rPr>
        <w:t>条</w:t>
      </w:r>
      <w:r>
        <w:rPr>
          <w:rFonts w:hint="eastAsia" w:ascii="宋体" w:hAnsi="宋体" w:cs="仿宋_GB2312"/>
          <w:szCs w:val="32"/>
        </w:rPr>
        <w:t>　治安管理处罚的程序，适用本法的规定；本法没有规定的，适用《中华人民共和国行政处罚法》的有关规定。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w:t>
      </w:r>
      <w:r>
        <w:rPr>
          <w:rFonts w:hint="eastAsia" w:ascii="宋体" w:hAnsi="宋体" w:eastAsia="黑体" w:cs="仿宋_GB2312"/>
          <w:szCs w:val="32"/>
        </w:rPr>
        <w:t>条</w:t>
      </w:r>
      <w:r>
        <w:rPr>
          <w:rFonts w:hint="eastAsia" w:ascii="宋体" w:hAnsi="宋体" w:cs="仿宋_GB2312"/>
          <w:szCs w:val="32"/>
        </w:rPr>
        <w:t>　在中华人民共和国领域内发生的违反治安管理行为，除法律有特别规定的外，适用本法。</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在中华人民共和国船舶和航空器内发生的违反治安管理行为，除法律有特别规定的外，适用本法。</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w:t>
      </w:r>
      <w:r>
        <w:rPr>
          <w:rFonts w:hint="eastAsia" w:ascii="宋体" w:hAnsi="宋体" w:eastAsia="黑体" w:cs="仿宋_GB2312"/>
          <w:szCs w:val="32"/>
        </w:rPr>
        <w:t>条</w:t>
      </w:r>
      <w:r>
        <w:rPr>
          <w:rFonts w:hint="eastAsia" w:ascii="宋体" w:hAnsi="宋体" w:cs="仿宋_GB2312"/>
          <w:szCs w:val="32"/>
        </w:rPr>
        <w:t>　治安管理处罚必须以事实为依据，与违反治安管理行为的性质、情节以及社会危害程度相当。</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实施治安管理处罚，应当公开、公正，尊重和保障人权，保护公民的人格尊严。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办理治安案件应当坚持教育与处罚相结合的原则。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w:t>
      </w:r>
      <w:r>
        <w:rPr>
          <w:rFonts w:hint="eastAsia" w:ascii="宋体" w:hAnsi="宋体" w:eastAsia="黑体" w:cs="仿宋_GB2312"/>
          <w:szCs w:val="32"/>
        </w:rPr>
        <w:t>条</w:t>
      </w:r>
      <w:r>
        <w:rPr>
          <w:rFonts w:hint="eastAsia" w:ascii="宋体" w:hAnsi="宋体" w:cs="仿宋_GB2312"/>
          <w:szCs w:val="32"/>
        </w:rPr>
        <w:t>　各级人民政府应当加强社会治安综合治理，采取有效措施，化解社会矛盾，增进社会和谐，维护社会稳定。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w:t>
      </w:r>
      <w:r>
        <w:rPr>
          <w:rFonts w:hint="eastAsia" w:ascii="宋体" w:hAnsi="宋体" w:eastAsia="黑体" w:cs="仿宋_GB2312"/>
          <w:szCs w:val="32"/>
        </w:rPr>
        <w:t>条</w:t>
      </w:r>
      <w:r>
        <w:rPr>
          <w:rFonts w:hint="eastAsia" w:ascii="宋体" w:hAnsi="宋体" w:cs="仿宋_GB2312"/>
          <w:szCs w:val="32"/>
        </w:rPr>
        <w:t>　国务院公安部门负责全国的治安管理工作。县级以上地方各级人民政府公安机关负责本行政区域内的治安管理工作。</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治安案件的管辖由国务院公安部门规定。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w:t>
      </w:r>
      <w:r>
        <w:rPr>
          <w:rFonts w:hint="eastAsia" w:ascii="宋体" w:hAnsi="宋体" w:eastAsia="黑体" w:cs="仿宋_GB2312"/>
          <w:szCs w:val="32"/>
        </w:rPr>
        <w:t>条</w:t>
      </w:r>
      <w:r>
        <w:rPr>
          <w:rFonts w:hint="eastAsia" w:ascii="宋体" w:hAnsi="宋体" w:cs="仿宋_GB2312"/>
          <w:szCs w:val="32"/>
        </w:rPr>
        <w:t>　违反治安管理的行为对他人造成损害的，行为人或者其监护人应当依法承担民事责任。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第九</w:t>
      </w:r>
      <w:r>
        <w:rPr>
          <w:rFonts w:hint="eastAsia" w:ascii="宋体" w:hAnsi="宋体" w:eastAsia="黑体" w:cs="仿宋_GB2312"/>
          <w:szCs w:val="32"/>
        </w:rPr>
        <w:t>条</w:t>
      </w:r>
      <w:r>
        <w:rPr>
          <w:rFonts w:hint="eastAsia" w:ascii="宋体" w:hAnsi="宋体" w:cs="仿宋_GB2312"/>
          <w:szCs w:val="32"/>
        </w:rPr>
        <w:t>　对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第二章　处罚的种类和适用</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第十</w:t>
      </w:r>
      <w:r>
        <w:rPr>
          <w:rFonts w:hint="eastAsia" w:ascii="宋体" w:hAnsi="宋体" w:eastAsia="黑体" w:cs="仿宋_GB2312"/>
          <w:szCs w:val="32"/>
        </w:rPr>
        <w:t>条</w:t>
      </w:r>
      <w:r>
        <w:rPr>
          <w:rFonts w:hint="eastAsia" w:ascii="宋体" w:hAnsi="宋体" w:cs="仿宋_GB2312"/>
          <w:szCs w:val="32"/>
        </w:rPr>
        <w:t>　治安管理处罚的种类分为: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（一）警告；</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（三）行政拘留；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（四）吊销公安机关发放的许可证。</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对违反治安管理的外国人，可以附加适用限期出境或者驱逐出境。</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第十一</w:t>
      </w:r>
      <w:r>
        <w:rPr>
          <w:rFonts w:hint="eastAsia" w:ascii="宋体" w:hAnsi="宋体" w:eastAsia="黑体" w:cs="仿宋_GB2312"/>
          <w:szCs w:val="32"/>
        </w:rPr>
        <w:t>条</w:t>
      </w:r>
      <w:r>
        <w:rPr>
          <w:rFonts w:hint="eastAsia" w:ascii="宋体" w:hAnsi="宋体" w:cs="仿宋_GB2312"/>
          <w:szCs w:val="32"/>
        </w:rPr>
        <w:t>　办理治安案件所查获的毒品、淫秽物品等违禁品，赌具、赌资，吸食、注射毒品的用具以及直接用于实施违反治安管理行为的本人所有的工具，应当收缴，按照规定处理。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违反治安管理所得的财物，追缴退还被侵害人；没有被侵害人的，登记造册，公开拍卖或者按照国家有关规定处理，所得款项上缴国库。</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第十二</w:t>
      </w:r>
      <w:r>
        <w:rPr>
          <w:rFonts w:hint="eastAsia" w:ascii="宋体" w:hAnsi="宋体" w:eastAsia="黑体" w:cs="仿宋_GB2312"/>
          <w:szCs w:val="32"/>
        </w:rPr>
        <w:t>条</w:t>
      </w:r>
      <w:r>
        <w:rPr>
          <w:rFonts w:hint="eastAsia" w:ascii="宋体" w:hAnsi="宋体" w:cs="仿宋_GB2312"/>
          <w:szCs w:val="32"/>
        </w:rPr>
        <w:t>　已满十四周岁不满十八周岁的人违反治安管理的，从轻或者减轻处罚；不满十四周岁的人违反治安管理的，不予处罚，但是应当责令其监护人严加管教。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第十三</w:t>
      </w:r>
      <w:r>
        <w:rPr>
          <w:rFonts w:hint="eastAsia" w:ascii="宋体" w:hAnsi="宋体" w:eastAsia="黑体" w:cs="仿宋_GB2312"/>
          <w:szCs w:val="32"/>
        </w:rPr>
        <w:t>条</w:t>
      </w:r>
      <w:r>
        <w:rPr>
          <w:rFonts w:hint="eastAsia" w:ascii="宋体" w:hAnsi="宋体" w:cs="仿宋_GB2312"/>
          <w:szCs w:val="32"/>
        </w:rPr>
        <w:t>　精神病人在不能辨认或者不能控制自己行为的时候违反治安管理的，不予处罚，但是应当责令其监护人严加看管和治疗。间歇性的精神病人在精神正常的时候违反治安管理的，应当给予处罚。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第十四</w:t>
      </w:r>
      <w:r>
        <w:rPr>
          <w:rFonts w:hint="eastAsia" w:ascii="宋体" w:hAnsi="宋体" w:eastAsia="黑体" w:cs="仿宋_GB2312"/>
          <w:szCs w:val="32"/>
        </w:rPr>
        <w:t>条</w:t>
      </w:r>
      <w:r>
        <w:rPr>
          <w:rFonts w:hint="eastAsia" w:ascii="宋体" w:hAnsi="宋体" w:cs="仿宋_GB2312"/>
          <w:szCs w:val="32"/>
        </w:rPr>
        <w:t>　盲人或者又聋又哑的人违反治安管理的，可以从轻、减轻或者不予处罚。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第十五</w:t>
      </w:r>
      <w:r>
        <w:rPr>
          <w:rFonts w:hint="eastAsia" w:ascii="宋体" w:hAnsi="宋体" w:eastAsia="黑体" w:cs="仿宋_GB2312"/>
          <w:szCs w:val="32"/>
        </w:rPr>
        <w:t>条</w:t>
      </w:r>
      <w:r>
        <w:rPr>
          <w:rFonts w:hint="eastAsia" w:ascii="宋体" w:hAnsi="宋体" w:cs="仿宋_GB2312"/>
          <w:szCs w:val="32"/>
        </w:rPr>
        <w:t>　醉酒的人违反治安管理的，应当给予处罚。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醉酒的人在醉酒状态中，对本人有危险或者对他人的人身、财产或者公共安全有威胁的，应当对其采取保护性措施约束至酒醒。</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第十六</w:t>
      </w:r>
      <w:r>
        <w:rPr>
          <w:rFonts w:hint="eastAsia" w:ascii="宋体" w:hAnsi="宋体" w:eastAsia="黑体" w:cs="仿宋_GB2312"/>
          <w:szCs w:val="32"/>
        </w:rPr>
        <w:t>条</w:t>
      </w:r>
      <w:r>
        <w:rPr>
          <w:rFonts w:hint="eastAsia" w:ascii="宋体" w:hAnsi="宋体" w:cs="仿宋_GB2312"/>
          <w:szCs w:val="32"/>
        </w:rPr>
        <w:t>　有两种以上违反治安管理行为的，分别决定，合并执行。行政拘留处罚合并执行的，最长不超过二十日。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第十七</w:t>
      </w:r>
      <w:r>
        <w:rPr>
          <w:rFonts w:hint="eastAsia" w:ascii="宋体" w:hAnsi="宋体" w:eastAsia="黑体" w:cs="仿宋_GB2312"/>
          <w:szCs w:val="32"/>
        </w:rPr>
        <w:t>条</w:t>
      </w:r>
      <w:r>
        <w:rPr>
          <w:rFonts w:hint="eastAsia" w:ascii="宋体" w:hAnsi="宋体" w:cs="仿宋_GB2312"/>
          <w:szCs w:val="32"/>
        </w:rPr>
        <w:t>　共同违反治安管理的，根据违反治安管理行为人在违反治安管理行为中所起的作用，分别处罚。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教唆、胁迫、诱骗他人违反治安管理的，按照其教唆、胁迫、诱骗的行为处罚。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第十八</w:t>
      </w:r>
      <w:r>
        <w:rPr>
          <w:rFonts w:hint="eastAsia" w:ascii="宋体" w:hAnsi="宋体" w:eastAsia="黑体" w:cs="仿宋_GB2312"/>
          <w:szCs w:val="32"/>
        </w:rPr>
        <w:t>条</w:t>
      </w:r>
      <w:r>
        <w:rPr>
          <w:rFonts w:hint="eastAsia" w:ascii="宋体" w:hAnsi="宋体" w:cs="仿宋_GB2312"/>
          <w:szCs w:val="32"/>
        </w:rPr>
        <w:t>　单位违反治安管理的，对其直接负责的主管人员和其他直接责任人员依照本法的规定处罚。其他法律、行政法规对同一行为规定给予单位处罚的，依照其规定处罚。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第十九</w:t>
      </w:r>
      <w:r>
        <w:rPr>
          <w:rFonts w:hint="eastAsia" w:ascii="宋体" w:hAnsi="宋体" w:eastAsia="黑体" w:cs="仿宋_GB2312"/>
          <w:szCs w:val="32"/>
        </w:rPr>
        <w:t>条</w:t>
      </w:r>
      <w:r>
        <w:rPr>
          <w:rFonts w:hint="eastAsia" w:ascii="宋体" w:hAnsi="宋体" w:cs="仿宋_GB2312"/>
          <w:szCs w:val="32"/>
        </w:rPr>
        <w:t>　违反治安管理有下列情形之一的，减轻处罚或者不予处罚: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（一）情节特别轻微的；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（二）主动消除或者减轻违法后果，并取得被侵害人谅解的；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（三）出于他人胁迫或者诱骗的；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（四）主动投案，向公安机关如实陈述自己的违法行为的；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（五）有立功表现的。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w:t>
      </w:r>
      <w:r>
        <w:rPr>
          <w:rFonts w:hint="eastAsia" w:ascii="宋体" w:hAnsi="宋体" w:eastAsia="黑体" w:cs="仿宋_GB2312"/>
          <w:szCs w:val="32"/>
        </w:rPr>
        <w:t>条</w:t>
      </w:r>
      <w:r>
        <w:rPr>
          <w:rFonts w:hint="eastAsia" w:ascii="宋体" w:hAnsi="宋体" w:cs="仿宋_GB2312"/>
          <w:szCs w:val="32"/>
        </w:rPr>
        <w:t>　违反治安管理有下列情形之一的，从重处罚: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（一）有较严重后果的；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（二）教唆、胁迫、诱骗他人违反治安管理的；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（三）对报案人、控告人、举报人、证人打击报复的；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（四）六个月内曾受过治安管理处罚的。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第二十一</w:t>
      </w:r>
      <w:r>
        <w:rPr>
          <w:rFonts w:hint="eastAsia" w:ascii="宋体" w:hAnsi="宋体" w:eastAsia="黑体" w:cs="仿宋_GB2312"/>
          <w:szCs w:val="32"/>
        </w:rPr>
        <w:t>条</w:t>
      </w:r>
      <w:r>
        <w:rPr>
          <w:rFonts w:hint="eastAsia" w:ascii="宋体" w:hAnsi="宋体" w:cs="仿宋_GB2312"/>
          <w:szCs w:val="32"/>
        </w:rPr>
        <w:t>　违反治安管理行为人有下列情形之一，依照本法应当给予行政拘留处罚的，不执行行政拘留处罚: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（一）已满十四周岁不满十六周岁的；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（二）已满十六周岁不满十八周岁，初次违反治安管理的；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（三）七十周岁以上的；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（四）怀孕或者哺乳自己不满一周岁婴儿的。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第二十二</w:t>
      </w:r>
      <w:r>
        <w:rPr>
          <w:rFonts w:hint="eastAsia" w:ascii="宋体" w:hAnsi="宋体" w:eastAsia="黑体" w:cs="仿宋_GB2312"/>
          <w:szCs w:val="32"/>
        </w:rPr>
        <w:t>条</w:t>
      </w:r>
      <w:r>
        <w:rPr>
          <w:rFonts w:hint="eastAsia" w:ascii="宋体" w:hAnsi="宋体" w:cs="仿宋_GB2312"/>
          <w:szCs w:val="32"/>
        </w:rPr>
        <w:t>　违反治安管理行为在六个月内没有被公安机关发现的，不再处罚。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cs="仿宋_GB2312"/>
          <w:szCs w:val="32"/>
        </w:rPr>
        <w:t>前款规定的期限，从违反治安管理行为发生之日起计算；违反治安管理行为有连续或者继续状态的，从行为终了之日起计算。</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第三章　违反治安管理的行为和处罚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扰乱公共秩序的行为和处罚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第二十三</w:t>
      </w:r>
      <w:r>
        <w:rPr>
          <w:rFonts w:hint="eastAsia" w:ascii="宋体" w:hAnsi="宋体" w:eastAsia="黑体" w:cs="仿宋_GB2312"/>
          <w:szCs w:val="32"/>
        </w:rPr>
        <w:t>条</w:t>
      </w:r>
      <w:r>
        <w:rPr>
          <w:rFonts w:hint="eastAsia" w:ascii="宋体" w:hAnsi="宋体" w:cs="仿宋_GB2312"/>
          <w:szCs w:val="32"/>
        </w:rPr>
        <w:t>　有下列行为之一的，处警告或者二百元以下罚款；情节较重的，处五日以上十日以下拘留，可以并处五百元以下罚款: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（一）扰乱机关、团体、企业、事业单位秩序，致使工作、生产、营业、医疗、教学、科研不能正常进行，尚未造成严重损失的；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（二）扰乱车站、港口、码头、机场、商场、公园、展览馆或者其他公共场所秩序的；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（三）扰乱公共汽车、电车、火车、船舶、航空器或者其他公共交通工具上的秩序的；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（四）非法拦截或者强登、扒乘机动车、船舶、航空器以及其他交通工具，影响交通工具正常行驶的；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（五）破坏依法进行的选举秩序的。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聚众实施前款行为的，对首要分子处十日以上十五日以下拘留，可以并处一千元以下罚款。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第二十四</w:t>
      </w:r>
      <w:r>
        <w:rPr>
          <w:rFonts w:hint="eastAsia" w:ascii="宋体" w:hAnsi="宋体" w:eastAsia="黑体" w:cs="仿宋_GB2312"/>
          <w:szCs w:val="32"/>
        </w:rPr>
        <w:t>条</w:t>
      </w:r>
      <w:r>
        <w:rPr>
          <w:rFonts w:hint="eastAsia" w:ascii="宋体" w:hAnsi="宋体" w:cs="仿宋_GB2312"/>
          <w:szCs w:val="32"/>
        </w:rPr>
        <w:t>　有下列行为之一，扰乱文化、体育等大型群众性活动秩序的，处警告或者二百元以下罚款；情节严重的，处五日以上十日以下拘留，可以并处五百元以下罚款: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（一）强行进入场内的；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（二）违反规定，在场内燃放烟花爆竹或者其他物品的；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（三）展示侮辱性标语、条幅等物品的；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（四）围攻裁判员、运动员或者其他工作人员的；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（五）向场内投掷杂物，不听制止的；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（六）扰乱大型群众性活动秩序的其他行为。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因扰乱体育比赛秩序被处以拘留处罚的，可以同时责令其十二个月内不得进入体育场馆观看同类比赛；违反规定进入体育场馆的，强行带离现场。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第二十五</w:t>
      </w:r>
      <w:r>
        <w:rPr>
          <w:rFonts w:hint="eastAsia" w:ascii="宋体" w:hAnsi="宋体" w:eastAsia="黑体" w:cs="仿宋_GB2312"/>
          <w:szCs w:val="32"/>
        </w:rPr>
        <w:t>条</w:t>
      </w:r>
      <w:r>
        <w:rPr>
          <w:rFonts w:hint="eastAsia" w:ascii="宋体" w:hAnsi="宋体" w:cs="仿宋_GB2312"/>
          <w:szCs w:val="32"/>
        </w:rPr>
        <w:t>　有下列行为之一的，处五日以上十日以下拘留，可以并处五百元以下罚款；情节较轻的，处五日以下拘留或者五百元以下罚款: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（一）散布谣言，谎报险情、疫情、警情或者以其他方法故意扰乱公共秩序的；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（二）投放虚假的爆炸性、毒害性、放射性、腐蚀性物质或者传染病病原体等危险物质扰乱公共秩序的；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（三）扬言实施放火、爆炸、投放危险物质扰乱公共秩序的。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第二十六</w:t>
      </w:r>
      <w:r>
        <w:rPr>
          <w:rFonts w:hint="eastAsia" w:ascii="宋体" w:hAnsi="宋体" w:eastAsia="黑体" w:cs="仿宋_GB2312"/>
          <w:szCs w:val="32"/>
        </w:rPr>
        <w:t>条</w:t>
      </w:r>
      <w:r>
        <w:rPr>
          <w:rFonts w:hint="eastAsia" w:ascii="宋体" w:hAnsi="宋体" w:cs="仿宋_GB2312"/>
          <w:szCs w:val="32"/>
        </w:rPr>
        <w:t>　有下列行为之一的，处五日以上十日以下拘留，可以并处五百元以下罚款；情节较重的，处十日以上十五日以下拘留，可以并处一千元以下罚款: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（一）结伙斗殴的；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（二）追逐、拦截他人的；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（三）强拿硬要或者任意损毁、占用公私财物的；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（四）其他寻衅滋事行为。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第二十七</w:t>
      </w:r>
      <w:r>
        <w:rPr>
          <w:rFonts w:hint="eastAsia" w:ascii="宋体" w:hAnsi="宋体" w:eastAsia="黑体" w:cs="仿宋_GB2312"/>
          <w:szCs w:val="32"/>
        </w:rPr>
        <w:t>条</w:t>
      </w:r>
      <w:r>
        <w:rPr>
          <w:rFonts w:hint="eastAsia" w:ascii="宋体" w:hAnsi="宋体" w:cs="仿宋_GB2312"/>
          <w:szCs w:val="32"/>
        </w:rPr>
        <w:t>　有下列行为之一的，处十日以上十五日以下拘留，可以并处一千元以下罚款；情节较轻的，处五日以上十日以下拘留，可以并处五百元以下罚款: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（一）组织、教唆、胁迫、诱骗、煽动他人从事邪教、会道门活动或者利用邪教、会道门、迷信活动，扰乱社会秩序、损害他人身体健康的；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（二）冒用宗教、气功名义进行扰乱社会秩序、损害他人身体健康活动的。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第二十八</w:t>
      </w:r>
      <w:r>
        <w:rPr>
          <w:rFonts w:hint="eastAsia" w:ascii="宋体" w:hAnsi="宋体" w:eastAsia="黑体" w:cs="仿宋_GB2312"/>
          <w:szCs w:val="32"/>
        </w:rPr>
        <w:t>条</w:t>
      </w:r>
      <w:r>
        <w:rPr>
          <w:rFonts w:hint="eastAsia" w:ascii="宋体" w:hAnsi="宋体" w:cs="仿宋_GB2312"/>
          <w:szCs w:val="32"/>
        </w:rPr>
        <w:t>　违反国家规定，故意干扰无线电业务正常进行的，或者对正常运行的无线电台（站）产生有害干扰，经有关主管部门指出后，拒不采取有效措施消除的，处五日以上十日以下拘留；情节严重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第二十九</w:t>
      </w:r>
      <w:r>
        <w:rPr>
          <w:rFonts w:hint="eastAsia" w:ascii="宋体" w:hAnsi="宋体" w:eastAsia="黑体" w:cs="仿宋_GB2312"/>
          <w:szCs w:val="32"/>
        </w:rPr>
        <w:t>条</w:t>
      </w:r>
      <w:r>
        <w:rPr>
          <w:rFonts w:hint="eastAsia" w:ascii="宋体" w:hAnsi="宋体" w:cs="仿宋_GB2312"/>
          <w:szCs w:val="32"/>
        </w:rPr>
        <w:t>　有下列行为之一的，处五日以下拘留；情节较重的，处五日以上十日以下拘留: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（一）违反国家规定，侵入计算机信息系统，造成危害的；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（二）违反国家规定，对计算机信息系统功能进行删除、修改、增加、干扰，造成计算机信息系统不能正常运行的；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（三）违反国家规定，对计算机信息系统中存储、处理、传输的数据和应用程序进行删除、修改、增加的；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cs="仿宋_GB2312"/>
          <w:szCs w:val="32"/>
        </w:rPr>
        <w:t>（四）故意制作、传播计算机病毒等破坏性程序，影响计算机信息系统正常运行的。</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妨害公共安全的行为和处罚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第三十</w:t>
      </w:r>
      <w:r>
        <w:rPr>
          <w:rFonts w:hint="eastAsia" w:ascii="宋体" w:hAnsi="宋体" w:eastAsia="黑体" w:cs="仿宋_GB2312"/>
          <w:szCs w:val="32"/>
        </w:rPr>
        <w:t>条</w:t>
      </w:r>
      <w:r>
        <w:rPr>
          <w:rFonts w:hint="eastAsia" w:ascii="宋体" w:hAnsi="宋体" w:cs="仿宋_GB2312"/>
          <w:szCs w:val="32"/>
        </w:rPr>
        <w:t>　违反国家规定，制造、买卖、储存、运输、邮寄、携带、使用、提供、处置爆炸性、毒害性、放射性、腐蚀性物质或者传染病病原体等危险物质的，处十日以上十五日以下拘留；情节较轻的，处五日以上十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第三十一</w:t>
      </w:r>
      <w:r>
        <w:rPr>
          <w:rFonts w:hint="eastAsia" w:ascii="宋体" w:hAnsi="宋体" w:eastAsia="黑体" w:cs="仿宋_GB2312"/>
          <w:szCs w:val="32"/>
        </w:rPr>
        <w:t>条</w:t>
      </w:r>
      <w:r>
        <w:rPr>
          <w:rFonts w:hint="eastAsia" w:ascii="宋体" w:hAnsi="宋体" w:cs="仿宋_GB2312"/>
          <w:szCs w:val="32"/>
        </w:rPr>
        <w:t>　爆炸性、毒害性、放射性、腐蚀性物质或者传染病病原体等危险物质被盗、被抢或者丢失，未按规定报告的，处五日以下拘留；故意隐瞒不报的，处五日以上十日以下拘留。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第三十二</w:t>
      </w:r>
      <w:r>
        <w:rPr>
          <w:rFonts w:hint="eastAsia" w:ascii="宋体" w:hAnsi="宋体" w:eastAsia="黑体" w:cs="仿宋_GB2312"/>
          <w:szCs w:val="32"/>
        </w:rPr>
        <w:t>条</w:t>
      </w:r>
      <w:r>
        <w:rPr>
          <w:rFonts w:hint="eastAsia" w:ascii="宋体" w:hAnsi="宋体" w:cs="仿宋_GB2312"/>
          <w:szCs w:val="32"/>
        </w:rPr>
        <w:t>　非法携带枪支、弹药或者弩、匕首等国家规定的管制器具的，处五日以下拘留，可以并处五百元以下罚款；情节较轻的，处警告或者二百元以下罚款。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非法携带枪支、弹药或者弩、匕首等国家规定的管制器具进入公共场所或者公共交通工具的，处五日以上十日以下拘留，可以并处五百元以下罚款。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第三十三</w:t>
      </w:r>
      <w:r>
        <w:rPr>
          <w:rFonts w:hint="eastAsia" w:ascii="宋体" w:hAnsi="宋体" w:eastAsia="黑体" w:cs="仿宋_GB2312"/>
          <w:szCs w:val="32"/>
        </w:rPr>
        <w:t>条</w:t>
      </w:r>
      <w:r>
        <w:rPr>
          <w:rFonts w:hint="eastAsia" w:ascii="宋体" w:hAnsi="宋体" w:cs="仿宋_GB2312"/>
          <w:szCs w:val="32"/>
        </w:rPr>
        <w:t>　有下列行为之一的，处十日以上十五日以下拘留: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（一）盗窃、损毁油气管道设施、电力电信设施、广播电视设施、水利防汛工程设施或者水文监测、测量、气象测报、环境监测、地质监测、地震监测等公共设施的；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（二）移动、损毁国家边境的界碑、界桩以及其他边境标志、边境设施或者领土、领海标志设施的；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（三）非法进行影响国（边）界线走向的活动或者修建有碍国（边）境管理的设施的。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第三十四</w:t>
      </w:r>
      <w:r>
        <w:rPr>
          <w:rFonts w:hint="eastAsia" w:ascii="宋体" w:hAnsi="宋体" w:eastAsia="黑体" w:cs="仿宋_GB2312"/>
          <w:szCs w:val="32"/>
        </w:rPr>
        <w:t>条</w:t>
      </w:r>
      <w:r>
        <w:rPr>
          <w:rFonts w:hint="eastAsia" w:ascii="宋体" w:hAnsi="宋体" w:cs="仿宋_GB2312"/>
          <w:szCs w:val="32"/>
        </w:rPr>
        <w:t>　盗窃、损坏、擅自移动使用中的航空设施，或者强行进入航空器驾驶舱的，处十日以上十五日以下拘留。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在使用中的航空器上使用可能影响导航系统正常功能的器具、工具，不听劝阻的，处五日以下拘留或者五百元以下罚款。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第三十五</w:t>
      </w:r>
      <w:r>
        <w:rPr>
          <w:rFonts w:hint="eastAsia" w:ascii="宋体" w:hAnsi="宋体" w:eastAsia="黑体" w:cs="仿宋_GB2312"/>
          <w:szCs w:val="32"/>
        </w:rPr>
        <w:t>条</w:t>
      </w:r>
      <w:r>
        <w:rPr>
          <w:rFonts w:hint="eastAsia" w:ascii="宋体" w:hAnsi="宋体" w:cs="仿宋_GB2312"/>
          <w:szCs w:val="32"/>
        </w:rPr>
        <w:t>　有下列行为之一的，处五日以上十日以下拘留，可以并处五百元以下罚款；情节较轻的，处五日以下拘留或者五百元以下罚款: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（一）盗窃、损毁或者擅自移动铁路设施、设备、机车车辆配件或者安全标志的；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（二）在铁路线路上放置障碍物，或者故意向列车投掷物品的；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（三）在铁路线路、桥梁、涵洞处挖掘坑穴、采石取沙的；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（四）在铁路线路上私设道口或者平交过道的。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第三十六</w:t>
      </w:r>
      <w:r>
        <w:rPr>
          <w:rFonts w:hint="eastAsia" w:ascii="宋体" w:hAnsi="宋体" w:eastAsia="黑体" w:cs="仿宋_GB2312"/>
          <w:szCs w:val="32"/>
        </w:rPr>
        <w:t>条</w:t>
      </w:r>
      <w:r>
        <w:rPr>
          <w:rFonts w:hint="eastAsia" w:ascii="宋体" w:hAnsi="宋体" w:cs="仿宋_GB2312"/>
          <w:szCs w:val="32"/>
        </w:rPr>
        <w:t>　擅自进入铁路防护网或者火车来临时在铁路线路上行走坐卧、抢越铁路，影响行车安全的，处警告或者二百元以下罚款。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第三十七</w:t>
      </w:r>
      <w:r>
        <w:rPr>
          <w:rFonts w:hint="eastAsia" w:ascii="宋体" w:hAnsi="宋体" w:eastAsia="黑体" w:cs="仿宋_GB2312"/>
          <w:szCs w:val="32"/>
        </w:rPr>
        <w:t>条</w:t>
      </w:r>
      <w:r>
        <w:rPr>
          <w:rFonts w:hint="eastAsia" w:ascii="宋体" w:hAnsi="宋体" w:cs="仿宋_GB2312"/>
          <w:szCs w:val="32"/>
        </w:rPr>
        <w:t>　有下列行为之一的，处五日以下拘留或者五百元以下罚款；情节严重的，处五日以上十日以下拘留，可以并处五百元以下罚款: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（一）未经批准，安装、使用电网的，或者安装、使用电网不符合安全规定的；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（二）在车辆、行人通行的地方施工，对沟井坎穴不设覆盖物、防围和警示标志的，或者故意损毁、移动覆盖物、防围和警示标志的；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（三）盗窃、损毁路面井盖、照明等公共设施的。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第三十八</w:t>
      </w:r>
      <w:r>
        <w:rPr>
          <w:rFonts w:hint="eastAsia" w:ascii="宋体" w:hAnsi="宋体" w:eastAsia="黑体" w:cs="仿宋_GB2312"/>
          <w:szCs w:val="32"/>
        </w:rPr>
        <w:t>条</w:t>
      </w:r>
      <w:r>
        <w:rPr>
          <w:rFonts w:hint="eastAsia" w:ascii="宋体" w:hAnsi="宋体" w:cs="仿宋_GB2312"/>
          <w:szCs w:val="32"/>
        </w:rPr>
        <w:t>　举办文化、体育等大型群众性活动，违反有关规定，有发生安全事故危险的，责令停止活动，立即疏散；对组织者处五日以上十日以下拘留，并处二百元以上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第三十九</w:t>
      </w:r>
      <w:r>
        <w:rPr>
          <w:rFonts w:hint="eastAsia" w:ascii="宋体" w:hAnsi="宋体" w:eastAsia="黑体" w:cs="仿宋_GB2312"/>
          <w:szCs w:val="32"/>
        </w:rPr>
        <w:t>条</w:t>
      </w:r>
      <w:r>
        <w:rPr>
          <w:rFonts w:hint="eastAsia" w:ascii="宋体" w:hAnsi="宋体" w:cs="仿宋_GB2312"/>
          <w:szCs w:val="32"/>
        </w:rPr>
        <w:t>　旅馆、饭店、影剧院、娱乐场、运动场、展览馆或者其他供社会公众活动的场所的经营管理人员，违反安全规定，致使该场所有发生安全事故危险，经公安机关责令改正，拒不改正的，处五日以下拘留。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第三节　侵犯人身权利、财产权利的行为和处罚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第四十</w:t>
      </w:r>
      <w:r>
        <w:rPr>
          <w:rFonts w:hint="eastAsia" w:ascii="宋体" w:hAnsi="宋体" w:eastAsia="黑体" w:cs="仿宋_GB2312"/>
          <w:szCs w:val="32"/>
        </w:rPr>
        <w:t>条</w:t>
      </w:r>
      <w:r>
        <w:rPr>
          <w:rFonts w:hint="eastAsia" w:ascii="宋体" w:hAnsi="宋体" w:cs="仿宋_GB2312"/>
          <w:szCs w:val="32"/>
        </w:rPr>
        <w:t>　有下列行为之一的，处十日以上十五日以下拘留，并处五百元以上一千元以下罚款；情节较轻的，处五日以上十日以下拘留，并处二百元以上五百元以下罚款: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（一）组织、胁迫、诱骗不满十六周岁的人或者残疾人进行恐怖、残忍表演的；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（二）以暴力、威胁或者其他手段强迫他人劳动的；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（三）非法限制他人人身自由、非法侵入他人住宅或者非法搜查他人身体的。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第四十一</w:t>
      </w:r>
      <w:r>
        <w:rPr>
          <w:rFonts w:hint="eastAsia" w:ascii="宋体" w:hAnsi="宋体" w:eastAsia="黑体" w:cs="仿宋_GB2312"/>
          <w:szCs w:val="32"/>
        </w:rPr>
        <w:t>条</w:t>
      </w:r>
      <w:r>
        <w:rPr>
          <w:rFonts w:hint="eastAsia" w:ascii="宋体" w:hAnsi="宋体" w:cs="仿宋_GB2312"/>
          <w:szCs w:val="32"/>
        </w:rPr>
        <w:t>　胁迫、诱骗或者利用他人乞讨的，处十日以上十五日以下拘留，可以并处一千元以下罚款。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反复纠缠、强行讨要或者以其他滋扰他人的方式乞讨的，处五日以下拘留或者警告。</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第四十二</w:t>
      </w:r>
      <w:r>
        <w:rPr>
          <w:rFonts w:hint="eastAsia" w:ascii="宋体" w:hAnsi="宋体" w:eastAsia="黑体" w:cs="仿宋_GB2312"/>
          <w:szCs w:val="32"/>
        </w:rPr>
        <w:t>条</w:t>
      </w:r>
      <w:r>
        <w:rPr>
          <w:rFonts w:hint="eastAsia" w:ascii="宋体" w:hAnsi="宋体" w:cs="仿宋_GB2312"/>
          <w:szCs w:val="32"/>
        </w:rPr>
        <w:t>　有下列行为之一的，处五日以下拘留或者五百元以下罚款；情节较重的，处五日以上十日以下拘留，可以并处五百元以下罚款: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（一）写恐吓信或者以其他方法威胁他人人身安全的；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（二）公然侮辱他人或者捏造事实诽谤他人的；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（三）捏造事实诬告陷害他人，企图使他人受到刑事追究或者受到治安管理处罚的；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（四）对证人及其近亲属进行威胁、侮辱、殴打或者打击报复的；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（五）多次发送淫秽、侮辱、恐吓或者其他信息，干扰他人正常生活的；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（六）偷窥、偷拍、窃听、散布他人隐私的。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第四十三</w:t>
      </w:r>
      <w:r>
        <w:rPr>
          <w:rFonts w:hint="eastAsia" w:ascii="宋体" w:hAnsi="宋体" w:eastAsia="黑体" w:cs="仿宋_GB2312"/>
          <w:szCs w:val="32"/>
        </w:rPr>
        <w:t>条</w:t>
      </w:r>
      <w:r>
        <w:rPr>
          <w:rFonts w:hint="eastAsia" w:ascii="宋体" w:hAnsi="宋体" w:cs="仿宋_GB2312"/>
          <w:szCs w:val="32"/>
        </w:rPr>
        <w:t>　殴打他人的，或者故意伤害他人身体的，处五日以上十日以下拘留，并处二百元以上五百元以下罚款；情节较轻的，处五日以下拘留或者五百元以下罚款。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有下列情形之一的，处十日以上十五日以下拘留，并处五百元以上一千元以下罚款: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（一）结伙殴打、伤害他人的；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（二）殴打、伤害残疾人、孕妇、不满十四周岁的人或者六十周岁以上的人的；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（三）多次殴打、伤害他人或者一次殴打、伤害多人的。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第四十四</w:t>
      </w:r>
      <w:r>
        <w:rPr>
          <w:rFonts w:hint="eastAsia" w:ascii="宋体" w:hAnsi="宋体" w:eastAsia="黑体" w:cs="仿宋_GB2312"/>
          <w:szCs w:val="32"/>
        </w:rPr>
        <w:t>条</w:t>
      </w:r>
      <w:r>
        <w:rPr>
          <w:rFonts w:hint="eastAsia" w:ascii="宋体" w:hAnsi="宋体" w:cs="仿宋_GB2312"/>
          <w:szCs w:val="32"/>
        </w:rPr>
        <w:t>　猥亵他人的，或者在公共场所故意裸露身体，情节恶劣的，处五日以上十日以下拘留；猥亵智力残疾人、精神病人、不满十四周岁的人或者有其他严重情节的，处十日以上十五日以下拘留。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第四十五</w:t>
      </w:r>
      <w:r>
        <w:rPr>
          <w:rFonts w:hint="eastAsia" w:ascii="宋体" w:hAnsi="宋体" w:eastAsia="黑体" w:cs="仿宋_GB2312"/>
          <w:szCs w:val="32"/>
        </w:rPr>
        <w:t>条</w:t>
      </w:r>
      <w:r>
        <w:rPr>
          <w:rFonts w:hint="eastAsia" w:ascii="宋体" w:hAnsi="宋体" w:cs="仿宋_GB2312"/>
          <w:szCs w:val="32"/>
        </w:rPr>
        <w:t>　有下列行为之一的，处五日以下拘留或者警告:</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（一）虐待家庭成员，被虐待人要求处理的；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（二）遗弃没有独立生活能力的被扶养人的。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第四十六</w:t>
      </w:r>
      <w:r>
        <w:rPr>
          <w:rFonts w:hint="eastAsia" w:ascii="宋体" w:hAnsi="宋体" w:eastAsia="黑体" w:cs="仿宋_GB2312"/>
          <w:szCs w:val="32"/>
        </w:rPr>
        <w:t>条</w:t>
      </w:r>
      <w:r>
        <w:rPr>
          <w:rFonts w:hint="eastAsia" w:ascii="宋体" w:hAnsi="宋体" w:cs="仿宋_GB2312"/>
          <w:szCs w:val="32"/>
        </w:rPr>
        <w:t>　强买强卖商品，强迫他人提供服务或者强迫他人接受服务的，处五日以上十日以下拘留，并处二百元以上五百元以下罚款；情节较轻的，处五日以下拘留或者五百元以下罚款。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第四十七</w:t>
      </w:r>
      <w:r>
        <w:rPr>
          <w:rFonts w:hint="eastAsia" w:ascii="宋体" w:hAnsi="宋体" w:eastAsia="黑体" w:cs="仿宋_GB2312"/>
          <w:szCs w:val="32"/>
        </w:rPr>
        <w:t>条</w:t>
      </w:r>
      <w:r>
        <w:rPr>
          <w:rFonts w:hint="eastAsia" w:ascii="宋体" w:hAnsi="宋体" w:cs="仿宋_GB2312"/>
          <w:szCs w:val="32"/>
        </w:rPr>
        <w:t>　煽动民族仇恨、民族歧视，或者在出版物、计算机信息网络中刊载民族歧视、侮辱内容的，处十日以上十五日以下拘留，可以并处一千元以下罚款。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第四十八</w:t>
      </w:r>
      <w:r>
        <w:rPr>
          <w:rFonts w:hint="eastAsia" w:ascii="宋体" w:hAnsi="宋体" w:eastAsia="黑体" w:cs="仿宋_GB2312"/>
          <w:szCs w:val="32"/>
        </w:rPr>
        <w:t>条</w:t>
      </w:r>
      <w:r>
        <w:rPr>
          <w:rFonts w:hint="eastAsia" w:ascii="宋体" w:hAnsi="宋体" w:cs="仿宋_GB2312"/>
          <w:szCs w:val="32"/>
        </w:rPr>
        <w:t>　冒领、隐匿、毁弃、私自开拆或者非法检查他人邮件的，处五日以下拘留或者五百元以下罚款。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第四十九</w:t>
      </w:r>
      <w:r>
        <w:rPr>
          <w:rFonts w:hint="eastAsia" w:ascii="宋体" w:hAnsi="宋体" w:eastAsia="黑体" w:cs="仿宋_GB2312"/>
          <w:szCs w:val="32"/>
        </w:rPr>
        <w:t>条</w:t>
      </w:r>
      <w:r>
        <w:rPr>
          <w:rFonts w:hint="eastAsia" w:ascii="宋体" w:hAnsi="宋体" w:cs="仿宋_GB2312"/>
          <w:szCs w:val="32"/>
        </w:rPr>
        <w:t>　盗窃、诈骗、哄抢、抢夺、敲诈勒索或者故意损毁公私财物的，处五日以上十日以下拘留，可以并处五百元以下罚款；情节较重的，处十日以上十五日以下拘留，可以并处一千元以下罚款。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第四节　妨害社会管理的行为和处罚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第五十</w:t>
      </w:r>
      <w:r>
        <w:rPr>
          <w:rFonts w:hint="eastAsia" w:ascii="宋体" w:hAnsi="宋体" w:eastAsia="黑体" w:cs="仿宋_GB2312"/>
          <w:szCs w:val="32"/>
        </w:rPr>
        <w:t>条</w:t>
      </w:r>
      <w:r>
        <w:rPr>
          <w:rFonts w:hint="eastAsia" w:ascii="宋体" w:hAnsi="宋体" w:cs="仿宋_GB2312"/>
          <w:szCs w:val="32"/>
        </w:rPr>
        <w:t>　有下列行为之一的，处警告或者二百元以下罚款；情节严重的，处五日以上十日以下拘留，可以并处五百元以下罚款: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（一）拒不执行人民政府在紧急状态情况下依法发布的决定、命令的；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（二）阻碍国家机关工作人员依法执行职务的；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（三）阻碍执行紧急任务的消防车、救护车、工程抢险车、警车等车辆通行的；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（四）强行冲闯公安机关设置的警戒带、警戒区的。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阻碍人民警察依法执行职务的，从重处罚。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第五十一</w:t>
      </w:r>
      <w:r>
        <w:rPr>
          <w:rFonts w:hint="eastAsia" w:ascii="宋体" w:hAnsi="宋体" w:eastAsia="黑体" w:cs="仿宋_GB2312"/>
          <w:szCs w:val="32"/>
        </w:rPr>
        <w:t>条</w:t>
      </w:r>
      <w:r>
        <w:rPr>
          <w:rFonts w:hint="eastAsia" w:ascii="宋体" w:hAnsi="宋体" w:cs="仿宋_GB2312"/>
          <w:szCs w:val="32"/>
        </w:rPr>
        <w:t>　冒充国家机关工作人员或者以其他虚假身份招摇撞骗的，处五日以上十日以下拘留，可以并处五百元以下罚款；情节较轻的，处五日以下拘留或者五百元以下罚款。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冒充军警人员招摇撞骗的，从重处罚。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第五十二</w:t>
      </w:r>
      <w:r>
        <w:rPr>
          <w:rFonts w:hint="eastAsia" w:ascii="宋体" w:hAnsi="宋体" w:eastAsia="黑体" w:cs="仿宋_GB2312"/>
          <w:szCs w:val="32"/>
        </w:rPr>
        <w:t>条</w:t>
      </w:r>
      <w:r>
        <w:rPr>
          <w:rFonts w:hint="eastAsia" w:ascii="宋体" w:hAnsi="宋体" w:cs="仿宋_GB2312"/>
          <w:szCs w:val="32"/>
        </w:rPr>
        <w:t>　有下列行为之一的，处十日以上十五日以下拘留，可以并处一千元以下罚款；情节较轻的，处五日以上十日以下拘留，可以并处五百元以下罚款: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（一）伪造、变造或者买卖国家机关、人民团体、企业、事业单位或者其他组织的公文、证件、证明文件、印章的；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（二）买卖或者使用伪造、变造的国家机关、人民团体、企业、事业单位或者其他组织的公文、证件、证明文件的；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（三）伪造、变造、倒卖车票、船票、航空客票、文艺演出票、体育比赛入场券或者其他有价票证、凭证的；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（四）伪造、变造船舶户牌，买卖或者使用伪造、变造的船舶户牌，或者涂改船舶发动机号码的。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第五十三</w:t>
      </w:r>
      <w:r>
        <w:rPr>
          <w:rFonts w:hint="eastAsia" w:ascii="宋体" w:hAnsi="宋体" w:eastAsia="黑体" w:cs="仿宋_GB2312"/>
          <w:szCs w:val="32"/>
        </w:rPr>
        <w:t>条</w:t>
      </w:r>
      <w:r>
        <w:rPr>
          <w:rFonts w:hint="eastAsia" w:ascii="宋体" w:hAnsi="宋体" w:cs="仿宋_GB2312"/>
          <w:szCs w:val="32"/>
        </w:rPr>
        <w:t>　船舶擅自进入、停靠国家禁止、限制进入的水域或者岛屿的，对船舶负责人及有关责任人员处五百元以上一千元以下罚款；情节严重的，处五日以下拘留，并处五百元以上一千元以下罚款。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第五十四</w:t>
      </w:r>
      <w:r>
        <w:rPr>
          <w:rFonts w:hint="eastAsia" w:ascii="宋体" w:hAnsi="宋体" w:eastAsia="黑体" w:cs="仿宋_GB2312"/>
          <w:szCs w:val="32"/>
        </w:rPr>
        <w:t>条</w:t>
      </w:r>
      <w:r>
        <w:rPr>
          <w:rFonts w:hint="eastAsia" w:ascii="宋体" w:hAnsi="宋体" w:cs="仿宋_GB2312"/>
          <w:szCs w:val="32"/>
        </w:rPr>
        <w:t>　有下列行为之一的，处十日以上十五日以下拘留，并处五百元以上一千元以下罚款；情节较轻的，处五日以下拘留或者五百元以下罚款: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（一）违反国家规定，未经注册登记，以社会团体名义进行活动，被取缔后，仍进行活动的；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（二）被依法撤销登记的社会团体，仍以社会团体名义进行活动的；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（三）未经许可，擅自经营按照国家规定需要由公安机关许可的行业的。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有前款第三项行为的，予以取缔。</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取得公安机关许可的经营者，违反国家有关管理规定，情节严重的，公安机关可以吊销许可证。</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第五十五</w:t>
      </w:r>
      <w:r>
        <w:rPr>
          <w:rFonts w:hint="eastAsia" w:ascii="宋体" w:hAnsi="宋体" w:eastAsia="黑体" w:cs="仿宋_GB2312"/>
          <w:szCs w:val="32"/>
        </w:rPr>
        <w:t>条</w:t>
      </w:r>
      <w:r>
        <w:rPr>
          <w:rFonts w:hint="eastAsia" w:ascii="宋体" w:hAnsi="宋体" w:cs="仿宋_GB2312"/>
          <w:szCs w:val="32"/>
        </w:rPr>
        <w:t>　煽动、策划非法集会、游行、示威，不听劝阻的，处十日以上十五日以下拘留。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第五十六条　</w:t>
      </w:r>
      <w:r>
        <w:rPr>
          <w:rFonts w:hint="eastAsia" w:ascii="宋体" w:hAnsi="宋体" w:cs="仿宋_GB2312"/>
          <w:szCs w:val="32"/>
        </w:rPr>
        <w:t>旅馆业的工作人员对住宿的旅客不按规定登记姓名、身份证件种类和号码的，或者明知住宿的旅客将危险物质带入旅馆，不予制止的，处二百元以上五百元以下罚款。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旅馆业的工作人员明知住宿的旅客是犯罪嫌疑人员或者被公安机关通缉的人员，不向公安机关报告的，处二百元以上五百元以下罚款；情节严重的，处五日以下拘留，可以并处五百元以下罚款。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第五十七</w:t>
      </w:r>
      <w:r>
        <w:rPr>
          <w:rFonts w:hint="eastAsia" w:ascii="宋体" w:hAnsi="宋体" w:eastAsia="黑体" w:cs="仿宋_GB2312"/>
          <w:szCs w:val="32"/>
        </w:rPr>
        <w:t>条</w:t>
      </w:r>
      <w:r>
        <w:rPr>
          <w:rFonts w:hint="eastAsia" w:ascii="宋体" w:hAnsi="宋体" w:cs="仿宋_GB2312"/>
          <w:szCs w:val="32"/>
        </w:rPr>
        <w:t>　房屋出租人将房屋出租给无身份证件的人居住的，或者不按规定登记承租人姓名、身份证件种类和号码的，处二百元以上五百元以下罚款。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房屋出租人明知承租人利用出租房屋进行犯罪活动，不向公安机关报告的，处二百元以上五百元以下罚款；情节严重的，处五日以下拘留，可以并处五百元以下罚款。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第五十八</w:t>
      </w:r>
      <w:r>
        <w:rPr>
          <w:rFonts w:hint="eastAsia" w:ascii="宋体" w:hAnsi="宋体" w:eastAsia="黑体" w:cs="仿宋_GB2312"/>
          <w:szCs w:val="32"/>
        </w:rPr>
        <w:t>条</w:t>
      </w:r>
      <w:r>
        <w:rPr>
          <w:rFonts w:hint="eastAsia" w:ascii="宋体" w:hAnsi="宋体" w:cs="仿宋_GB2312"/>
          <w:szCs w:val="32"/>
        </w:rPr>
        <w:t>　违反关于社会生活噪声污染防治的法律规定，制造噪声干扰他人正常生活的，处警告；警告后不改正的，处二百元以上五百元以下罚款。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第五十九</w:t>
      </w:r>
      <w:r>
        <w:rPr>
          <w:rFonts w:hint="eastAsia" w:ascii="宋体" w:hAnsi="宋体" w:eastAsia="黑体" w:cs="仿宋_GB2312"/>
          <w:szCs w:val="32"/>
        </w:rPr>
        <w:t>条</w:t>
      </w:r>
      <w:r>
        <w:rPr>
          <w:rFonts w:hint="eastAsia" w:ascii="宋体" w:hAnsi="宋体" w:cs="仿宋_GB2312"/>
          <w:szCs w:val="32"/>
        </w:rPr>
        <w:t>　有下列行为之一的，处五百元以上一千元以下罚款；情节严重的，处五日以上十日以下拘留，并处五百元以上一千元以下罚款: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（一）典当业工作人员承接典当的物品，不查验有关证明、不履行登记手续，或者明知是违法犯罪嫌疑人、赃物，不向公安机关报告的；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（二）违反国家规定，收购铁路、油田、供电、电信、矿山、水利、测量和城市公用设施等废旧专用器材的；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（三）收购公安机关通报寻查的赃物或者有赃物嫌疑的物品的；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（四）收购国家禁止收购的其他物品的。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w:t>
      </w:r>
      <w:r>
        <w:rPr>
          <w:rFonts w:hint="eastAsia" w:ascii="宋体" w:hAnsi="宋体" w:eastAsia="黑体" w:cs="仿宋_GB2312"/>
          <w:szCs w:val="32"/>
        </w:rPr>
        <w:t>条</w:t>
      </w:r>
      <w:r>
        <w:rPr>
          <w:rFonts w:hint="eastAsia" w:ascii="宋体" w:hAnsi="宋体" w:cs="仿宋_GB2312"/>
          <w:szCs w:val="32"/>
        </w:rPr>
        <w:t>　有下列行为之一的，处五日以上十日以下拘留，并处二百元以上五百元以下罚款: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（一）隐藏、转移、变卖或者损毁行政执法机关依法扣押、查封、冻结的财物的；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（二）伪造、隐匿、毁灭证据或者提供虚假证言、谎报案情，影响行政执法机关依法办案的；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（三）明知是赃物而窝藏、转移或者代为销售的；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（四）被依法执行管制、剥夺政治权利或者在缓刑、暂予监外执行中的罪犯或者被依法采取刑事强制措施的人，有违反法律、行政法规或者国务院有关部门的监督管理规定的行为。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第六十一</w:t>
      </w:r>
      <w:r>
        <w:rPr>
          <w:rFonts w:hint="eastAsia" w:ascii="宋体" w:hAnsi="宋体" w:eastAsia="黑体" w:cs="仿宋_GB2312"/>
          <w:szCs w:val="32"/>
        </w:rPr>
        <w:t>条</w:t>
      </w:r>
      <w:r>
        <w:rPr>
          <w:rFonts w:hint="eastAsia" w:ascii="宋体" w:hAnsi="宋体" w:cs="仿宋_GB2312"/>
          <w:szCs w:val="32"/>
        </w:rPr>
        <w:t>　协助组织或者运送他人偷越国（边）境的，处十日以上十五日以下拘留，并处一千元以上五千元以下罚款。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第六十二</w:t>
      </w:r>
      <w:r>
        <w:rPr>
          <w:rFonts w:hint="eastAsia" w:ascii="宋体" w:hAnsi="宋体" w:eastAsia="黑体" w:cs="仿宋_GB2312"/>
          <w:szCs w:val="32"/>
        </w:rPr>
        <w:t>条</w:t>
      </w:r>
      <w:r>
        <w:rPr>
          <w:rFonts w:hint="eastAsia" w:ascii="宋体" w:hAnsi="宋体" w:cs="仿宋_GB2312"/>
          <w:szCs w:val="32"/>
        </w:rPr>
        <w:t>　为偷越国（边）境人员提供条件的，处五日以上十日以下拘留，并处五百元以上二千元以下罚款。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偷越国（边）境的，处五日以下拘留或者五百元以下罚款。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第六十三</w:t>
      </w:r>
      <w:r>
        <w:rPr>
          <w:rFonts w:hint="eastAsia" w:ascii="宋体" w:hAnsi="宋体" w:eastAsia="黑体" w:cs="仿宋_GB2312"/>
          <w:szCs w:val="32"/>
        </w:rPr>
        <w:t>条</w:t>
      </w:r>
      <w:r>
        <w:rPr>
          <w:rFonts w:hint="eastAsia" w:ascii="宋体" w:hAnsi="宋体" w:cs="仿宋_GB2312"/>
          <w:szCs w:val="32"/>
        </w:rPr>
        <w:t>　有下列行为之一的，处警告或者二百元以下罚款；情节较重的，处五日以上十日以下拘留，并处二百元以上五百元以下罚款: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（一）刻划、涂污或者以其他方式故意损坏国家保护的文物、名胜古迹的；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（二）违反国家规定，在文物保护单位附近进行爆破、挖掘等活动，危及文物安全的。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第六十四</w:t>
      </w:r>
      <w:r>
        <w:rPr>
          <w:rFonts w:hint="eastAsia" w:ascii="宋体" w:hAnsi="宋体" w:eastAsia="黑体" w:cs="仿宋_GB2312"/>
          <w:szCs w:val="32"/>
        </w:rPr>
        <w:t>条</w:t>
      </w:r>
      <w:r>
        <w:rPr>
          <w:rFonts w:hint="eastAsia" w:ascii="宋体" w:hAnsi="宋体" w:cs="仿宋_GB2312"/>
          <w:szCs w:val="32"/>
        </w:rPr>
        <w:t>　有下列行为之一的，处五百元以上一千元以下罚款；情节严重的，处十日以上十五日以下拘留，并处五百元以上一千元以下罚款: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（一）偷开他人机动车的；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（二）未取得驾驶证驾驶或者偷开他人航空器、机动船舶的。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第六十五</w:t>
      </w:r>
      <w:r>
        <w:rPr>
          <w:rFonts w:hint="eastAsia" w:ascii="宋体" w:hAnsi="宋体" w:eastAsia="黑体" w:cs="仿宋_GB2312"/>
          <w:szCs w:val="32"/>
        </w:rPr>
        <w:t>条</w:t>
      </w:r>
      <w:r>
        <w:rPr>
          <w:rFonts w:hint="eastAsia" w:ascii="宋体" w:hAnsi="宋体" w:cs="仿宋_GB2312"/>
          <w:szCs w:val="32"/>
        </w:rPr>
        <w:t>　有下列行为之一的，处五日以上十日以下拘留；情节严重的，处十日以上十五日以下拘留，可以并处一千元以下罚款: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（一）故意破坏、污损他人坟墓或者毁坏、丢弃他人尸骨、骨灰的；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（二）在公共场所停放尸体或者因停放尸体影响他人正常生活、工作秩序，不听劝阻的。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第六十六</w:t>
      </w:r>
      <w:r>
        <w:rPr>
          <w:rFonts w:hint="eastAsia" w:ascii="宋体" w:hAnsi="宋体" w:eastAsia="黑体" w:cs="仿宋_GB2312"/>
          <w:szCs w:val="32"/>
        </w:rPr>
        <w:t>条</w:t>
      </w:r>
      <w:r>
        <w:rPr>
          <w:rFonts w:hint="eastAsia" w:ascii="宋体" w:hAnsi="宋体" w:cs="仿宋_GB2312"/>
          <w:szCs w:val="32"/>
        </w:rPr>
        <w:t>　卖淫、嫖娼的，处十日以上十五日以下拘留，可以并处五千元以下罚款；情节较轻的，处五日以下拘留或者五百元以下罚款。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在公共场所拉客招嫖的，处五日以下拘留或者五百元以下罚款。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第六十七</w:t>
      </w:r>
      <w:r>
        <w:rPr>
          <w:rFonts w:hint="eastAsia" w:ascii="宋体" w:hAnsi="宋体" w:eastAsia="黑体" w:cs="仿宋_GB2312"/>
          <w:szCs w:val="32"/>
        </w:rPr>
        <w:t>条</w:t>
      </w:r>
      <w:r>
        <w:rPr>
          <w:rFonts w:hint="eastAsia" w:ascii="宋体" w:hAnsi="宋体" w:cs="仿宋_GB2312"/>
          <w:szCs w:val="32"/>
        </w:rPr>
        <w:t>　引诱、容留、介绍他人卖淫的，处十日以上十五日以下拘留，可以并处五千元以下罚款；情节较轻的，处五日以下拘留或者五百元以下罚款。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第六十八</w:t>
      </w:r>
      <w:r>
        <w:rPr>
          <w:rFonts w:hint="eastAsia" w:ascii="宋体" w:hAnsi="宋体" w:eastAsia="黑体" w:cs="仿宋_GB2312"/>
          <w:szCs w:val="32"/>
        </w:rPr>
        <w:t>条</w:t>
      </w:r>
      <w:r>
        <w:rPr>
          <w:rFonts w:hint="eastAsia" w:ascii="宋体" w:hAnsi="宋体" w:cs="仿宋_GB2312"/>
          <w:szCs w:val="32"/>
        </w:rPr>
        <w:t>　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第六十九</w:t>
      </w:r>
      <w:r>
        <w:rPr>
          <w:rFonts w:hint="eastAsia" w:ascii="宋体" w:hAnsi="宋体" w:eastAsia="黑体" w:cs="仿宋_GB2312"/>
          <w:szCs w:val="32"/>
        </w:rPr>
        <w:t>条</w:t>
      </w:r>
      <w:r>
        <w:rPr>
          <w:rFonts w:hint="eastAsia" w:ascii="宋体" w:hAnsi="宋体" w:cs="仿宋_GB2312"/>
          <w:szCs w:val="32"/>
        </w:rPr>
        <w:t>　有下列行为之一的，处十日以上十五日以下拘留，并处五百元以上一千元以下罚款: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（一）组织播放淫秽音像的；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（二）组织或者进行淫秽表演的；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（三）参与聚众淫乱活动的。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明知他人从事前款活动，为其提供条件的，依照前款的规定处罚。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w:t>
      </w:r>
      <w:r>
        <w:rPr>
          <w:rFonts w:hint="eastAsia" w:ascii="宋体" w:hAnsi="宋体" w:eastAsia="黑体" w:cs="仿宋_GB2312"/>
          <w:szCs w:val="32"/>
        </w:rPr>
        <w:t>条</w:t>
      </w:r>
      <w:r>
        <w:rPr>
          <w:rFonts w:hint="eastAsia" w:ascii="宋体" w:hAnsi="宋体" w:cs="仿宋_GB2312"/>
          <w:szCs w:val="32"/>
        </w:rPr>
        <w:t>　以营利为目的，为赌博提供条件的，或者参与赌博赌资较大的，处五日以下拘留或者五百元以下罚款；情节严重的，处十日以上十五日以下拘留，并处五百元以上三千元以下罚款。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第七十一</w:t>
      </w:r>
      <w:r>
        <w:rPr>
          <w:rFonts w:hint="eastAsia" w:ascii="宋体" w:hAnsi="宋体" w:eastAsia="黑体" w:cs="仿宋_GB2312"/>
          <w:szCs w:val="32"/>
        </w:rPr>
        <w:t>条</w:t>
      </w:r>
      <w:r>
        <w:rPr>
          <w:rFonts w:hint="eastAsia" w:ascii="宋体" w:hAnsi="宋体" w:cs="仿宋_GB2312"/>
          <w:szCs w:val="32"/>
        </w:rPr>
        <w:t>　有下列行为之一的，处十日以上十五日以下拘留，可以并处三千元以下罚款；情节较轻的，处五日以下拘留或者五百元以下罚款: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（一）非法种植罂粟不满五百株或者其他少量毒品原植物的；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xml:space="preserve">　 </w:t>
      </w:r>
      <w:r>
        <w:rPr>
          <w:rFonts w:hint="eastAsia" w:ascii="宋体" w:hAnsi="宋体" w:cs="仿宋_GB2312"/>
          <w:szCs w:val="32"/>
        </w:rPr>
        <w:t>（二）非法买卖、运输、携带、持有少量未经灭活的罂粟等毒品原植物种子或者幼苗的；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（三）非法运输、买卖、储存、使用少量罂粟壳的。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有前款第一项行为，在成熟前自行铲除的，不予处罚。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第七十二</w:t>
      </w:r>
      <w:r>
        <w:rPr>
          <w:rFonts w:hint="eastAsia" w:ascii="宋体" w:hAnsi="宋体" w:eastAsia="黑体" w:cs="仿宋_GB2312"/>
          <w:szCs w:val="32"/>
        </w:rPr>
        <w:t>条</w:t>
      </w:r>
      <w:r>
        <w:rPr>
          <w:rFonts w:hint="eastAsia" w:ascii="宋体" w:hAnsi="宋体" w:cs="仿宋_GB2312"/>
          <w:szCs w:val="32"/>
        </w:rPr>
        <w:t>　有下列行为之一的，处十日以上十五日以下拘留，可以并处二千元以下罚款；情节较轻的，处五日以下拘留或者五百元以下罚款: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（一）非法持有鸦片不满二百克、海洛因或者甲基苯丙胺不满十克或者其他少量毒品的；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（二）向他人提供毒品的；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（三）吸食、注射毒品的；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（四）胁迫、欺骗医务人员开具麻醉药品、精神药品的。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第七十三</w:t>
      </w:r>
      <w:r>
        <w:rPr>
          <w:rFonts w:hint="eastAsia" w:ascii="宋体" w:hAnsi="宋体" w:eastAsia="黑体" w:cs="仿宋_GB2312"/>
          <w:szCs w:val="32"/>
        </w:rPr>
        <w:t>条</w:t>
      </w:r>
      <w:r>
        <w:rPr>
          <w:rFonts w:hint="eastAsia" w:ascii="宋体" w:hAnsi="宋体" w:cs="仿宋_GB2312"/>
          <w:szCs w:val="32"/>
        </w:rPr>
        <w:t>　教唆、引诱、欺骗他人吸食、注射毒品的，处十日以上十五日以下拘留，并处五百元以上二千元以下罚款。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第七十四</w:t>
      </w:r>
      <w:r>
        <w:rPr>
          <w:rFonts w:hint="eastAsia" w:ascii="宋体" w:hAnsi="宋体" w:eastAsia="黑体" w:cs="仿宋_GB2312"/>
          <w:szCs w:val="32"/>
        </w:rPr>
        <w:t>条</w:t>
      </w:r>
      <w:r>
        <w:rPr>
          <w:rFonts w:hint="eastAsia" w:ascii="宋体" w:hAnsi="宋体" w:cs="仿宋_GB2312"/>
          <w:szCs w:val="32"/>
        </w:rPr>
        <w:t>　旅馆业、饮食服务业、文化娱乐业、出租汽车业等单位的人员，在公安机关查处吸毒、赌博、卖淫、嫖娼活动时，为违法犯罪行为人通风报信的，处十日以上十五日以下拘留。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第七十五</w:t>
      </w:r>
      <w:r>
        <w:rPr>
          <w:rFonts w:hint="eastAsia" w:ascii="宋体" w:hAnsi="宋体" w:eastAsia="黑体" w:cs="仿宋_GB2312"/>
          <w:szCs w:val="32"/>
        </w:rPr>
        <w:t>条</w:t>
      </w:r>
      <w:r>
        <w:rPr>
          <w:rFonts w:hint="eastAsia" w:ascii="宋体" w:hAnsi="宋体" w:cs="仿宋_GB2312"/>
          <w:szCs w:val="32"/>
        </w:rPr>
        <w:t>　饲养动物，干扰他人正常生活的，处警告；警告后不改正的，或者放任动物恐吓他人的，处二百元以上五百元以下罚款。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驱使动物伤害他人的，依照本法第四十三条第一款的规定处罚。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第七十六</w:t>
      </w:r>
      <w:r>
        <w:rPr>
          <w:rFonts w:hint="eastAsia" w:ascii="宋体" w:hAnsi="宋体" w:eastAsia="黑体" w:cs="仿宋_GB2312"/>
          <w:szCs w:val="32"/>
        </w:rPr>
        <w:t>条</w:t>
      </w:r>
      <w:r>
        <w:rPr>
          <w:rFonts w:hint="eastAsia" w:ascii="宋体" w:hAnsi="宋体" w:cs="仿宋_GB2312"/>
          <w:szCs w:val="32"/>
        </w:rPr>
        <w:t>　有本法第六十七条、第六十八条、第七十条的行为，屡教不改的，可以按照国家规定采取强制性教育措施。</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第四章　处罚程序</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调查</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第七十七</w:t>
      </w:r>
      <w:r>
        <w:rPr>
          <w:rFonts w:hint="eastAsia" w:ascii="宋体" w:hAnsi="宋体" w:eastAsia="黑体" w:cs="仿宋_GB2312"/>
          <w:szCs w:val="32"/>
        </w:rPr>
        <w:t>条</w:t>
      </w:r>
      <w:r>
        <w:rPr>
          <w:rFonts w:hint="eastAsia" w:ascii="宋体" w:hAnsi="宋体" w:cs="仿宋_GB2312"/>
          <w:szCs w:val="32"/>
        </w:rPr>
        <w:t>　公安机关对报案、控告、举报或者违反治安管理行为人主动投案，以及其他行政主管部门、司法机关移送的违反治安管理案件，应当及时受理，并进行登记。</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第七十八</w:t>
      </w:r>
      <w:r>
        <w:rPr>
          <w:rFonts w:hint="eastAsia" w:ascii="宋体" w:hAnsi="宋体" w:eastAsia="黑体" w:cs="仿宋_GB2312"/>
          <w:szCs w:val="32"/>
        </w:rPr>
        <w:t>条</w:t>
      </w:r>
      <w:r>
        <w:rPr>
          <w:rFonts w:hint="eastAsia" w:ascii="宋体" w:hAnsi="宋体" w:cs="仿宋_GB2312"/>
          <w:szCs w:val="32"/>
        </w:rPr>
        <w:t>　公安机关受理报案、控告、举报、投案后，认为属于违反治安管理行为的，应当立即进行调查；认为不属于违反治安管理行为的，应当告知报案人、控告人、举报人、投案人，并说明理由。</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第七十九</w:t>
      </w:r>
      <w:r>
        <w:rPr>
          <w:rFonts w:hint="eastAsia" w:ascii="宋体" w:hAnsi="宋体" w:eastAsia="黑体" w:cs="仿宋_GB2312"/>
          <w:szCs w:val="32"/>
        </w:rPr>
        <w:t>条</w:t>
      </w:r>
      <w:r>
        <w:rPr>
          <w:rFonts w:hint="eastAsia" w:ascii="宋体" w:hAnsi="宋体" w:cs="仿宋_GB2312"/>
          <w:szCs w:val="32"/>
        </w:rPr>
        <w:t>　公安机关及其人民警察对治安案件的调查，应当依法进行。严禁刑讯逼供或者采用威胁、引诱、欺骗等非法手段收集证据。</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以非法手段收集的证据不得作为处罚的根据。</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w:t>
      </w:r>
      <w:r>
        <w:rPr>
          <w:rFonts w:hint="eastAsia" w:ascii="宋体" w:hAnsi="宋体" w:eastAsia="黑体" w:cs="仿宋_GB2312"/>
          <w:szCs w:val="32"/>
        </w:rPr>
        <w:t>条</w:t>
      </w:r>
      <w:r>
        <w:rPr>
          <w:rFonts w:hint="eastAsia" w:ascii="宋体" w:hAnsi="宋体" w:cs="仿宋_GB2312"/>
          <w:szCs w:val="32"/>
        </w:rPr>
        <w:t>　公安机关及其人民警察在办理治安案件时，对涉及的国家秘密、商业秘密或者个人隐私，应当予以保密。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第八十一</w:t>
      </w:r>
      <w:r>
        <w:rPr>
          <w:rFonts w:hint="eastAsia" w:ascii="宋体" w:hAnsi="宋体" w:eastAsia="黑体" w:cs="仿宋_GB2312"/>
          <w:szCs w:val="32"/>
        </w:rPr>
        <w:t>条</w:t>
      </w:r>
      <w:r>
        <w:rPr>
          <w:rFonts w:hint="eastAsia" w:ascii="宋体" w:hAnsi="宋体" w:cs="仿宋_GB2312"/>
          <w:szCs w:val="32"/>
        </w:rPr>
        <w:t>　人民警察在办理治安案件过程中，遇有下列情形之一的，应当回避；违反治安管理行为人、被侵害人或者其法定代理人也有权要求他们回避:</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（一）是本案当事人或者当事人的近亲属的；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（二）本人或者其近亲属与本案有利害关系的；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（三）与本案当事人有其他关系，可能影响案件公正处理的。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人民警察的回避，由其所属的公安机关决定；公安机关负责人的回避，由上一级公安机关决定。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第八十二</w:t>
      </w:r>
      <w:r>
        <w:rPr>
          <w:rFonts w:hint="eastAsia" w:ascii="宋体" w:hAnsi="宋体" w:eastAsia="黑体" w:cs="仿宋_GB2312"/>
          <w:szCs w:val="32"/>
        </w:rPr>
        <w:t>条</w:t>
      </w:r>
      <w:r>
        <w:rPr>
          <w:rFonts w:hint="eastAsia" w:ascii="宋体" w:hAnsi="宋体" w:cs="仿宋_GB2312"/>
          <w:szCs w:val="32"/>
        </w:rPr>
        <w:t>　需要传唤违反治安管理行为人接受调查的，经公安机关办案部门负责人批准，使用传唤证传唤。对现场发现的违反治安管理行为人，人民警察经出示工作证件，可以口头传唤，但应当在询问笔录中注明。</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公安机关应当将传唤的原因和依据告知被传唤人。对无正当理由不接受传唤或者逃避传唤的人，可以强制传唤。</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第八十三</w:t>
      </w:r>
      <w:r>
        <w:rPr>
          <w:rFonts w:hint="eastAsia" w:ascii="宋体" w:hAnsi="宋体" w:eastAsia="黑体" w:cs="仿宋_GB2312"/>
          <w:szCs w:val="32"/>
        </w:rPr>
        <w:t>条</w:t>
      </w:r>
      <w:r>
        <w:rPr>
          <w:rFonts w:hint="eastAsia" w:ascii="宋体" w:hAnsi="宋体" w:cs="仿宋_GB2312"/>
          <w:szCs w:val="32"/>
        </w:rPr>
        <w:t>　对违反治安管理行为人，公安机关传唤后应当及时询问查证，询问查证的时间不得超过八小时；情况复杂，依照本法规定可能适用行政拘留处罚的，询问查证的时间不得超过二十四小时。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公安机关应当及时将传唤的原因和处所通知被传唤人家属。</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第八十四</w:t>
      </w:r>
      <w:r>
        <w:rPr>
          <w:rFonts w:hint="eastAsia" w:ascii="宋体" w:hAnsi="宋体" w:eastAsia="黑体" w:cs="仿宋_GB2312"/>
          <w:szCs w:val="32"/>
        </w:rPr>
        <w:t>条</w:t>
      </w:r>
      <w:r>
        <w:rPr>
          <w:rFonts w:hint="eastAsia" w:ascii="宋体" w:hAnsi="宋体" w:cs="仿宋_GB2312"/>
          <w:szCs w:val="32"/>
        </w:rPr>
        <w:t>　询问笔录应当交被询问人核对；对没有阅读能力的，应当向其宣读。记载有遗漏或者差错的，被询问人可以提出补充或者更正。被询问人确认笔录无误后，应当签名或者盖章，询问的人民警察也应当在笔录上签名。</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被询问人要求就被询问事项自行提供书面材料的，应当准许；必要时，人民警察也可以要求被询问人自行书写。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询问不满十六周岁的违反治安管理行为人，应当通知其父母或者其他监护人到场。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第八十五</w:t>
      </w:r>
      <w:r>
        <w:rPr>
          <w:rFonts w:hint="eastAsia" w:ascii="宋体" w:hAnsi="宋体" w:eastAsia="黑体" w:cs="仿宋_GB2312"/>
          <w:szCs w:val="32"/>
        </w:rPr>
        <w:t>条</w:t>
      </w:r>
      <w:r>
        <w:rPr>
          <w:rFonts w:hint="eastAsia" w:ascii="宋体" w:hAnsi="宋体" w:cs="仿宋_GB2312"/>
          <w:szCs w:val="32"/>
        </w:rPr>
        <w:t>　人民警察询问被侵害人或者其他证人，可以到其所在单位或者住处进行；必要时，也可以通知其到公安机关提供证言。</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人民警察在公安机关以外询问被侵害人或者其他证人，应当出示工作证件。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询问被侵害人或者其他证人，同时适用本法第八十四条的规定。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第八十六</w:t>
      </w:r>
      <w:r>
        <w:rPr>
          <w:rFonts w:hint="eastAsia" w:ascii="宋体" w:hAnsi="宋体" w:eastAsia="黑体" w:cs="仿宋_GB2312"/>
          <w:szCs w:val="32"/>
        </w:rPr>
        <w:t>条</w:t>
      </w:r>
      <w:r>
        <w:rPr>
          <w:rFonts w:hint="eastAsia" w:ascii="宋体" w:hAnsi="宋体" w:cs="仿宋_GB2312"/>
          <w:szCs w:val="32"/>
        </w:rPr>
        <w:t>　询问聋哑的违反治安管理行为人、被侵害人或者其他证人，应当有通晓手语的人提供帮助，并在笔录上注明。</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询问不通晓当地通用的语言文字的违反治安管理行为人、被侵害人或者其他证人，应当配备翻译人员，并在笔录上注明。</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第八十七</w:t>
      </w:r>
      <w:r>
        <w:rPr>
          <w:rFonts w:hint="eastAsia" w:ascii="宋体" w:hAnsi="宋体" w:eastAsia="黑体" w:cs="仿宋_GB2312"/>
          <w:szCs w:val="32"/>
        </w:rPr>
        <w:t>条</w:t>
      </w:r>
      <w:r>
        <w:rPr>
          <w:rFonts w:hint="eastAsia" w:ascii="宋体" w:hAnsi="宋体" w:cs="仿宋_GB2312"/>
          <w:szCs w:val="32"/>
        </w:rPr>
        <w:t>　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检查妇女的身体，应当由女性工作人员进行。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第八十八</w:t>
      </w:r>
      <w:r>
        <w:rPr>
          <w:rFonts w:hint="eastAsia" w:ascii="宋体" w:hAnsi="宋体" w:eastAsia="黑体" w:cs="仿宋_GB2312"/>
          <w:szCs w:val="32"/>
        </w:rPr>
        <w:t>条</w:t>
      </w:r>
      <w:r>
        <w:rPr>
          <w:rFonts w:hint="eastAsia" w:ascii="宋体" w:hAnsi="宋体" w:cs="仿宋_GB2312"/>
          <w:szCs w:val="32"/>
        </w:rPr>
        <w:t>　检查的情况应当制作检查笔录，由检查人、被检查人和见证人签名或者盖章；被检查人拒绝签名的，人民警察应当在笔录上注明。</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第八十九</w:t>
      </w:r>
      <w:r>
        <w:rPr>
          <w:rFonts w:hint="eastAsia" w:ascii="宋体" w:hAnsi="宋体" w:eastAsia="黑体" w:cs="仿宋_GB2312"/>
          <w:szCs w:val="32"/>
        </w:rPr>
        <w:t>条</w:t>
      </w:r>
      <w:r>
        <w:rPr>
          <w:rFonts w:hint="eastAsia" w:ascii="宋体" w:hAnsi="宋体" w:cs="仿宋_GB2312"/>
          <w:szCs w:val="32"/>
        </w:rPr>
        <w:t>　公安机关办理治安案件，对与案件有关的需要作为证据的物品，可以扣押；对被侵害人或者善意第三人合法占有的财产，不得扣押，应当予以登记。对与案件无关的物品，不得扣押。</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对扣押的物品，应当会同在场见证人和被扣押物品持有人查点清楚，当场开列清单一式二份，由调查人员、见证人和持有人签名或者盖章，一份交给持有人，另一份附卷备查。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对扣押的物品，应当妥善保管，不得挪作他用；对不宜长期保存的物品，按照有关规定处理。经查明与案件无关的，应当及时退还；经核实属于他人合法财产的，应当登记后立即退还；满六个月无人对该财产主张权利或者无法查清权利人的，应当公开拍卖或者按照国家有关规定处理，所得款项上缴国库。</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第九十</w:t>
      </w:r>
      <w:r>
        <w:rPr>
          <w:rFonts w:hint="eastAsia" w:ascii="宋体" w:hAnsi="宋体" w:eastAsia="黑体" w:cs="仿宋_GB2312"/>
          <w:szCs w:val="32"/>
        </w:rPr>
        <w:t>条</w:t>
      </w:r>
      <w:r>
        <w:rPr>
          <w:rFonts w:hint="eastAsia" w:ascii="宋体" w:hAnsi="宋体" w:cs="仿宋_GB2312"/>
          <w:szCs w:val="32"/>
        </w:rPr>
        <w:t>　为了查明案情，需要解决案件中有争议的专门性问题的，应当指派或者聘请具有专门知识的人员进行鉴定；鉴定人鉴定后，应当写出鉴定意见，并且签名。</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宋体" w:cs="宋体"/>
          <w:szCs w:val="32"/>
        </w:rPr>
      </w:pPr>
      <w:r>
        <w:rPr>
          <w:rFonts w:hint="eastAsia" w:ascii="宋体" w:hAnsi="宋体" w:eastAsia="黑体" w:cs="黑体"/>
          <w:szCs w:val="32"/>
        </w:rPr>
        <w:t>第二节　决定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第九十一</w:t>
      </w:r>
      <w:r>
        <w:rPr>
          <w:rFonts w:hint="eastAsia" w:ascii="宋体" w:hAnsi="宋体" w:eastAsia="黑体" w:cs="仿宋_GB2312"/>
          <w:szCs w:val="32"/>
        </w:rPr>
        <w:t>条</w:t>
      </w:r>
      <w:r>
        <w:rPr>
          <w:rFonts w:hint="eastAsia" w:ascii="宋体" w:hAnsi="宋体" w:cs="仿宋_GB2312"/>
          <w:szCs w:val="32"/>
        </w:rPr>
        <w:t>　治安管理处罚由县级以上人民政府公安机关决定；其中警告、五百元以下的罚款可以由公安派出所决定。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第九十二</w:t>
      </w:r>
      <w:r>
        <w:rPr>
          <w:rFonts w:hint="eastAsia" w:ascii="宋体" w:hAnsi="宋体" w:eastAsia="黑体" w:cs="仿宋_GB2312"/>
          <w:szCs w:val="32"/>
        </w:rPr>
        <w:t>条</w:t>
      </w:r>
      <w:r>
        <w:rPr>
          <w:rFonts w:hint="eastAsia" w:ascii="宋体" w:hAnsi="宋体" w:cs="仿宋_GB2312"/>
          <w:szCs w:val="32"/>
        </w:rPr>
        <w:t>　对决定给予行政拘留处罚的人，在处罚前已经采取强制措施限制人身自由的时间，应当折抵。限制人身自由一日，折抵行政拘留一日。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第九十三</w:t>
      </w:r>
      <w:r>
        <w:rPr>
          <w:rFonts w:hint="eastAsia" w:ascii="宋体" w:hAnsi="宋体" w:eastAsia="黑体" w:cs="仿宋_GB2312"/>
          <w:szCs w:val="32"/>
        </w:rPr>
        <w:t>条</w:t>
      </w:r>
      <w:r>
        <w:rPr>
          <w:rFonts w:hint="eastAsia" w:ascii="宋体" w:hAnsi="宋体" w:cs="仿宋_GB2312"/>
          <w:szCs w:val="32"/>
        </w:rPr>
        <w:t>　公安机关查处治安案件，对没有本人陈述，但其他证据能够证明案件事实的，可以作出治安管理处罚决定。但是，只有本人陈述，没有其他证据证明的，不能作出治安管理处罚决定。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第九十四</w:t>
      </w:r>
      <w:r>
        <w:rPr>
          <w:rFonts w:hint="eastAsia" w:ascii="宋体" w:hAnsi="宋体" w:eastAsia="黑体" w:cs="仿宋_GB2312"/>
          <w:szCs w:val="32"/>
        </w:rPr>
        <w:t>条</w:t>
      </w:r>
      <w:r>
        <w:rPr>
          <w:rFonts w:hint="eastAsia" w:ascii="宋体" w:hAnsi="宋体" w:cs="仿宋_GB2312"/>
          <w:szCs w:val="32"/>
        </w:rPr>
        <w:t>　公安机关作出治安管理处罚决定前，应当告知违反治安管理行为人作出治安管理处罚的事实、理由及依据，并告知违反治安管理行为人依法享有的权利。</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公安机关不得因违反治安管理行为人的陈述、申辩而加重处罚。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第九十五</w:t>
      </w:r>
      <w:r>
        <w:rPr>
          <w:rFonts w:hint="eastAsia" w:ascii="宋体" w:hAnsi="宋体" w:eastAsia="黑体" w:cs="仿宋_GB2312"/>
          <w:szCs w:val="32"/>
        </w:rPr>
        <w:t>条</w:t>
      </w:r>
      <w:r>
        <w:rPr>
          <w:rFonts w:hint="eastAsia" w:ascii="宋体" w:hAnsi="宋体" w:cs="仿宋_GB2312"/>
          <w:szCs w:val="32"/>
        </w:rPr>
        <w:t>　治安案件调查结束后，公安机关应当根据不同情况，分别作出以下处理: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（一）确有依法应当给予治安管理处罚的违法行为的，根据情节轻重及具体情况，作出处罚决定；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（二）依法不予处罚的，或者违法事实不能成立的，作出不予处罚决定；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（三）违法行为已涉嫌犯罪的，移送主管机关依法追究刑事责任；</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（四）发现违反治安管理行为人有其他违法行为的，在对违反治安管理行为作出处罚决定的同时，通知有关行政主管部门处理。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第九十六</w:t>
      </w:r>
      <w:r>
        <w:rPr>
          <w:rFonts w:hint="eastAsia" w:ascii="宋体" w:hAnsi="宋体" w:eastAsia="黑体" w:cs="仿宋_GB2312"/>
          <w:szCs w:val="32"/>
        </w:rPr>
        <w:t>条</w:t>
      </w:r>
      <w:r>
        <w:rPr>
          <w:rFonts w:hint="eastAsia" w:ascii="宋体" w:hAnsi="宋体" w:cs="仿宋_GB2312"/>
          <w:szCs w:val="32"/>
        </w:rPr>
        <w:t>　公安机关作出治安管理处罚决定的，应当制作治安管理处罚决定书。决定书应当载明下列内容:</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（一）被处罚人的姓名、性别、年龄、身份证件的名称和号码、住址；</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（二）违法事实和证据；</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（三）处罚的种类和依据；</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（四）处罚的执行方式和期限；</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（五）对处罚决定不服，申请行政复议、提起行政诉讼的途径和期限；</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（六）作出处罚决定的公安机关的名称和作出决定的日期。</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决定书应当由作出处罚决定的公安机关加盖印章。</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第九十七</w:t>
      </w:r>
      <w:r>
        <w:rPr>
          <w:rFonts w:hint="eastAsia" w:ascii="宋体" w:hAnsi="宋体" w:eastAsia="黑体" w:cs="仿宋_GB2312"/>
          <w:szCs w:val="32"/>
        </w:rPr>
        <w:t>条</w:t>
      </w:r>
      <w:r>
        <w:rPr>
          <w:rFonts w:hint="eastAsia" w:ascii="宋体" w:hAnsi="宋体" w:cs="仿宋_GB2312"/>
          <w:szCs w:val="32"/>
        </w:rPr>
        <w:t>　公安机关应当向被处罚人宣告治安管理处罚决定书，并当场交付被处罚人；无法当场向被处罚人宣告的，应当在二日内送达被处罚人。决定给予行政拘留处罚的，应当及时通知被处罚人的家属。</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有被侵害人的，公安机关应当将决定书副本抄送被侵害人。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第九十八</w:t>
      </w:r>
      <w:r>
        <w:rPr>
          <w:rFonts w:hint="eastAsia" w:ascii="宋体" w:hAnsi="宋体" w:eastAsia="黑体" w:cs="仿宋_GB2312"/>
          <w:szCs w:val="32"/>
        </w:rPr>
        <w:t>条</w:t>
      </w:r>
      <w:r>
        <w:rPr>
          <w:rFonts w:hint="eastAsia" w:ascii="宋体" w:hAnsi="宋体" w:cs="仿宋_GB2312"/>
          <w:szCs w:val="32"/>
        </w:rPr>
        <w:t>　公安机关作出吊销许可证以及处二千元以上罚款的治安管理处罚决定前，应当告知违反治安管理行为人有权要求举行听证；违反治安管理行为人要求听证的，公安机关应当及时依法举行听证。</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第九十九</w:t>
      </w:r>
      <w:r>
        <w:rPr>
          <w:rFonts w:hint="eastAsia" w:ascii="宋体" w:hAnsi="宋体" w:eastAsia="黑体" w:cs="仿宋_GB2312"/>
          <w:szCs w:val="32"/>
        </w:rPr>
        <w:t>条</w:t>
      </w:r>
      <w:r>
        <w:rPr>
          <w:rFonts w:hint="eastAsia" w:ascii="宋体" w:hAnsi="宋体" w:cs="仿宋_GB2312"/>
          <w:szCs w:val="32"/>
        </w:rPr>
        <w:t>　公安机关办理治安案件的期限，自受理之日起不得超过三十日；案情重大、复杂的，经上一级公安机关批准，可以延长三十日。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为了查明案情进行鉴定的期间，不计入办理治安案件的期限。</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w:t>
      </w:r>
      <w:r>
        <w:rPr>
          <w:rFonts w:hint="eastAsia" w:ascii="宋体" w:hAnsi="宋体" w:eastAsia="黑体" w:cs="仿宋_GB2312"/>
          <w:szCs w:val="32"/>
        </w:rPr>
        <w:t>条</w:t>
      </w:r>
      <w:r>
        <w:rPr>
          <w:rFonts w:hint="eastAsia" w:ascii="宋体" w:hAnsi="宋体" w:cs="仿宋_GB2312"/>
          <w:szCs w:val="32"/>
        </w:rPr>
        <w:t>　违反治安管理行为事实清楚，证据确凿，处警告或者二百元以下罚款的，可以当场作出治安管理处罚决定。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第一百零一</w:t>
      </w:r>
      <w:r>
        <w:rPr>
          <w:rFonts w:hint="eastAsia" w:ascii="宋体" w:hAnsi="宋体" w:eastAsia="黑体" w:cs="仿宋_GB2312"/>
          <w:szCs w:val="32"/>
        </w:rPr>
        <w:t>条</w:t>
      </w:r>
      <w:r>
        <w:rPr>
          <w:rFonts w:hint="eastAsia" w:ascii="宋体" w:hAnsi="宋体" w:cs="仿宋_GB2312"/>
          <w:szCs w:val="32"/>
        </w:rPr>
        <w:t>　当场作出治安管理处罚决定的，人民警察应当向违反治安管理行为人出示工作证件，并填写处罚决定书。处罚决定书应当当场交付被处罚人；有被侵害人的，并将决定书副本抄送被侵害人。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前款规定的处罚决定书，应当载明被处罚人的姓名、违法行为、处罚依据、罚款数额、时间、地点以及公安机关名称，并由经办的人民警察签名或者盖章。</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当场作出治安管理处罚决定的，经办的人民警察应当在二十四小时内报所属公安机关备案。</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第一百零二</w:t>
      </w:r>
      <w:r>
        <w:rPr>
          <w:rFonts w:hint="eastAsia" w:ascii="宋体" w:hAnsi="宋体" w:eastAsia="黑体" w:cs="仿宋_GB2312"/>
          <w:szCs w:val="32"/>
        </w:rPr>
        <w:t>条</w:t>
      </w:r>
      <w:r>
        <w:rPr>
          <w:rFonts w:hint="eastAsia" w:ascii="宋体" w:hAnsi="宋体" w:cs="仿宋_GB2312"/>
          <w:szCs w:val="32"/>
        </w:rPr>
        <w:t>　被处罚人对治安管理处罚决定不服的，可以依法申请行政复议或者提起行政诉讼。</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第三节　执行</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第一百零三</w:t>
      </w:r>
      <w:r>
        <w:rPr>
          <w:rFonts w:hint="eastAsia" w:ascii="宋体" w:hAnsi="宋体" w:eastAsia="黑体" w:cs="仿宋_GB2312"/>
          <w:szCs w:val="32"/>
        </w:rPr>
        <w:t>条</w:t>
      </w:r>
      <w:r>
        <w:rPr>
          <w:rFonts w:hint="eastAsia" w:ascii="宋体" w:hAnsi="宋体" w:cs="仿宋_GB2312"/>
          <w:szCs w:val="32"/>
        </w:rPr>
        <w:t>　对被决定给予行政拘留处罚的人，由作出决定的公安机关送达拘留所执行。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第一百零四</w:t>
      </w:r>
      <w:r>
        <w:rPr>
          <w:rFonts w:hint="eastAsia" w:ascii="宋体" w:hAnsi="宋体" w:eastAsia="黑体" w:cs="仿宋_GB2312"/>
          <w:szCs w:val="32"/>
        </w:rPr>
        <w:t>条</w:t>
      </w:r>
      <w:r>
        <w:rPr>
          <w:rFonts w:hint="eastAsia" w:ascii="宋体" w:hAnsi="宋体" w:cs="仿宋_GB2312"/>
          <w:szCs w:val="32"/>
        </w:rPr>
        <w:t>　受到罚款处罚的人应当自收到处罚决定书之日起十五日内，到指定的银行缴纳罚款。但是，有下列情形之一的，人民警察可以当场收缴罚款: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（一）被处五十元以下罚款，被处罚人对罚款无异议的；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（二）在边远、水上、交通不便地区，公安机关及其人民警察依照本法的规定作出罚款决定后，被处罚人向指定的银行缴纳罚款确有困难，经被处罚人提出的；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（三）被处罚人在当地没有固定住所，不当场收缴事后难以执行的。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第一百零五</w:t>
      </w:r>
      <w:r>
        <w:rPr>
          <w:rFonts w:hint="eastAsia" w:ascii="宋体" w:hAnsi="宋体" w:eastAsia="黑体" w:cs="仿宋_GB2312"/>
          <w:szCs w:val="32"/>
        </w:rPr>
        <w:t>条</w:t>
      </w:r>
      <w:r>
        <w:rPr>
          <w:rFonts w:hint="eastAsia" w:ascii="宋体" w:hAnsi="宋体" w:cs="仿宋_GB2312"/>
          <w:szCs w:val="32"/>
        </w:rPr>
        <w:t>　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第一百零六</w:t>
      </w:r>
      <w:r>
        <w:rPr>
          <w:rFonts w:hint="eastAsia" w:ascii="宋体" w:hAnsi="宋体" w:eastAsia="黑体" w:cs="仿宋_GB2312"/>
          <w:szCs w:val="32"/>
        </w:rPr>
        <w:t>条</w:t>
      </w:r>
      <w:r>
        <w:rPr>
          <w:rFonts w:hint="eastAsia" w:ascii="宋体" w:hAnsi="宋体" w:cs="仿宋_GB2312"/>
          <w:szCs w:val="32"/>
        </w:rPr>
        <w:t>　人民警察当场收缴罚款的，应当向被处罚人出具省、自治区、直辖市人民政府财政部门统一制发的罚款收据；不出具统一制发的罚款收据的，被处罚人有权拒绝缴纳罚款。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第一百零七</w:t>
      </w:r>
      <w:r>
        <w:rPr>
          <w:rFonts w:hint="eastAsia" w:ascii="宋体" w:hAnsi="宋体" w:eastAsia="黑体" w:cs="仿宋_GB2312"/>
          <w:szCs w:val="32"/>
        </w:rPr>
        <w:t>条</w:t>
      </w:r>
      <w:r>
        <w:rPr>
          <w:rFonts w:hint="eastAsia" w:ascii="宋体" w:hAnsi="宋体" w:cs="仿宋_GB2312"/>
          <w:szCs w:val="32"/>
        </w:rPr>
        <w:t>　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第一百零八</w:t>
      </w:r>
      <w:r>
        <w:rPr>
          <w:rFonts w:hint="eastAsia" w:ascii="宋体" w:hAnsi="宋体" w:eastAsia="黑体" w:cs="仿宋_GB2312"/>
          <w:szCs w:val="32"/>
        </w:rPr>
        <w:t>条</w:t>
      </w:r>
      <w:r>
        <w:rPr>
          <w:rFonts w:hint="eastAsia" w:ascii="宋体" w:hAnsi="宋体" w:cs="仿宋_GB2312"/>
          <w:szCs w:val="32"/>
        </w:rPr>
        <w:t>　担保人应当符合下列条件: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（一）与本案无牵连；</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（二）享有政治权利，人身自由未受到限制；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（三）在当地有常住户口和固定住所；</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（四）有能力履行担保义务。</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第一百零九条</w:t>
      </w:r>
      <w:r>
        <w:rPr>
          <w:rFonts w:hint="eastAsia" w:ascii="宋体" w:hAnsi="宋体" w:cs="仿宋_GB2312"/>
          <w:szCs w:val="32"/>
        </w:rPr>
        <w:t>　担保人应当保证被担保人不逃避行政拘留处罚的执行。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担保人不履行担保义务，致使被担保人逃避行政拘留处罚的执行的，由公安机关对其处三千元以下罚款。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w:t>
      </w:r>
      <w:r>
        <w:rPr>
          <w:rFonts w:hint="eastAsia" w:ascii="宋体" w:hAnsi="宋体" w:eastAsia="黑体" w:cs="仿宋_GB2312"/>
          <w:szCs w:val="32"/>
        </w:rPr>
        <w:t>条</w:t>
      </w:r>
      <w:r>
        <w:rPr>
          <w:rFonts w:hint="eastAsia" w:ascii="宋体" w:hAnsi="宋体" w:cs="仿宋_GB2312"/>
          <w:szCs w:val="32"/>
        </w:rPr>
        <w:t>　被决定给予行政拘留处罚的人交纳保证金，暂缓行政拘留后，逃避行政拘留处罚的执行的，保证金予以没收并上缴国库，已经作出的行政拘留决定仍应执行。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第一百一十一</w:t>
      </w:r>
      <w:r>
        <w:rPr>
          <w:rFonts w:hint="eastAsia" w:ascii="宋体" w:hAnsi="宋体" w:eastAsia="黑体" w:cs="仿宋_GB2312"/>
          <w:szCs w:val="32"/>
        </w:rPr>
        <w:t>条</w:t>
      </w:r>
      <w:r>
        <w:rPr>
          <w:rFonts w:hint="eastAsia" w:ascii="宋体" w:hAnsi="宋体" w:cs="仿宋_GB2312"/>
          <w:szCs w:val="32"/>
        </w:rPr>
        <w:t>　行政拘留的处罚决定被撤销，或者行政拘留处罚开始执行的，公安机关收取的保证金应当及时退还交纳人。</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第五章　执法监督</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第一百一十二</w:t>
      </w:r>
      <w:r>
        <w:rPr>
          <w:rFonts w:hint="eastAsia" w:ascii="宋体" w:hAnsi="宋体" w:eastAsia="黑体" w:cs="仿宋_GB2312"/>
          <w:szCs w:val="32"/>
        </w:rPr>
        <w:t>条</w:t>
      </w:r>
      <w:r>
        <w:rPr>
          <w:rFonts w:hint="eastAsia" w:ascii="宋体" w:hAnsi="宋体" w:cs="仿宋_GB2312"/>
          <w:szCs w:val="32"/>
        </w:rPr>
        <w:t>　公安机关及其人民警察应当依法、公正、严格、高效办理治安案件，文明执法，不得徇私舞弊。</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第一百一十三</w:t>
      </w:r>
      <w:r>
        <w:rPr>
          <w:rFonts w:hint="eastAsia" w:ascii="宋体" w:hAnsi="宋体" w:eastAsia="黑体" w:cs="仿宋_GB2312"/>
          <w:szCs w:val="32"/>
        </w:rPr>
        <w:t>条</w:t>
      </w:r>
      <w:r>
        <w:rPr>
          <w:rFonts w:hint="eastAsia" w:ascii="宋体" w:hAnsi="宋体" w:cs="仿宋_GB2312"/>
          <w:szCs w:val="32"/>
        </w:rPr>
        <w:t>　公安机关及其人民警察办理治安案件，禁止对违反治安管理行为人打骂、虐待或者侮辱。</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第一百一十四</w:t>
      </w:r>
      <w:r>
        <w:rPr>
          <w:rFonts w:hint="eastAsia" w:ascii="宋体" w:hAnsi="宋体" w:eastAsia="黑体" w:cs="仿宋_GB2312"/>
          <w:szCs w:val="32"/>
        </w:rPr>
        <w:t>条</w:t>
      </w:r>
      <w:r>
        <w:rPr>
          <w:rFonts w:hint="eastAsia" w:ascii="宋体" w:hAnsi="宋体" w:cs="仿宋_GB2312"/>
          <w:szCs w:val="32"/>
        </w:rPr>
        <w:t>　公安机关及其人民警察办理治安案件，应当自觉接受社会和公民的监督。</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公安机关及其人民警察办理治安案件，不严格执法或者有违法违纪行为的，任何单位和个人都有权向公安机关或者人民检察院、行政监察机关检举、控告；收到检举、控告的机关，应当依据职责及时处理。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第一百一十五</w:t>
      </w:r>
      <w:r>
        <w:rPr>
          <w:rFonts w:hint="eastAsia" w:ascii="宋体" w:hAnsi="宋体" w:eastAsia="黑体" w:cs="仿宋_GB2312"/>
          <w:szCs w:val="32"/>
        </w:rPr>
        <w:t>条</w:t>
      </w:r>
      <w:r>
        <w:rPr>
          <w:rFonts w:hint="eastAsia" w:ascii="宋体" w:hAnsi="宋体" w:cs="仿宋_GB2312"/>
          <w:szCs w:val="32"/>
        </w:rPr>
        <w:t>　公安机关依法实施罚款处罚，应当依照有关法律、行政法规的规定，实行罚款决定与罚款收缴分离；收缴的罚款应当全部上缴国库。</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第一百一十六</w:t>
      </w:r>
      <w:r>
        <w:rPr>
          <w:rFonts w:hint="eastAsia" w:ascii="宋体" w:hAnsi="宋体" w:eastAsia="黑体" w:cs="仿宋_GB2312"/>
          <w:szCs w:val="32"/>
        </w:rPr>
        <w:t>条</w:t>
      </w:r>
      <w:r>
        <w:rPr>
          <w:rFonts w:hint="eastAsia" w:ascii="宋体" w:hAnsi="宋体" w:cs="仿宋_GB2312"/>
          <w:szCs w:val="32"/>
        </w:rPr>
        <w:t>　人民警察办理治安案件，有下列行为之一的，依法给予行政处分；构成犯罪的，依法追究刑事责任:</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（一）刑讯逼供、体罚、虐待、侮辱他人的；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（二）超过询问查证的时间限制人身自由的；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（三）不执行罚款决定与罚款收缴分离制度或者不按规定将罚没的财物上缴国库或者依法处理的；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（四）私分、侵占、挪用、故意损毁收缴、扣押的财物的；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（五）违反规定使用或者不及时返还被侵害人财物的；</w:t>
      </w:r>
    </w:p>
    <w:p>
      <w:pPr>
        <w:widowControl w:val="0"/>
        <w:wordWrap/>
        <w:overflowPunct w:val="0"/>
        <w:spacing w:beforeAutospacing="0" w:afterAutospacing="0" w:line="560" w:lineRule="exact"/>
        <w:textAlignment w:val="auto"/>
        <w:rPr>
          <w:rFonts w:hint="eastAsia" w:ascii="宋体" w:hAnsi="宋体" w:cs="仿宋_GB2312"/>
          <w:szCs w:val="32"/>
        </w:rPr>
      </w:pPr>
      <w:r>
        <w:rPr>
          <w:rFonts w:hint="eastAsia" w:ascii="宋体" w:hAnsi="宋体" w:cs="仿宋_GB2312"/>
          <w:szCs w:val="32"/>
          <w:lang w:eastAsia="zh-CN"/>
        </w:rPr>
        <w:t>　　</w:t>
      </w:r>
      <w:r>
        <w:rPr>
          <w:rFonts w:hint="eastAsia" w:ascii="宋体" w:hAnsi="宋体" w:cs="仿宋_GB2312"/>
          <w:szCs w:val="32"/>
        </w:rPr>
        <w:t>（六）违反规定不及时退还保证金的；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cs="仿宋_GB2312"/>
          <w:szCs w:val="32"/>
          <w:lang w:eastAsia="zh-CN"/>
        </w:rPr>
        <w:t>　　</w:t>
      </w:r>
      <w:r>
        <w:rPr>
          <w:rFonts w:hint="eastAsia" w:ascii="宋体" w:hAnsi="宋体" w:cs="仿宋_GB2312"/>
          <w:szCs w:val="32"/>
        </w:rPr>
        <w:t>（七）利用职务上的便利收受他人财物或者谋取其他利益的；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（八）当场收缴罚款不出具罚款收据或者不如实填写罚款数额的；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（九）接到要求制止违反治安管理行为的报警后，不及时出警的；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（十）在查处违反治安管理活动时，为违法犯罪行为人通风报信的；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（十一）有徇私舞弊、滥用职权，不依法履行法定职责的其他情形的。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办理治安案件的公安机关有前款所列行为的，对直接负责的主管人员和其他直接责任人员给予相应的行政处分。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第一百一十七</w:t>
      </w:r>
      <w:r>
        <w:rPr>
          <w:rFonts w:hint="eastAsia" w:ascii="宋体" w:hAnsi="宋体" w:eastAsia="黑体" w:cs="仿宋_GB2312"/>
          <w:szCs w:val="32"/>
        </w:rPr>
        <w:t>条</w:t>
      </w:r>
      <w:r>
        <w:rPr>
          <w:rFonts w:hint="eastAsia" w:ascii="宋体" w:hAnsi="宋体" w:cs="仿宋_GB2312"/>
          <w:szCs w:val="32"/>
        </w:rPr>
        <w:t>　公安机关及其人民警察违法行使职权，侵犯公民、法人和其他组织合法权益的，应当赔礼道歉；造成损害的，应当依法承担赔偿责任。</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第六章　附则</w:t>
      </w:r>
    </w:p>
    <w:p>
      <w:pPr>
        <w:widowControl w:val="0"/>
        <w:wordWrap/>
        <w:overflowPunct w:val="0"/>
        <w:spacing w:beforeAutospacing="0" w:afterAutospacing="0" w:line="560" w:lineRule="exact"/>
        <w:textAlignment w:val="auto"/>
        <w:rPr>
          <w:rFonts w:ascii="宋体" w:hAnsi="宋体" w:eastAsia="黑体" w:cs="黑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宋体"/>
          <w:szCs w:val="32"/>
        </w:rPr>
        <w:t>　　</w:t>
      </w:r>
      <w:r>
        <w:rPr>
          <w:rFonts w:hint="eastAsia" w:ascii="宋体" w:hAnsi="宋体" w:eastAsia="黑体" w:cs="黑体"/>
          <w:szCs w:val="32"/>
        </w:rPr>
        <w:t>第一百一十八</w:t>
      </w:r>
      <w:r>
        <w:rPr>
          <w:rFonts w:hint="eastAsia" w:ascii="宋体" w:hAnsi="宋体" w:eastAsia="黑体" w:cs="仿宋_GB2312"/>
          <w:szCs w:val="32"/>
        </w:rPr>
        <w:t>条</w:t>
      </w:r>
      <w:r>
        <w:rPr>
          <w:rFonts w:hint="eastAsia" w:ascii="宋体" w:hAnsi="宋体" w:cs="仿宋_GB2312"/>
          <w:szCs w:val="32"/>
        </w:rPr>
        <w:t>　本法所称以上、以下、以内，包括本数。</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第一百一十九</w:t>
      </w:r>
      <w:r>
        <w:rPr>
          <w:rFonts w:hint="eastAsia" w:ascii="宋体" w:hAnsi="宋体" w:eastAsia="黑体" w:cs="仿宋_GB2312"/>
          <w:szCs w:val="32"/>
        </w:rPr>
        <w:t>条</w:t>
      </w:r>
      <w:r>
        <w:rPr>
          <w:rFonts w:hint="eastAsia" w:ascii="宋体" w:hAnsi="宋体" w:cs="仿宋_GB2312"/>
          <w:szCs w:val="32"/>
        </w:rPr>
        <w:t>　本法自2006年3月1日起施行。1986年9月5日公布、1994年5月12日修订公布的《中华人民共和国治安管理处罚条例》同时废止。</w:t>
      </w:r>
    </w:p>
    <w:p>
      <w:pPr>
        <w:widowControl w:val="0"/>
        <w:wordWrap/>
        <w:overflowPunct w:val="0"/>
        <w:spacing w:beforeAutospacing="0" w:afterAutospacing="0" w:line="560" w:lineRule="exact"/>
        <w:textAlignment w:val="auto"/>
        <w:rPr>
          <w:rFonts w:hint="eastAsia"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rPr>
          <w:rFonts w:hint="eastAsia" w:ascii="宋体" w:hAnsi="宋体" w:eastAsia="宋体" w:cs="Arial"/>
          <w:kern w:val="0"/>
          <w:szCs w:val="32"/>
        </w:rPr>
      </w:pPr>
      <w:bookmarkStart w:id="205" w:name="_Toc1142"/>
    </w:p>
    <w:p>
      <w:pPr>
        <w:rPr>
          <w:rFonts w:hint="eastAsia" w:ascii="宋体" w:hAnsi="宋体" w:eastAsia="宋体" w:cs="Arial"/>
          <w:kern w:val="0"/>
          <w:szCs w:val="32"/>
        </w:rPr>
      </w:pPr>
    </w:p>
    <w:p>
      <w:pPr>
        <w:jc w:val="center"/>
        <w:rPr>
          <w:rFonts w:ascii="宋体" w:hAnsi="宋体" w:eastAsia="宋体" w:cs="Arial"/>
          <w:bCs/>
          <w:sz w:val="44"/>
          <w:szCs w:val="44"/>
        </w:rPr>
      </w:pPr>
      <w:r>
        <w:rPr>
          <w:rFonts w:ascii="宋体" w:hAnsi="宋体" w:eastAsia="宋体" w:cs="Arial"/>
          <w:bCs/>
          <w:sz w:val="44"/>
          <w:szCs w:val="44"/>
        </w:rPr>
        <w:t>中华人民共和国行政处罚法</w:t>
      </w:r>
    </w:p>
    <w:p>
      <w:pPr>
        <w:ind w:left="640" w:leftChars="200" w:right="640" w:rightChars="200"/>
        <w:rPr>
          <w:rFonts w:ascii="宋体" w:hAnsi="宋体" w:eastAsia="宋体" w:cs="Arial"/>
          <w:bCs/>
          <w:szCs w:val="32"/>
        </w:rPr>
      </w:pPr>
    </w:p>
    <w:p>
      <w:pPr>
        <w:spacing w:line="560" w:lineRule="exact"/>
        <w:ind w:left="640" w:leftChars="200" w:right="640" w:rightChars="200"/>
        <w:rPr>
          <w:rFonts w:hint="eastAsia" w:ascii="宋体" w:hAnsi="宋体" w:eastAsia="宋体" w:cs="Arial"/>
          <w:bCs/>
          <w:szCs w:val="32"/>
        </w:rPr>
      </w:pPr>
      <w:r>
        <w:rPr>
          <w:rFonts w:hint="eastAsia" w:ascii="楷体_GB2312" w:hAnsi="Arial" w:eastAsia="楷体_GB2312" w:cs="Arial"/>
          <w:szCs w:val="32"/>
        </w:rPr>
        <w:t>（</w:t>
      </w:r>
      <w:r>
        <w:rPr>
          <w:rFonts w:hint="default" w:ascii="Times New Roman" w:hAnsi="Times New Roman" w:eastAsia="楷体_GB2312" w:cs="Times New Roman"/>
          <w:szCs w:val="32"/>
        </w:rPr>
        <w:t>1996</w:t>
      </w:r>
      <w:r>
        <w:rPr>
          <w:rFonts w:hint="eastAsia" w:ascii="楷体_GB2312" w:hAnsi="Arial" w:eastAsia="楷体_GB2312" w:cs="Arial"/>
          <w:szCs w:val="32"/>
        </w:rPr>
        <w:t>年</w:t>
      </w:r>
      <w:r>
        <w:rPr>
          <w:rFonts w:hint="default" w:ascii="Times New Roman" w:hAnsi="Times New Roman" w:eastAsia="楷体_GB2312" w:cs="Times New Roman"/>
          <w:szCs w:val="32"/>
        </w:rPr>
        <w:t>3</w:t>
      </w:r>
      <w:r>
        <w:rPr>
          <w:rFonts w:hint="eastAsia" w:ascii="楷体_GB2312" w:hAnsi="Arial" w:eastAsia="楷体_GB2312" w:cs="Arial"/>
          <w:szCs w:val="32"/>
        </w:rPr>
        <w:t>月</w:t>
      </w:r>
      <w:r>
        <w:rPr>
          <w:rFonts w:hint="default" w:ascii="Times New Roman" w:hAnsi="Times New Roman" w:eastAsia="楷体_GB2312" w:cs="Times New Roman"/>
          <w:szCs w:val="32"/>
        </w:rPr>
        <w:t>17</w:t>
      </w:r>
      <w:r>
        <w:rPr>
          <w:rFonts w:hint="eastAsia" w:ascii="楷体_GB2312" w:hAnsi="Arial" w:eastAsia="楷体_GB2312" w:cs="Arial"/>
          <w:szCs w:val="32"/>
        </w:rPr>
        <w:t>日第八届全国人民代表大会第四次会议通过　根据</w:t>
      </w:r>
      <w:r>
        <w:rPr>
          <w:rFonts w:hint="default" w:ascii="Times New Roman" w:hAnsi="Times New Roman" w:eastAsia="楷体_GB2312" w:cs="Times New Roman"/>
          <w:szCs w:val="32"/>
        </w:rPr>
        <w:t>2009</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27</w:t>
      </w:r>
      <w:r>
        <w:rPr>
          <w:rFonts w:hint="eastAsia" w:ascii="楷体_GB2312" w:hAnsi="Arial" w:eastAsia="楷体_GB2312" w:cs="Arial"/>
          <w:szCs w:val="32"/>
        </w:rPr>
        <w:t>日第十一届全国人民代表大会常务委员会第十次会议《关于修改部分法律的决定》第一次修正　根据</w:t>
      </w:r>
      <w:r>
        <w:rPr>
          <w:rFonts w:hint="default" w:ascii="Times New Roman" w:hAnsi="Times New Roman" w:eastAsia="楷体_GB2312" w:cs="Times New Roman"/>
          <w:szCs w:val="32"/>
        </w:rPr>
        <w:t>2017</w:t>
      </w:r>
      <w:r>
        <w:rPr>
          <w:rFonts w:hint="eastAsia" w:ascii="楷体_GB2312" w:hAnsi="Arial" w:eastAsia="楷体_GB2312" w:cs="Arial"/>
          <w:szCs w:val="32"/>
        </w:rPr>
        <w:t>年</w:t>
      </w:r>
      <w:r>
        <w:rPr>
          <w:rFonts w:hint="default" w:ascii="Times New Roman" w:hAnsi="Times New Roman" w:eastAsia="楷体_GB2312" w:cs="Times New Roman"/>
          <w:szCs w:val="32"/>
        </w:rPr>
        <w:t>9</w:t>
      </w:r>
      <w:r>
        <w:rPr>
          <w:rFonts w:hint="eastAsia" w:ascii="楷体_GB2312" w:hAnsi="Arial" w:eastAsia="楷体_GB2312" w:cs="Arial"/>
          <w:szCs w:val="32"/>
        </w:rPr>
        <w:t>月</w:t>
      </w:r>
      <w:r>
        <w:rPr>
          <w:rFonts w:hint="default" w:ascii="Times New Roman" w:hAnsi="Times New Roman" w:eastAsia="楷体_GB2312" w:cs="Times New Roman"/>
          <w:szCs w:val="32"/>
        </w:rPr>
        <w:t>1</w:t>
      </w:r>
      <w:r>
        <w:rPr>
          <w:rFonts w:hint="eastAsia" w:ascii="楷体_GB2312" w:hAnsi="Arial" w:eastAsia="楷体_GB2312" w:cs="Arial"/>
          <w:szCs w:val="32"/>
        </w:rPr>
        <w:t>日第十二届全国人民代表大会常务委员会第二十九次会议《关于修改〈中华人民共和国法官法〉等八部法律的决定》第二次修正　</w:t>
      </w:r>
      <w:r>
        <w:rPr>
          <w:rFonts w:hint="default" w:ascii="Times New Roman" w:hAnsi="Times New Roman" w:eastAsia="楷体_GB2312" w:cs="Times New Roman"/>
          <w:szCs w:val="32"/>
        </w:rPr>
        <w:t>2021</w:t>
      </w:r>
      <w:r>
        <w:rPr>
          <w:rFonts w:hint="eastAsia" w:ascii="楷体_GB2312" w:hAnsi="Arial" w:eastAsia="楷体_GB2312" w:cs="Arial"/>
          <w:szCs w:val="32"/>
        </w:rPr>
        <w:t>年</w:t>
      </w:r>
      <w:r>
        <w:rPr>
          <w:rFonts w:hint="default" w:ascii="Times New Roman" w:hAnsi="Times New Roman" w:eastAsia="楷体_GB2312" w:cs="Times New Roman"/>
          <w:szCs w:val="32"/>
        </w:rPr>
        <w:t>1</w:t>
      </w:r>
      <w:r>
        <w:rPr>
          <w:rFonts w:hint="eastAsia" w:ascii="楷体_GB2312" w:hAnsi="Arial" w:eastAsia="楷体_GB2312" w:cs="Arial"/>
          <w:szCs w:val="32"/>
        </w:rPr>
        <w:t>月</w:t>
      </w:r>
      <w:r>
        <w:rPr>
          <w:rFonts w:hint="default" w:ascii="Times New Roman" w:hAnsi="Times New Roman" w:eastAsia="楷体_GB2312" w:cs="Times New Roman"/>
          <w:szCs w:val="32"/>
        </w:rPr>
        <w:t>22</w:t>
      </w:r>
      <w:r>
        <w:rPr>
          <w:rFonts w:hint="eastAsia" w:ascii="楷体_GB2312" w:hAnsi="Arial" w:eastAsia="楷体_GB2312" w:cs="Arial"/>
          <w:szCs w:val="32"/>
        </w:rPr>
        <w:t>日第十三届全国人民代表大会常务委员会第二十五次会议修订）</w:t>
      </w:r>
    </w:p>
    <w:p>
      <w:pPr>
        <w:spacing w:line="560" w:lineRule="exact"/>
        <w:ind w:firstLine="0"/>
        <w:jc w:val="both"/>
      </w:pPr>
      <w:r>
        <w:rPr>
          <w:rFonts w:ascii="宋体" w:hAnsi="宋体" w:eastAsia="宋体" w:cs="宋体"/>
          <w:sz w:val="32"/>
        </w:rPr>
        <w:t xml:space="preserve"> </w:t>
      </w:r>
    </w:p>
    <w:p>
      <w:pPr>
        <w:spacing w:line="560" w:lineRule="exact"/>
        <w:ind w:firstLine="0"/>
        <w:jc w:val="center"/>
      </w:pPr>
      <w:r>
        <w:rPr>
          <w:rFonts w:ascii="楷体_GB2312" w:hAnsi="楷体_GB2312" w:eastAsia="楷体_GB2312" w:cs="楷体_GB2312"/>
          <w:sz w:val="32"/>
        </w:rPr>
        <w:t>目　　录</w:t>
      </w:r>
    </w:p>
    <w:p>
      <w:pPr>
        <w:spacing w:line="560" w:lineRule="exact"/>
        <w:ind w:firstLine="640"/>
        <w:jc w:val="both"/>
      </w:pPr>
      <w:r>
        <w:rPr>
          <w:rFonts w:ascii="楷体_GB2312" w:hAnsi="楷体_GB2312" w:eastAsia="楷体_GB2312" w:cs="楷体_GB2312"/>
          <w:sz w:val="32"/>
        </w:rPr>
        <w:t>第一章　总则</w:t>
      </w:r>
    </w:p>
    <w:p>
      <w:pPr>
        <w:spacing w:line="560" w:lineRule="exact"/>
        <w:ind w:firstLine="640"/>
        <w:jc w:val="both"/>
      </w:pPr>
      <w:r>
        <w:rPr>
          <w:rFonts w:ascii="楷体_GB2312" w:hAnsi="楷体_GB2312" w:eastAsia="楷体_GB2312" w:cs="楷体_GB2312"/>
          <w:sz w:val="32"/>
        </w:rPr>
        <w:t>第二章　行政处罚的种类和设定</w:t>
      </w:r>
    </w:p>
    <w:p>
      <w:pPr>
        <w:spacing w:line="560" w:lineRule="exact"/>
        <w:ind w:firstLine="640"/>
        <w:jc w:val="both"/>
      </w:pPr>
      <w:r>
        <w:rPr>
          <w:rFonts w:ascii="楷体_GB2312" w:hAnsi="楷体_GB2312" w:eastAsia="楷体_GB2312" w:cs="楷体_GB2312"/>
          <w:sz w:val="32"/>
        </w:rPr>
        <w:t>第三章　行政处罚的实施机关</w:t>
      </w:r>
    </w:p>
    <w:p>
      <w:pPr>
        <w:spacing w:line="560" w:lineRule="exact"/>
        <w:ind w:firstLine="640"/>
        <w:jc w:val="both"/>
      </w:pPr>
      <w:r>
        <w:rPr>
          <w:rFonts w:ascii="楷体_GB2312" w:hAnsi="楷体_GB2312" w:eastAsia="楷体_GB2312" w:cs="楷体_GB2312"/>
          <w:sz w:val="32"/>
        </w:rPr>
        <w:t>第四章　行政处罚的管辖和适用</w:t>
      </w:r>
    </w:p>
    <w:p>
      <w:pPr>
        <w:spacing w:line="560" w:lineRule="exact"/>
        <w:ind w:firstLine="640"/>
        <w:jc w:val="both"/>
      </w:pPr>
      <w:r>
        <w:rPr>
          <w:rFonts w:ascii="楷体_GB2312" w:hAnsi="楷体_GB2312" w:eastAsia="楷体_GB2312" w:cs="楷体_GB2312"/>
          <w:sz w:val="32"/>
        </w:rPr>
        <w:t>第五章　行政处罚的决定</w:t>
      </w:r>
    </w:p>
    <w:p>
      <w:pPr>
        <w:spacing w:line="560" w:lineRule="exact"/>
        <w:ind w:firstLine="1280"/>
        <w:jc w:val="both"/>
      </w:pPr>
      <w:r>
        <w:rPr>
          <w:rFonts w:ascii="楷体_GB2312" w:hAnsi="楷体_GB2312" w:eastAsia="楷体_GB2312" w:cs="楷体_GB2312"/>
          <w:sz w:val="32"/>
        </w:rPr>
        <w:t>第一节　一般规定</w:t>
      </w:r>
    </w:p>
    <w:p>
      <w:pPr>
        <w:spacing w:line="560" w:lineRule="exact"/>
        <w:ind w:firstLine="1280"/>
        <w:jc w:val="both"/>
      </w:pPr>
      <w:r>
        <w:rPr>
          <w:rFonts w:ascii="楷体_GB2312" w:hAnsi="楷体_GB2312" w:eastAsia="楷体_GB2312" w:cs="楷体_GB2312"/>
          <w:sz w:val="32"/>
        </w:rPr>
        <w:t>第二节　简易程序</w:t>
      </w:r>
    </w:p>
    <w:p>
      <w:pPr>
        <w:spacing w:line="560" w:lineRule="exact"/>
        <w:ind w:firstLine="1280"/>
        <w:jc w:val="both"/>
      </w:pPr>
      <w:r>
        <w:rPr>
          <w:rFonts w:ascii="楷体_GB2312" w:hAnsi="楷体_GB2312" w:eastAsia="楷体_GB2312" w:cs="楷体_GB2312"/>
          <w:sz w:val="32"/>
        </w:rPr>
        <w:t>第三节　普通程序</w:t>
      </w:r>
    </w:p>
    <w:p>
      <w:pPr>
        <w:spacing w:line="560" w:lineRule="exact"/>
        <w:ind w:firstLine="1280"/>
        <w:jc w:val="both"/>
      </w:pPr>
      <w:r>
        <w:rPr>
          <w:rFonts w:ascii="楷体_GB2312" w:hAnsi="楷体_GB2312" w:eastAsia="楷体_GB2312" w:cs="楷体_GB2312"/>
          <w:sz w:val="32"/>
        </w:rPr>
        <w:t>第四节　听证程序</w:t>
      </w:r>
    </w:p>
    <w:p>
      <w:pPr>
        <w:spacing w:line="560" w:lineRule="exact"/>
        <w:ind w:firstLine="640"/>
        <w:jc w:val="both"/>
      </w:pPr>
      <w:r>
        <w:rPr>
          <w:rFonts w:ascii="楷体_GB2312" w:hAnsi="楷体_GB2312" w:eastAsia="楷体_GB2312" w:cs="楷体_GB2312"/>
          <w:sz w:val="32"/>
        </w:rPr>
        <w:t>第六章　行政处罚的执行</w:t>
      </w:r>
    </w:p>
    <w:p>
      <w:pPr>
        <w:spacing w:line="560" w:lineRule="exact"/>
        <w:ind w:firstLine="640"/>
        <w:jc w:val="both"/>
      </w:pPr>
      <w:r>
        <w:rPr>
          <w:rFonts w:ascii="楷体_GB2312" w:hAnsi="楷体_GB2312" w:eastAsia="楷体_GB2312" w:cs="楷体_GB2312"/>
          <w:sz w:val="32"/>
        </w:rPr>
        <w:t>第七章　法律责任</w:t>
      </w:r>
    </w:p>
    <w:p>
      <w:pPr>
        <w:spacing w:line="560" w:lineRule="exact"/>
        <w:ind w:firstLine="640"/>
        <w:jc w:val="both"/>
      </w:pPr>
      <w:r>
        <w:rPr>
          <w:rFonts w:ascii="楷体_GB2312" w:hAnsi="楷体_GB2312" w:eastAsia="楷体_GB2312" w:cs="楷体_GB2312"/>
          <w:sz w:val="32"/>
        </w:rPr>
        <w:t>第八章　附则</w:t>
      </w:r>
    </w:p>
    <w:p>
      <w:pPr>
        <w:spacing w:line="560" w:lineRule="exact"/>
        <w:ind w:firstLine="0"/>
        <w:jc w:val="both"/>
      </w:pPr>
      <w:r>
        <w:rPr>
          <w:rFonts w:ascii="宋体" w:hAnsi="宋体" w:eastAsia="宋体" w:cs="宋体"/>
          <w:sz w:val="32"/>
        </w:rPr>
        <w:t xml:space="preserve"> </w:t>
      </w:r>
    </w:p>
    <w:p>
      <w:pPr>
        <w:spacing w:line="560" w:lineRule="exact"/>
        <w:ind w:firstLine="0"/>
        <w:jc w:val="center"/>
      </w:pPr>
      <w:r>
        <w:rPr>
          <w:rFonts w:ascii="黑体" w:hAnsi="黑体" w:eastAsia="黑体" w:cs="黑体"/>
          <w:sz w:val="32"/>
        </w:rPr>
        <w:t>第一章　总则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第一条</w:t>
      </w:r>
      <w:r>
        <w:rPr>
          <w:rFonts w:ascii="仿宋_GB2312" w:hAnsi="仿宋_GB2312" w:eastAsia="仿宋_GB2312" w:cs="仿宋_GB2312"/>
          <w:sz w:val="32"/>
        </w:rPr>
        <w:t>　为了规范行政处罚的设定和实施，保障和监督行政机关有效实施行政管理，维护公共利益和社会秩序，保护公民、法人或者其他组织的合法权益，根据宪法，制定本法。</w:t>
      </w:r>
    </w:p>
    <w:p>
      <w:pPr>
        <w:spacing w:line="560" w:lineRule="exact"/>
        <w:ind w:firstLine="640"/>
        <w:jc w:val="both"/>
      </w:pPr>
      <w:r>
        <w:rPr>
          <w:rFonts w:ascii="黑体" w:hAnsi="黑体" w:eastAsia="黑体" w:cs="黑体"/>
          <w:sz w:val="32"/>
        </w:rPr>
        <w:t>第二条</w:t>
      </w:r>
      <w:r>
        <w:rPr>
          <w:rFonts w:ascii="仿宋_GB2312" w:hAnsi="仿宋_GB2312" w:eastAsia="仿宋_GB2312" w:cs="仿宋_GB2312"/>
          <w:sz w:val="32"/>
        </w:rPr>
        <w:t>　行政处罚是指行政机关依法对违反行政管理秩序的公民、法人或者其他组织，以减损权益或者增加义务的方式予以惩戒的行为。</w:t>
      </w:r>
    </w:p>
    <w:p>
      <w:pPr>
        <w:spacing w:line="560" w:lineRule="exact"/>
        <w:ind w:firstLine="640"/>
        <w:jc w:val="both"/>
      </w:pPr>
      <w:r>
        <w:rPr>
          <w:rFonts w:ascii="黑体" w:hAnsi="黑体" w:eastAsia="黑体" w:cs="黑体"/>
          <w:sz w:val="32"/>
        </w:rPr>
        <w:t>第三条</w:t>
      </w:r>
      <w:r>
        <w:rPr>
          <w:rFonts w:ascii="仿宋_GB2312" w:hAnsi="仿宋_GB2312" w:eastAsia="仿宋_GB2312" w:cs="仿宋_GB2312"/>
          <w:sz w:val="32"/>
        </w:rPr>
        <w:t>　行政处罚的设定和实施，适用本法。</w:t>
      </w:r>
    </w:p>
    <w:p>
      <w:pPr>
        <w:spacing w:line="560" w:lineRule="exact"/>
        <w:ind w:firstLine="640"/>
        <w:jc w:val="both"/>
      </w:pPr>
      <w:r>
        <w:rPr>
          <w:rFonts w:ascii="黑体" w:hAnsi="黑体" w:eastAsia="黑体" w:cs="黑体"/>
          <w:sz w:val="32"/>
        </w:rPr>
        <w:t>第四条</w:t>
      </w:r>
      <w:r>
        <w:rPr>
          <w:rFonts w:ascii="仿宋_GB2312" w:hAnsi="仿宋_GB2312" w:eastAsia="仿宋_GB2312" w:cs="仿宋_GB2312"/>
          <w:sz w:val="32"/>
        </w:rPr>
        <w:t>　公民、法人或者其他组织违反行政管理秩序的行为，应当给予行政处罚的，依照本法由法律、法规、规章规定，并由行政机关依照本法规定的程序实施。</w:t>
      </w:r>
    </w:p>
    <w:p>
      <w:pPr>
        <w:spacing w:line="560" w:lineRule="exact"/>
        <w:ind w:firstLine="640"/>
        <w:jc w:val="both"/>
      </w:pPr>
      <w:r>
        <w:rPr>
          <w:rFonts w:ascii="黑体" w:hAnsi="黑体" w:eastAsia="黑体" w:cs="黑体"/>
          <w:sz w:val="32"/>
        </w:rPr>
        <w:t>第五条</w:t>
      </w:r>
      <w:r>
        <w:rPr>
          <w:rFonts w:ascii="仿宋_GB2312" w:hAnsi="仿宋_GB2312" w:eastAsia="仿宋_GB2312" w:cs="仿宋_GB2312"/>
          <w:sz w:val="32"/>
        </w:rPr>
        <w:t>　行政处罚遵循公正、公开的原则。</w:t>
      </w:r>
    </w:p>
    <w:p>
      <w:pPr>
        <w:spacing w:line="560" w:lineRule="exact"/>
        <w:ind w:firstLine="640"/>
        <w:jc w:val="both"/>
      </w:pPr>
      <w:r>
        <w:rPr>
          <w:rFonts w:ascii="仿宋_GB2312" w:hAnsi="仿宋_GB2312" w:eastAsia="仿宋_GB2312" w:cs="仿宋_GB2312"/>
          <w:sz w:val="32"/>
        </w:rPr>
        <w:t>设定和实施行政处罚必须以事实为依据，与违法行为的事实、性质、情节以及社会危害程度相当。</w:t>
      </w:r>
    </w:p>
    <w:p>
      <w:pPr>
        <w:spacing w:line="560" w:lineRule="exact"/>
        <w:ind w:firstLine="640"/>
        <w:jc w:val="both"/>
      </w:pPr>
      <w:r>
        <w:rPr>
          <w:rFonts w:ascii="仿宋_GB2312" w:hAnsi="仿宋_GB2312" w:eastAsia="仿宋_GB2312" w:cs="仿宋_GB2312"/>
          <w:sz w:val="32"/>
        </w:rPr>
        <w:t>对违法行为给予行政处罚的规定必须公布；未经公布的，不得作为行政处罚的依据。</w:t>
      </w:r>
    </w:p>
    <w:p>
      <w:pPr>
        <w:spacing w:line="560" w:lineRule="exact"/>
        <w:ind w:firstLine="640"/>
        <w:jc w:val="both"/>
      </w:pPr>
      <w:r>
        <w:rPr>
          <w:rFonts w:ascii="黑体" w:hAnsi="黑体" w:eastAsia="黑体" w:cs="黑体"/>
          <w:sz w:val="32"/>
        </w:rPr>
        <w:t>第六条</w:t>
      </w:r>
      <w:r>
        <w:rPr>
          <w:rFonts w:ascii="仿宋_GB2312" w:hAnsi="仿宋_GB2312" w:eastAsia="仿宋_GB2312" w:cs="仿宋_GB2312"/>
          <w:sz w:val="32"/>
        </w:rPr>
        <w:t>　实施行政处罚，纠正违法行为，应当坚持处罚与教育相结合，教育公民、法人或者其他组织自觉守法。</w:t>
      </w:r>
    </w:p>
    <w:p>
      <w:pPr>
        <w:spacing w:line="560" w:lineRule="exact"/>
        <w:ind w:firstLine="640"/>
        <w:jc w:val="both"/>
      </w:pPr>
      <w:r>
        <w:rPr>
          <w:rFonts w:ascii="黑体" w:hAnsi="黑体" w:eastAsia="黑体" w:cs="黑体"/>
          <w:sz w:val="32"/>
        </w:rPr>
        <w:t>第七条</w:t>
      </w:r>
      <w:r>
        <w:rPr>
          <w:rFonts w:ascii="仿宋_GB2312" w:hAnsi="仿宋_GB2312" w:eastAsia="仿宋_GB2312" w:cs="仿宋_GB2312"/>
          <w:sz w:val="32"/>
        </w:rPr>
        <w:t>　公民、法人或者其他组织对行政机关所给予的行政处罚，享有陈述权、申辩权；对行政处罚不服的，有权依法申请行政复议或者提起行政诉讼。</w:t>
      </w:r>
    </w:p>
    <w:p>
      <w:pPr>
        <w:spacing w:line="560" w:lineRule="exact"/>
        <w:ind w:firstLine="640"/>
        <w:jc w:val="both"/>
      </w:pPr>
      <w:r>
        <w:rPr>
          <w:rFonts w:ascii="仿宋_GB2312" w:hAnsi="仿宋_GB2312" w:eastAsia="仿宋_GB2312" w:cs="仿宋_GB2312"/>
          <w:sz w:val="32"/>
        </w:rPr>
        <w:t>公民、法人或者其他组织因行政机关违法给予行政处罚受到损害的，有权依法提出赔偿要求。</w:t>
      </w:r>
    </w:p>
    <w:p>
      <w:pPr>
        <w:spacing w:line="560" w:lineRule="exact"/>
        <w:ind w:firstLine="640"/>
        <w:jc w:val="both"/>
      </w:pPr>
      <w:r>
        <w:rPr>
          <w:rFonts w:ascii="黑体" w:hAnsi="黑体" w:eastAsia="黑体" w:cs="黑体"/>
          <w:sz w:val="32"/>
        </w:rPr>
        <w:t>第八条</w:t>
      </w:r>
      <w:r>
        <w:rPr>
          <w:rFonts w:ascii="仿宋_GB2312" w:hAnsi="仿宋_GB2312" w:eastAsia="仿宋_GB2312" w:cs="仿宋_GB2312"/>
          <w:sz w:val="32"/>
        </w:rPr>
        <w:t>　公民、法人或者其他组织因违法行为受到行政处罚，其违法行为对他人造成损害的，应当依法承担民事责任。</w:t>
      </w:r>
    </w:p>
    <w:p>
      <w:pPr>
        <w:spacing w:line="560" w:lineRule="exact"/>
        <w:ind w:firstLine="640"/>
        <w:jc w:val="both"/>
      </w:pPr>
      <w:r>
        <w:rPr>
          <w:rFonts w:ascii="仿宋_GB2312" w:hAnsi="仿宋_GB2312" w:eastAsia="仿宋_GB2312" w:cs="仿宋_GB2312"/>
          <w:sz w:val="32"/>
        </w:rPr>
        <w:t>违法行为构成犯罪，应当依法追究刑事责任的，不得以行政处罚代替刑事处罚。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第二章　行政处罚的种类和设定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第九条</w:t>
      </w:r>
      <w:r>
        <w:rPr>
          <w:rFonts w:ascii="仿宋_GB2312" w:hAnsi="仿宋_GB2312" w:eastAsia="仿宋_GB2312" w:cs="仿宋_GB2312"/>
          <w:sz w:val="32"/>
        </w:rPr>
        <w:t>　行政处罚的种类：</w:t>
      </w:r>
    </w:p>
    <w:p>
      <w:pPr>
        <w:spacing w:line="560" w:lineRule="exact"/>
        <w:ind w:firstLine="640"/>
        <w:jc w:val="both"/>
      </w:pPr>
      <w:r>
        <w:rPr>
          <w:rFonts w:ascii="仿宋_GB2312" w:hAnsi="仿宋_GB2312" w:eastAsia="仿宋_GB2312" w:cs="仿宋_GB2312"/>
          <w:sz w:val="32"/>
        </w:rPr>
        <w:t>（一）警告、通报批评；</w:t>
      </w:r>
    </w:p>
    <w:p>
      <w:pPr>
        <w:spacing w:line="560" w:lineRule="exact"/>
        <w:ind w:firstLine="640"/>
        <w:jc w:val="both"/>
      </w:pPr>
      <w:r>
        <w:rPr>
          <w:rFonts w:ascii="仿宋_GB2312" w:hAnsi="仿宋_GB2312" w:eastAsia="仿宋_GB2312" w:cs="仿宋_GB2312"/>
          <w:sz w:val="32"/>
        </w:rPr>
        <w:t>（二）罚款、没收违法所得、没收非法财物；</w:t>
      </w:r>
    </w:p>
    <w:p>
      <w:pPr>
        <w:spacing w:line="560" w:lineRule="exact"/>
        <w:ind w:firstLine="640"/>
        <w:jc w:val="both"/>
      </w:pPr>
      <w:r>
        <w:rPr>
          <w:rFonts w:ascii="仿宋_GB2312" w:hAnsi="仿宋_GB2312" w:eastAsia="仿宋_GB2312" w:cs="仿宋_GB2312"/>
          <w:sz w:val="32"/>
        </w:rPr>
        <w:t>（三）暂扣许可证件、降低资质等级、吊销许可证件；</w:t>
      </w:r>
    </w:p>
    <w:p>
      <w:pPr>
        <w:spacing w:line="560" w:lineRule="exact"/>
        <w:ind w:firstLine="640"/>
        <w:jc w:val="both"/>
      </w:pPr>
      <w:r>
        <w:rPr>
          <w:rFonts w:ascii="仿宋_GB2312" w:hAnsi="仿宋_GB2312" w:eastAsia="仿宋_GB2312" w:cs="仿宋_GB2312"/>
          <w:sz w:val="32"/>
        </w:rPr>
        <w:t>（四）限制开展生产经营活动、责令停产停业、责令关闭、限制从业；</w:t>
      </w:r>
    </w:p>
    <w:p>
      <w:pPr>
        <w:spacing w:line="560" w:lineRule="exact"/>
        <w:ind w:firstLine="640"/>
        <w:jc w:val="both"/>
      </w:pPr>
      <w:r>
        <w:rPr>
          <w:rFonts w:ascii="仿宋_GB2312" w:hAnsi="仿宋_GB2312" w:eastAsia="仿宋_GB2312" w:cs="仿宋_GB2312"/>
          <w:sz w:val="32"/>
        </w:rPr>
        <w:t>（五）行政拘留；</w:t>
      </w:r>
    </w:p>
    <w:p>
      <w:pPr>
        <w:spacing w:line="560" w:lineRule="exact"/>
        <w:ind w:firstLine="640"/>
        <w:jc w:val="both"/>
      </w:pPr>
      <w:r>
        <w:rPr>
          <w:rFonts w:ascii="仿宋_GB2312" w:hAnsi="仿宋_GB2312" w:eastAsia="仿宋_GB2312" w:cs="仿宋_GB2312"/>
          <w:sz w:val="32"/>
        </w:rPr>
        <w:t>（六）法律、行政法规规定的其他行政处罚。</w:t>
      </w:r>
    </w:p>
    <w:p>
      <w:pPr>
        <w:spacing w:line="560" w:lineRule="exact"/>
        <w:ind w:firstLine="640"/>
        <w:jc w:val="both"/>
      </w:pPr>
      <w:r>
        <w:rPr>
          <w:rFonts w:ascii="黑体" w:hAnsi="黑体" w:eastAsia="黑体" w:cs="黑体"/>
          <w:sz w:val="32"/>
        </w:rPr>
        <w:t>第十条</w:t>
      </w:r>
      <w:r>
        <w:rPr>
          <w:rFonts w:ascii="仿宋_GB2312" w:hAnsi="仿宋_GB2312" w:eastAsia="仿宋_GB2312" w:cs="仿宋_GB2312"/>
          <w:sz w:val="32"/>
        </w:rPr>
        <w:t>　法律可以设定各种行政处罚。</w:t>
      </w:r>
    </w:p>
    <w:p>
      <w:pPr>
        <w:spacing w:line="560" w:lineRule="exact"/>
        <w:ind w:firstLine="640"/>
        <w:jc w:val="both"/>
      </w:pPr>
      <w:r>
        <w:rPr>
          <w:rFonts w:ascii="仿宋_GB2312" w:hAnsi="仿宋_GB2312" w:eastAsia="仿宋_GB2312" w:cs="仿宋_GB2312"/>
          <w:sz w:val="32"/>
        </w:rPr>
        <w:t>限制人身自由的行政处罚，只能由法律设定。</w:t>
      </w:r>
    </w:p>
    <w:p>
      <w:pPr>
        <w:spacing w:line="560" w:lineRule="exact"/>
        <w:ind w:firstLine="640"/>
        <w:jc w:val="both"/>
      </w:pPr>
      <w:r>
        <w:rPr>
          <w:rFonts w:ascii="黑体" w:hAnsi="黑体" w:eastAsia="黑体" w:cs="黑体"/>
          <w:sz w:val="32"/>
        </w:rPr>
        <w:t>第十一条</w:t>
      </w:r>
      <w:r>
        <w:rPr>
          <w:rFonts w:ascii="仿宋_GB2312" w:hAnsi="仿宋_GB2312" w:eastAsia="仿宋_GB2312" w:cs="仿宋_GB2312"/>
          <w:sz w:val="32"/>
        </w:rPr>
        <w:t>　行政法规可以设定除限制人身自由以外的行政处罚。</w:t>
      </w:r>
    </w:p>
    <w:p>
      <w:pPr>
        <w:spacing w:line="560" w:lineRule="exact"/>
        <w:ind w:firstLine="640"/>
        <w:jc w:val="both"/>
      </w:pPr>
      <w:r>
        <w:rPr>
          <w:rFonts w:ascii="仿宋_GB2312" w:hAnsi="仿宋_GB2312" w:eastAsia="仿宋_GB2312" w:cs="仿宋_GB2312"/>
          <w:sz w:val="32"/>
        </w:rPr>
        <w:t>法律对违法行为已经作出行政处罚规定，行政法规需要作出具体规定的，必须在法律规定的给予行政处罚的行为、种类和幅度的范围内规定。</w:t>
      </w:r>
    </w:p>
    <w:p>
      <w:pPr>
        <w:spacing w:line="560" w:lineRule="exact"/>
        <w:ind w:firstLine="640"/>
        <w:jc w:val="both"/>
      </w:pPr>
      <w:r>
        <w:rPr>
          <w:rFonts w:ascii="仿宋_GB2312" w:hAnsi="仿宋_GB2312" w:eastAsia="仿宋_GB2312" w:cs="仿宋_GB2312"/>
          <w:sz w:val="32"/>
        </w:rPr>
        <w:t>法律对违法行为未作出行政处罚规定，行政法规为实施法律，可以补充设定行政处罚。拟补充设定行政处罚的，应当通过听证会、论证会等形式广泛听取意见，并向制定机关作出书面说明。行政法规报送备案时，应当说明补充设定行政处罚的情况。</w:t>
      </w:r>
    </w:p>
    <w:p>
      <w:pPr>
        <w:spacing w:line="560" w:lineRule="exact"/>
        <w:ind w:firstLine="640"/>
        <w:jc w:val="both"/>
      </w:pPr>
      <w:r>
        <w:rPr>
          <w:rFonts w:ascii="黑体" w:hAnsi="黑体" w:eastAsia="黑体" w:cs="黑体"/>
          <w:sz w:val="32"/>
        </w:rPr>
        <w:t>第十二条</w:t>
      </w:r>
      <w:r>
        <w:rPr>
          <w:rFonts w:ascii="仿宋_GB2312" w:hAnsi="仿宋_GB2312" w:eastAsia="仿宋_GB2312" w:cs="仿宋_GB2312"/>
          <w:sz w:val="32"/>
        </w:rPr>
        <w:t>　地方性法规可以设定除限制人身自由、吊销营业执照以外的行政处罚。</w:t>
      </w:r>
    </w:p>
    <w:p>
      <w:pPr>
        <w:spacing w:line="560" w:lineRule="exact"/>
        <w:ind w:firstLine="640"/>
        <w:jc w:val="both"/>
      </w:pPr>
      <w:r>
        <w:rPr>
          <w:rFonts w:ascii="仿宋_GB2312" w:hAnsi="仿宋_GB2312" w:eastAsia="仿宋_GB2312" w:cs="仿宋_GB2312"/>
          <w:sz w:val="32"/>
        </w:rPr>
        <w:t>法律、行政法规对违法行为已经作出行政处罚规定，地方性法规需要作出具体规定的，必须在法律、行政法规规定的给予行政处罚的行为、种类和幅度的范围内规定。</w:t>
      </w:r>
    </w:p>
    <w:p>
      <w:pPr>
        <w:spacing w:line="560" w:lineRule="exact"/>
        <w:ind w:firstLine="640"/>
        <w:jc w:val="both"/>
      </w:pPr>
      <w:r>
        <w:rPr>
          <w:rFonts w:ascii="仿宋_GB2312" w:hAnsi="仿宋_GB2312" w:eastAsia="仿宋_GB2312" w:cs="仿宋_GB2312"/>
          <w:sz w:val="32"/>
        </w:rPr>
        <w:t>法律、行政法规对违法行为未作出行政处罚规定，地方性法规为实施法律、行政法规，可以补充设定行政处罚。拟补充设定行政处罚的，应当通过听证会、论证会等形式广泛听取意见，并向制定机关作出书面说明。地方性法规报送备案时，应当说明补充设定行政处罚的情况。</w:t>
      </w:r>
    </w:p>
    <w:p>
      <w:pPr>
        <w:spacing w:line="560" w:lineRule="exact"/>
        <w:ind w:firstLine="640"/>
        <w:jc w:val="both"/>
      </w:pPr>
      <w:r>
        <w:rPr>
          <w:rFonts w:ascii="黑体" w:hAnsi="黑体" w:eastAsia="黑体" w:cs="黑体"/>
          <w:sz w:val="32"/>
        </w:rPr>
        <w:t>第十三条</w:t>
      </w:r>
      <w:r>
        <w:rPr>
          <w:rFonts w:ascii="仿宋_GB2312" w:hAnsi="仿宋_GB2312" w:eastAsia="仿宋_GB2312" w:cs="仿宋_GB2312"/>
          <w:sz w:val="32"/>
        </w:rPr>
        <w:t>　国务院部门规章可以在法律、行政法规规定的给予行政处罚的行为、种类和幅度的范围内作出具体规定。</w:t>
      </w:r>
    </w:p>
    <w:p>
      <w:pPr>
        <w:spacing w:line="560" w:lineRule="exact"/>
        <w:ind w:firstLine="640"/>
        <w:jc w:val="both"/>
      </w:pPr>
      <w:r>
        <w:rPr>
          <w:rFonts w:ascii="仿宋_GB2312" w:hAnsi="仿宋_GB2312" w:eastAsia="仿宋_GB2312" w:cs="仿宋_GB2312"/>
          <w:sz w:val="32"/>
        </w:rPr>
        <w:t>尚未制定法律、行政法规的，国务院部门规章对违反行政管理秩序的行为，可以设定警告、通报批评或者一定数额罚款的行政处罚。罚款的限额由国务院规定。</w:t>
      </w:r>
    </w:p>
    <w:p>
      <w:pPr>
        <w:spacing w:line="560" w:lineRule="exact"/>
        <w:ind w:firstLine="640"/>
        <w:jc w:val="both"/>
      </w:pPr>
      <w:r>
        <w:rPr>
          <w:rFonts w:ascii="黑体" w:hAnsi="黑体" w:eastAsia="黑体" w:cs="黑体"/>
          <w:sz w:val="32"/>
        </w:rPr>
        <w:t>第十四条</w:t>
      </w:r>
      <w:r>
        <w:rPr>
          <w:rFonts w:ascii="仿宋_GB2312" w:hAnsi="仿宋_GB2312" w:eastAsia="仿宋_GB2312" w:cs="仿宋_GB2312"/>
          <w:sz w:val="32"/>
        </w:rPr>
        <w:t>　地方政府规章可以在法律、法规规定的给予行政处罚的行为、种类和幅度的范围内作出具体规定。</w:t>
      </w:r>
    </w:p>
    <w:p>
      <w:pPr>
        <w:spacing w:line="560" w:lineRule="exact"/>
        <w:ind w:firstLine="640"/>
        <w:jc w:val="both"/>
      </w:pPr>
      <w:r>
        <w:rPr>
          <w:rFonts w:ascii="仿宋_GB2312" w:hAnsi="仿宋_GB2312" w:eastAsia="仿宋_GB2312" w:cs="仿宋_GB2312"/>
          <w:sz w:val="32"/>
        </w:rPr>
        <w:t>尚未制定法律、法规的，地方政府规章对违反行政管理秩序的行为，可以设定警告、通报批评或者一定数额罚款的行政处罚。罚款的限额由省、自治区、直辖市人民代表大会常务委员会规定。</w:t>
      </w:r>
    </w:p>
    <w:p>
      <w:pPr>
        <w:spacing w:line="560" w:lineRule="exact"/>
        <w:ind w:firstLine="640"/>
        <w:jc w:val="both"/>
      </w:pPr>
      <w:r>
        <w:rPr>
          <w:rFonts w:ascii="黑体" w:hAnsi="黑体" w:eastAsia="黑体" w:cs="黑体"/>
          <w:sz w:val="32"/>
        </w:rPr>
        <w:t>第十五条</w:t>
      </w:r>
      <w:r>
        <w:rPr>
          <w:rFonts w:ascii="仿宋_GB2312" w:hAnsi="仿宋_GB2312" w:eastAsia="仿宋_GB2312" w:cs="仿宋_GB2312"/>
          <w:sz w:val="32"/>
        </w:rPr>
        <w:t>　国务院部门和省、自治区、直辖市人民政府及其有关部门应当定期组织评估行政处罚的实施情况和必要性，对不适当的行政处罚事项及种类、罚款数额等，应当提出修改或者废止的建议。</w:t>
      </w:r>
    </w:p>
    <w:p>
      <w:pPr>
        <w:spacing w:line="560" w:lineRule="exact"/>
        <w:ind w:firstLine="640"/>
        <w:jc w:val="both"/>
      </w:pPr>
      <w:r>
        <w:rPr>
          <w:rFonts w:ascii="黑体" w:hAnsi="黑体" w:eastAsia="黑体" w:cs="黑体"/>
          <w:sz w:val="32"/>
        </w:rPr>
        <w:t>第十六条</w:t>
      </w:r>
      <w:r>
        <w:rPr>
          <w:rFonts w:ascii="仿宋_GB2312" w:hAnsi="仿宋_GB2312" w:eastAsia="仿宋_GB2312" w:cs="仿宋_GB2312"/>
          <w:sz w:val="32"/>
        </w:rPr>
        <w:t>　除法律、法规、规章外，其他规范性文件不得设定行政处罚。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第三章　行政处罚的实施机关</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第十七条</w:t>
      </w:r>
      <w:r>
        <w:rPr>
          <w:rFonts w:ascii="仿宋_GB2312" w:hAnsi="仿宋_GB2312" w:eastAsia="仿宋_GB2312" w:cs="仿宋_GB2312"/>
          <w:sz w:val="32"/>
        </w:rPr>
        <w:t>　行政处罚由具有行政处罚权的行政机关在法定职权范围内实施。</w:t>
      </w:r>
    </w:p>
    <w:p>
      <w:pPr>
        <w:spacing w:line="560" w:lineRule="exact"/>
        <w:ind w:firstLine="640"/>
        <w:jc w:val="both"/>
      </w:pPr>
      <w:r>
        <w:rPr>
          <w:rFonts w:ascii="黑体" w:hAnsi="黑体" w:eastAsia="黑体" w:cs="黑体"/>
          <w:sz w:val="32"/>
        </w:rPr>
        <w:t>第十八条</w:t>
      </w:r>
      <w:r>
        <w:rPr>
          <w:rFonts w:ascii="仿宋_GB2312" w:hAnsi="仿宋_GB2312" w:eastAsia="仿宋_GB2312" w:cs="仿宋_GB2312"/>
          <w:sz w:val="32"/>
        </w:rPr>
        <w:t>　国家在城市管理、市场监管、生态环境、文化市场、交通运输、应急管理、农业等领域推行建立综合行政执法制度，相对集中行政处罚权。</w:t>
      </w:r>
    </w:p>
    <w:p>
      <w:pPr>
        <w:spacing w:line="560" w:lineRule="exact"/>
        <w:ind w:firstLine="640"/>
        <w:jc w:val="both"/>
      </w:pPr>
      <w:r>
        <w:rPr>
          <w:rFonts w:ascii="仿宋_GB2312" w:hAnsi="仿宋_GB2312" w:eastAsia="仿宋_GB2312" w:cs="仿宋_GB2312"/>
          <w:sz w:val="32"/>
        </w:rPr>
        <w:t>国务院或者省、自治区、直辖市人民政府可以决定一个行政机关行使有关行政机关的行政处罚权。</w:t>
      </w:r>
    </w:p>
    <w:p>
      <w:pPr>
        <w:spacing w:line="560" w:lineRule="exact"/>
        <w:ind w:firstLine="640"/>
        <w:jc w:val="both"/>
      </w:pPr>
      <w:r>
        <w:rPr>
          <w:rFonts w:ascii="仿宋_GB2312" w:hAnsi="仿宋_GB2312" w:eastAsia="仿宋_GB2312" w:cs="仿宋_GB2312"/>
          <w:sz w:val="32"/>
        </w:rPr>
        <w:t>限制人身自由的行政处罚权只能由公安机关和法律规定的其他机关行使。</w:t>
      </w:r>
    </w:p>
    <w:p>
      <w:pPr>
        <w:spacing w:line="560" w:lineRule="exact"/>
        <w:ind w:firstLine="640"/>
        <w:jc w:val="both"/>
      </w:pPr>
      <w:r>
        <w:rPr>
          <w:rFonts w:ascii="黑体" w:hAnsi="黑体" w:eastAsia="黑体" w:cs="黑体"/>
          <w:sz w:val="32"/>
        </w:rPr>
        <w:t>第十九条</w:t>
      </w:r>
      <w:r>
        <w:rPr>
          <w:rFonts w:ascii="仿宋_GB2312" w:hAnsi="仿宋_GB2312" w:eastAsia="仿宋_GB2312" w:cs="仿宋_GB2312"/>
          <w:sz w:val="32"/>
        </w:rPr>
        <w:t>　法律、法规授权的具有管理公共事务职能的组织可以在法定授权范围内实施行政处罚。</w:t>
      </w:r>
    </w:p>
    <w:p>
      <w:pPr>
        <w:spacing w:line="560" w:lineRule="exact"/>
        <w:ind w:firstLine="640"/>
        <w:jc w:val="both"/>
      </w:pPr>
      <w:r>
        <w:rPr>
          <w:rFonts w:ascii="黑体" w:hAnsi="黑体" w:eastAsia="黑体" w:cs="黑体"/>
          <w:sz w:val="32"/>
        </w:rPr>
        <w:t>第二十条</w:t>
      </w:r>
      <w:r>
        <w:rPr>
          <w:rFonts w:ascii="仿宋_GB2312" w:hAnsi="仿宋_GB2312" w:eastAsia="仿宋_GB2312" w:cs="仿宋_GB2312"/>
          <w:sz w:val="32"/>
        </w:rPr>
        <w:t>　行政机关依照法律、法规、规章的规定，可以在其法定权限内书面委托符合本法第二十一条规定条件的组织实施行政处罚。行政机关不得委托其他组织或者个人实施行政处罚。</w:t>
      </w:r>
    </w:p>
    <w:p>
      <w:pPr>
        <w:spacing w:line="560" w:lineRule="exact"/>
        <w:ind w:firstLine="640"/>
        <w:jc w:val="both"/>
      </w:pPr>
      <w:r>
        <w:rPr>
          <w:rFonts w:ascii="仿宋_GB2312" w:hAnsi="仿宋_GB2312" w:eastAsia="仿宋_GB2312" w:cs="仿宋_GB2312"/>
          <w:sz w:val="32"/>
        </w:rPr>
        <w:t>委托书应当载明委托的具体事项、权限、期限等内容。委托行政机关和受委托组织应当将委托书向社会公布。</w:t>
      </w:r>
    </w:p>
    <w:p>
      <w:pPr>
        <w:spacing w:line="560" w:lineRule="exact"/>
        <w:ind w:firstLine="640"/>
        <w:jc w:val="both"/>
      </w:pPr>
      <w:r>
        <w:rPr>
          <w:rFonts w:ascii="仿宋_GB2312" w:hAnsi="仿宋_GB2312" w:eastAsia="仿宋_GB2312" w:cs="仿宋_GB2312"/>
          <w:sz w:val="32"/>
        </w:rPr>
        <w:t>委托行政机关对受委托组织实施行政处罚的行为应当负责监督，并对该行为的后果承担法律责任。</w:t>
      </w:r>
    </w:p>
    <w:p>
      <w:pPr>
        <w:spacing w:line="560" w:lineRule="exact"/>
        <w:ind w:firstLine="640"/>
        <w:jc w:val="both"/>
      </w:pPr>
      <w:r>
        <w:rPr>
          <w:rFonts w:ascii="仿宋_GB2312" w:hAnsi="仿宋_GB2312" w:eastAsia="仿宋_GB2312" w:cs="仿宋_GB2312"/>
          <w:sz w:val="32"/>
        </w:rPr>
        <w:t>受委托组织在委托范围内，以委托行政机关名义实施行政处罚；不得再委托其他组织或者个人实施行政处罚。</w:t>
      </w:r>
    </w:p>
    <w:p>
      <w:pPr>
        <w:spacing w:line="560" w:lineRule="exact"/>
        <w:ind w:firstLine="640"/>
        <w:jc w:val="both"/>
      </w:pPr>
      <w:r>
        <w:rPr>
          <w:rFonts w:ascii="黑体" w:hAnsi="黑体" w:eastAsia="黑体" w:cs="黑体"/>
          <w:sz w:val="32"/>
        </w:rPr>
        <w:t>第二十一条</w:t>
      </w:r>
      <w:r>
        <w:rPr>
          <w:rFonts w:ascii="仿宋_GB2312" w:hAnsi="仿宋_GB2312" w:eastAsia="仿宋_GB2312" w:cs="仿宋_GB2312"/>
          <w:sz w:val="32"/>
        </w:rPr>
        <w:t>　受委托组织必须符合以下条件：</w:t>
      </w:r>
    </w:p>
    <w:p>
      <w:pPr>
        <w:spacing w:line="560" w:lineRule="exact"/>
        <w:ind w:firstLine="640"/>
        <w:jc w:val="both"/>
      </w:pPr>
      <w:r>
        <w:rPr>
          <w:rFonts w:ascii="仿宋_GB2312" w:hAnsi="仿宋_GB2312" w:eastAsia="仿宋_GB2312" w:cs="仿宋_GB2312"/>
          <w:sz w:val="32"/>
        </w:rPr>
        <w:t>（一）依法成立并具有管理公共事务职能；</w:t>
      </w:r>
    </w:p>
    <w:p>
      <w:pPr>
        <w:spacing w:line="560" w:lineRule="exact"/>
        <w:ind w:firstLine="640"/>
        <w:jc w:val="both"/>
      </w:pPr>
      <w:r>
        <w:rPr>
          <w:rFonts w:ascii="仿宋_GB2312" w:hAnsi="仿宋_GB2312" w:eastAsia="仿宋_GB2312" w:cs="仿宋_GB2312"/>
          <w:sz w:val="32"/>
        </w:rPr>
        <w:t>（二）有熟悉有关法律、法规、规章和业务并取得行政执法资格的工作人员；</w:t>
      </w:r>
    </w:p>
    <w:p>
      <w:pPr>
        <w:spacing w:line="560" w:lineRule="exact"/>
        <w:ind w:firstLine="640"/>
        <w:jc w:val="both"/>
      </w:pPr>
      <w:r>
        <w:rPr>
          <w:rFonts w:ascii="仿宋_GB2312" w:hAnsi="仿宋_GB2312" w:eastAsia="仿宋_GB2312" w:cs="仿宋_GB2312"/>
          <w:sz w:val="32"/>
        </w:rPr>
        <w:t>（三）需要进行技术检查或者技术鉴定的，应当有条件组织进行相应的技术检查或者技术鉴定。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第四章　行政处罚的管辖和适用</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第二十二条</w:t>
      </w:r>
      <w:r>
        <w:rPr>
          <w:rFonts w:ascii="仿宋_GB2312" w:hAnsi="仿宋_GB2312" w:eastAsia="仿宋_GB2312" w:cs="仿宋_GB2312"/>
          <w:sz w:val="32"/>
        </w:rPr>
        <w:t>　行政处罚由违法行为发生地的行政机关管辖。法律、行政法规、部门规章另有规定的，从其规定。</w:t>
      </w:r>
    </w:p>
    <w:p>
      <w:pPr>
        <w:spacing w:line="560" w:lineRule="exact"/>
        <w:ind w:firstLine="640"/>
        <w:jc w:val="both"/>
      </w:pPr>
      <w:r>
        <w:rPr>
          <w:rFonts w:ascii="黑体" w:hAnsi="黑体" w:eastAsia="黑体" w:cs="黑体"/>
          <w:sz w:val="32"/>
        </w:rPr>
        <w:t>第二十三条</w:t>
      </w:r>
      <w:r>
        <w:rPr>
          <w:rFonts w:ascii="仿宋_GB2312" w:hAnsi="仿宋_GB2312" w:eastAsia="仿宋_GB2312" w:cs="仿宋_GB2312"/>
          <w:sz w:val="32"/>
        </w:rPr>
        <w:t>　行政处罚由县级以上地方人民政府具有行政处罚权的行政机关管辖。法律、行政法规另有规定的，从其规定。</w:t>
      </w:r>
    </w:p>
    <w:p>
      <w:pPr>
        <w:spacing w:line="560" w:lineRule="exact"/>
        <w:ind w:firstLine="640"/>
        <w:jc w:val="both"/>
      </w:pPr>
      <w:r>
        <w:rPr>
          <w:rFonts w:ascii="黑体" w:hAnsi="黑体" w:eastAsia="黑体" w:cs="黑体"/>
          <w:sz w:val="32"/>
        </w:rPr>
        <w:t>第二十四条</w:t>
      </w:r>
      <w:r>
        <w:rPr>
          <w:rFonts w:ascii="仿宋_GB2312" w:hAnsi="仿宋_GB2312" w:eastAsia="仿宋_GB2312" w:cs="仿宋_GB2312"/>
          <w:sz w:val="32"/>
        </w:rPr>
        <w:t>　省、自治区、直辖市根据当地实际情况，可以决定将基层管理迫切需要的县级人民政府部门的行政处罚权交由能够有效承接的乡镇人民政府、街道办事处行使，并定期组织评估。决定应当公布。</w:t>
      </w:r>
    </w:p>
    <w:p>
      <w:pPr>
        <w:spacing w:line="560" w:lineRule="exact"/>
        <w:ind w:firstLine="640"/>
        <w:jc w:val="both"/>
      </w:pPr>
      <w:r>
        <w:rPr>
          <w:rFonts w:ascii="仿宋_GB2312" w:hAnsi="仿宋_GB2312" w:eastAsia="仿宋_GB2312" w:cs="仿宋_GB2312"/>
          <w:sz w:val="32"/>
        </w:rPr>
        <w:t>承接行政处罚权的乡镇人民政府、街道办事处应当加强执法能力建设，按照规定范围、依照法定程序实施行政处罚。</w:t>
      </w:r>
    </w:p>
    <w:p>
      <w:pPr>
        <w:spacing w:line="560" w:lineRule="exact"/>
        <w:ind w:firstLine="640"/>
        <w:jc w:val="both"/>
      </w:pPr>
      <w:r>
        <w:rPr>
          <w:rFonts w:ascii="仿宋_GB2312" w:hAnsi="仿宋_GB2312" w:eastAsia="仿宋_GB2312" w:cs="仿宋_GB2312"/>
          <w:sz w:val="32"/>
        </w:rPr>
        <w:t>有关地方人民政府及其部门应当加强组织协调、业务指导、执法监督，建立健全行政处罚协调配合机制，完善评议、考核制度。</w:t>
      </w:r>
    </w:p>
    <w:p>
      <w:pPr>
        <w:spacing w:line="560" w:lineRule="exact"/>
        <w:ind w:firstLine="640"/>
        <w:jc w:val="both"/>
      </w:pPr>
      <w:r>
        <w:rPr>
          <w:rFonts w:ascii="黑体" w:hAnsi="黑体" w:eastAsia="黑体" w:cs="黑体"/>
          <w:sz w:val="32"/>
        </w:rPr>
        <w:t>第二十五条</w:t>
      </w:r>
      <w:r>
        <w:rPr>
          <w:rFonts w:ascii="仿宋_GB2312" w:hAnsi="仿宋_GB2312" w:eastAsia="仿宋_GB2312" w:cs="仿宋_GB2312"/>
          <w:sz w:val="32"/>
        </w:rPr>
        <w:t>　两个以上行政机关都有管辖权的，由最先立案的行政机关管辖。</w:t>
      </w:r>
    </w:p>
    <w:p>
      <w:pPr>
        <w:spacing w:line="560" w:lineRule="exact"/>
        <w:ind w:firstLine="640"/>
        <w:jc w:val="both"/>
      </w:pPr>
      <w:r>
        <w:rPr>
          <w:rFonts w:ascii="仿宋_GB2312" w:hAnsi="仿宋_GB2312" w:eastAsia="仿宋_GB2312" w:cs="仿宋_GB2312"/>
          <w:sz w:val="32"/>
        </w:rPr>
        <w:t>对管辖发生争议的，应当协商解决，协商不成的，报请共同的上一级行政机关指定管辖；也可以直接由共同的上一级行政机关指定管辖。</w:t>
      </w:r>
    </w:p>
    <w:p>
      <w:pPr>
        <w:spacing w:line="560" w:lineRule="exact"/>
        <w:ind w:firstLine="640"/>
        <w:jc w:val="both"/>
      </w:pPr>
      <w:r>
        <w:rPr>
          <w:rFonts w:ascii="黑体" w:hAnsi="黑体" w:eastAsia="黑体" w:cs="黑体"/>
          <w:sz w:val="32"/>
        </w:rPr>
        <w:t>第二十六条</w:t>
      </w:r>
      <w:r>
        <w:rPr>
          <w:rFonts w:ascii="仿宋_GB2312" w:hAnsi="仿宋_GB2312" w:eastAsia="仿宋_GB2312" w:cs="仿宋_GB2312"/>
          <w:sz w:val="32"/>
        </w:rPr>
        <w:t>　行政机关因实施行政处罚的需要，可以向有关机关提出协助请求。协助事项属于被请求机关职权范围内的，应当依法予以协助。</w:t>
      </w:r>
    </w:p>
    <w:p>
      <w:pPr>
        <w:spacing w:line="560" w:lineRule="exact"/>
        <w:ind w:firstLine="640"/>
        <w:jc w:val="both"/>
      </w:pPr>
      <w:r>
        <w:rPr>
          <w:rFonts w:ascii="黑体" w:hAnsi="黑体" w:eastAsia="黑体" w:cs="黑体"/>
          <w:sz w:val="32"/>
        </w:rPr>
        <w:t>第二十七条</w:t>
      </w:r>
      <w:r>
        <w:rPr>
          <w:rFonts w:ascii="仿宋_GB2312" w:hAnsi="仿宋_GB2312" w:eastAsia="仿宋_GB2312" w:cs="仿宋_GB2312"/>
          <w:sz w:val="32"/>
        </w:rPr>
        <w:t>　违法行为涉嫌犯罪的，行政机关应当及时将案件移送司法机关，依法追究刑事责任。对依法不需要追究刑事责任或者免予刑事处罚，但应当给予行政处罚的，司法机关应当及时将案件移送有关行政机关。</w:t>
      </w:r>
    </w:p>
    <w:p>
      <w:pPr>
        <w:spacing w:line="560" w:lineRule="exact"/>
        <w:ind w:firstLine="640"/>
        <w:jc w:val="both"/>
      </w:pPr>
      <w:r>
        <w:rPr>
          <w:rFonts w:ascii="仿宋_GB2312" w:hAnsi="仿宋_GB2312" w:eastAsia="仿宋_GB2312" w:cs="仿宋_GB2312"/>
          <w:sz w:val="32"/>
        </w:rPr>
        <w:t>行政处罚实施机关与司法机关之间应当加强协调配合，建立健全案件移送制度，加强证据材料移交、接收衔接，完善案件处理信息通报机制。</w:t>
      </w:r>
    </w:p>
    <w:p>
      <w:pPr>
        <w:spacing w:line="560" w:lineRule="exact"/>
        <w:ind w:firstLine="640"/>
        <w:jc w:val="both"/>
      </w:pPr>
      <w:r>
        <w:rPr>
          <w:rFonts w:ascii="黑体" w:hAnsi="黑体" w:eastAsia="黑体" w:cs="黑体"/>
          <w:sz w:val="32"/>
        </w:rPr>
        <w:t>第二十八条</w:t>
      </w:r>
      <w:r>
        <w:rPr>
          <w:rFonts w:ascii="仿宋_GB2312" w:hAnsi="仿宋_GB2312" w:eastAsia="仿宋_GB2312" w:cs="仿宋_GB2312"/>
          <w:sz w:val="32"/>
        </w:rPr>
        <w:t>　行政机关实施行政处罚时，应当责令当事人改正或者限期改正违法行为。</w:t>
      </w:r>
    </w:p>
    <w:p>
      <w:pPr>
        <w:spacing w:line="560" w:lineRule="exact"/>
        <w:ind w:firstLine="640"/>
        <w:jc w:val="both"/>
      </w:pPr>
      <w:r>
        <w:rPr>
          <w:rFonts w:ascii="仿宋_GB2312" w:hAnsi="仿宋_GB2312" w:eastAsia="仿宋_GB2312" w:cs="仿宋_GB2312"/>
          <w:sz w:val="32"/>
        </w:rPr>
        <w:t>当事人有违法所得，除依法应当退赔的外，应当予以没收。违法所得是指实施违法行为所取得的款项。法律、行政法规、部门规章对违法所得的计算另有规定的，从其规定。</w:t>
      </w:r>
    </w:p>
    <w:p>
      <w:pPr>
        <w:spacing w:line="560" w:lineRule="exact"/>
        <w:ind w:firstLine="640"/>
        <w:jc w:val="both"/>
      </w:pPr>
      <w:r>
        <w:rPr>
          <w:rFonts w:ascii="黑体" w:hAnsi="黑体" w:eastAsia="黑体" w:cs="黑体"/>
          <w:sz w:val="32"/>
        </w:rPr>
        <w:t>第二十九条</w:t>
      </w:r>
      <w:r>
        <w:rPr>
          <w:rFonts w:ascii="仿宋_GB2312" w:hAnsi="仿宋_GB2312" w:eastAsia="仿宋_GB2312" w:cs="仿宋_GB2312"/>
          <w:sz w:val="32"/>
        </w:rPr>
        <w:t>　对当事人的同一个违法行为，不得给予两次以上罚款的行政处罚。同一个违法行为违反多个法律规范应当给予罚款处罚的，按照罚款数额高的规定处罚。</w:t>
      </w:r>
    </w:p>
    <w:p>
      <w:pPr>
        <w:spacing w:line="560" w:lineRule="exact"/>
        <w:ind w:firstLine="640"/>
        <w:jc w:val="both"/>
      </w:pPr>
      <w:r>
        <w:rPr>
          <w:rFonts w:ascii="黑体" w:hAnsi="黑体" w:eastAsia="黑体" w:cs="黑体"/>
          <w:sz w:val="32"/>
        </w:rPr>
        <w:t>第三十条</w:t>
      </w:r>
      <w:r>
        <w:rPr>
          <w:rFonts w:ascii="仿宋_GB2312" w:hAnsi="仿宋_GB2312" w:eastAsia="仿宋_GB2312" w:cs="仿宋_GB2312"/>
          <w:sz w:val="32"/>
        </w:rPr>
        <w:t>　不满十四周岁的未成年人有违法行为的，不予行政处罚，责令监护人加以管教；已满十四周岁不满十八周岁的未成年人有违法行为的，应当从轻或者减轻行政处罚。</w:t>
      </w:r>
    </w:p>
    <w:p>
      <w:pPr>
        <w:spacing w:line="560" w:lineRule="exact"/>
        <w:ind w:firstLine="640"/>
        <w:jc w:val="both"/>
      </w:pPr>
      <w:r>
        <w:rPr>
          <w:rFonts w:ascii="黑体" w:hAnsi="黑体" w:eastAsia="黑体" w:cs="黑体"/>
          <w:sz w:val="32"/>
        </w:rPr>
        <w:t>第三十一条</w:t>
      </w:r>
      <w:r>
        <w:rPr>
          <w:rFonts w:ascii="仿宋_GB2312" w:hAnsi="仿宋_GB2312" w:eastAsia="仿宋_GB2312" w:cs="仿宋_GB2312"/>
          <w:sz w:val="32"/>
        </w:rPr>
        <w:t>　精神病人、智力残疾人在不能辨认或者不能控制自己行为时有违法行为的，不予行政处罚，但应当责令其监护人严加看管和治疗。间歇性精神病人在精神正常时有违法行为的，应当给予行政处罚。尚未完全丧失辨认或者控制自己行为能力的精神病人、智力残疾人有违法行为的，可以从轻或者减轻行政处罚。</w:t>
      </w:r>
    </w:p>
    <w:p>
      <w:pPr>
        <w:spacing w:line="560" w:lineRule="exact"/>
        <w:ind w:firstLine="640"/>
        <w:jc w:val="both"/>
      </w:pPr>
      <w:r>
        <w:rPr>
          <w:rFonts w:ascii="黑体" w:hAnsi="黑体" w:eastAsia="黑体" w:cs="黑体"/>
          <w:sz w:val="32"/>
        </w:rPr>
        <w:t>第三十二条</w:t>
      </w:r>
      <w:r>
        <w:rPr>
          <w:rFonts w:ascii="仿宋_GB2312" w:hAnsi="仿宋_GB2312" w:eastAsia="仿宋_GB2312" w:cs="仿宋_GB2312"/>
          <w:sz w:val="32"/>
        </w:rPr>
        <w:t>　当事人有下列情形之一，应当从轻或者减轻行政处罚：</w:t>
      </w:r>
    </w:p>
    <w:p>
      <w:pPr>
        <w:spacing w:line="560" w:lineRule="exact"/>
        <w:ind w:firstLine="640"/>
        <w:jc w:val="both"/>
      </w:pPr>
      <w:r>
        <w:rPr>
          <w:rFonts w:ascii="仿宋_GB2312" w:hAnsi="仿宋_GB2312" w:eastAsia="仿宋_GB2312" w:cs="仿宋_GB2312"/>
          <w:sz w:val="32"/>
        </w:rPr>
        <w:t>（一）主动消除或者减轻违法行为危害后果的；</w:t>
      </w:r>
    </w:p>
    <w:p>
      <w:pPr>
        <w:spacing w:line="560" w:lineRule="exact"/>
        <w:ind w:firstLine="640"/>
        <w:jc w:val="both"/>
      </w:pPr>
      <w:r>
        <w:rPr>
          <w:rFonts w:ascii="仿宋_GB2312" w:hAnsi="仿宋_GB2312" w:eastAsia="仿宋_GB2312" w:cs="仿宋_GB2312"/>
          <w:sz w:val="32"/>
        </w:rPr>
        <w:t>（二）受他人胁迫或者诱骗实施违法行为的；</w:t>
      </w:r>
    </w:p>
    <w:p>
      <w:pPr>
        <w:spacing w:line="560" w:lineRule="exact"/>
        <w:ind w:firstLine="640"/>
        <w:jc w:val="both"/>
      </w:pPr>
      <w:r>
        <w:rPr>
          <w:rFonts w:ascii="仿宋_GB2312" w:hAnsi="仿宋_GB2312" w:eastAsia="仿宋_GB2312" w:cs="仿宋_GB2312"/>
          <w:sz w:val="32"/>
        </w:rPr>
        <w:t>（三）主动供述行政机关尚未掌握的违法行为的；</w:t>
      </w:r>
    </w:p>
    <w:p>
      <w:pPr>
        <w:spacing w:line="560" w:lineRule="exact"/>
        <w:ind w:firstLine="640"/>
        <w:jc w:val="both"/>
      </w:pPr>
      <w:r>
        <w:rPr>
          <w:rFonts w:ascii="仿宋_GB2312" w:hAnsi="仿宋_GB2312" w:eastAsia="仿宋_GB2312" w:cs="仿宋_GB2312"/>
          <w:sz w:val="32"/>
        </w:rPr>
        <w:t>（四）配合行政机关查处违法行为有立功表现的；</w:t>
      </w:r>
    </w:p>
    <w:p>
      <w:pPr>
        <w:spacing w:line="560" w:lineRule="exact"/>
        <w:ind w:firstLine="640"/>
        <w:jc w:val="both"/>
      </w:pPr>
      <w:r>
        <w:rPr>
          <w:rFonts w:ascii="仿宋_GB2312" w:hAnsi="仿宋_GB2312" w:eastAsia="仿宋_GB2312" w:cs="仿宋_GB2312"/>
          <w:sz w:val="32"/>
        </w:rPr>
        <w:t>（五）法律、法规、规章规定其他应当从轻或者减轻行政处罚的。</w:t>
      </w:r>
    </w:p>
    <w:p>
      <w:pPr>
        <w:spacing w:line="560" w:lineRule="exact"/>
        <w:ind w:firstLine="640"/>
        <w:jc w:val="both"/>
      </w:pPr>
      <w:r>
        <w:rPr>
          <w:rFonts w:ascii="黑体" w:hAnsi="黑体" w:eastAsia="黑体" w:cs="黑体"/>
          <w:sz w:val="32"/>
        </w:rPr>
        <w:t>第三十三条</w:t>
      </w:r>
      <w:r>
        <w:rPr>
          <w:rFonts w:ascii="仿宋_GB2312" w:hAnsi="仿宋_GB2312" w:eastAsia="仿宋_GB2312" w:cs="仿宋_GB2312"/>
          <w:sz w:val="32"/>
        </w:rPr>
        <w:t>　违法行为轻微并及时改正，没有造成危害后果的，不予行政处罚。初次违法且危害后果轻微并及时改正的，可以不予行政处罚。</w:t>
      </w:r>
    </w:p>
    <w:p>
      <w:pPr>
        <w:spacing w:line="560" w:lineRule="exact"/>
        <w:ind w:firstLine="640"/>
        <w:jc w:val="both"/>
      </w:pPr>
      <w:r>
        <w:rPr>
          <w:rFonts w:ascii="仿宋_GB2312" w:hAnsi="仿宋_GB2312" w:eastAsia="仿宋_GB2312" w:cs="仿宋_GB2312"/>
          <w:sz w:val="32"/>
        </w:rPr>
        <w:t>当事人有证据足以证明没有主观过错的，不予行政处罚。法律、行政法规另有规定的，从其规定。</w:t>
      </w:r>
    </w:p>
    <w:p>
      <w:pPr>
        <w:spacing w:line="560" w:lineRule="exact"/>
        <w:ind w:firstLine="640"/>
        <w:jc w:val="both"/>
      </w:pPr>
      <w:r>
        <w:rPr>
          <w:rFonts w:ascii="仿宋_GB2312" w:hAnsi="仿宋_GB2312" w:eastAsia="仿宋_GB2312" w:cs="仿宋_GB2312"/>
          <w:sz w:val="32"/>
        </w:rPr>
        <w:t>对当事人的违法行为依法不予行政处罚的，行政机关应当对当事人进行教育。</w:t>
      </w:r>
    </w:p>
    <w:p>
      <w:pPr>
        <w:spacing w:line="560" w:lineRule="exact"/>
        <w:ind w:firstLine="640"/>
        <w:jc w:val="both"/>
      </w:pPr>
      <w:r>
        <w:rPr>
          <w:rFonts w:ascii="黑体" w:hAnsi="黑体" w:eastAsia="黑体" w:cs="黑体"/>
          <w:sz w:val="32"/>
        </w:rPr>
        <w:t>第三十四条</w:t>
      </w:r>
      <w:r>
        <w:rPr>
          <w:rFonts w:ascii="仿宋_GB2312" w:hAnsi="仿宋_GB2312" w:eastAsia="仿宋_GB2312" w:cs="仿宋_GB2312"/>
          <w:sz w:val="32"/>
        </w:rPr>
        <w:t>　行政机关可以依法制定行政处罚裁量基准，规范行使行政处罚裁量权。行政处罚裁量基准应当向社会公布。</w:t>
      </w:r>
    </w:p>
    <w:p>
      <w:pPr>
        <w:spacing w:line="560" w:lineRule="exact"/>
        <w:ind w:firstLine="640"/>
        <w:jc w:val="both"/>
      </w:pPr>
      <w:r>
        <w:rPr>
          <w:rFonts w:ascii="黑体" w:hAnsi="黑体" w:eastAsia="黑体" w:cs="黑体"/>
          <w:sz w:val="32"/>
        </w:rPr>
        <w:t>第三十五条</w:t>
      </w:r>
      <w:r>
        <w:rPr>
          <w:rFonts w:ascii="仿宋_GB2312" w:hAnsi="仿宋_GB2312" w:eastAsia="仿宋_GB2312" w:cs="仿宋_GB2312"/>
          <w:sz w:val="32"/>
        </w:rPr>
        <w:t>　违法行为构成犯罪，人民法院判处拘役或者有期徒刑时，行政机关已经给予当事人行政拘留的，应当依法折抵相应刑期。</w:t>
      </w:r>
    </w:p>
    <w:p>
      <w:pPr>
        <w:spacing w:line="560" w:lineRule="exact"/>
        <w:ind w:firstLine="640"/>
        <w:jc w:val="both"/>
      </w:pPr>
      <w:r>
        <w:rPr>
          <w:rFonts w:ascii="仿宋_GB2312" w:hAnsi="仿宋_GB2312" w:eastAsia="仿宋_GB2312" w:cs="仿宋_GB2312"/>
          <w:sz w:val="32"/>
        </w:rPr>
        <w:t>违法行为构成犯罪，人民法院判处罚金时，行政机关已经给予当事人罚款的，应当折抵相应罚金；行政机关尚未给予当事人罚款的，不再给予罚款。</w:t>
      </w:r>
    </w:p>
    <w:p>
      <w:pPr>
        <w:spacing w:line="560" w:lineRule="exact"/>
        <w:ind w:firstLine="640"/>
        <w:jc w:val="both"/>
      </w:pPr>
      <w:r>
        <w:rPr>
          <w:rFonts w:ascii="黑体" w:hAnsi="黑体" w:eastAsia="黑体" w:cs="黑体"/>
          <w:sz w:val="32"/>
        </w:rPr>
        <w:t>第三十六条</w:t>
      </w:r>
      <w:r>
        <w:rPr>
          <w:rFonts w:ascii="仿宋_GB2312" w:hAnsi="仿宋_GB2312" w:eastAsia="仿宋_GB2312" w:cs="仿宋_GB2312"/>
          <w:sz w:val="32"/>
        </w:rPr>
        <w:t>　违法行为在二年内未被发现的，不再给予行政处罚；涉及公民生命健康安全、金融安全且有危害后果的，上述期限延长至五年。法律另有规定的除外。</w:t>
      </w:r>
    </w:p>
    <w:p>
      <w:pPr>
        <w:spacing w:line="560" w:lineRule="exact"/>
        <w:ind w:firstLine="640"/>
        <w:jc w:val="both"/>
      </w:pPr>
      <w:r>
        <w:rPr>
          <w:rFonts w:ascii="仿宋_GB2312" w:hAnsi="仿宋_GB2312" w:eastAsia="仿宋_GB2312" w:cs="仿宋_GB2312"/>
          <w:sz w:val="32"/>
        </w:rPr>
        <w:t>前款规定的期限，从违法行为发生之日起计算；违法行为有连续或者继续状态的，从行为终了之日起计算。</w:t>
      </w:r>
    </w:p>
    <w:p>
      <w:pPr>
        <w:spacing w:line="560" w:lineRule="exact"/>
        <w:ind w:firstLine="640"/>
        <w:jc w:val="both"/>
      </w:pPr>
      <w:r>
        <w:rPr>
          <w:rFonts w:ascii="黑体" w:hAnsi="黑体" w:eastAsia="黑体" w:cs="黑体"/>
          <w:sz w:val="32"/>
        </w:rPr>
        <w:t>第三十七条</w:t>
      </w:r>
      <w:r>
        <w:rPr>
          <w:rFonts w:ascii="仿宋_GB2312" w:hAnsi="仿宋_GB2312" w:eastAsia="仿宋_GB2312" w:cs="仿宋_GB2312"/>
          <w:sz w:val="32"/>
        </w:rPr>
        <w:t>　实施行政处罚，适用违法行为发生时的法律、法规、规章的规定。但是，作出行政处罚决定时，法律、法规、规章已被修改或者废止，且新的规定处罚较轻或者不认为是违法的，适用新的规定。</w:t>
      </w:r>
    </w:p>
    <w:p>
      <w:pPr>
        <w:spacing w:line="560" w:lineRule="exact"/>
        <w:ind w:firstLine="640"/>
        <w:jc w:val="both"/>
      </w:pPr>
      <w:r>
        <w:rPr>
          <w:rFonts w:ascii="黑体" w:hAnsi="黑体" w:eastAsia="黑体" w:cs="黑体"/>
          <w:sz w:val="32"/>
        </w:rPr>
        <w:t>第三十八条</w:t>
      </w:r>
      <w:r>
        <w:rPr>
          <w:rFonts w:ascii="仿宋_GB2312" w:hAnsi="仿宋_GB2312" w:eastAsia="仿宋_GB2312" w:cs="仿宋_GB2312"/>
          <w:sz w:val="32"/>
        </w:rPr>
        <w:t>　行政处罚没有依据或者实施主体不具有行政主体资格的，行政处罚无效。</w:t>
      </w:r>
    </w:p>
    <w:p>
      <w:pPr>
        <w:spacing w:line="560" w:lineRule="exact"/>
        <w:ind w:firstLine="640"/>
        <w:jc w:val="both"/>
      </w:pPr>
      <w:r>
        <w:rPr>
          <w:rFonts w:ascii="仿宋_GB2312" w:hAnsi="仿宋_GB2312" w:eastAsia="仿宋_GB2312" w:cs="仿宋_GB2312"/>
          <w:sz w:val="32"/>
        </w:rPr>
        <w:t>违反法定程序构成重大且明显违法的，行政处罚无效。</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第五章　行政处罚的决定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宋体" w:hAnsi="宋体" w:eastAsia="宋体" w:cs="宋体"/>
          <w:sz w:val="32"/>
        </w:rPr>
        <w:t>第一节　一般规定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第三十九条</w:t>
      </w:r>
      <w:r>
        <w:rPr>
          <w:rFonts w:ascii="仿宋_GB2312" w:hAnsi="仿宋_GB2312" w:eastAsia="仿宋_GB2312" w:cs="仿宋_GB2312"/>
          <w:sz w:val="32"/>
        </w:rPr>
        <w:t>　行政处罚的实施机关、立案依据、实施程序和救济渠道等信息应当公示。</w:t>
      </w:r>
    </w:p>
    <w:p>
      <w:pPr>
        <w:spacing w:line="560" w:lineRule="exact"/>
        <w:ind w:firstLine="640"/>
        <w:jc w:val="both"/>
      </w:pPr>
      <w:r>
        <w:rPr>
          <w:rFonts w:ascii="黑体" w:hAnsi="黑体" w:eastAsia="黑体" w:cs="黑体"/>
          <w:sz w:val="32"/>
        </w:rPr>
        <w:t>第四十条</w:t>
      </w:r>
      <w:r>
        <w:rPr>
          <w:rFonts w:ascii="仿宋_GB2312" w:hAnsi="仿宋_GB2312" w:eastAsia="仿宋_GB2312" w:cs="仿宋_GB2312"/>
          <w:sz w:val="32"/>
        </w:rPr>
        <w:t>　公民、法人或者其他组织违反行政管理秩序的行为，依法应当给予行政处罚的，行政机关必须查明事实；违法事实不清、证据不足的，不得给予行政处罚。</w:t>
      </w:r>
    </w:p>
    <w:p>
      <w:pPr>
        <w:spacing w:line="560" w:lineRule="exact"/>
        <w:ind w:firstLine="640"/>
        <w:jc w:val="both"/>
      </w:pPr>
      <w:r>
        <w:rPr>
          <w:rFonts w:ascii="黑体" w:hAnsi="黑体" w:eastAsia="黑体" w:cs="黑体"/>
          <w:sz w:val="32"/>
        </w:rPr>
        <w:t>第四十一条</w:t>
      </w:r>
      <w:r>
        <w:rPr>
          <w:rFonts w:ascii="仿宋_GB2312" w:hAnsi="仿宋_GB2312" w:eastAsia="仿宋_GB2312" w:cs="仿宋_GB2312"/>
          <w:sz w:val="32"/>
        </w:rPr>
        <w:t>　行政机关依照法律、行政法规规定利用电子技术监控设备收集、固定违法事实的，应当经过法制和技术审核，确保电子技术监控设备符合标准、设置合理、标志明显，设置地点应当向社会公布。</w:t>
      </w:r>
    </w:p>
    <w:p>
      <w:pPr>
        <w:spacing w:line="560" w:lineRule="exact"/>
        <w:ind w:firstLine="640"/>
        <w:jc w:val="both"/>
      </w:pPr>
      <w:r>
        <w:rPr>
          <w:rFonts w:ascii="仿宋_GB2312" w:hAnsi="仿宋_GB2312" w:eastAsia="仿宋_GB2312" w:cs="仿宋_GB2312"/>
          <w:sz w:val="32"/>
        </w:rPr>
        <w:t>电子技术监控设备记录违法事实应当真实、清晰、完整、准确。行政机关应当审核记录内容是否符合要求；未经审核或者经审核不符合要求的，不得作为行政处罚的证据。</w:t>
      </w:r>
    </w:p>
    <w:p>
      <w:pPr>
        <w:spacing w:line="560" w:lineRule="exact"/>
        <w:ind w:firstLine="640"/>
        <w:jc w:val="both"/>
      </w:pPr>
      <w:r>
        <w:rPr>
          <w:rFonts w:ascii="仿宋_GB2312" w:hAnsi="仿宋_GB2312" w:eastAsia="仿宋_GB2312" w:cs="仿宋_GB2312"/>
          <w:sz w:val="32"/>
        </w:rPr>
        <w:t>行政机关应当及时告知当事人违法事实，并采取信息化手段或者其他措施，为当事人查询、陈述和申辩提供便利。不得限制或者变相限制当事人享有的陈述权、申辩权。</w:t>
      </w:r>
    </w:p>
    <w:p>
      <w:pPr>
        <w:spacing w:line="560" w:lineRule="exact"/>
        <w:ind w:firstLine="640"/>
        <w:jc w:val="both"/>
      </w:pPr>
      <w:r>
        <w:rPr>
          <w:rFonts w:ascii="黑体" w:hAnsi="黑体" w:eastAsia="黑体" w:cs="黑体"/>
          <w:sz w:val="32"/>
        </w:rPr>
        <w:t>第四十二条</w:t>
      </w:r>
      <w:r>
        <w:rPr>
          <w:rFonts w:ascii="仿宋_GB2312" w:hAnsi="仿宋_GB2312" w:eastAsia="仿宋_GB2312" w:cs="仿宋_GB2312"/>
          <w:sz w:val="32"/>
        </w:rPr>
        <w:t>　行政处罚应当由具有行政执法资格的执法人员实施。执法人员不得少于两人，法律另有规定的除外。</w:t>
      </w:r>
    </w:p>
    <w:p>
      <w:pPr>
        <w:spacing w:line="560" w:lineRule="exact"/>
        <w:ind w:firstLine="640"/>
        <w:jc w:val="both"/>
      </w:pPr>
      <w:r>
        <w:rPr>
          <w:rFonts w:ascii="仿宋_GB2312" w:hAnsi="仿宋_GB2312" w:eastAsia="仿宋_GB2312" w:cs="仿宋_GB2312"/>
          <w:sz w:val="32"/>
        </w:rPr>
        <w:t>执法人员应当文明执法，尊重和保护当事人合法权益。</w:t>
      </w:r>
    </w:p>
    <w:p>
      <w:pPr>
        <w:spacing w:line="560" w:lineRule="exact"/>
        <w:ind w:firstLine="640"/>
        <w:jc w:val="both"/>
      </w:pPr>
      <w:r>
        <w:rPr>
          <w:rFonts w:ascii="黑体" w:hAnsi="黑体" w:eastAsia="黑体" w:cs="黑体"/>
          <w:sz w:val="32"/>
        </w:rPr>
        <w:t>第四十三条</w:t>
      </w:r>
      <w:r>
        <w:rPr>
          <w:rFonts w:ascii="仿宋_GB2312" w:hAnsi="仿宋_GB2312" w:eastAsia="仿宋_GB2312" w:cs="仿宋_GB2312"/>
          <w:sz w:val="32"/>
        </w:rPr>
        <w:t>　执法人员与案件有直接利害关系或者有其他关系可能影响公正执法的，应当回避。</w:t>
      </w:r>
    </w:p>
    <w:p>
      <w:pPr>
        <w:spacing w:line="560" w:lineRule="exact"/>
        <w:ind w:firstLine="640"/>
        <w:jc w:val="both"/>
      </w:pPr>
      <w:r>
        <w:rPr>
          <w:rFonts w:ascii="仿宋_GB2312" w:hAnsi="仿宋_GB2312" w:eastAsia="仿宋_GB2312" w:cs="仿宋_GB2312"/>
          <w:sz w:val="32"/>
        </w:rPr>
        <w:t>当事人认为执法人员与案件有直接利害关系或者有其他关系可能影响公正执法的，有权申请回避。</w:t>
      </w:r>
    </w:p>
    <w:p>
      <w:pPr>
        <w:spacing w:line="560" w:lineRule="exact"/>
        <w:ind w:firstLine="640"/>
        <w:jc w:val="both"/>
      </w:pPr>
      <w:r>
        <w:rPr>
          <w:rFonts w:ascii="仿宋_GB2312" w:hAnsi="仿宋_GB2312" w:eastAsia="仿宋_GB2312" w:cs="仿宋_GB2312"/>
          <w:sz w:val="32"/>
        </w:rPr>
        <w:t>当事人提出回避申请的，行政机关应当依法审查，由行政机关负责人决定。决定作出之前，不停止调查。</w:t>
      </w:r>
    </w:p>
    <w:p>
      <w:pPr>
        <w:spacing w:line="560" w:lineRule="exact"/>
        <w:ind w:firstLine="640"/>
        <w:jc w:val="both"/>
      </w:pPr>
      <w:r>
        <w:rPr>
          <w:rFonts w:ascii="黑体" w:hAnsi="黑体" w:eastAsia="黑体" w:cs="黑体"/>
          <w:sz w:val="32"/>
        </w:rPr>
        <w:t>第四十四条</w:t>
      </w:r>
      <w:r>
        <w:rPr>
          <w:rFonts w:ascii="仿宋_GB2312" w:hAnsi="仿宋_GB2312" w:eastAsia="仿宋_GB2312" w:cs="仿宋_GB2312"/>
          <w:sz w:val="32"/>
        </w:rPr>
        <w:t>　行政机关在作出行政处罚决定之前，应当告知当事人拟作出的行政处罚内容及事实、理由、依据，并告知当事人依法享有的陈述、申辩、要求听证等权利。</w:t>
      </w:r>
    </w:p>
    <w:p>
      <w:pPr>
        <w:spacing w:line="560" w:lineRule="exact"/>
        <w:ind w:firstLine="640"/>
        <w:jc w:val="both"/>
      </w:pPr>
      <w:r>
        <w:rPr>
          <w:rFonts w:ascii="黑体" w:hAnsi="黑体" w:eastAsia="黑体" w:cs="黑体"/>
          <w:sz w:val="32"/>
        </w:rPr>
        <w:t>第四十五条</w:t>
      </w:r>
      <w:r>
        <w:rPr>
          <w:rFonts w:ascii="仿宋_GB2312" w:hAnsi="仿宋_GB2312" w:eastAsia="仿宋_GB2312" w:cs="仿宋_GB2312"/>
          <w:sz w:val="32"/>
        </w:rPr>
        <w:t>　当事人有权进行陈述和申辩。行政机关必须充分听取当事人的意见，对当事人提出的事实、理由和证据，应当进行复核；当事人提出的事实、理由或者证据成立的，行政机关应当采纳。</w:t>
      </w:r>
    </w:p>
    <w:p>
      <w:pPr>
        <w:spacing w:line="560" w:lineRule="exact"/>
        <w:ind w:firstLine="640"/>
        <w:jc w:val="both"/>
      </w:pPr>
      <w:r>
        <w:rPr>
          <w:rFonts w:ascii="仿宋_GB2312" w:hAnsi="仿宋_GB2312" w:eastAsia="仿宋_GB2312" w:cs="仿宋_GB2312"/>
          <w:sz w:val="32"/>
        </w:rPr>
        <w:t>行政机关不得因当事人陈述、申辩而给予更重的处罚。</w:t>
      </w:r>
    </w:p>
    <w:p>
      <w:pPr>
        <w:spacing w:line="560" w:lineRule="exact"/>
        <w:ind w:firstLine="640"/>
        <w:jc w:val="both"/>
      </w:pPr>
      <w:r>
        <w:rPr>
          <w:rFonts w:ascii="黑体" w:hAnsi="黑体" w:eastAsia="黑体" w:cs="黑体"/>
          <w:sz w:val="32"/>
        </w:rPr>
        <w:t>第四十六条</w:t>
      </w:r>
      <w:r>
        <w:rPr>
          <w:rFonts w:ascii="仿宋_GB2312" w:hAnsi="仿宋_GB2312" w:eastAsia="仿宋_GB2312" w:cs="仿宋_GB2312"/>
          <w:sz w:val="32"/>
        </w:rPr>
        <w:t>　证据包括：</w:t>
      </w:r>
    </w:p>
    <w:p>
      <w:pPr>
        <w:spacing w:line="560" w:lineRule="exact"/>
        <w:ind w:firstLine="640"/>
        <w:jc w:val="both"/>
      </w:pPr>
      <w:r>
        <w:rPr>
          <w:rFonts w:ascii="仿宋_GB2312" w:hAnsi="仿宋_GB2312" w:eastAsia="仿宋_GB2312" w:cs="仿宋_GB2312"/>
          <w:sz w:val="32"/>
        </w:rPr>
        <w:t>（一）书证；</w:t>
      </w:r>
    </w:p>
    <w:p>
      <w:pPr>
        <w:spacing w:line="560" w:lineRule="exact"/>
        <w:ind w:firstLine="640"/>
        <w:jc w:val="both"/>
      </w:pPr>
      <w:r>
        <w:rPr>
          <w:rFonts w:ascii="仿宋_GB2312" w:hAnsi="仿宋_GB2312" w:eastAsia="仿宋_GB2312" w:cs="仿宋_GB2312"/>
          <w:sz w:val="32"/>
        </w:rPr>
        <w:t>（二）物证；</w:t>
      </w:r>
    </w:p>
    <w:p>
      <w:pPr>
        <w:spacing w:line="560" w:lineRule="exact"/>
        <w:ind w:firstLine="640"/>
        <w:jc w:val="both"/>
      </w:pPr>
      <w:r>
        <w:rPr>
          <w:rFonts w:ascii="仿宋_GB2312" w:hAnsi="仿宋_GB2312" w:eastAsia="仿宋_GB2312" w:cs="仿宋_GB2312"/>
          <w:sz w:val="32"/>
        </w:rPr>
        <w:t>（三）视听资料；</w:t>
      </w:r>
    </w:p>
    <w:p>
      <w:pPr>
        <w:spacing w:line="560" w:lineRule="exact"/>
        <w:ind w:firstLine="640"/>
        <w:jc w:val="both"/>
      </w:pPr>
      <w:r>
        <w:rPr>
          <w:rFonts w:ascii="仿宋_GB2312" w:hAnsi="仿宋_GB2312" w:eastAsia="仿宋_GB2312" w:cs="仿宋_GB2312"/>
          <w:sz w:val="32"/>
        </w:rPr>
        <w:t>（四）电子数据；</w:t>
      </w:r>
    </w:p>
    <w:p>
      <w:pPr>
        <w:spacing w:line="560" w:lineRule="exact"/>
        <w:ind w:firstLine="640"/>
        <w:jc w:val="both"/>
      </w:pPr>
      <w:r>
        <w:rPr>
          <w:rFonts w:ascii="仿宋_GB2312" w:hAnsi="仿宋_GB2312" w:eastAsia="仿宋_GB2312" w:cs="仿宋_GB2312"/>
          <w:sz w:val="32"/>
        </w:rPr>
        <w:t>（五）证人证言；</w:t>
      </w:r>
    </w:p>
    <w:p>
      <w:pPr>
        <w:spacing w:line="560" w:lineRule="exact"/>
        <w:ind w:firstLine="640"/>
        <w:jc w:val="both"/>
      </w:pPr>
      <w:r>
        <w:rPr>
          <w:rFonts w:ascii="仿宋_GB2312" w:hAnsi="仿宋_GB2312" w:eastAsia="仿宋_GB2312" w:cs="仿宋_GB2312"/>
          <w:sz w:val="32"/>
        </w:rPr>
        <w:t>（六）当事人的陈述；</w:t>
      </w:r>
    </w:p>
    <w:p>
      <w:pPr>
        <w:spacing w:line="560" w:lineRule="exact"/>
        <w:ind w:firstLine="640"/>
        <w:jc w:val="both"/>
      </w:pPr>
      <w:r>
        <w:rPr>
          <w:rFonts w:ascii="仿宋_GB2312" w:hAnsi="仿宋_GB2312" w:eastAsia="仿宋_GB2312" w:cs="仿宋_GB2312"/>
          <w:sz w:val="32"/>
        </w:rPr>
        <w:t>（七）鉴定意见；</w:t>
      </w:r>
    </w:p>
    <w:p>
      <w:pPr>
        <w:spacing w:line="560" w:lineRule="exact"/>
        <w:ind w:firstLine="640"/>
        <w:jc w:val="both"/>
      </w:pPr>
      <w:r>
        <w:rPr>
          <w:rFonts w:ascii="仿宋_GB2312" w:hAnsi="仿宋_GB2312" w:eastAsia="仿宋_GB2312" w:cs="仿宋_GB2312"/>
          <w:sz w:val="32"/>
        </w:rPr>
        <w:t>（八）勘验笔录、现场笔录。</w:t>
      </w:r>
    </w:p>
    <w:p>
      <w:pPr>
        <w:spacing w:line="560" w:lineRule="exact"/>
        <w:ind w:firstLine="640"/>
        <w:jc w:val="both"/>
      </w:pPr>
      <w:r>
        <w:rPr>
          <w:rFonts w:ascii="仿宋_GB2312" w:hAnsi="仿宋_GB2312" w:eastAsia="仿宋_GB2312" w:cs="仿宋_GB2312"/>
          <w:sz w:val="32"/>
        </w:rPr>
        <w:t>证据必须经查证属实，方可作为认定案件事实的根据。</w:t>
      </w:r>
    </w:p>
    <w:p>
      <w:pPr>
        <w:spacing w:line="560" w:lineRule="exact"/>
        <w:ind w:firstLine="640"/>
        <w:jc w:val="both"/>
      </w:pPr>
      <w:r>
        <w:rPr>
          <w:rFonts w:ascii="仿宋_GB2312" w:hAnsi="仿宋_GB2312" w:eastAsia="仿宋_GB2312" w:cs="仿宋_GB2312"/>
          <w:sz w:val="32"/>
        </w:rPr>
        <w:t>以非法手段取得的证据，不得作为认定案件事实的根据。</w:t>
      </w:r>
    </w:p>
    <w:p>
      <w:pPr>
        <w:spacing w:line="560" w:lineRule="exact"/>
        <w:ind w:firstLine="640"/>
        <w:jc w:val="both"/>
      </w:pPr>
      <w:r>
        <w:rPr>
          <w:rFonts w:ascii="黑体" w:hAnsi="黑体" w:eastAsia="黑体" w:cs="黑体"/>
          <w:sz w:val="32"/>
        </w:rPr>
        <w:t>第四十七条</w:t>
      </w:r>
      <w:r>
        <w:rPr>
          <w:rFonts w:ascii="仿宋_GB2312" w:hAnsi="仿宋_GB2312" w:eastAsia="仿宋_GB2312" w:cs="仿宋_GB2312"/>
          <w:sz w:val="32"/>
        </w:rPr>
        <w:t>　行政机关应当依法以文字、音像等形式，对行政处罚的启动、调查取证、审核、决定、送达、执行等进行全过程记录，归档保存。</w:t>
      </w:r>
    </w:p>
    <w:p>
      <w:pPr>
        <w:spacing w:line="560" w:lineRule="exact"/>
        <w:ind w:firstLine="640"/>
        <w:jc w:val="both"/>
      </w:pPr>
      <w:r>
        <w:rPr>
          <w:rFonts w:ascii="黑体" w:hAnsi="黑体" w:eastAsia="黑体" w:cs="黑体"/>
          <w:sz w:val="32"/>
        </w:rPr>
        <w:t>第四十八条</w:t>
      </w:r>
      <w:r>
        <w:rPr>
          <w:rFonts w:ascii="仿宋_GB2312" w:hAnsi="仿宋_GB2312" w:eastAsia="仿宋_GB2312" w:cs="仿宋_GB2312"/>
          <w:sz w:val="32"/>
        </w:rPr>
        <w:t>　具有一定社会影响的行政处罚决定应当依法公开。</w:t>
      </w:r>
    </w:p>
    <w:p>
      <w:pPr>
        <w:spacing w:line="560" w:lineRule="exact"/>
        <w:ind w:firstLine="640"/>
        <w:jc w:val="both"/>
      </w:pPr>
      <w:r>
        <w:rPr>
          <w:rFonts w:ascii="仿宋_GB2312" w:hAnsi="仿宋_GB2312" w:eastAsia="仿宋_GB2312" w:cs="仿宋_GB2312"/>
          <w:sz w:val="32"/>
        </w:rPr>
        <w:t>公开的行政处罚决定被依法变更、撤销、确认违法或者确认无效的，行政机关应当在三日内撤回行政处罚决定信息并公开说明理由。</w:t>
      </w:r>
    </w:p>
    <w:p>
      <w:pPr>
        <w:spacing w:line="560" w:lineRule="exact"/>
        <w:ind w:firstLine="640"/>
        <w:jc w:val="both"/>
      </w:pPr>
      <w:r>
        <w:rPr>
          <w:rFonts w:ascii="黑体" w:hAnsi="黑体" w:eastAsia="黑体" w:cs="黑体"/>
          <w:sz w:val="32"/>
        </w:rPr>
        <w:t>第四十九条</w:t>
      </w:r>
      <w:r>
        <w:rPr>
          <w:rFonts w:ascii="仿宋_GB2312" w:hAnsi="仿宋_GB2312" w:eastAsia="仿宋_GB2312" w:cs="仿宋_GB2312"/>
          <w:sz w:val="32"/>
        </w:rPr>
        <w:t>　发生重大传染病疫情等突发事件，为了控制、减轻和消除突发事件引起的社会危害，行政机关对违反突发事件应对措施的行为，依法快速、从重处罚。</w:t>
      </w:r>
    </w:p>
    <w:p>
      <w:pPr>
        <w:spacing w:line="560" w:lineRule="exact"/>
        <w:ind w:firstLine="640"/>
        <w:jc w:val="both"/>
      </w:pPr>
      <w:r>
        <w:rPr>
          <w:rFonts w:ascii="黑体" w:hAnsi="黑体" w:eastAsia="黑体" w:cs="黑体"/>
          <w:sz w:val="32"/>
        </w:rPr>
        <w:t>第五十条</w:t>
      </w:r>
      <w:r>
        <w:rPr>
          <w:rFonts w:ascii="仿宋_GB2312" w:hAnsi="仿宋_GB2312" w:eastAsia="仿宋_GB2312" w:cs="仿宋_GB2312"/>
          <w:sz w:val="32"/>
        </w:rPr>
        <w:t>　行政机关及其工作人员对实施行政处罚过程中知悉的国家秘密、商业秘密或者个人隐私，应当依法予以保密。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宋体" w:hAnsi="宋体" w:eastAsia="宋体" w:cs="宋体"/>
          <w:sz w:val="32"/>
        </w:rPr>
        <w:t>第二节　简易程序</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第五十一条</w:t>
      </w:r>
      <w:r>
        <w:rPr>
          <w:rFonts w:ascii="仿宋_GB2312" w:hAnsi="仿宋_GB2312" w:eastAsia="仿宋_GB2312" w:cs="仿宋_GB2312"/>
          <w:sz w:val="32"/>
        </w:rPr>
        <w:t>　违法事实确凿并有法定依据，对公民处以二百元以下、对法人或者其他组织处以三千元以下罚款或者警告的行政处罚的，可以当场作出行政处罚决定。法律另有规定的，从其规定。</w:t>
      </w:r>
    </w:p>
    <w:p>
      <w:pPr>
        <w:spacing w:line="560" w:lineRule="exact"/>
        <w:ind w:firstLine="640"/>
        <w:jc w:val="both"/>
      </w:pPr>
      <w:r>
        <w:rPr>
          <w:rFonts w:ascii="黑体" w:hAnsi="黑体" w:eastAsia="黑体" w:cs="黑体"/>
          <w:sz w:val="32"/>
        </w:rPr>
        <w:t>第五十二条</w:t>
      </w:r>
      <w:r>
        <w:rPr>
          <w:rFonts w:ascii="仿宋_GB2312" w:hAnsi="仿宋_GB2312" w:eastAsia="仿宋_GB2312" w:cs="仿宋_GB2312"/>
          <w:sz w:val="32"/>
        </w:rPr>
        <w:t>　执法人员当场作出行政处罚决定的，应当向当事人出示执法证件，填写预定格式、编有号码的行政处罚决定书，并当场交付当事人。当事人拒绝签收的，应当在行政处罚决定书上注明。</w:t>
      </w:r>
    </w:p>
    <w:p>
      <w:pPr>
        <w:spacing w:line="560" w:lineRule="exact"/>
        <w:ind w:firstLine="640"/>
        <w:jc w:val="both"/>
      </w:pPr>
      <w:r>
        <w:rPr>
          <w:rFonts w:ascii="仿宋_GB2312" w:hAnsi="仿宋_GB2312" w:eastAsia="仿宋_GB2312" w:cs="仿宋_GB2312"/>
          <w:sz w:val="32"/>
        </w:rPr>
        <w:t>前款规定的行政处罚决定书应当载明当事人的违法行为，行政处罚的种类和依据、罚款数额、时间、地点，申请行政复议、提起行政诉讼的途径和期限以及行政机关名称，并由执法人员签名或者盖章。</w:t>
      </w:r>
    </w:p>
    <w:p>
      <w:pPr>
        <w:spacing w:line="560" w:lineRule="exact"/>
        <w:ind w:firstLine="640"/>
        <w:jc w:val="both"/>
      </w:pPr>
      <w:r>
        <w:rPr>
          <w:rFonts w:ascii="仿宋_GB2312" w:hAnsi="仿宋_GB2312" w:eastAsia="仿宋_GB2312" w:cs="仿宋_GB2312"/>
          <w:sz w:val="32"/>
        </w:rPr>
        <w:t>执法人员当场作出的行政处罚决定，应当报所属行政机关备案。</w:t>
      </w:r>
    </w:p>
    <w:p>
      <w:pPr>
        <w:spacing w:line="560" w:lineRule="exact"/>
        <w:ind w:firstLine="640"/>
        <w:jc w:val="both"/>
      </w:pPr>
      <w:r>
        <w:rPr>
          <w:rFonts w:ascii="黑体" w:hAnsi="黑体" w:eastAsia="黑体" w:cs="黑体"/>
          <w:sz w:val="32"/>
        </w:rPr>
        <w:t>第五十三条</w:t>
      </w:r>
      <w:r>
        <w:rPr>
          <w:rFonts w:ascii="仿宋_GB2312" w:hAnsi="仿宋_GB2312" w:eastAsia="仿宋_GB2312" w:cs="仿宋_GB2312"/>
          <w:sz w:val="32"/>
        </w:rPr>
        <w:t>　对当场作出的行政处罚决定，当事人应当依照本法第六十七条至第六十九条的规定履行。</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宋体" w:hAnsi="宋体" w:eastAsia="宋体" w:cs="宋体"/>
          <w:sz w:val="32"/>
        </w:rPr>
        <w:t>第三节　普通程序</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第五十四条</w:t>
      </w:r>
      <w:r>
        <w:rPr>
          <w:rFonts w:ascii="仿宋_GB2312" w:hAnsi="仿宋_GB2312" w:eastAsia="仿宋_GB2312" w:cs="仿宋_GB2312"/>
          <w:sz w:val="32"/>
        </w:rPr>
        <w:t>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spacing w:line="560" w:lineRule="exact"/>
        <w:ind w:firstLine="640"/>
        <w:jc w:val="both"/>
      </w:pPr>
      <w:r>
        <w:rPr>
          <w:rFonts w:ascii="仿宋_GB2312" w:hAnsi="仿宋_GB2312" w:eastAsia="仿宋_GB2312" w:cs="仿宋_GB2312"/>
          <w:sz w:val="32"/>
        </w:rPr>
        <w:t>符合立案标准的，行政机关应当及时立案。</w:t>
      </w:r>
    </w:p>
    <w:p>
      <w:pPr>
        <w:spacing w:line="560" w:lineRule="exact"/>
        <w:ind w:firstLine="640"/>
        <w:jc w:val="both"/>
      </w:pPr>
      <w:r>
        <w:rPr>
          <w:rFonts w:ascii="黑体" w:hAnsi="黑体" w:eastAsia="黑体" w:cs="黑体"/>
          <w:sz w:val="32"/>
        </w:rPr>
        <w:t>第五十五条</w:t>
      </w:r>
      <w:r>
        <w:rPr>
          <w:rFonts w:ascii="仿宋_GB2312" w:hAnsi="仿宋_GB2312" w:eastAsia="仿宋_GB2312" w:cs="仿宋_GB2312"/>
          <w:sz w:val="32"/>
        </w:rPr>
        <w:t>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pPr>
        <w:spacing w:line="560" w:lineRule="exact"/>
        <w:ind w:firstLine="640"/>
        <w:jc w:val="both"/>
      </w:pPr>
      <w:r>
        <w:rPr>
          <w:rFonts w:ascii="仿宋_GB2312" w:hAnsi="仿宋_GB2312" w:eastAsia="仿宋_GB2312" w:cs="仿宋_GB2312"/>
          <w:sz w:val="32"/>
        </w:rPr>
        <w:t>当事人或者有关人员应当如实回答询问，并协助调查或者检查，不得拒绝或者阻挠。询问或者检查应当制作笔录。</w:t>
      </w:r>
    </w:p>
    <w:p>
      <w:pPr>
        <w:spacing w:line="560" w:lineRule="exact"/>
        <w:ind w:firstLine="640"/>
        <w:jc w:val="both"/>
      </w:pPr>
      <w:r>
        <w:rPr>
          <w:rFonts w:ascii="黑体" w:hAnsi="黑体" w:eastAsia="黑体" w:cs="黑体"/>
          <w:sz w:val="32"/>
        </w:rPr>
        <w:t>第五十六条</w:t>
      </w:r>
      <w:r>
        <w:rPr>
          <w:rFonts w:ascii="仿宋_GB2312" w:hAnsi="仿宋_GB2312" w:eastAsia="仿宋_GB2312" w:cs="仿宋_GB2312"/>
          <w:sz w:val="32"/>
        </w:rPr>
        <w:t>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spacing w:line="560" w:lineRule="exact"/>
        <w:ind w:firstLine="640"/>
        <w:jc w:val="both"/>
      </w:pPr>
      <w:r>
        <w:rPr>
          <w:rFonts w:ascii="黑体" w:hAnsi="黑体" w:eastAsia="黑体" w:cs="黑体"/>
          <w:sz w:val="32"/>
        </w:rPr>
        <w:t>第五十七条</w:t>
      </w:r>
      <w:r>
        <w:rPr>
          <w:rFonts w:ascii="仿宋_GB2312" w:hAnsi="仿宋_GB2312" w:eastAsia="仿宋_GB2312" w:cs="仿宋_GB2312"/>
          <w:sz w:val="32"/>
        </w:rPr>
        <w:t>　调查终结，行政机关负责人应当对调查结果进行审查，根据不同情况，分别作出如下决定：</w:t>
      </w:r>
    </w:p>
    <w:p>
      <w:pPr>
        <w:spacing w:line="560" w:lineRule="exact"/>
        <w:ind w:firstLine="640"/>
        <w:jc w:val="both"/>
      </w:pPr>
      <w:r>
        <w:rPr>
          <w:rFonts w:ascii="仿宋_GB2312" w:hAnsi="仿宋_GB2312" w:eastAsia="仿宋_GB2312" w:cs="仿宋_GB2312"/>
          <w:sz w:val="32"/>
        </w:rPr>
        <w:t>（一）确有应受行政处罚的违法行为的，根据情节轻重及具体情况，作出行政处罚决定；</w:t>
      </w:r>
    </w:p>
    <w:p>
      <w:pPr>
        <w:spacing w:line="560" w:lineRule="exact"/>
        <w:ind w:firstLine="640"/>
        <w:jc w:val="both"/>
      </w:pPr>
      <w:r>
        <w:rPr>
          <w:rFonts w:ascii="仿宋_GB2312" w:hAnsi="仿宋_GB2312" w:eastAsia="仿宋_GB2312" w:cs="仿宋_GB2312"/>
          <w:sz w:val="32"/>
        </w:rPr>
        <w:t>（二）违法行为轻微，依法可以不予行政处罚的，不予行政处罚；</w:t>
      </w:r>
    </w:p>
    <w:p>
      <w:pPr>
        <w:spacing w:line="560" w:lineRule="exact"/>
        <w:ind w:firstLine="640"/>
        <w:jc w:val="both"/>
      </w:pPr>
      <w:r>
        <w:rPr>
          <w:rFonts w:ascii="仿宋_GB2312" w:hAnsi="仿宋_GB2312" w:eastAsia="仿宋_GB2312" w:cs="仿宋_GB2312"/>
          <w:sz w:val="32"/>
        </w:rPr>
        <w:t>（三）违法事实不能成立的，不予行政处罚；</w:t>
      </w:r>
    </w:p>
    <w:p>
      <w:pPr>
        <w:spacing w:line="560" w:lineRule="exact"/>
        <w:ind w:firstLine="640"/>
        <w:jc w:val="both"/>
      </w:pPr>
      <w:r>
        <w:rPr>
          <w:rFonts w:ascii="仿宋_GB2312" w:hAnsi="仿宋_GB2312" w:eastAsia="仿宋_GB2312" w:cs="仿宋_GB2312"/>
          <w:sz w:val="32"/>
        </w:rPr>
        <w:t>（四）违法行为涉嫌犯罪的，移送司法机关。</w:t>
      </w:r>
    </w:p>
    <w:p>
      <w:pPr>
        <w:spacing w:line="560" w:lineRule="exact"/>
        <w:ind w:firstLine="640"/>
        <w:jc w:val="both"/>
      </w:pPr>
      <w:r>
        <w:rPr>
          <w:rFonts w:ascii="仿宋_GB2312" w:hAnsi="仿宋_GB2312" w:eastAsia="仿宋_GB2312" w:cs="仿宋_GB2312"/>
          <w:sz w:val="32"/>
        </w:rPr>
        <w:t>对情节复杂或者重大违法行为给予行政处罚，行政机关负责人应当集体讨论决定。</w:t>
      </w:r>
    </w:p>
    <w:p>
      <w:pPr>
        <w:spacing w:line="560" w:lineRule="exact"/>
        <w:ind w:firstLine="640"/>
        <w:jc w:val="both"/>
      </w:pPr>
      <w:r>
        <w:rPr>
          <w:rFonts w:ascii="黑体" w:hAnsi="黑体" w:eastAsia="黑体" w:cs="黑体"/>
          <w:sz w:val="32"/>
        </w:rPr>
        <w:t>第五十八条</w:t>
      </w:r>
      <w:r>
        <w:rPr>
          <w:rFonts w:ascii="仿宋_GB2312" w:hAnsi="仿宋_GB2312" w:eastAsia="仿宋_GB2312" w:cs="仿宋_GB2312"/>
          <w:sz w:val="32"/>
        </w:rPr>
        <w:t>　有下列情形之一，在行政机关负责人作出行政处罚的决定之前，应当由从事行政处罚决定法制审核的人员进行法制审核；未经法制审核或者审核未通过的，不得作出决定：</w:t>
      </w:r>
    </w:p>
    <w:p>
      <w:pPr>
        <w:spacing w:line="560" w:lineRule="exact"/>
        <w:ind w:firstLine="640"/>
        <w:jc w:val="both"/>
      </w:pPr>
      <w:r>
        <w:rPr>
          <w:rFonts w:ascii="仿宋_GB2312" w:hAnsi="仿宋_GB2312" w:eastAsia="仿宋_GB2312" w:cs="仿宋_GB2312"/>
          <w:sz w:val="32"/>
        </w:rPr>
        <w:t>（一）涉及重大公共利益的；</w:t>
      </w:r>
    </w:p>
    <w:p>
      <w:pPr>
        <w:spacing w:line="560" w:lineRule="exact"/>
        <w:ind w:firstLine="640"/>
        <w:jc w:val="both"/>
      </w:pPr>
      <w:r>
        <w:rPr>
          <w:rFonts w:ascii="仿宋_GB2312" w:hAnsi="仿宋_GB2312" w:eastAsia="仿宋_GB2312" w:cs="仿宋_GB2312"/>
          <w:sz w:val="32"/>
        </w:rPr>
        <w:t>（二）直接关系当事人或者第三人重大权益，经过听证程序的；</w:t>
      </w:r>
    </w:p>
    <w:p>
      <w:pPr>
        <w:spacing w:line="560" w:lineRule="exact"/>
        <w:ind w:firstLine="640"/>
        <w:jc w:val="both"/>
      </w:pPr>
      <w:r>
        <w:rPr>
          <w:rFonts w:ascii="仿宋_GB2312" w:hAnsi="仿宋_GB2312" w:eastAsia="仿宋_GB2312" w:cs="仿宋_GB2312"/>
          <w:sz w:val="32"/>
        </w:rPr>
        <w:t>（三）案件情况疑难复杂、涉及多个法律关系的；</w:t>
      </w:r>
    </w:p>
    <w:p>
      <w:pPr>
        <w:spacing w:line="560" w:lineRule="exact"/>
        <w:ind w:firstLine="640"/>
        <w:jc w:val="both"/>
      </w:pPr>
      <w:r>
        <w:rPr>
          <w:rFonts w:ascii="仿宋_GB2312" w:hAnsi="仿宋_GB2312" w:eastAsia="仿宋_GB2312" w:cs="仿宋_GB2312"/>
          <w:sz w:val="32"/>
        </w:rPr>
        <w:t>（四）法律、法规规定应当进行法制审核的其他情形。</w:t>
      </w:r>
    </w:p>
    <w:p>
      <w:pPr>
        <w:spacing w:line="560" w:lineRule="exact"/>
        <w:ind w:firstLine="640"/>
        <w:jc w:val="both"/>
      </w:pPr>
      <w:r>
        <w:rPr>
          <w:rFonts w:ascii="仿宋_GB2312" w:hAnsi="仿宋_GB2312" w:eastAsia="仿宋_GB2312" w:cs="仿宋_GB2312"/>
          <w:sz w:val="32"/>
        </w:rPr>
        <w:t>行政机关中初次从事行政处罚决定法制审核的人员，应当通过国家统一法律职业资格考试取得法律职业资格。</w:t>
      </w:r>
    </w:p>
    <w:p>
      <w:pPr>
        <w:spacing w:line="560" w:lineRule="exact"/>
        <w:ind w:firstLine="640"/>
        <w:jc w:val="both"/>
      </w:pPr>
      <w:r>
        <w:rPr>
          <w:rFonts w:ascii="黑体" w:hAnsi="黑体" w:eastAsia="黑体" w:cs="黑体"/>
          <w:sz w:val="32"/>
        </w:rPr>
        <w:t>第五十九条</w:t>
      </w:r>
      <w:r>
        <w:rPr>
          <w:rFonts w:ascii="仿宋_GB2312" w:hAnsi="仿宋_GB2312" w:eastAsia="仿宋_GB2312" w:cs="仿宋_GB2312"/>
          <w:sz w:val="32"/>
        </w:rPr>
        <w:t>　行政机关依照本法第五十七条的规定给予行政处罚，应当制作行政处罚决定书。行政处罚决定书应当载明下列事项：</w:t>
      </w:r>
    </w:p>
    <w:p>
      <w:pPr>
        <w:spacing w:line="560" w:lineRule="exact"/>
        <w:ind w:firstLine="640"/>
        <w:jc w:val="both"/>
      </w:pPr>
      <w:r>
        <w:rPr>
          <w:rFonts w:ascii="仿宋_GB2312" w:hAnsi="仿宋_GB2312" w:eastAsia="仿宋_GB2312" w:cs="仿宋_GB2312"/>
          <w:sz w:val="32"/>
        </w:rPr>
        <w:t>（一）当事人的姓名或者名称、地址；</w:t>
      </w:r>
    </w:p>
    <w:p>
      <w:pPr>
        <w:spacing w:line="560" w:lineRule="exact"/>
        <w:ind w:firstLine="640"/>
        <w:jc w:val="both"/>
      </w:pPr>
      <w:r>
        <w:rPr>
          <w:rFonts w:ascii="仿宋_GB2312" w:hAnsi="仿宋_GB2312" w:eastAsia="仿宋_GB2312" w:cs="仿宋_GB2312"/>
          <w:sz w:val="32"/>
        </w:rPr>
        <w:t>（二）违反法律、法规、规章的事实和证据；</w:t>
      </w:r>
    </w:p>
    <w:p>
      <w:pPr>
        <w:spacing w:line="560" w:lineRule="exact"/>
        <w:ind w:firstLine="640"/>
        <w:jc w:val="both"/>
      </w:pPr>
      <w:r>
        <w:rPr>
          <w:rFonts w:ascii="仿宋_GB2312" w:hAnsi="仿宋_GB2312" w:eastAsia="仿宋_GB2312" w:cs="仿宋_GB2312"/>
          <w:sz w:val="32"/>
        </w:rPr>
        <w:t>（三）行政处罚的种类和依据；</w:t>
      </w:r>
    </w:p>
    <w:p>
      <w:pPr>
        <w:spacing w:line="560" w:lineRule="exact"/>
        <w:ind w:firstLine="640"/>
        <w:jc w:val="both"/>
      </w:pPr>
      <w:r>
        <w:rPr>
          <w:rFonts w:ascii="仿宋_GB2312" w:hAnsi="仿宋_GB2312" w:eastAsia="仿宋_GB2312" w:cs="仿宋_GB2312"/>
          <w:sz w:val="32"/>
        </w:rPr>
        <w:t>（四）行政处罚的履行方式和期限；</w:t>
      </w:r>
    </w:p>
    <w:p>
      <w:pPr>
        <w:spacing w:line="560" w:lineRule="exact"/>
        <w:ind w:firstLine="640"/>
        <w:jc w:val="both"/>
      </w:pPr>
      <w:r>
        <w:rPr>
          <w:rFonts w:ascii="仿宋_GB2312" w:hAnsi="仿宋_GB2312" w:eastAsia="仿宋_GB2312" w:cs="仿宋_GB2312"/>
          <w:sz w:val="32"/>
        </w:rPr>
        <w:t>（五）申请行政复议、提起行政诉讼的途径和期限；</w:t>
      </w:r>
    </w:p>
    <w:p>
      <w:pPr>
        <w:spacing w:line="560" w:lineRule="exact"/>
        <w:ind w:firstLine="640"/>
        <w:jc w:val="both"/>
      </w:pPr>
      <w:r>
        <w:rPr>
          <w:rFonts w:ascii="仿宋_GB2312" w:hAnsi="仿宋_GB2312" w:eastAsia="仿宋_GB2312" w:cs="仿宋_GB2312"/>
          <w:sz w:val="32"/>
        </w:rPr>
        <w:t>（六）作出行政处罚决定的行政机关名称和作出决定的日期。</w:t>
      </w:r>
    </w:p>
    <w:p>
      <w:pPr>
        <w:spacing w:line="560" w:lineRule="exact"/>
        <w:ind w:firstLine="640"/>
        <w:jc w:val="both"/>
      </w:pPr>
      <w:r>
        <w:rPr>
          <w:rFonts w:ascii="仿宋_GB2312" w:hAnsi="仿宋_GB2312" w:eastAsia="仿宋_GB2312" w:cs="仿宋_GB2312"/>
          <w:sz w:val="32"/>
        </w:rPr>
        <w:t>行政处罚决定书必须盖有作出行政处罚决定的行政机关的印章。</w:t>
      </w:r>
    </w:p>
    <w:p>
      <w:pPr>
        <w:spacing w:line="560" w:lineRule="exact"/>
        <w:ind w:firstLine="640"/>
        <w:jc w:val="both"/>
      </w:pPr>
      <w:r>
        <w:rPr>
          <w:rFonts w:ascii="黑体" w:hAnsi="黑体" w:eastAsia="黑体" w:cs="黑体"/>
          <w:sz w:val="32"/>
        </w:rPr>
        <w:t>第六十条</w:t>
      </w:r>
      <w:r>
        <w:rPr>
          <w:rFonts w:ascii="仿宋_GB2312" w:hAnsi="仿宋_GB2312" w:eastAsia="仿宋_GB2312" w:cs="仿宋_GB2312"/>
          <w:sz w:val="32"/>
        </w:rPr>
        <w:t>　行政机关应当自行政处罚案件立案之日起九十日内作出行政处罚决定。法律、法规、规章另有规定的，从其规定。</w:t>
      </w:r>
    </w:p>
    <w:p>
      <w:pPr>
        <w:spacing w:line="560" w:lineRule="exact"/>
        <w:ind w:firstLine="640"/>
        <w:jc w:val="both"/>
      </w:pPr>
      <w:r>
        <w:rPr>
          <w:rFonts w:ascii="黑体" w:hAnsi="黑体" w:eastAsia="黑体" w:cs="黑体"/>
          <w:sz w:val="32"/>
        </w:rPr>
        <w:t>第六十一条</w:t>
      </w:r>
      <w:r>
        <w:rPr>
          <w:rFonts w:ascii="仿宋_GB2312" w:hAnsi="仿宋_GB2312" w:eastAsia="仿宋_GB2312" w:cs="仿宋_GB2312"/>
          <w:sz w:val="32"/>
        </w:rPr>
        <w:t>　行政处罚决定书应当在宣告后当场交付当事人；当事人不在场的，行政机关应当在七日内依照《中华人民共和国民事诉讼法》的有关规定，将行政处罚决定书送达当事人。</w:t>
      </w:r>
    </w:p>
    <w:p>
      <w:pPr>
        <w:spacing w:line="560" w:lineRule="exact"/>
        <w:ind w:firstLine="640"/>
        <w:jc w:val="both"/>
      </w:pPr>
      <w:r>
        <w:rPr>
          <w:rFonts w:ascii="仿宋_GB2312" w:hAnsi="仿宋_GB2312" w:eastAsia="仿宋_GB2312" w:cs="仿宋_GB2312"/>
          <w:sz w:val="32"/>
        </w:rPr>
        <w:t>当事人同意并签订确认书的，行政机关可以采用传真、电子邮件等方式，将行政处罚决定书等送达当事人。</w:t>
      </w:r>
    </w:p>
    <w:p>
      <w:pPr>
        <w:spacing w:line="560" w:lineRule="exact"/>
        <w:ind w:firstLine="640"/>
        <w:jc w:val="both"/>
      </w:pPr>
      <w:r>
        <w:rPr>
          <w:rFonts w:ascii="黑体" w:hAnsi="黑体" w:eastAsia="黑体" w:cs="黑体"/>
          <w:sz w:val="32"/>
        </w:rPr>
        <w:t>第六十二条</w:t>
      </w:r>
      <w:r>
        <w:rPr>
          <w:rFonts w:ascii="仿宋_GB2312" w:hAnsi="仿宋_GB2312" w:eastAsia="仿宋_GB2312" w:cs="仿宋_GB2312"/>
          <w:sz w:val="32"/>
        </w:rPr>
        <w:t>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宋体" w:hAnsi="宋体" w:eastAsia="宋体" w:cs="宋体"/>
          <w:sz w:val="32"/>
        </w:rPr>
        <w:t>第四节　听证程序</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第六十三条</w:t>
      </w:r>
      <w:r>
        <w:rPr>
          <w:rFonts w:ascii="仿宋_GB2312" w:hAnsi="仿宋_GB2312" w:eastAsia="仿宋_GB2312" w:cs="仿宋_GB2312"/>
          <w:sz w:val="32"/>
        </w:rPr>
        <w:t>　行政机关拟作出下列行政处罚决定，应当告知当事人有要求听证的权利，当事人要求听证的，行政机关应当组织听证：</w:t>
      </w:r>
    </w:p>
    <w:p>
      <w:pPr>
        <w:spacing w:line="560" w:lineRule="exact"/>
        <w:ind w:firstLine="640"/>
        <w:jc w:val="both"/>
      </w:pPr>
      <w:r>
        <w:rPr>
          <w:rFonts w:ascii="仿宋_GB2312" w:hAnsi="仿宋_GB2312" w:eastAsia="仿宋_GB2312" w:cs="仿宋_GB2312"/>
          <w:sz w:val="32"/>
        </w:rPr>
        <w:t>（一）较大数额罚款；</w:t>
      </w:r>
    </w:p>
    <w:p>
      <w:pPr>
        <w:spacing w:line="560" w:lineRule="exact"/>
        <w:ind w:firstLine="640"/>
        <w:jc w:val="both"/>
      </w:pPr>
      <w:r>
        <w:rPr>
          <w:rFonts w:ascii="仿宋_GB2312" w:hAnsi="仿宋_GB2312" w:eastAsia="仿宋_GB2312" w:cs="仿宋_GB2312"/>
          <w:sz w:val="32"/>
        </w:rPr>
        <w:t>（二）没收较大数额违法所得、没收较大价值非法财物；</w:t>
      </w:r>
    </w:p>
    <w:p>
      <w:pPr>
        <w:spacing w:line="560" w:lineRule="exact"/>
        <w:ind w:firstLine="640"/>
        <w:jc w:val="both"/>
      </w:pPr>
      <w:r>
        <w:rPr>
          <w:rFonts w:ascii="仿宋_GB2312" w:hAnsi="仿宋_GB2312" w:eastAsia="仿宋_GB2312" w:cs="仿宋_GB2312"/>
          <w:sz w:val="32"/>
        </w:rPr>
        <w:t>（三）降低资质等级、吊销许可证件；</w:t>
      </w:r>
    </w:p>
    <w:p>
      <w:pPr>
        <w:spacing w:line="560" w:lineRule="exact"/>
        <w:ind w:firstLine="640"/>
        <w:jc w:val="both"/>
      </w:pPr>
      <w:r>
        <w:rPr>
          <w:rFonts w:ascii="仿宋_GB2312" w:hAnsi="仿宋_GB2312" w:eastAsia="仿宋_GB2312" w:cs="仿宋_GB2312"/>
          <w:sz w:val="32"/>
        </w:rPr>
        <w:t>（四）责令停产停业、责令关闭、限制从业；</w:t>
      </w:r>
    </w:p>
    <w:p>
      <w:pPr>
        <w:spacing w:line="560" w:lineRule="exact"/>
        <w:ind w:firstLine="640"/>
        <w:jc w:val="both"/>
      </w:pPr>
      <w:r>
        <w:rPr>
          <w:rFonts w:ascii="仿宋_GB2312" w:hAnsi="仿宋_GB2312" w:eastAsia="仿宋_GB2312" w:cs="仿宋_GB2312"/>
          <w:sz w:val="32"/>
        </w:rPr>
        <w:t>（五）其他较重的行政处罚；</w:t>
      </w:r>
    </w:p>
    <w:p>
      <w:pPr>
        <w:spacing w:line="560" w:lineRule="exact"/>
        <w:ind w:firstLine="640"/>
        <w:jc w:val="both"/>
      </w:pPr>
      <w:r>
        <w:rPr>
          <w:rFonts w:ascii="仿宋_GB2312" w:hAnsi="仿宋_GB2312" w:eastAsia="仿宋_GB2312" w:cs="仿宋_GB2312"/>
          <w:sz w:val="32"/>
        </w:rPr>
        <w:t>（六）法律、法规、规章规定的其他情形。</w:t>
      </w:r>
    </w:p>
    <w:p>
      <w:pPr>
        <w:spacing w:line="560" w:lineRule="exact"/>
        <w:ind w:firstLine="640"/>
        <w:jc w:val="both"/>
      </w:pPr>
      <w:r>
        <w:rPr>
          <w:rFonts w:ascii="仿宋_GB2312" w:hAnsi="仿宋_GB2312" w:eastAsia="仿宋_GB2312" w:cs="仿宋_GB2312"/>
          <w:sz w:val="32"/>
        </w:rPr>
        <w:t>当事人不承担行政机关组织听证的费用。</w:t>
      </w:r>
    </w:p>
    <w:p>
      <w:pPr>
        <w:spacing w:line="560" w:lineRule="exact"/>
        <w:ind w:firstLine="640"/>
        <w:jc w:val="both"/>
      </w:pPr>
      <w:r>
        <w:rPr>
          <w:rFonts w:ascii="黑体" w:hAnsi="黑体" w:eastAsia="黑体" w:cs="黑体"/>
          <w:sz w:val="32"/>
        </w:rPr>
        <w:t>第六十四条</w:t>
      </w:r>
      <w:r>
        <w:rPr>
          <w:rFonts w:ascii="仿宋_GB2312" w:hAnsi="仿宋_GB2312" w:eastAsia="仿宋_GB2312" w:cs="仿宋_GB2312"/>
          <w:sz w:val="32"/>
        </w:rPr>
        <w:t>　听证应当依照以下程序组织：</w:t>
      </w:r>
    </w:p>
    <w:p>
      <w:pPr>
        <w:spacing w:line="560" w:lineRule="exact"/>
        <w:ind w:firstLine="640"/>
        <w:jc w:val="both"/>
      </w:pPr>
      <w:r>
        <w:rPr>
          <w:rFonts w:ascii="仿宋_GB2312" w:hAnsi="仿宋_GB2312" w:eastAsia="仿宋_GB2312" w:cs="仿宋_GB2312"/>
          <w:sz w:val="32"/>
        </w:rPr>
        <w:t>（一）当事人要求听证的，应当在行政机关告知后五日内提出；</w:t>
      </w:r>
    </w:p>
    <w:p>
      <w:pPr>
        <w:spacing w:line="560" w:lineRule="exact"/>
        <w:ind w:firstLine="640"/>
        <w:jc w:val="both"/>
      </w:pPr>
      <w:r>
        <w:rPr>
          <w:rFonts w:ascii="仿宋_GB2312" w:hAnsi="仿宋_GB2312" w:eastAsia="仿宋_GB2312" w:cs="仿宋_GB2312"/>
          <w:sz w:val="32"/>
        </w:rPr>
        <w:t>（二）行政机关应当在举行听证的七日前，通知当事人及有关人员听证的时间、地点；</w:t>
      </w:r>
    </w:p>
    <w:p>
      <w:pPr>
        <w:spacing w:line="560" w:lineRule="exact"/>
        <w:ind w:firstLine="640"/>
        <w:jc w:val="both"/>
      </w:pPr>
      <w:r>
        <w:rPr>
          <w:rFonts w:ascii="仿宋_GB2312" w:hAnsi="仿宋_GB2312" w:eastAsia="仿宋_GB2312" w:cs="仿宋_GB2312"/>
          <w:sz w:val="32"/>
        </w:rPr>
        <w:t>（三）除涉及国家秘密、商业秘密或者个人隐私依法予以保密外，听证公开举行；</w:t>
      </w:r>
    </w:p>
    <w:p>
      <w:pPr>
        <w:spacing w:line="560" w:lineRule="exact"/>
        <w:ind w:firstLine="640"/>
        <w:jc w:val="both"/>
      </w:pPr>
      <w:r>
        <w:rPr>
          <w:rFonts w:ascii="仿宋_GB2312" w:hAnsi="仿宋_GB2312" w:eastAsia="仿宋_GB2312" w:cs="仿宋_GB2312"/>
          <w:sz w:val="32"/>
        </w:rPr>
        <w:t>（四）听证由行政机关指定的非本案调查人员主持；当事人认为主持人与本案有直接利害关系的，有权申请回避；</w:t>
      </w:r>
    </w:p>
    <w:p>
      <w:pPr>
        <w:spacing w:line="560" w:lineRule="exact"/>
        <w:ind w:firstLine="640"/>
        <w:jc w:val="both"/>
      </w:pPr>
      <w:r>
        <w:rPr>
          <w:rFonts w:ascii="仿宋_GB2312" w:hAnsi="仿宋_GB2312" w:eastAsia="仿宋_GB2312" w:cs="仿宋_GB2312"/>
          <w:sz w:val="32"/>
        </w:rPr>
        <w:t>（五）当事人可以亲自参加听证，也可以委托一至二人代理；</w:t>
      </w:r>
    </w:p>
    <w:p>
      <w:pPr>
        <w:spacing w:line="560" w:lineRule="exact"/>
        <w:ind w:firstLine="640"/>
        <w:jc w:val="both"/>
      </w:pPr>
      <w:r>
        <w:rPr>
          <w:rFonts w:ascii="仿宋_GB2312" w:hAnsi="仿宋_GB2312" w:eastAsia="仿宋_GB2312" w:cs="仿宋_GB2312"/>
          <w:sz w:val="32"/>
        </w:rPr>
        <w:t>（六）当事人及其代理人无正当理由拒不出席听证或者未经许可中途退出听证的，视为放弃听证权利，行政机关终止听证；</w:t>
      </w:r>
    </w:p>
    <w:p>
      <w:pPr>
        <w:spacing w:line="560" w:lineRule="exact"/>
        <w:ind w:firstLine="640"/>
        <w:jc w:val="both"/>
      </w:pPr>
      <w:r>
        <w:rPr>
          <w:rFonts w:ascii="仿宋_GB2312" w:hAnsi="仿宋_GB2312" w:eastAsia="仿宋_GB2312" w:cs="仿宋_GB2312"/>
          <w:sz w:val="32"/>
        </w:rPr>
        <w:t>（七）举行听证时，调查人员提出当事人违法的事实、证据和行政处罚建议，当事人进行申辩和质证；</w:t>
      </w:r>
    </w:p>
    <w:p>
      <w:pPr>
        <w:spacing w:line="560" w:lineRule="exact"/>
        <w:ind w:firstLine="640"/>
        <w:jc w:val="both"/>
      </w:pPr>
      <w:r>
        <w:rPr>
          <w:rFonts w:ascii="仿宋_GB2312" w:hAnsi="仿宋_GB2312" w:eastAsia="仿宋_GB2312" w:cs="仿宋_GB2312"/>
          <w:sz w:val="32"/>
        </w:rPr>
        <w:t>（八）听证应当制作笔录。笔录应当交当事人或者其代理人核对无误后签字或者盖章。当事人或者其代理人拒绝签字或者盖章的，由听证主持人在笔录中注明。</w:t>
      </w:r>
    </w:p>
    <w:p>
      <w:pPr>
        <w:spacing w:line="560" w:lineRule="exact"/>
        <w:ind w:firstLine="640"/>
        <w:jc w:val="both"/>
      </w:pPr>
      <w:r>
        <w:rPr>
          <w:rFonts w:ascii="黑体" w:hAnsi="黑体" w:eastAsia="黑体" w:cs="黑体"/>
          <w:sz w:val="32"/>
        </w:rPr>
        <w:t>第六十五条</w:t>
      </w:r>
      <w:r>
        <w:rPr>
          <w:rFonts w:ascii="仿宋_GB2312" w:hAnsi="仿宋_GB2312" w:eastAsia="仿宋_GB2312" w:cs="仿宋_GB2312"/>
          <w:sz w:val="32"/>
        </w:rPr>
        <w:t>　听证结束后，行政机关应当根据听证笔录，依照本法第五十七条的规定，作出决定。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第六章　行政处罚的执行</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第六十六条</w:t>
      </w:r>
      <w:r>
        <w:rPr>
          <w:rFonts w:ascii="仿宋_GB2312" w:hAnsi="仿宋_GB2312" w:eastAsia="仿宋_GB2312" w:cs="仿宋_GB2312"/>
          <w:sz w:val="32"/>
        </w:rPr>
        <w:t>　行政处罚决定依法作出后，当事人应当在行政处罚决定书载明的期限内，予以履行。</w:t>
      </w:r>
    </w:p>
    <w:p>
      <w:pPr>
        <w:spacing w:line="560" w:lineRule="exact"/>
        <w:ind w:firstLine="640"/>
        <w:jc w:val="both"/>
      </w:pPr>
      <w:r>
        <w:rPr>
          <w:rFonts w:ascii="仿宋_GB2312" w:hAnsi="仿宋_GB2312" w:eastAsia="仿宋_GB2312" w:cs="仿宋_GB2312"/>
          <w:sz w:val="32"/>
        </w:rPr>
        <w:t>当事人确有经济困难，需要延期或者分期缴纳罚款的，经当事人申请和行政机关批准，可以暂缓或者分期缴纳。</w:t>
      </w:r>
    </w:p>
    <w:p>
      <w:pPr>
        <w:spacing w:line="560" w:lineRule="exact"/>
        <w:ind w:firstLine="640"/>
        <w:jc w:val="both"/>
      </w:pPr>
      <w:r>
        <w:rPr>
          <w:rFonts w:ascii="黑体" w:hAnsi="黑体" w:eastAsia="黑体" w:cs="黑体"/>
          <w:sz w:val="32"/>
        </w:rPr>
        <w:t>第六十七条</w:t>
      </w:r>
      <w:r>
        <w:rPr>
          <w:rFonts w:ascii="仿宋_GB2312" w:hAnsi="仿宋_GB2312" w:eastAsia="仿宋_GB2312" w:cs="仿宋_GB2312"/>
          <w:sz w:val="32"/>
        </w:rPr>
        <w:t>　作出罚款决定的行政机关应当与收缴罚款的机构分离。</w:t>
      </w:r>
    </w:p>
    <w:p>
      <w:pPr>
        <w:spacing w:line="560" w:lineRule="exact"/>
        <w:ind w:firstLine="640"/>
        <w:jc w:val="both"/>
      </w:pPr>
      <w:r>
        <w:rPr>
          <w:rFonts w:ascii="仿宋_GB2312" w:hAnsi="仿宋_GB2312" w:eastAsia="仿宋_GB2312" w:cs="仿宋_GB2312"/>
          <w:sz w:val="32"/>
        </w:rPr>
        <w:t>除依照本法第六十八条、第六十九条的规定当场收缴的罚款外，作出行政处罚决定的行政机关及其执法人员不得自行收缴罚款。</w:t>
      </w:r>
    </w:p>
    <w:p>
      <w:pPr>
        <w:spacing w:line="560" w:lineRule="exact"/>
        <w:ind w:firstLine="640"/>
        <w:jc w:val="both"/>
      </w:pPr>
      <w:r>
        <w:rPr>
          <w:rFonts w:ascii="仿宋_GB2312" w:hAnsi="仿宋_GB2312" w:eastAsia="仿宋_GB2312" w:cs="仿宋_GB2312"/>
          <w:sz w:val="32"/>
        </w:rPr>
        <w:t>当事人应当自收到行政处罚决定书之日起十五日内，到指定的银行或者通过电子支付系统缴纳罚款。银行应当收受罚款，并将罚款直接上缴国库。</w:t>
      </w:r>
    </w:p>
    <w:p>
      <w:pPr>
        <w:spacing w:line="560" w:lineRule="exact"/>
        <w:ind w:firstLine="640"/>
        <w:jc w:val="both"/>
      </w:pPr>
      <w:r>
        <w:rPr>
          <w:rFonts w:ascii="黑体" w:hAnsi="黑体" w:eastAsia="黑体" w:cs="黑体"/>
          <w:sz w:val="32"/>
        </w:rPr>
        <w:t>第六十八条</w:t>
      </w:r>
      <w:r>
        <w:rPr>
          <w:rFonts w:ascii="仿宋_GB2312" w:hAnsi="仿宋_GB2312" w:eastAsia="仿宋_GB2312" w:cs="仿宋_GB2312"/>
          <w:sz w:val="32"/>
        </w:rPr>
        <w:t>　依照本法第五十一条的规定当场作出行政处罚决定，有下列情形之一，执法人员可以当场收缴罚款：</w:t>
      </w:r>
    </w:p>
    <w:p>
      <w:pPr>
        <w:spacing w:line="560" w:lineRule="exact"/>
        <w:ind w:firstLine="640"/>
        <w:jc w:val="both"/>
      </w:pPr>
      <w:r>
        <w:rPr>
          <w:rFonts w:ascii="仿宋_GB2312" w:hAnsi="仿宋_GB2312" w:eastAsia="仿宋_GB2312" w:cs="仿宋_GB2312"/>
          <w:sz w:val="32"/>
        </w:rPr>
        <w:t>（一）依法给予一百元以下罚款的；</w:t>
      </w:r>
    </w:p>
    <w:p>
      <w:pPr>
        <w:spacing w:line="560" w:lineRule="exact"/>
        <w:ind w:firstLine="640"/>
        <w:jc w:val="both"/>
      </w:pPr>
      <w:r>
        <w:rPr>
          <w:rFonts w:ascii="仿宋_GB2312" w:hAnsi="仿宋_GB2312" w:eastAsia="仿宋_GB2312" w:cs="仿宋_GB2312"/>
          <w:sz w:val="32"/>
        </w:rPr>
        <w:t>（二）不当场收缴事后难以执行的。</w:t>
      </w:r>
    </w:p>
    <w:p>
      <w:pPr>
        <w:spacing w:line="560" w:lineRule="exact"/>
        <w:ind w:firstLine="640"/>
        <w:jc w:val="both"/>
      </w:pPr>
      <w:r>
        <w:rPr>
          <w:rFonts w:ascii="黑体" w:hAnsi="黑体" w:eastAsia="黑体" w:cs="黑体"/>
          <w:sz w:val="32"/>
        </w:rPr>
        <w:t>第六十九条</w:t>
      </w:r>
      <w:r>
        <w:rPr>
          <w:rFonts w:ascii="仿宋_GB2312" w:hAnsi="仿宋_GB2312" w:eastAsia="仿宋_GB2312" w:cs="仿宋_GB2312"/>
          <w:sz w:val="32"/>
        </w:rPr>
        <w:t>　在边远、水上、交通不便地区，行政机关及其执法人员依照本法第五十一条、第五十七条的规定作出罚款决定后，当事人到指定的银行或者通过电子支付系统缴纳罚款确有困难，经当事人提出，行政机关及其执法人员可以当场收缴罚款。</w:t>
      </w:r>
    </w:p>
    <w:p>
      <w:pPr>
        <w:spacing w:line="560" w:lineRule="exact"/>
        <w:ind w:firstLine="640"/>
        <w:jc w:val="both"/>
      </w:pPr>
      <w:r>
        <w:rPr>
          <w:rFonts w:ascii="黑体" w:hAnsi="黑体" w:eastAsia="黑体" w:cs="黑体"/>
          <w:sz w:val="32"/>
        </w:rPr>
        <w:t>第七十条</w:t>
      </w:r>
      <w:r>
        <w:rPr>
          <w:rFonts w:ascii="仿宋_GB2312" w:hAnsi="仿宋_GB2312" w:eastAsia="仿宋_GB2312" w:cs="仿宋_GB2312"/>
          <w:sz w:val="32"/>
        </w:rPr>
        <w:t>　行政机关及其执法人员当场收缴罚款的，必须向当事人出具国务院财政部门或者省、自治区、直辖市人民政府财政部门统一制发的专用票据；不出具财政部门统一制发的专用票据的，当事人有权拒绝缴纳罚款。</w:t>
      </w:r>
    </w:p>
    <w:p>
      <w:pPr>
        <w:spacing w:line="560" w:lineRule="exact"/>
        <w:ind w:firstLine="640"/>
        <w:jc w:val="both"/>
      </w:pPr>
      <w:r>
        <w:rPr>
          <w:rFonts w:ascii="黑体" w:hAnsi="黑体" w:eastAsia="黑体" w:cs="黑体"/>
          <w:sz w:val="32"/>
        </w:rPr>
        <w:t>第七十一条</w:t>
      </w:r>
      <w:r>
        <w:rPr>
          <w:rFonts w:ascii="仿宋_GB2312" w:hAnsi="仿宋_GB2312" w:eastAsia="仿宋_GB2312" w:cs="仿宋_GB2312"/>
          <w:sz w:val="32"/>
        </w:rPr>
        <w:t>　执法人员当场收缴的罚款，应当自收缴罚款之日起二日内，交至行政机关；在水上当场收缴的罚款，应当自抵岸之日起二日内交至行政机关；行政机关应当在二日内将罚款缴付指定的银行。</w:t>
      </w:r>
    </w:p>
    <w:p>
      <w:pPr>
        <w:spacing w:line="560" w:lineRule="exact"/>
        <w:ind w:firstLine="640"/>
        <w:jc w:val="both"/>
      </w:pPr>
      <w:r>
        <w:rPr>
          <w:rFonts w:ascii="黑体" w:hAnsi="黑体" w:eastAsia="黑体" w:cs="黑体"/>
          <w:sz w:val="32"/>
        </w:rPr>
        <w:t>第七十二条</w:t>
      </w:r>
      <w:r>
        <w:rPr>
          <w:rFonts w:ascii="仿宋_GB2312" w:hAnsi="仿宋_GB2312" w:eastAsia="仿宋_GB2312" w:cs="仿宋_GB2312"/>
          <w:sz w:val="32"/>
        </w:rPr>
        <w:t>　当事人逾期不履行行政处罚决定的，作出行政处罚决定的行政机关可以采取下列措施：</w:t>
      </w:r>
    </w:p>
    <w:p>
      <w:pPr>
        <w:spacing w:line="560" w:lineRule="exact"/>
        <w:ind w:firstLine="640"/>
        <w:jc w:val="both"/>
      </w:pPr>
      <w:r>
        <w:rPr>
          <w:rFonts w:ascii="仿宋_GB2312" w:hAnsi="仿宋_GB2312" w:eastAsia="仿宋_GB2312" w:cs="仿宋_GB2312"/>
          <w:sz w:val="32"/>
        </w:rPr>
        <w:t>（一）到期不缴纳罚款的，每日按罚款数额的百分之三加处罚款，加处罚款的数额不得超出罚款的数额；</w:t>
      </w:r>
    </w:p>
    <w:p>
      <w:pPr>
        <w:spacing w:line="560" w:lineRule="exact"/>
        <w:ind w:firstLine="640"/>
        <w:jc w:val="both"/>
      </w:pPr>
      <w:r>
        <w:rPr>
          <w:rFonts w:ascii="仿宋_GB2312" w:hAnsi="仿宋_GB2312" w:eastAsia="仿宋_GB2312" w:cs="仿宋_GB2312"/>
          <w:sz w:val="32"/>
        </w:rPr>
        <w:t>（二）根据法律规定，将查封、扣押的财物拍卖、依法处理或者将冻结的存款、汇款划拨抵缴罚款；</w:t>
      </w:r>
    </w:p>
    <w:p>
      <w:pPr>
        <w:spacing w:line="560" w:lineRule="exact"/>
        <w:ind w:firstLine="640"/>
        <w:jc w:val="both"/>
      </w:pPr>
      <w:r>
        <w:rPr>
          <w:rFonts w:ascii="仿宋_GB2312" w:hAnsi="仿宋_GB2312" w:eastAsia="仿宋_GB2312" w:cs="仿宋_GB2312"/>
          <w:sz w:val="32"/>
        </w:rPr>
        <w:t>（三）根据法律规定，采取其他行政强制执行方式；</w:t>
      </w:r>
    </w:p>
    <w:p>
      <w:pPr>
        <w:spacing w:line="560" w:lineRule="exact"/>
        <w:ind w:firstLine="640"/>
        <w:jc w:val="both"/>
      </w:pPr>
      <w:r>
        <w:rPr>
          <w:rFonts w:ascii="仿宋_GB2312" w:hAnsi="仿宋_GB2312" w:eastAsia="仿宋_GB2312" w:cs="仿宋_GB2312"/>
          <w:sz w:val="32"/>
        </w:rPr>
        <w:t>（四）依照《中华人民共和国行政强制法》的规定申请人民法院强制执行。</w:t>
      </w:r>
    </w:p>
    <w:p>
      <w:pPr>
        <w:spacing w:line="560" w:lineRule="exact"/>
        <w:ind w:firstLine="640"/>
        <w:jc w:val="both"/>
      </w:pPr>
      <w:r>
        <w:rPr>
          <w:rFonts w:ascii="仿宋_GB2312" w:hAnsi="仿宋_GB2312" w:eastAsia="仿宋_GB2312" w:cs="仿宋_GB2312"/>
          <w:sz w:val="32"/>
        </w:rPr>
        <w:t>行政机关批准延期、分期缴纳罚款的，申请人民法院强制执行的期限，自暂缓或者分期缴纳罚款期限结束之日起计算。</w:t>
      </w:r>
    </w:p>
    <w:p>
      <w:pPr>
        <w:spacing w:line="560" w:lineRule="exact"/>
        <w:ind w:firstLine="640"/>
        <w:jc w:val="both"/>
      </w:pPr>
      <w:r>
        <w:rPr>
          <w:rFonts w:ascii="黑体" w:hAnsi="黑体" w:eastAsia="黑体" w:cs="黑体"/>
          <w:sz w:val="32"/>
        </w:rPr>
        <w:t>第七十三条</w:t>
      </w:r>
      <w:r>
        <w:rPr>
          <w:rFonts w:ascii="仿宋_GB2312" w:hAnsi="仿宋_GB2312" w:eastAsia="仿宋_GB2312" w:cs="仿宋_GB2312"/>
          <w:sz w:val="32"/>
        </w:rPr>
        <w:t>　当事人对行政处罚决定不服，申请行政复议或者提起行政诉讼的，行政处罚不停止执行，法律另有规定的除外。</w:t>
      </w:r>
    </w:p>
    <w:p>
      <w:pPr>
        <w:spacing w:line="560" w:lineRule="exact"/>
        <w:ind w:firstLine="640"/>
        <w:jc w:val="both"/>
      </w:pPr>
      <w:r>
        <w:rPr>
          <w:rFonts w:ascii="仿宋_GB2312" w:hAnsi="仿宋_GB2312" w:eastAsia="仿宋_GB2312" w:cs="仿宋_GB2312"/>
          <w:sz w:val="32"/>
        </w:rPr>
        <w:t>当事人对限制人身自由的行政处罚决定不服，申请行政复议或者提起行政诉讼的，可以向作出决定的机关提出暂缓执行申请。符合法律规定情形的，应当暂缓执行。</w:t>
      </w:r>
    </w:p>
    <w:p>
      <w:pPr>
        <w:spacing w:line="560" w:lineRule="exact"/>
        <w:ind w:firstLine="640"/>
        <w:jc w:val="both"/>
      </w:pPr>
      <w:r>
        <w:rPr>
          <w:rFonts w:ascii="仿宋_GB2312" w:hAnsi="仿宋_GB2312" w:eastAsia="仿宋_GB2312" w:cs="仿宋_GB2312"/>
          <w:sz w:val="32"/>
        </w:rPr>
        <w:t>当事人申请行政复议或者提起行政诉讼的，加处罚款的数额在行政复议或者行政诉讼期间不予计算。</w:t>
      </w:r>
    </w:p>
    <w:p>
      <w:pPr>
        <w:spacing w:line="560" w:lineRule="exact"/>
        <w:ind w:firstLine="640"/>
        <w:jc w:val="both"/>
      </w:pPr>
      <w:r>
        <w:rPr>
          <w:rFonts w:ascii="黑体" w:hAnsi="黑体" w:eastAsia="黑体" w:cs="黑体"/>
          <w:sz w:val="32"/>
        </w:rPr>
        <w:t>第七十四条</w:t>
      </w:r>
      <w:r>
        <w:rPr>
          <w:rFonts w:ascii="仿宋_GB2312" w:hAnsi="仿宋_GB2312" w:eastAsia="仿宋_GB2312" w:cs="仿宋_GB2312"/>
          <w:sz w:val="32"/>
        </w:rPr>
        <w:t>　除依法应当予以销毁的物品外，依法没收的非法财物必须按照国家规定公开拍卖或者按照国家有关规定处理。</w:t>
      </w:r>
    </w:p>
    <w:p>
      <w:pPr>
        <w:spacing w:line="560" w:lineRule="exact"/>
        <w:ind w:firstLine="640"/>
        <w:jc w:val="both"/>
      </w:pPr>
      <w:r>
        <w:rPr>
          <w:rFonts w:ascii="仿宋_GB2312" w:hAnsi="仿宋_GB2312" w:eastAsia="仿宋_GB2312" w:cs="仿宋_GB2312"/>
          <w:sz w:val="32"/>
        </w:rPr>
        <w:t>罚款、没收的违法所得或者没收非法财物拍卖的款项，必须全部上缴国库，任何行政机关或者个人不得以任何形式截留、私分或者变相私分。</w:t>
      </w:r>
    </w:p>
    <w:p>
      <w:pPr>
        <w:spacing w:line="560" w:lineRule="exact"/>
        <w:ind w:firstLine="640"/>
        <w:jc w:val="both"/>
      </w:pPr>
      <w:r>
        <w:rPr>
          <w:rFonts w:ascii="仿宋_GB2312" w:hAnsi="仿宋_GB2312" w:eastAsia="仿宋_GB2312" w:cs="仿宋_GB2312"/>
          <w:sz w:val="32"/>
        </w:rPr>
        <w:t>罚款、没收的违法所得或者没收非法财物拍卖的款项，不得同作出行政处罚决定的行政机关及其工作人员的考核、考评直接或者变相挂钩。除依法应当退还、退赔的外，财政部门不得以任何形式向作出行政处罚决定的行政机关返还罚款、没收的违法所得或者没收非法财物拍卖的款项。</w:t>
      </w:r>
    </w:p>
    <w:p>
      <w:pPr>
        <w:spacing w:line="560" w:lineRule="exact"/>
        <w:ind w:firstLine="640"/>
        <w:jc w:val="both"/>
      </w:pPr>
      <w:r>
        <w:rPr>
          <w:rFonts w:ascii="黑体" w:hAnsi="黑体" w:eastAsia="黑体" w:cs="黑体"/>
          <w:sz w:val="32"/>
        </w:rPr>
        <w:t>第七十五条</w:t>
      </w:r>
      <w:r>
        <w:rPr>
          <w:rFonts w:ascii="仿宋_GB2312" w:hAnsi="仿宋_GB2312" w:eastAsia="仿宋_GB2312" w:cs="仿宋_GB2312"/>
          <w:sz w:val="32"/>
        </w:rPr>
        <w:t>　行政机关应当建立健全对行政处罚的监督制度。县级以上人民政府应当定期组织开展行政执法评议、考核，加强对行政处罚的监督检查，规范和保障行政处罚的实施。</w:t>
      </w:r>
    </w:p>
    <w:p>
      <w:pPr>
        <w:spacing w:line="560" w:lineRule="exact"/>
        <w:ind w:firstLine="640"/>
        <w:jc w:val="both"/>
      </w:pPr>
      <w:r>
        <w:rPr>
          <w:rFonts w:ascii="仿宋_GB2312" w:hAnsi="仿宋_GB2312" w:eastAsia="仿宋_GB2312" w:cs="仿宋_GB2312"/>
          <w:sz w:val="32"/>
        </w:rPr>
        <w:t>行政机关实施行政处罚应当接受社会监督。公民、法人或者其他组织对行政机关实施行政处罚的行为，有权申诉或者检举；行政机关应当认真审查，发现有错误的，应当主动改正。</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第七章　法律责任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第七十六条</w:t>
      </w:r>
      <w:r>
        <w:rPr>
          <w:rFonts w:ascii="仿宋_GB2312" w:hAnsi="仿宋_GB2312" w:eastAsia="仿宋_GB2312" w:cs="仿宋_GB2312"/>
          <w:sz w:val="32"/>
        </w:rPr>
        <w:t>　行政机关实施行政处罚，有下列情形之一，由上级行政机关或者有关机关责令改正，对直接负责的主管人员和其他直接责任人员依法给予处分：</w:t>
      </w:r>
    </w:p>
    <w:p>
      <w:pPr>
        <w:spacing w:line="560" w:lineRule="exact"/>
        <w:ind w:firstLine="640"/>
        <w:jc w:val="both"/>
      </w:pPr>
      <w:r>
        <w:rPr>
          <w:rFonts w:ascii="仿宋_GB2312" w:hAnsi="仿宋_GB2312" w:eastAsia="仿宋_GB2312" w:cs="仿宋_GB2312"/>
          <w:sz w:val="32"/>
        </w:rPr>
        <w:t>（一）没有法定的行政处罚依据的；</w:t>
      </w:r>
    </w:p>
    <w:p>
      <w:pPr>
        <w:spacing w:line="560" w:lineRule="exact"/>
        <w:ind w:firstLine="640"/>
        <w:jc w:val="both"/>
      </w:pPr>
      <w:r>
        <w:rPr>
          <w:rFonts w:ascii="仿宋_GB2312" w:hAnsi="仿宋_GB2312" w:eastAsia="仿宋_GB2312" w:cs="仿宋_GB2312"/>
          <w:sz w:val="32"/>
        </w:rPr>
        <w:t>（二）擅自改变行政处罚种类、幅度的；</w:t>
      </w:r>
    </w:p>
    <w:p>
      <w:pPr>
        <w:spacing w:line="560" w:lineRule="exact"/>
        <w:ind w:firstLine="640"/>
        <w:jc w:val="both"/>
      </w:pPr>
      <w:r>
        <w:rPr>
          <w:rFonts w:ascii="仿宋_GB2312" w:hAnsi="仿宋_GB2312" w:eastAsia="仿宋_GB2312" w:cs="仿宋_GB2312"/>
          <w:sz w:val="32"/>
        </w:rPr>
        <w:t>（三）违反法定的行政处罚程序的；</w:t>
      </w:r>
    </w:p>
    <w:p>
      <w:pPr>
        <w:spacing w:line="560" w:lineRule="exact"/>
        <w:ind w:firstLine="640"/>
        <w:jc w:val="both"/>
      </w:pPr>
      <w:r>
        <w:rPr>
          <w:rFonts w:ascii="仿宋_GB2312" w:hAnsi="仿宋_GB2312" w:eastAsia="仿宋_GB2312" w:cs="仿宋_GB2312"/>
          <w:sz w:val="32"/>
        </w:rPr>
        <w:t>（四）违反本法第二十条关于委托处罚的规定的；</w:t>
      </w:r>
    </w:p>
    <w:p>
      <w:pPr>
        <w:spacing w:line="560" w:lineRule="exact"/>
        <w:ind w:firstLine="640"/>
        <w:jc w:val="both"/>
      </w:pPr>
      <w:r>
        <w:rPr>
          <w:rFonts w:ascii="仿宋_GB2312" w:hAnsi="仿宋_GB2312" w:eastAsia="仿宋_GB2312" w:cs="仿宋_GB2312"/>
          <w:sz w:val="32"/>
        </w:rPr>
        <w:t>（五）执法人员未取得执法证件的。</w:t>
      </w:r>
    </w:p>
    <w:p>
      <w:pPr>
        <w:spacing w:line="560" w:lineRule="exact"/>
        <w:ind w:firstLine="640"/>
        <w:jc w:val="both"/>
      </w:pPr>
      <w:r>
        <w:rPr>
          <w:rFonts w:ascii="仿宋_GB2312" w:hAnsi="仿宋_GB2312" w:eastAsia="仿宋_GB2312" w:cs="仿宋_GB2312"/>
          <w:sz w:val="32"/>
        </w:rPr>
        <w:t>行政机关对符合立案标准的案件不及时立案的，依照前款规定予以处理。</w:t>
      </w:r>
    </w:p>
    <w:p>
      <w:pPr>
        <w:spacing w:line="560" w:lineRule="exact"/>
        <w:ind w:firstLine="640"/>
        <w:jc w:val="both"/>
      </w:pPr>
      <w:r>
        <w:rPr>
          <w:rFonts w:ascii="黑体" w:hAnsi="黑体" w:eastAsia="黑体" w:cs="黑体"/>
          <w:sz w:val="32"/>
        </w:rPr>
        <w:t>第七十七条</w:t>
      </w:r>
      <w:r>
        <w:rPr>
          <w:rFonts w:ascii="仿宋_GB2312" w:hAnsi="仿宋_GB2312" w:eastAsia="仿宋_GB2312" w:cs="仿宋_GB2312"/>
          <w:sz w:val="32"/>
        </w:rPr>
        <w:t>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spacing w:line="560" w:lineRule="exact"/>
        <w:ind w:firstLine="640"/>
        <w:jc w:val="both"/>
      </w:pPr>
      <w:r>
        <w:rPr>
          <w:rFonts w:ascii="黑体" w:hAnsi="黑体" w:eastAsia="黑体" w:cs="黑体"/>
          <w:sz w:val="32"/>
        </w:rPr>
        <w:t>第七十八条</w:t>
      </w:r>
      <w:r>
        <w:rPr>
          <w:rFonts w:ascii="仿宋_GB2312" w:hAnsi="仿宋_GB2312" w:eastAsia="仿宋_GB2312" w:cs="仿宋_GB2312"/>
          <w:sz w:val="32"/>
        </w:rPr>
        <w:t>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spacing w:line="560" w:lineRule="exact"/>
        <w:ind w:firstLine="640"/>
        <w:jc w:val="both"/>
      </w:pPr>
      <w:r>
        <w:rPr>
          <w:rFonts w:ascii="黑体" w:hAnsi="黑体" w:eastAsia="黑体" w:cs="黑体"/>
          <w:sz w:val="32"/>
        </w:rPr>
        <w:t>第七十九条</w:t>
      </w:r>
      <w:r>
        <w:rPr>
          <w:rFonts w:ascii="仿宋_GB2312" w:hAnsi="仿宋_GB2312" w:eastAsia="仿宋_GB2312" w:cs="仿宋_GB2312"/>
          <w:sz w:val="32"/>
        </w:rPr>
        <w:t>　行政机关截留、私分或者变相私分罚款、没收的违法所得或者财物的，由财政部门或者有关机关予以追缴，对直接负责的主管人员和其他直接责任人员依法给予处分；情节严重构成犯罪的，依法追究刑事责任。</w:t>
      </w:r>
    </w:p>
    <w:p>
      <w:pPr>
        <w:spacing w:line="560" w:lineRule="exact"/>
        <w:ind w:firstLine="640"/>
        <w:jc w:val="both"/>
      </w:pPr>
      <w:r>
        <w:rPr>
          <w:rFonts w:ascii="仿宋_GB2312" w:hAnsi="仿宋_GB2312" w:eastAsia="仿宋_GB2312" w:cs="仿宋_GB2312"/>
          <w:sz w:val="32"/>
        </w:rPr>
        <w:t>执法人员利用职务上的便利，索取或者收受他人财物、将收缴罚款据为己有，构成犯罪的，依法追究刑事责任；情节轻微不构成犯罪的，依法给予处分。</w:t>
      </w:r>
    </w:p>
    <w:p>
      <w:pPr>
        <w:spacing w:line="560" w:lineRule="exact"/>
        <w:ind w:firstLine="640"/>
        <w:jc w:val="both"/>
      </w:pPr>
      <w:r>
        <w:rPr>
          <w:rFonts w:ascii="黑体" w:hAnsi="黑体" w:eastAsia="黑体" w:cs="黑体"/>
          <w:sz w:val="32"/>
        </w:rPr>
        <w:t>第八十条</w:t>
      </w:r>
      <w:r>
        <w:rPr>
          <w:rFonts w:ascii="仿宋_GB2312" w:hAnsi="仿宋_GB2312" w:eastAsia="仿宋_GB2312" w:cs="仿宋_GB2312"/>
          <w:sz w:val="32"/>
        </w:rPr>
        <w:t>　行政机关使用或者损毁查封、扣押的财物，对当事人造成损失的，应当依法予以赔偿，对直接负责的主管人员和其他直接责任人员依法给予处分。</w:t>
      </w:r>
    </w:p>
    <w:p>
      <w:pPr>
        <w:spacing w:line="560" w:lineRule="exact"/>
        <w:ind w:firstLine="640"/>
        <w:jc w:val="both"/>
      </w:pPr>
      <w:r>
        <w:rPr>
          <w:rFonts w:ascii="黑体" w:hAnsi="黑体" w:eastAsia="黑体" w:cs="黑体"/>
          <w:sz w:val="32"/>
        </w:rPr>
        <w:t>第八十一条</w:t>
      </w:r>
      <w:r>
        <w:rPr>
          <w:rFonts w:ascii="仿宋_GB2312" w:hAnsi="仿宋_GB2312" w:eastAsia="仿宋_GB2312" w:cs="仿宋_GB2312"/>
          <w:sz w:val="32"/>
        </w:rPr>
        <w:t>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spacing w:line="560" w:lineRule="exact"/>
        <w:ind w:firstLine="640"/>
        <w:jc w:val="both"/>
      </w:pPr>
      <w:r>
        <w:rPr>
          <w:rFonts w:ascii="黑体" w:hAnsi="黑体" w:eastAsia="黑体" w:cs="黑体"/>
          <w:sz w:val="32"/>
        </w:rPr>
        <w:t>第八十二条</w:t>
      </w:r>
      <w:r>
        <w:rPr>
          <w:rFonts w:ascii="仿宋_GB2312" w:hAnsi="仿宋_GB2312" w:eastAsia="仿宋_GB2312" w:cs="仿宋_GB2312"/>
          <w:sz w:val="32"/>
        </w:rPr>
        <w:t>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spacing w:line="560" w:lineRule="exact"/>
        <w:ind w:firstLine="640"/>
        <w:jc w:val="both"/>
      </w:pPr>
      <w:r>
        <w:rPr>
          <w:rFonts w:ascii="黑体" w:hAnsi="黑体" w:eastAsia="黑体" w:cs="黑体"/>
          <w:sz w:val="32"/>
        </w:rPr>
        <w:t>第八十三条</w:t>
      </w:r>
      <w:r>
        <w:rPr>
          <w:rFonts w:ascii="仿宋_GB2312" w:hAnsi="仿宋_GB2312" w:eastAsia="仿宋_GB2312" w:cs="仿宋_GB2312"/>
          <w:sz w:val="32"/>
        </w:rPr>
        <w:t>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第八章　附则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第八十四条</w:t>
      </w:r>
      <w:r>
        <w:rPr>
          <w:rFonts w:ascii="仿宋_GB2312" w:hAnsi="仿宋_GB2312" w:eastAsia="仿宋_GB2312" w:cs="仿宋_GB2312"/>
          <w:sz w:val="32"/>
        </w:rPr>
        <w:t>　外国人、无国籍人、外国组织在中华人民共和国领域内有违法行为，应当给予行政处罚的，适用本法，法律另有规定的除外。</w:t>
      </w:r>
    </w:p>
    <w:p>
      <w:pPr>
        <w:spacing w:line="560" w:lineRule="exact"/>
        <w:ind w:firstLine="640"/>
        <w:jc w:val="both"/>
      </w:pPr>
      <w:r>
        <w:rPr>
          <w:rFonts w:ascii="黑体" w:hAnsi="黑体" w:eastAsia="黑体" w:cs="黑体"/>
          <w:sz w:val="32"/>
        </w:rPr>
        <w:t>第八十五条</w:t>
      </w:r>
      <w:r>
        <w:rPr>
          <w:rFonts w:ascii="仿宋_GB2312" w:hAnsi="仿宋_GB2312" w:eastAsia="仿宋_GB2312" w:cs="仿宋_GB2312"/>
          <w:sz w:val="32"/>
        </w:rPr>
        <w:t>　本法中“二日”“三日”“五日”“七日”的规定是指工作日，不含法定节假日。</w:t>
      </w:r>
    </w:p>
    <w:p>
      <w:pPr>
        <w:spacing w:line="560" w:lineRule="exact"/>
        <w:ind w:firstLine="640"/>
        <w:jc w:val="both"/>
      </w:pPr>
      <w:r>
        <w:rPr>
          <w:rFonts w:ascii="黑体" w:hAnsi="黑体" w:eastAsia="黑体" w:cs="黑体"/>
          <w:sz w:val="32"/>
        </w:rPr>
        <w:t>第八十六条</w:t>
      </w:r>
      <w:r>
        <w:rPr>
          <w:rFonts w:ascii="仿宋_GB2312" w:hAnsi="仿宋_GB2312" w:eastAsia="仿宋_GB2312" w:cs="仿宋_GB2312"/>
          <w:sz w:val="32"/>
        </w:rPr>
        <w:t>　本法自</w:t>
      </w:r>
      <w:r>
        <w:rPr>
          <w:rFonts w:hint="default" w:ascii="Times New Roman" w:hAnsi="Times New Roman" w:eastAsia="仿宋_GB2312" w:cs="Times New Roman"/>
          <w:sz w:val="32"/>
        </w:rPr>
        <w:t>2021</w:t>
      </w:r>
      <w:r>
        <w:rPr>
          <w:rFonts w:ascii="仿宋_GB2312" w:hAnsi="仿宋_GB2312" w:eastAsia="仿宋_GB2312" w:cs="仿宋_GB2312"/>
          <w:sz w:val="32"/>
        </w:rPr>
        <w:t>年</w:t>
      </w:r>
      <w:r>
        <w:rPr>
          <w:rFonts w:hint="default" w:ascii="Times New Roman" w:hAnsi="Times New Roman" w:eastAsia="仿宋_GB2312" w:cs="Times New Roman"/>
          <w:sz w:val="32"/>
        </w:rPr>
        <w:t>7</w:t>
      </w:r>
      <w:r>
        <w:rPr>
          <w:rFonts w:ascii="仿宋_GB2312" w:hAnsi="仿宋_GB2312" w:eastAsia="仿宋_GB2312" w:cs="仿宋_GB2312"/>
          <w:sz w:val="32"/>
        </w:rPr>
        <w:t>月</w:t>
      </w:r>
      <w:r>
        <w:rPr>
          <w:rFonts w:hint="default" w:ascii="Times New Roman" w:hAnsi="Times New Roman" w:eastAsia="仿宋_GB2312" w:cs="Times New Roman"/>
          <w:sz w:val="32"/>
        </w:rPr>
        <w:t>15</w:t>
      </w:r>
      <w:r>
        <w:rPr>
          <w:rFonts w:ascii="仿宋_GB2312" w:hAnsi="仿宋_GB2312" w:eastAsia="仿宋_GB2312" w:cs="仿宋_GB2312"/>
          <w:sz w:val="32"/>
        </w:rPr>
        <w:t>日起施行。</w:t>
      </w:r>
    </w:p>
    <w:bookmarkEnd w:id="205"/>
    <w:p>
      <w:pPr>
        <w:widowControl w:val="0"/>
        <w:wordWrap/>
        <w:overflowPunct w:val="0"/>
        <w:spacing w:beforeAutospacing="0" w:afterAutospacing="0" w:line="560" w:lineRule="exact"/>
        <w:textAlignment w:val="auto"/>
        <w:rPr>
          <w:rFonts w:ascii="宋体" w:hAnsi="宋体" w:cs="仿宋_GB2312"/>
          <w:szCs w:val="32"/>
        </w:rPr>
      </w:pP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206" w:name="_Toc14199"/>
      <w:r>
        <w:rPr>
          <w:rFonts w:hint="eastAsia" w:ascii="宋体" w:hAnsi="宋体" w:eastAsia="宋体" w:cs="宋体"/>
          <w:kern w:val="0"/>
          <w:sz w:val="44"/>
          <w:szCs w:val="44"/>
          <w:lang w:val="en-US" w:eastAsia="zh-CN"/>
        </w:rPr>
        <w:t>中华人民共和国行政强制法</w:t>
      </w:r>
      <w:bookmarkEnd w:id="206"/>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kern w:val="0"/>
          <w:szCs w:val="32"/>
        </w:rPr>
      </w:pPr>
      <w:r>
        <w:rPr>
          <w:rFonts w:hint="eastAsia" w:ascii="宋体" w:hAnsi="宋体" w:eastAsia="楷体_GB2312" w:cs="楷体_GB2312"/>
          <w:kern w:val="0"/>
          <w:szCs w:val="32"/>
        </w:rPr>
        <w:t>（2011年6月30日第十一届全国人民代表大会常务委员会第二十一次会议通过）</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行政强制的种类和设定</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行政强制措施实施程序</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第二节　查封、扣押</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第三节　冻结</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行政机关强制执行程序</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第二节　金钱给付义务的执行</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第三节　代履行</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申请人民法院强制执行</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第七章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为了规范行政强制的设定和实施，保障和监督行政机关依法履行职责，维护公共利益和社会秩序，保护公民、法人和其他组织的合法权益，根据宪法，制定本法。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本法所称行政强制，包括行政强制措施和行政强制执行。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强制措施，是指行政机关在行政管理过程中，为制止违法行为、防止证据损毁、避免危害发生、控制危险扩大等情形，依法对公民的人身自由实施暂时性限制，或者对公民、法人或者其他组织的财物实施暂时性控制的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行政强制执行，是指行政机关或者行政机关申请人民法院，对不履行行政决定的公民、法人或者其他组织，依法强制履行义务的行为。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行政强制的设定和实施，适用本法。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发生或者即将发生自然灾害、事故灾难、公共卫生事件或者社会安全事件等突发事件，行政机关采取应急措施或者临时措施，依照有关法律、行政法规的规定执行。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行政机关采取金融业审慎监管措施、进出境货物强制性技术监控措施，依照有关法律、行政法规的规定执行。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行政强制的设定和实施，应当依照法定的权限、范围、条件和程序。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行政强制的设定和实施，应当适当。采用非强制手段可以达到行政管理目的的，不得设定和实施行政强制。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实施行政强制，应当坚持教育与强制相结合。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行政机关及其工作人员不得利用行政强制权为单位或者个人谋取利益。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公民、法人或者其他组织对行政机关实施行政强制，享有陈述权、申辩权；有权依法申请行政复议或者提起行政诉讼；因行政机关违法实施行政强制受到损害的，有权依法要求赔偿。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公民、法人或者其他组织因人民法院在强制执行中有违法行为或者扩大强制执行范围受到损害的，有权依法要求赔偿。</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行政强制的种类和设定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行政强制措施的种类: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（一）限制公民人身自由；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（二）查封场所、设施或者财物；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（三）扣押财物；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（四）冻结存款、汇款；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（五）其他行政强制措施。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行政强制措施由法律设定。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尚未制定法律，且属于国务院行政管理职权事项的，行政法规可以设定除本法第九条第一项、第四项和应当由法律规定的行政强制措施以外的其他行政强制措施。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尚未制定法律、行政法规，且属于地方性事务的，地方性法规可以设定本法第九条第二项、第三项的行政强制措施。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法律、法规以外的其他规范性文件不得设定行政强制措施。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法律对行政强制措施的对象、条件、种类作了规定的，行政法规、地方性法规不得作出扩大规定。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中未设定行政强制措施的，行政法规、地方性法规不得设定行政强制措施。但是，法律规定特定事项由行政法规规定具体管理措施的，行政法规可以设定除本法第九条第一项、第四项和应当由法律规定的行政强制措施以外的其他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行政强制执行的方式: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（一）加处罚款或者滞纳金；</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（二）划拨存款、汇款；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（三）拍卖或者依法处理查封、扣押的场所、设施或者财物；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（四）排除妨碍、恢复原状；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（五）代履行；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（六）其他强制执行方式。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行政强制执行由法律设定。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法律没有规定行政机关强制执行的，作出行政决定的行政机关应当申请人民法院强制执行。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起草法律草案、法规草案，拟设定行政强制的，起草单位应当采取听证会、论证会等形式听取意见，并向制定机关说明设定该行政强制的必要性、可能产生的影响以及听取和采纳意见的情况。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行政强制的设定机关应当定期对其设定的行政强制进行评价，并对不适当的行政强制及时予以修改或者废止。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行政强制的实施机关可以对已设定的行政强制的实施情况及存在的必要性适时进行评价，并将意见报告该行政强制的设定机关。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公民、法人或者其他组织可以向行政强制的设定机关和实施机关就行政强制的设定和实施提出意见和建议。有关机关应当认真研究论证，并以适当方式予以反馈。</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行政强制措施实施程序</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行政机关履行行政管理职责，依照法律、法规的规定，实施行政强制措施。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违法行为情节显著轻微或者没有明显社会危害的，可以不采取行政强制措施。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行政强制措施由法律、法规规定的行政机关在法定职权范围内实施。行政强制措施权不得委托。</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依据《中华人民共和国行政处罚法》的规定行使相对集中行政处罚权的行政机关，可以实施法律、法规规定的与行政处罚权有关的行政强制措施。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行政强制措施应当由行政机关具备资格的行政执法人员实施，其他人员不得实施。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w:t>
      </w:r>
      <w:r>
        <w:rPr>
          <w:rFonts w:hint="eastAsia" w:ascii="宋体" w:hAnsi="宋体" w:cs="Arial"/>
          <w:kern w:val="0"/>
          <w:szCs w:val="32"/>
        </w:rPr>
        <w:t>　行政机关实施行政强制措施应当遵守下列规定: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（一）实施前须向行政机关负责人报告并经批准；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（二）由两名以上行政执法人员实施；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（三）出示执法身份证件；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（四）通知当事人到场；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（五）当场告知当事人采取行政强制措施的理由、依据以及当事人依法享有的权利、救济途径；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（六）听取当事人的陈述和申辩；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（七）制作现场笔录；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（八）现场笔录由当事人和行政执法人员签名或者盖章，当事人拒绝的，在笔录中予以注明；</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（九）当事人不到场的，邀请见证人到场，由见证人和行政执法人员在现场笔录上签名或者盖章；</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（十）法律、法规规定的其他程序。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情况紧急，需要当场实施行政强制措施的，行政执法人员应当在二十四小时内向行政机关负责人报告，并补办批准手续。行政机关负责人认为不应当采取行政强制措施的，应当立即解除。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依照法律规定实施限制公民人身自由的行政强制措施，除应当履行本法第十八条规定的程序外，还应当遵守下列规定: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（一）当场告知或者实施行政强制措施后立即通知当事人家属实施行政强制措施的行政机关、地点和期限；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（二）在紧急情况下当场实施行政强制措施的，在返回行政机关后，立即向行政机关负责人报告并补办批准手续；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（三）法律规定的其他程序。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实施限制人身自由的行政强制措施不得超过法定期限。实施行政强制措施的目的已经达到或者条件已经消失，应当立即解除。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违法行为涉嫌犯罪应当移送司法机关的，行政机关应当将查封、扣押、冻结的财物一并移送，并书面告知当事人。</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查封、扣押</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查封、扣押应当由法律、法规规定的行政机关实施，其他任何行政机关或者组织不得实施。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查封、扣押限于涉案的场所、设施或者财物，不得查封、扣押与违法行为无关的场所、设施或者财物；不得查封、扣押公民个人及其所扶养家属的生活必需品。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当事人的场所、设施或者财物已被其他国家机关依法查封的，不得重复查封。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行政机关决定实施查封、扣押的，应当履行本法第十八条规定的程序，制作并当场交付查封、扣押决定书和清单。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查封、扣押决定书应当载明下列事项: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（一）当事人的姓名或者名称、地址；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（二）查封、扣押的理由、依据和期限；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（三）查封、扣押场所、设施或者财物的名称、数量等；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（四）申请行政复议或者提起行政诉讼的途径和期限；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（五）行政机关的名称、印章和日期。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查封、扣押清单一式二份，由当事人和行政机关分别保存。</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查封、扣押的期限不得超过三十日；情况复杂的，经行政机关负责人批准，可以延长，但是延长期限不得超过三十日。法律、行政法规另有规定的除外。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延长查封、扣押的决定应当及时书面告知当事人，并说明理由。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对查封、扣押的场所、设施或者财物，行政机关应当妥善保管，不得使用或者损毁；造成损失的，应当承担赔偿责任。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对查封的场所、设施或者财物，行政机关可以委托第三人保管，第三人不得损毁或者擅自转移、处置。因第三人的原因造成的损失，行政机关先行赔付后，有权向第三人追偿。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因查封、扣押发生的保管费用由行政机关承担。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第二十八条</w:t>
      </w:r>
      <w:r>
        <w:rPr>
          <w:rFonts w:hint="eastAsia" w:ascii="宋体" w:hAnsi="宋体" w:cs="Arial"/>
          <w:kern w:val="0"/>
          <w:szCs w:val="32"/>
        </w:rPr>
        <w:t>　有下列情形之一的，行政机关应当及时作出解除查封、扣押决定: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（一）当事人没有违法行为；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（二）查封、扣押的场所、设施或者财物与违法行为无关；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（三）行政机关对违法行为已经作出处理决定，不再需要查封、扣押；</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（四）查封、扣押期限已经届满；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（五）其他不再需要采取查封、扣押措施的情形。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解除查封、扣押应当立即退还财物；已将鲜活物品或者其他不易保管的财物拍卖或者变卖的，退还拍卖或者变卖所得款项。变卖价格明显低于市场价格，给当事人造成损失的，应当给予补偿。</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第三节　冻结</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第二十九条</w:t>
      </w:r>
      <w:r>
        <w:rPr>
          <w:rFonts w:hint="eastAsia" w:ascii="宋体" w:hAnsi="宋体" w:cs="Arial"/>
          <w:kern w:val="0"/>
          <w:szCs w:val="32"/>
        </w:rPr>
        <w:t>　冻结存款、汇款应当由法律规定的行政机关实施，不得委托给其他行政机关或者组织；其他任何行政机关或者组织不得冻结存款、汇款。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冻结存款、汇款的数额应当与违法行为涉及的金额相当；已被其他国家机关依法冻结的，不得重复冻结。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第三十条</w:t>
      </w:r>
      <w:r>
        <w:rPr>
          <w:rFonts w:hint="eastAsia" w:ascii="宋体" w:hAnsi="宋体" w:cs="Arial"/>
          <w:kern w:val="0"/>
          <w:szCs w:val="32"/>
        </w:rPr>
        <w:t>　行政机关依照法律规定决定实施冻结存款、汇款的，应当履行本法第十八条第一项、第二项、第三项、第七项规定的程序，并向金融机构交付冻结通知书。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金融机构接到行政机关依法作出的冻结通知书后，应当立即予以冻结，不得拖延，不得在冻结前向当事人泄露信息。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法律规定以外的行政机关或者组织要求冻结当事人存款、汇款的，金融机构应当拒绝。</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第三十一条</w:t>
      </w:r>
      <w:r>
        <w:rPr>
          <w:rFonts w:hint="eastAsia" w:ascii="宋体" w:hAnsi="宋体" w:cs="Arial"/>
          <w:kern w:val="0"/>
          <w:szCs w:val="32"/>
        </w:rPr>
        <w:t>　依照法律规定冻结存款、汇款的，作出决定的行政机关应当在三日内向当事人交付冻结决定书。冻结决定书应当载明下列事项: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（一）当事人的姓名或者名称、地址；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（二）冻结的理由、依据和期限；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（三）冻结的账号和数额；</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（四）申请行政复议或者提起行政诉讼的途径和期限；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（五）行政机关的名称、印章和日期。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第三十二条</w:t>
      </w:r>
      <w:r>
        <w:rPr>
          <w:rFonts w:hint="eastAsia" w:ascii="宋体" w:hAnsi="宋体" w:cs="Arial"/>
          <w:kern w:val="0"/>
          <w:szCs w:val="32"/>
        </w:rPr>
        <w:t>　自冻结存款、汇款之日起三十日内，行政机关应当作出处理决定或者作出解除冻结决定；情况复杂的，经行政机关负责人批准，可以延长，但是延长期限不得超过三十日。法律另有规定的除外。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延长冻结的决定应当及时书面告知当事人，并说明理由。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第三十三条</w:t>
      </w:r>
      <w:r>
        <w:rPr>
          <w:rFonts w:hint="eastAsia" w:ascii="宋体" w:hAnsi="宋体" w:cs="Arial"/>
          <w:kern w:val="0"/>
          <w:szCs w:val="32"/>
        </w:rPr>
        <w:t>　有下列情形之一的，行政机关应当及时作出解除冻结决定: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（一）当事人没有违法行为；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（二）冻结的存款、汇款与违法行为无关；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（三）行政机关对违法行为已经作出处理决定，不再需要冻结；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（四）冻结期限已经届满；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（五）其他不再需要采取冻结措施的情形。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行政机关作出解除冻结决定的，应当及时通知金融机构和当事人。金融机构接到通知后，应当立即解除冻结。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行政机关逾期未作出处理决定或者解除冻结决定的，金融机构应当自冻结期满之日起解除冻结。</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行政机关强制执行程序</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第三十四条</w:t>
      </w:r>
      <w:r>
        <w:rPr>
          <w:rFonts w:hint="eastAsia" w:ascii="宋体" w:hAnsi="宋体" w:cs="Arial"/>
          <w:kern w:val="0"/>
          <w:szCs w:val="32"/>
        </w:rPr>
        <w:t>　行政机关依法作出行政决定后，当事人在行政机关决定的期限内不履行义务的，具有行政强制执行权的行政机关依照本章规定强制执行。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第三十五条</w:t>
      </w:r>
      <w:r>
        <w:rPr>
          <w:rFonts w:hint="eastAsia" w:ascii="宋体" w:hAnsi="宋体" w:cs="Arial"/>
          <w:kern w:val="0"/>
          <w:szCs w:val="32"/>
        </w:rPr>
        <w:t>　行政机关作出强制执行决定前，应当事先催告当事人履行义务。催告应当以书面形式作出，并载明下列事项: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（一）履行义务的期限；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（二）履行义务的方式；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（三）涉及金钱给付的，应当有明确的金额和给付方式；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（四）当事人依法享有的陈述权和申辩权。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第三十六条</w:t>
      </w:r>
      <w:r>
        <w:rPr>
          <w:rFonts w:hint="eastAsia" w:ascii="宋体" w:hAnsi="宋体" w:cs="Arial"/>
          <w:kern w:val="0"/>
          <w:szCs w:val="32"/>
        </w:rPr>
        <w:t>　当事人收到催告书后有权进行陈述和申辩。行政机关应当充分听取当事人的意见，对当事人提出的事实、理由和证据，应当进行记录、复核。当事人提出的事实、理由或者证据成立的，行政机关应当采纳。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第三十七条</w:t>
      </w:r>
      <w:r>
        <w:rPr>
          <w:rFonts w:hint="eastAsia" w:ascii="宋体" w:hAnsi="宋体" w:cs="Arial"/>
          <w:kern w:val="0"/>
          <w:szCs w:val="32"/>
        </w:rPr>
        <w:t>　经催告，当事人逾期仍不履行行政决定，且无正当理由的，行政机关可以作出强制执行决定。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强制执行决定应当以书面形式作出，并载明下列事项: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（一）当事人的姓名或者名称、地址；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（二）强制执行的理由和依据；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（三）强制执行的方式和时间；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（四）申请行政复议或者提起行政诉讼的途径和期限；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（五）行政机关的名称、印章和日期。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在催告期间，对有证据证明有转移或者隐匿财物迹象的，行政机关可以作出立即强制执行决定。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第三十八条</w:t>
      </w:r>
      <w:r>
        <w:rPr>
          <w:rFonts w:hint="eastAsia" w:ascii="宋体" w:hAnsi="宋体" w:cs="Arial"/>
          <w:kern w:val="0"/>
          <w:szCs w:val="32"/>
        </w:rPr>
        <w:t>　催告书、行政强制执行决定书应当直接送达当事人。当事人拒绝接收或者无法直接送达当事人的，应当依照《中华人民共和国民事诉讼法》的有关规定送达。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第三十九条</w:t>
      </w:r>
      <w:r>
        <w:rPr>
          <w:rFonts w:hint="eastAsia" w:ascii="宋体" w:hAnsi="宋体" w:cs="Arial"/>
          <w:kern w:val="0"/>
          <w:szCs w:val="32"/>
        </w:rPr>
        <w:t>　有下列情形之一的，中止执行: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（一）当事人履行行政决定确有困难或者暂无履行能力的；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（二）第三人对执行标的主张权利，确有理由的；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（三）执行可能造成难以弥补的损失，且中止执行不损害公共利益的；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（四）行政机关认为需要中止执行的其他情形。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中止执行的情形消失后，行政机关应当恢复执行。对没有明显社会危害，当事人确无能力履行，中止执行满三年未恢复执行的，行政机关不再执行。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第四十条</w:t>
      </w:r>
      <w:r>
        <w:rPr>
          <w:rFonts w:hint="eastAsia" w:ascii="宋体" w:hAnsi="宋体" w:cs="Arial"/>
          <w:kern w:val="0"/>
          <w:szCs w:val="32"/>
        </w:rPr>
        <w:t>　有下列情形之一的，终结执行: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（一）公民死亡，无遗产可供执行，又无义务承受人的；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（二）法人或者其他组织终止，无财产可供执行，又无义务承受人的；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（三）执行标的灭失的；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（四）据以执行的行政决定被撤销的；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（五）行政机关认为需要终结执行的其他情形。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第四十一条</w:t>
      </w:r>
      <w:r>
        <w:rPr>
          <w:rFonts w:hint="eastAsia" w:ascii="宋体" w:hAnsi="宋体" w:cs="Arial"/>
          <w:kern w:val="0"/>
          <w:szCs w:val="32"/>
        </w:rPr>
        <w:t>　在执行中或者执行完毕后，据以执行的行政决定被撤销、变更，或者执行错误的，应当恢复原状或者退还财物；不能恢复原状或者退还财物的，依法给予赔偿。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第四十二条</w:t>
      </w:r>
      <w:r>
        <w:rPr>
          <w:rFonts w:hint="eastAsia" w:ascii="宋体" w:hAnsi="宋体" w:cs="Arial"/>
          <w:kern w:val="0"/>
          <w:szCs w:val="32"/>
        </w:rPr>
        <w:t>　实施行政强制执行，行政机关可以在不损害公共利益和他人合法权益的情况下，与当事人达成执行协议。执行协议可以约定分阶段履行；当事人采取补救措施的，可以减免加处的罚款或者滞纳金。</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执行协议应当履行。当事人不履行执行协议的，行政机关应当恢复强制执行。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第四十三条</w:t>
      </w:r>
      <w:r>
        <w:rPr>
          <w:rFonts w:hint="eastAsia" w:ascii="宋体" w:hAnsi="宋体" w:cs="Arial"/>
          <w:kern w:val="0"/>
          <w:szCs w:val="32"/>
        </w:rPr>
        <w:t>　行政机关不得在夜间或者法定节假日实施行政强制执行。但是，情况紧急的除外。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行政机关不得对居民生活采取停止供水、供电、供热、供燃气等方式迫使当事人履行相关行政决定。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第四十四条</w:t>
      </w:r>
      <w:r>
        <w:rPr>
          <w:rFonts w:hint="eastAsia" w:ascii="宋体" w:hAnsi="宋体" w:cs="Arial"/>
          <w:kern w:val="0"/>
          <w:szCs w:val="32"/>
        </w:rPr>
        <w:t>　对违法的建筑物、构筑物、设施等需要强制拆除的，应当由行政机关予以公告，限期当事人自行拆除。当事人在法定期限内不申请行政复议或者提起行政诉讼，又不拆除的，行政机关可以依法强制拆除。</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金钱给付义务的执行</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第四十五条</w:t>
      </w:r>
      <w:r>
        <w:rPr>
          <w:rFonts w:hint="eastAsia" w:ascii="宋体" w:hAnsi="宋体" w:cs="Arial"/>
          <w:kern w:val="0"/>
          <w:szCs w:val="32"/>
        </w:rPr>
        <w:t>　行政机关依法作出金钱给付义务的行政决定，当事人逾期不履行的，行政机关可以依法加处罚款或者滞纳金。加处罚款或者滞纳金的标准应当告知当事人。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加处罚款或者滞纳金的数额不得超出金钱给付义务的数额。</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第四十六条</w:t>
      </w:r>
      <w:r>
        <w:rPr>
          <w:rFonts w:hint="eastAsia" w:ascii="宋体" w:hAnsi="宋体" w:cs="Arial"/>
          <w:kern w:val="0"/>
          <w:szCs w:val="32"/>
        </w:rPr>
        <w:t>　行政机关依照本法第四十五条规定实施加处罚款或者滞纳金超过三十日，经催告当事人仍不履行的，具有行政强制执行权的行政机关可以强制执行。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行政机关实施强制执行前，需要采取查封、扣押、冻结措施的，依照本法第三章规定办理。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没有行政强制执行权的行政机关应当申请人民法院强制执行。但是，当事人在法定期限内不申请行政复议或者提起行政诉讼，经催告仍不履行的，在实施行政管理过程中已经采取查封、扣押措施的行政机关，可以将查封、扣押的财物依法拍卖抵缴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第四十七条</w:t>
      </w:r>
      <w:r>
        <w:rPr>
          <w:rFonts w:hint="eastAsia" w:ascii="宋体" w:hAnsi="宋体" w:cs="Arial"/>
          <w:kern w:val="0"/>
          <w:szCs w:val="32"/>
        </w:rPr>
        <w:t>　划拨存款、汇款应当由法律规定的行政机关决定，并书面通知金融机构。金融机构接到行政机关依法作出划拨存款、汇款的决定后，应当立即划拨。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法律规定以外的行政机关或者组织要求划拨当事人存款、汇款的，金融机构应当拒绝。</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第四十八条</w:t>
      </w:r>
      <w:r>
        <w:rPr>
          <w:rFonts w:hint="eastAsia" w:ascii="宋体" w:hAnsi="宋体" w:cs="Arial"/>
          <w:kern w:val="0"/>
          <w:szCs w:val="32"/>
        </w:rPr>
        <w:t>　依法拍卖财物，由行政机关委托拍卖机构依照《中华人民共和国拍卖法》的规定办理。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第四十九条</w:t>
      </w:r>
      <w:r>
        <w:rPr>
          <w:rFonts w:hint="eastAsia" w:ascii="宋体" w:hAnsi="宋体" w:cs="Arial"/>
          <w:kern w:val="0"/>
          <w:szCs w:val="32"/>
        </w:rPr>
        <w:t>　划拨的存款、汇款以及拍卖和依法处理所得的款项应当上缴国库或者划入财政专户。任何行政机关或者个人不得以任何形式截留、私分或者变相私分。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第三节　代履行</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第五十条</w:t>
      </w:r>
      <w:r>
        <w:rPr>
          <w:rFonts w:hint="eastAsia" w:ascii="宋体" w:hAnsi="宋体" w:cs="Arial"/>
          <w:kern w:val="0"/>
          <w:szCs w:val="32"/>
        </w:rPr>
        <w:t>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第五十一条</w:t>
      </w:r>
      <w:r>
        <w:rPr>
          <w:rFonts w:hint="eastAsia" w:ascii="宋体" w:hAnsi="宋体" w:cs="Arial"/>
          <w:kern w:val="0"/>
          <w:szCs w:val="32"/>
        </w:rPr>
        <w:t>　代履行应当遵守下列规定: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（一）代履行前送达决定书，代履行决定书应当载明当事人的姓名或者名称、地址，代履行的理由和依据、方式和时间、标的、费用预算以及代履行人；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（二）代履行三日前，催告当事人履行，当事人履行的，停止代履行；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（三）代履行时，作出决定的行政机关应当派员到场监督；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（四）代履行完毕，行政机关到场监督的工作人员、代履行人和当事人或者见证人应当在执行文书上签名或者盖章。</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代履行的费用按照成本合理确定，由当事人承担。但是，法律另有规定的除外。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代履行不得采用暴力、胁迫以及其他非法方式。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第五十二条</w:t>
      </w:r>
      <w:r>
        <w:rPr>
          <w:rFonts w:hint="eastAsia" w:ascii="宋体" w:hAnsi="宋体" w:cs="Arial"/>
          <w:kern w:val="0"/>
          <w:szCs w:val="32"/>
        </w:rPr>
        <w:t>　需要立即清除道路、河道、航道或者公共场所的遗洒物、障碍物或者污染物，当事人不能清除的，行政机关可以决定立即实施代履行；当事人不在场的，行政机关应当在事后立即通知当事人，并依法作出处理。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申请人民法院强制执行</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第五十三条</w:t>
      </w:r>
      <w:r>
        <w:rPr>
          <w:rFonts w:hint="eastAsia" w:ascii="宋体" w:hAnsi="宋体" w:cs="Arial"/>
          <w:kern w:val="0"/>
          <w:szCs w:val="32"/>
        </w:rPr>
        <w:t>　当事人在法定期限内不申请行政复议或者提起行政诉讼，又不履行行政决定的，没有行政强制执行权的行政机关可以自期限届满之日起三个月内，依照本章规定申请人民法院强制执行。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第五十四条</w:t>
      </w:r>
      <w:r>
        <w:rPr>
          <w:rFonts w:hint="eastAsia" w:ascii="宋体" w:hAnsi="宋体" w:cs="Arial"/>
          <w:kern w:val="0"/>
          <w:szCs w:val="32"/>
        </w:rPr>
        <w:t>　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第五十五条</w:t>
      </w:r>
      <w:r>
        <w:rPr>
          <w:rFonts w:hint="eastAsia" w:ascii="宋体" w:hAnsi="宋体" w:cs="Arial"/>
          <w:kern w:val="0"/>
          <w:szCs w:val="32"/>
        </w:rPr>
        <w:t>　行政机关向人民法院申请强制执行，应当提供下列材料:</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（一）强制执行申请书；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（二）行政决定书及作出决定的事实、理由和依据；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（三）当事人的意见及行政机关催告情况；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（四）申请强制执行标的情况；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（五）法律、行政法规规定的其他材料。</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强制执行申请书应当由行政机关负责人签名，加盖行政机关的印章，并注明日期。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第五十六条</w:t>
      </w:r>
      <w:r>
        <w:rPr>
          <w:rFonts w:hint="eastAsia" w:ascii="宋体" w:hAnsi="宋体" w:cs="Arial"/>
          <w:kern w:val="0"/>
          <w:szCs w:val="32"/>
        </w:rPr>
        <w:t>　人民法院接到行政机关强制执行的申请，应当在五日内受理。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行政机关对人民法院不予受理的裁定有异议的，可以在十五日内向上一级人民法院申请复议，上一级人民法院应当自收到复议申请之日起十五日内作出是否受理的裁定。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第五十七条</w:t>
      </w:r>
      <w:r>
        <w:rPr>
          <w:rFonts w:hint="eastAsia" w:ascii="宋体" w:hAnsi="宋体" w:cs="Arial"/>
          <w:kern w:val="0"/>
          <w:szCs w:val="32"/>
        </w:rPr>
        <w:t>　人民法院对行政机关强制执行的申请进行书面审查，对符合本法第五十五条规定，且行政决定具备法定执行效力的，除本法第五十八条规定的情形外，人民法院应当自受理之日起七日内作出执行裁定。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第五十八条</w:t>
      </w:r>
      <w:r>
        <w:rPr>
          <w:rFonts w:hint="eastAsia" w:ascii="宋体" w:hAnsi="宋体" w:cs="Arial"/>
          <w:kern w:val="0"/>
          <w:szCs w:val="32"/>
        </w:rPr>
        <w:t>　人民法院发现有下列情形之一的，在作出裁定前可以听取被执行人和行政机关的意见: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（一）明显缺乏事实根据的；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（二）明显缺乏法律、法规依据的；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（三）其他明显违法并损害被执行人合法权益的。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人民法院应当自受理之日起三十日内作出是否执行的裁定。裁定不予执行的，应当说明理由，并在五日内将不予执行的裁定送达行政机关。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行政机关对人民法院不予执行的裁定有异议的，可以自收到裁定之日起十五日内向上一级人民法院申请复议，上一级人民法院应当自收到复议申请之日起三十日内作出是否执行的裁定。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第五十九条</w:t>
      </w:r>
      <w:r>
        <w:rPr>
          <w:rFonts w:hint="eastAsia" w:ascii="宋体" w:hAnsi="宋体" w:cs="Arial"/>
          <w:kern w:val="0"/>
          <w:szCs w:val="32"/>
        </w:rPr>
        <w:t>　因情况紧急，为保障公共安全，行政机关可以申请人民法院立即执行。经人民法院院长批准，人民法院应当自作出执行裁定之日起五日内执行。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第六十条</w:t>
      </w:r>
      <w:r>
        <w:rPr>
          <w:rFonts w:hint="eastAsia" w:ascii="宋体" w:hAnsi="宋体" w:cs="Arial"/>
          <w:kern w:val="0"/>
          <w:szCs w:val="32"/>
        </w:rPr>
        <w:t>　行政机关申请人民法院强制执行，不缴纳申请费。强制执行的费用由被执行人承担。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人民法院以划拨、拍卖方式强制执行的，可以在划拨、拍卖后将强制执行的费用扣除。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依法拍卖财物，由人民法院委托拍卖机构依照《中华人民共和国拍卖法》的规定办理。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划拨的存款、汇款以及拍卖和依法处理所得的款项应当上缴国库或者划入财政专户，不得以任何形式截留、私分或者变相私分。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第六十一条</w:t>
      </w:r>
      <w:r>
        <w:rPr>
          <w:rFonts w:hint="eastAsia" w:ascii="宋体" w:hAnsi="宋体" w:cs="Arial"/>
          <w:kern w:val="0"/>
          <w:szCs w:val="32"/>
        </w:rPr>
        <w:t>　行政机关实施行政强制，有下列情形之一的，由上级行政机关或者有关部门责令改正，对直接负责的主管人员和其他直接责任人员依法给予处分: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（一）没有法律、法规依据的；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（二）改变行政强制对象、条件、方式的；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（三）违反法定程序实施行政强制的；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（四）违反本法规定，在夜间或者法定节假日实施行政强制执行的；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（五）对居民生活采取停止供水、供电、供热、供燃气等方式迫使当事人履行相关行政决定的；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（六）有其他违法实施行政强制情形的。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第六十二条</w:t>
      </w:r>
      <w:r>
        <w:rPr>
          <w:rFonts w:hint="eastAsia" w:ascii="宋体" w:hAnsi="宋体" w:cs="Arial"/>
          <w:kern w:val="0"/>
          <w:szCs w:val="32"/>
        </w:rPr>
        <w:t>　违反本法规定，行政机关有下列情形之一的，由上级行政机关或者有关部门责令改正，对直接负责的主管人员和其他直接责任人员依法给予处分: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（一）扩大查封、扣押、冻结范围的；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（二）使用或者损毁查封、扣押场所、设施或者财物的；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（三）在查封、扣押法定期间不作出处理决定或者未依法及时解除查封、扣押的；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（四）在冻结存款、汇款法定期间不作出处理决定或者未依法及时解除冻结的。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第六十三条</w:t>
      </w:r>
      <w:r>
        <w:rPr>
          <w:rFonts w:hint="eastAsia" w:ascii="宋体" w:hAnsi="宋体" w:cs="Arial"/>
          <w:kern w:val="0"/>
          <w:szCs w:val="32"/>
        </w:rPr>
        <w:t>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行政机关工作人员利用职务上的便利，将查封、扣押的场所、设施或者财物据为己有的，由上级行政机关或者有关部门责令改正，依法给予记大过、降级、撤职或者开除的处分。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第六十四条</w:t>
      </w:r>
      <w:r>
        <w:rPr>
          <w:rFonts w:hint="eastAsia" w:ascii="宋体" w:hAnsi="宋体" w:cs="Arial"/>
          <w:kern w:val="0"/>
          <w:szCs w:val="32"/>
        </w:rPr>
        <w:t>　行政机关及其工作人员利用行政强制权为单位或者个人谋取利益的，由上级行政机关或者有关部门责令改正，对直接负责的主管人员和其他直接责任人员依法给予处分。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第六十五条</w:t>
      </w:r>
      <w:r>
        <w:rPr>
          <w:rFonts w:hint="eastAsia" w:ascii="宋体" w:hAnsi="宋体" w:cs="Arial"/>
          <w:kern w:val="0"/>
          <w:szCs w:val="32"/>
        </w:rPr>
        <w:t>　违反本法规定，金融机构有下列行为之一的，由金融业监督管理机构责令改正，对直接负责的主管人员和其他直接责任人员依法给予处分: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（一）在冻结前向当事人泄露信息的；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（二）对应当立即冻结、划拨的存款、汇款不冻结或者不划拨，致使存款、汇款转移的；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（三）将不应当冻结、划拨的存款、汇款予以冻结或者划拨的；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（四）未及时解除冻结存款、汇款的。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第六十六条</w:t>
      </w:r>
      <w:r>
        <w:rPr>
          <w:rFonts w:hint="eastAsia" w:ascii="宋体" w:hAnsi="宋体" w:cs="Arial"/>
          <w:kern w:val="0"/>
          <w:szCs w:val="32"/>
        </w:rPr>
        <w:t>　违反本法规定，金融机构将款项划入国库或者财政专户以外的其他账户的，由金融业监督管理机构责令改正，并处以违法划拨款项二倍的罚款；对直接负责的主管人员和其他直接责任人员依法给予处分。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违反本法规定，行政机关、人民法院指令金融机构将款项划入国库或者财政专户以外的其他账户的，对直接负责的主管人员和其他直接责任人员依法给予处分。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第六十七条</w:t>
      </w:r>
      <w:r>
        <w:rPr>
          <w:rFonts w:hint="eastAsia" w:ascii="宋体" w:hAnsi="宋体" w:cs="Arial"/>
          <w:kern w:val="0"/>
          <w:szCs w:val="32"/>
        </w:rPr>
        <w:t>　人民法院及其工作人员在强制执行中有违法行为或者扩大强制执行范围的，对直接负责的主管人员和其他直接责任人员依法给予处分。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第六十八条</w:t>
      </w:r>
      <w:r>
        <w:rPr>
          <w:rFonts w:hint="eastAsia" w:ascii="宋体" w:hAnsi="宋体" w:cs="Arial"/>
          <w:kern w:val="0"/>
          <w:szCs w:val="32"/>
        </w:rPr>
        <w:t>　违反本法规定，给公民、法人或者其他组织造成损失的，依法给予赔偿。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违反本法规定，构成犯罪的，依法追究刑事责任。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第七章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第六十九条</w:t>
      </w:r>
      <w:r>
        <w:rPr>
          <w:rFonts w:hint="eastAsia" w:ascii="宋体" w:hAnsi="宋体" w:cs="Arial"/>
          <w:kern w:val="0"/>
          <w:szCs w:val="32"/>
        </w:rPr>
        <w:t>　本法中十日以内期限的规定是指工作日，不含法定节假日。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第七十条</w:t>
      </w:r>
      <w:r>
        <w:rPr>
          <w:rFonts w:hint="eastAsia" w:ascii="宋体" w:hAnsi="宋体" w:cs="Arial"/>
          <w:kern w:val="0"/>
          <w:szCs w:val="32"/>
        </w:rPr>
        <w:t>　法律、行政法规授权的具有管理公共事务职能的组织在法定授权范围内，以自己的名义实施行政强制，适用本法有关行政机关的规定。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第七十一条</w:t>
      </w:r>
      <w:r>
        <w:rPr>
          <w:rFonts w:hint="eastAsia" w:ascii="宋体" w:hAnsi="宋体" w:cs="Arial"/>
          <w:kern w:val="0"/>
          <w:szCs w:val="32"/>
        </w:rPr>
        <w:t>　本法自2012年1月1日起施行。</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widowControl w:val="0"/>
        <w:wordWrap/>
        <w:overflowPunct w:val="0"/>
        <w:spacing w:beforeAutospacing="0" w:afterAutospacing="0" w:line="560" w:lineRule="exact"/>
        <w:jc w:val="center"/>
        <w:textAlignment w:val="auto"/>
        <w:outlineLvl w:val="0"/>
        <w:rPr>
          <w:rFonts w:ascii="宋体" w:hAnsi="宋体" w:eastAsia="宋体" w:cs="宋体"/>
          <w:sz w:val="44"/>
          <w:szCs w:val="44"/>
        </w:rPr>
      </w:pPr>
      <w:bookmarkStart w:id="207" w:name="_Toc20581"/>
      <w:r>
        <w:rPr>
          <w:rFonts w:hint="eastAsia" w:ascii="宋体" w:hAnsi="宋体" w:eastAsia="宋体" w:cs="宋体"/>
          <w:sz w:val="44"/>
          <w:szCs w:val="44"/>
        </w:rPr>
        <w:t>中华人民共和国行政复议法</w:t>
      </w:r>
      <w:bookmarkEnd w:id="207"/>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宋体" w:cs="宋体"/>
          <w:szCs w:val="32"/>
        </w:rPr>
      </w:pPr>
      <w:r>
        <w:rPr>
          <w:rFonts w:hint="eastAsia" w:ascii="宋体" w:hAnsi="宋体" w:eastAsia="楷体_GB2312" w:cs="楷体_GB2312"/>
          <w:szCs w:val="32"/>
        </w:rPr>
        <w:t>（1999年4月29日第九届全国人民代表大会常务委员会第九次会议通过　根据2009年8月27日第十一届全国人民代表大会常务委员会第十次会议《关于修改部分法律的决定》第一次修正　根据2017年9月1日第十二届全国人民代表大会常务委员会第二十九次会议《关于修改&lt;中华人民共和国法官法&gt;等八部法律的决定》第二次修正）</w:t>
      </w:r>
    </w:p>
    <w:p>
      <w:pPr>
        <w:widowControl w:val="0"/>
        <w:wordWrap/>
        <w:overflowPunct w:val="0"/>
        <w:spacing w:beforeAutospacing="0" w:afterAutospacing="0" w:line="560" w:lineRule="exact"/>
        <w:jc w:val="center"/>
        <w:textAlignment w:val="auto"/>
        <w:rPr>
          <w:rFonts w:ascii="宋体" w:hAnsi="宋体" w:eastAsia="楷体_GB2312" w:cs="楷体_GB2312"/>
          <w:szCs w:val="32"/>
        </w:rPr>
      </w:pPr>
      <w:r>
        <w:rPr>
          <w:rFonts w:hint="eastAsia" w:ascii="宋体" w:hAnsi="宋体" w:eastAsia="楷体_GB2312" w:cs="楷体_GB2312"/>
          <w:szCs w:val="32"/>
        </w:rPr>
        <w:t>目　　录</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第一章　总则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第二章　行政复议范围</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第三章　行政复议申请</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第四章　行政复议受理</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第五章　行政复议决定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第六章　法律责任</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第七章　附则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第一章　总则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第一</w:t>
      </w:r>
      <w:r>
        <w:rPr>
          <w:rFonts w:hint="eastAsia" w:ascii="宋体" w:hAnsi="宋体" w:eastAsia="黑体" w:cs="仿宋_GB2312"/>
          <w:szCs w:val="32"/>
        </w:rPr>
        <w:t>条</w:t>
      </w:r>
      <w:r>
        <w:rPr>
          <w:rFonts w:hint="eastAsia" w:ascii="宋体" w:hAnsi="宋体" w:cs="仿宋_GB2312"/>
          <w:szCs w:val="32"/>
        </w:rPr>
        <w:t>　为了防止和纠正违法的或者不当的具体行政行为，保护公民、法人和其他组织的合法权益，保障和监督行政机关依法行使职权，根据宪法，制定本法。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w:t>
      </w:r>
      <w:r>
        <w:rPr>
          <w:rFonts w:hint="eastAsia" w:ascii="宋体" w:hAnsi="宋体" w:eastAsia="黑体" w:cs="仿宋_GB2312"/>
          <w:szCs w:val="32"/>
        </w:rPr>
        <w:t>条</w:t>
      </w:r>
      <w:r>
        <w:rPr>
          <w:rFonts w:hint="eastAsia" w:ascii="宋体" w:hAnsi="宋体" w:cs="仿宋_GB2312"/>
          <w:szCs w:val="32"/>
        </w:rPr>
        <w:t>　公民、法人或者其他组织认为具体行政行为侵犯其合法权益，向行政机关提出行政复议申请，行政机关受理行政复议申请、作出行政复议决定，适用本法。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w:t>
      </w:r>
      <w:r>
        <w:rPr>
          <w:rFonts w:hint="eastAsia" w:ascii="宋体" w:hAnsi="宋体" w:eastAsia="黑体" w:cs="仿宋_GB2312"/>
          <w:szCs w:val="32"/>
        </w:rPr>
        <w:t>条</w:t>
      </w:r>
      <w:r>
        <w:rPr>
          <w:rFonts w:hint="eastAsia" w:ascii="宋体" w:hAnsi="宋体" w:cs="仿宋_GB2312"/>
          <w:szCs w:val="32"/>
        </w:rPr>
        <w:t>　依照本法履行行政复议职责的行政机关是行政复议机关。行政复议机关负责法制工作的机构具体办理行政复议事项，履行下列职责:</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（一）受理行政复议申请；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（二）向有关组织和人员调查取证，查阅文件和资料；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（三）审查申请行政复议的具体行政行为是否合法与适当，拟订行政复议决定；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（四）处理或者转送对本法第七条所列有关规定的审查申请；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（五）对行政机关违反本法规定的行为依照规定的权限和程序提出处理建议；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（六）办理因不服行政复议决定提起行政诉讼的应诉事项；</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（七）法律、法规规定的其他职责。</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行政机关中初次从事行政复议的人员，应当通过国家统一法律职业资格考试取得法律职业资格。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w:t>
      </w:r>
      <w:r>
        <w:rPr>
          <w:rFonts w:hint="eastAsia" w:ascii="宋体" w:hAnsi="宋体" w:eastAsia="黑体" w:cs="仿宋_GB2312"/>
          <w:szCs w:val="32"/>
        </w:rPr>
        <w:t>条</w:t>
      </w:r>
      <w:r>
        <w:rPr>
          <w:rFonts w:hint="eastAsia" w:ascii="宋体" w:hAnsi="宋体" w:cs="仿宋_GB2312"/>
          <w:szCs w:val="32"/>
        </w:rPr>
        <w:t>　行政复议机关履行行政复议职责，应当遵循合法、公正、公开、及时、便民的原则，坚持有错必纠，保障法律、法规的正确实施。</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w:t>
      </w:r>
      <w:r>
        <w:rPr>
          <w:rFonts w:hint="eastAsia" w:ascii="宋体" w:hAnsi="宋体" w:eastAsia="黑体" w:cs="仿宋_GB2312"/>
          <w:szCs w:val="32"/>
        </w:rPr>
        <w:t>条</w:t>
      </w:r>
      <w:r>
        <w:rPr>
          <w:rFonts w:hint="eastAsia" w:ascii="宋体" w:hAnsi="宋体" w:cs="仿宋_GB2312"/>
          <w:szCs w:val="32"/>
        </w:rPr>
        <w:t>　公民、法人或者其他组织对行政复议决定不服的，可以依照行政诉讼法的规定向人民法院提起行政诉讼，但是法律规定行政复议决定为最终裁决的除外。</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第二章　行政复议范围</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w:t>
      </w:r>
      <w:r>
        <w:rPr>
          <w:rFonts w:hint="eastAsia" w:ascii="宋体" w:hAnsi="宋体" w:eastAsia="黑体" w:cs="仿宋_GB2312"/>
          <w:szCs w:val="32"/>
        </w:rPr>
        <w:t>条</w:t>
      </w:r>
      <w:r>
        <w:rPr>
          <w:rFonts w:hint="eastAsia" w:ascii="宋体" w:hAnsi="宋体" w:cs="仿宋_GB2312"/>
          <w:szCs w:val="32"/>
        </w:rPr>
        <w:t>　有下列情形之一的，公民、法人或者其他组织可以依照本法申请行政复议: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（一）对行政机关作出的警告、罚款、没收违法所得、没收非法财物、责令停产停业、暂扣或者吊销许可证、暂扣或者吊销执照、行政拘留等行政处罚决定不服的；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（二）对行政机关作出的限制人身自由或者查封、扣押、冻结财产等行政强制措施决定不服的；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（三）对行政机关作出的有关许可证、执照、资质证、资格证等证书变更、中止、撤销的决定不服的；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（四）对行政机关作出的关于确认土地、矿藏、水流、森林、山岭、草原、荒地、滩涂、海域等自然资源的所有权或者使用权的决定不服的；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（五）认为行政机关侵犯合法的经营自主权的；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（六）认为行政机关变更或者废止农业承包合同，侵犯其合法权益的；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（七）认为行政机关违法集资、征收财物、摊派费用或者违法要求履行其他义务的；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（八）认为符合法定条件，申请行政机关颁发许可证、执照、资质证、资格证等证书，或者申请行政机关审批、登记有关事项，行政机关没有依法办理的；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（九）申请行政机关履行保护人身权利、财产权利、受教育权利的法定职责，行政机关没有依法履行的；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（十）申请行政机关依法发放抚恤金、社会保险金或者最低生活保障费，行政机关没有依法发放的；</w:t>
      </w:r>
    </w:p>
    <w:p>
      <w:pPr>
        <w:widowControl w:val="0"/>
        <w:wordWrap/>
        <w:overflowPunct w:val="0"/>
        <w:spacing w:beforeAutospacing="0" w:afterAutospacing="0" w:line="560" w:lineRule="exact"/>
        <w:textAlignment w:val="auto"/>
        <w:rPr>
          <w:rFonts w:ascii="宋体" w:hAnsi="宋体" w:eastAsia="黑体" w:cs="黑体"/>
          <w:szCs w:val="32"/>
        </w:rPr>
      </w:pPr>
      <w:r>
        <w:rPr>
          <w:rFonts w:hint="eastAsia" w:ascii="宋体" w:hAnsi="宋体" w:cs="仿宋_GB2312"/>
          <w:szCs w:val="32"/>
        </w:rPr>
        <w:t>　　（十一）认为行政机关的其他具体行政行为侵犯其合法权益的。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黑体"/>
          <w:szCs w:val="32"/>
        </w:rPr>
        <w:t>　　第七</w:t>
      </w:r>
      <w:r>
        <w:rPr>
          <w:rFonts w:hint="eastAsia" w:ascii="宋体" w:hAnsi="宋体" w:eastAsia="黑体" w:cs="仿宋_GB2312"/>
          <w:szCs w:val="32"/>
        </w:rPr>
        <w:t>条</w:t>
      </w:r>
      <w:r>
        <w:rPr>
          <w:rFonts w:hint="eastAsia" w:ascii="宋体" w:hAnsi="宋体" w:cs="仿宋_GB2312"/>
          <w:szCs w:val="32"/>
        </w:rPr>
        <w:t>　公民、法人或者其他组织认为行政机关的具体行政行为所依据的下列规定不合法，在对具体行政行为申请行政复议时，可以一并向行政复议机关提出对该规定的审查申请: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（一）国务院部门的规定；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（二）县级以上地方各级人民政府及其工作部门的规定；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（三）乡、镇人民政府的规定。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前款所列规定不含国务院部、委员会规章和地方人民政府规章。规章的审查依照法律、行政法规办理。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w:t>
      </w:r>
      <w:r>
        <w:rPr>
          <w:rFonts w:hint="eastAsia" w:ascii="宋体" w:hAnsi="宋体" w:eastAsia="黑体" w:cs="仿宋_GB2312"/>
          <w:szCs w:val="32"/>
        </w:rPr>
        <w:t>条</w:t>
      </w:r>
      <w:r>
        <w:rPr>
          <w:rFonts w:hint="eastAsia" w:ascii="宋体" w:hAnsi="宋体" w:cs="仿宋_GB2312"/>
          <w:szCs w:val="32"/>
        </w:rPr>
        <w:t>　不服行政机关作出的行政处分或者其他人事处理决定的，依照有关法律、行政法规的规定提出申诉。</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不服行政机关对民事纠纷作出的调解或者其他处理，依法申请仲裁或者向人民法院提起诉讼。</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第三章　行政复议申请</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w:t>
      </w:r>
      <w:r>
        <w:rPr>
          <w:rFonts w:hint="eastAsia" w:ascii="宋体" w:hAnsi="宋体" w:eastAsia="黑体" w:cs="仿宋_GB2312"/>
          <w:szCs w:val="32"/>
        </w:rPr>
        <w:t>条</w:t>
      </w:r>
      <w:r>
        <w:rPr>
          <w:rFonts w:hint="eastAsia" w:ascii="宋体" w:hAnsi="宋体" w:cs="仿宋_GB2312"/>
          <w:szCs w:val="32"/>
        </w:rPr>
        <w:t>　公民、法人或者其他组织认为具体行政行为侵犯其合法权益的，可以自知道该具体行政行为之日起六十日内提出行政复议申请；但是法律规定的申请期限超过六十日的除外。</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因不可抗力或者其他正当理由耽误法定申请期限的，申请期限自障碍消除之日起继续计算。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w:t>
      </w:r>
      <w:r>
        <w:rPr>
          <w:rFonts w:hint="eastAsia" w:ascii="宋体" w:hAnsi="宋体" w:eastAsia="黑体" w:cs="仿宋_GB2312"/>
          <w:szCs w:val="32"/>
        </w:rPr>
        <w:t>条</w:t>
      </w:r>
      <w:r>
        <w:rPr>
          <w:rFonts w:hint="eastAsia" w:ascii="宋体" w:hAnsi="宋体" w:cs="仿宋_GB2312"/>
          <w:szCs w:val="32"/>
        </w:rPr>
        <w:t>　依照本法申请行政复议的公民、法人或者其他组织是申请人。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有权申请行政复议的公民死亡的，其近亲属可以申请行政复议。有权申请行政复议的公民为无民事行为能力人或者限制民事行为能力人的，其法定代理人可以代为申请行政复议。有权申请行政复议的法人或者其他组织终止的，承受其权利的法人或者其他组织可以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同申请行政复议的具体行政行为有利害关系的其他公民、法人或者其他组织，可以作为第三人参加行政复议。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公民、法人或者其他组织对行政机关的具体行政行为不服申请行政复议的，作出具体行政行为的行政机关是被申请人。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申请人、第三人可以委托代理人代为参加行政复议。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第十一</w:t>
      </w:r>
      <w:r>
        <w:rPr>
          <w:rFonts w:hint="eastAsia" w:ascii="宋体" w:hAnsi="宋体" w:eastAsia="黑体" w:cs="仿宋_GB2312"/>
          <w:szCs w:val="32"/>
        </w:rPr>
        <w:t>条</w:t>
      </w:r>
      <w:r>
        <w:rPr>
          <w:rFonts w:hint="eastAsia" w:ascii="宋体" w:hAnsi="宋体" w:cs="仿宋_GB2312"/>
          <w:szCs w:val="32"/>
        </w:rPr>
        <w:t>　申请人申请行政复议，可以书面申请，也可以口头申请；口头申请的，行政复议机关应当当场记录申请人的基本情况、行政复议请求、申请行政复议的主要事实、理由和时间。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第十二</w:t>
      </w:r>
      <w:r>
        <w:rPr>
          <w:rFonts w:hint="eastAsia" w:ascii="宋体" w:hAnsi="宋体" w:eastAsia="黑体" w:cs="仿宋_GB2312"/>
          <w:szCs w:val="32"/>
        </w:rPr>
        <w:t>条</w:t>
      </w:r>
      <w:r>
        <w:rPr>
          <w:rFonts w:hint="eastAsia" w:ascii="宋体" w:hAnsi="宋体" w:cs="仿宋_GB2312"/>
          <w:szCs w:val="32"/>
        </w:rPr>
        <w:t>　对县级以上地方各级人民政府工作部门的具体行政行为不服的，由申请人选择，可以向该部门的本级人民政府申请行政复议，也可以向上一级主管部门申请行政复议。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对海关、金融、国税、外汇管理等实行垂直领导的行政机关和国家安全机关的具体行政行为不服的，向上一级主管部门申请行政复议。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第十三</w:t>
      </w:r>
      <w:r>
        <w:rPr>
          <w:rFonts w:hint="eastAsia" w:ascii="宋体" w:hAnsi="宋体" w:eastAsia="黑体" w:cs="仿宋_GB2312"/>
          <w:szCs w:val="32"/>
        </w:rPr>
        <w:t>条</w:t>
      </w:r>
      <w:r>
        <w:rPr>
          <w:rFonts w:hint="eastAsia" w:ascii="宋体" w:hAnsi="宋体" w:cs="仿宋_GB2312"/>
          <w:szCs w:val="32"/>
        </w:rPr>
        <w:t>　对地方各级人民政府的具体行政行为不服的，向上一级地方人民政府申请行政复议。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对省、自治区人民政府依法设立的派出机关所属的县级地方人民政府的具体行政行为不服的，向该派出机关申请行政复议。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第十四</w:t>
      </w:r>
      <w:r>
        <w:rPr>
          <w:rFonts w:hint="eastAsia" w:ascii="宋体" w:hAnsi="宋体" w:eastAsia="黑体" w:cs="仿宋_GB2312"/>
          <w:szCs w:val="32"/>
        </w:rPr>
        <w:t>条</w:t>
      </w:r>
      <w:r>
        <w:rPr>
          <w:rFonts w:hint="eastAsia" w:ascii="宋体" w:hAnsi="宋体" w:cs="仿宋_GB2312"/>
          <w:szCs w:val="32"/>
        </w:rPr>
        <w:t>　对国务院部门或者省、自治区、直辖市人民政府的具体行政行为不服的，向作出该具体行政行为的国务院部门或者省、自治区、直辖市人民政府申请行政复议。对行政复议决定不服的，可以向人民法院提起行政诉讼；也可以向国务院申请裁决，国务院依照本法的规定作出最终裁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　第十五</w:t>
      </w:r>
      <w:r>
        <w:rPr>
          <w:rFonts w:hint="eastAsia" w:ascii="宋体" w:hAnsi="宋体" w:eastAsia="黑体" w:cs="仿宋_GB2312"/>
          <w:szCs w:val="32"/>
        </w:rPr>
        <w:t>条</w:t>
      </w:r>
      <w:r>
        <w:rPr>
          <w:rFonts w:hint="eastAsia" w:ascii="宋体" w:hAnsi="宋体" w:cs="仿宋_GB2312"/>
          <w:szCs w:val="32"/>
        </w:rPr>
        <w:t>　对本法第十二条、第十三条、第十四条规定以外的其他行政机关、组织的具体行政行为不服的，按照下列规定申请行政复议: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（一）对县级以上地方人民政府依法设立的派出机关的具体行政行为不服的，向设立该派出机关的人民政府申请行政复议；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（二）对政府工作部门依法设立的派出机构依照法律、法规或者规章规定，以自己的名义作出的具体行政行为不服的，向设立该派出机构的部门或者该部门的本级地方人民政府申请行政复议；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（三）对法律、法规授权的组织的具体行政行为不服的，分别向直接管理该组织的地方人民政府、地方人民政府工作部门或者国务院部门申请行政复议；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（四）对两个或者两个以上行政机关以共同的名义作出的具体行政行为不服的，向其共同上一级行政机关申请行政复议；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（五）对被撤销的行政机关在撤销前所作出的具体行政行为不服的，向继续行使其职权的行政机关的上一级行政机关申请行政复议。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有前款所列情形之一的，申请人也可以向具体行政行为发生地的县级地方人民政府提出行政复议申请，由接受申请的县级地方人民政府依照本法第十八条的规定办理。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第十六</w:t>
      </w:r>
      <w:r>
        <w:rPr>
          <w:rFonts w:hint="eastAsia" w:ascii="宋体" w:hAnsi="宋体" w:eastAsia="黑体" w:cs="仿宋_GB2312"/>
          <w:szCs w:val="32"/>
        </w:rPr>
        <w:t>条</w:t>
      </w:r>
      <w:r>
        <w:rPr>
          <w:rFonts w:hint="eastAsia" w:ascii="宋体" w:hAnsi="宋体" w:cs="仿宋_GB2312"/>
          <w:szCs w:val="32"/>
        </w:rPr>
        <w:t>　公民、法人或者其他组织申请行政复议，行政复议机关已经依法受理的，或者法律、法规规定应当先向行政复议机关申请行政复议、对行政复议决定不服再向人民法院提起行政诉讼的，在法定行政复议期限内不得向人民法院提起行政诉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公民、法人或者其他组织向人民法院提起行政诉讼，人民法院已经依法受理的，不得申请行政复议。</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第四章　行政复议受理</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第十七</w:t>
      </w:r>
      <w:r>
        <w:rPr>
          <w:rFonts w:hint="eastAsia" w:ascii="宋体" w:hAnsi="宋体" w:eastAsia="黑体" w:cs="仿宋_GB2312"/>
          <w:szCs w:val="32"/>
        </w:rPr>
        <w:t>条</w:t>
      </w:r>
      <w:r>
        <w:rPr>
          <w:rFonts w:hint="eastAsia" w:ascii="宋体" w:hAnsi="宋体" w:cs="仿宋_GB2312"/>
          <w:szCs w:val="32"/>
        </w:rPr>
        <w:t>　行政复议机关收到行政复议申请后，应当在五日内进行审查，对不符合本法规定的行政复议申请，决定不予受理，并书面告知申请人；对符合本法规定，但是不属于本机关受理的行政复议申请，应当告知申请人向有关行政复议机关提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除前款规定外，行政复议申请自行政复议机关负责法制工作的机构收到之日起即为受理。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第十八</w:t>
      </w:r>
      <w:r>
        <w:rPr>
          <w:rFonts w:hint="eastAsia" w:ascii="宋体" w:hAnsi="宋体" w:eastAsia="黑体" w:cs="仿宋_GB2312"/>
          <w:szCs w:val="32"/>
        </w:rPr>
        <w:t>条</w:t>
      </w:r>
      <w:r>
        <w:rPr>
          <w:rFonts w:hint="eastAsia" w:ascii="宋体" w:hAnsi="宋体" w:cs="仿宋_GB2312"/>
          <w:szCs w:val="32"/>
        </w:rPr>
        <w:t>　依照本法第十五条第二款的规定接受行政复议申请的县级地方人民政府，对依照本法第十五条第一款的规定属于其他行政复议机关受理的行政复议申请，应当自接到该行政复议申请之日起七日内，转送有关行政复议机关，并告知申请人。接受转送的行政复议机关应当依照本法第十七条的规定办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第十九</w:t>
      </w:r>
      <w:r>
        <w:rPr>
          <w:rFonts w:hint="eastAsia" w:ascii="宋体" w:hAnsi="宋体" w:eastAsia="黑体" w:cs="仿宋_GB2312"/>
          <w:szCs w:val="32"/>
        </w:rPr>
        <w:t>条</w:t>
      </w:r>
      <w:r>
        <w:rPr>
          <w:rFonts w:hint="eastAsia" w:ascii="宋体" w:hAnsi="宋体" w:cs="仿宋_GB2312"/>
          <w:szCs w:val="32"/>
        </w:rPr>
        <w:t>　法律、法规规定应当先向行政复议机关申请行政复议、对行政复议决定不服再向人民法院提起行政诉讼的，行政复议机关决定不予受理或者受理后超过行政复议期限不作答复的，公民、法人或者其他组织可以自收到不予受理决定书之日起或者行政复议期满之日起十五日内，依法向人民法院提起行政诉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w:t>
      </w:r>
      <w:r>
        <w:rPr>
          <w:rFonts w:hint="eastAsia" w:ascii="宋体" w:hAnsi="宋体" w:eastAsia="黑体" w:cs="仿宋_GB2312"/>
          <w:szCs w:val="32"/>
        </w:rPr>
        <w:t>条</w:t>
      </w:r>
      <w:r>
        <w:rPr>
          <w:rFonts w:hint="eastAsia" w:ascii="宋体" w:hAnsi="宋体" w:cs="仿宋_GB2312"/>
          <w:szCs w:val="32"/>
        </w:rPr>
        <w:t>　公民、法人或者其他组织依法提出行政复议申请，行政复议机关无正当理由不予受理的，上级行政机关应当责令其受理；必要时，上级行政机关也可以直接受理。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第二十一</w:t>
      </w:r>
      <w:r>
        <w:rPr>
          <w:rFonts w:hint="eastAsia" w:ascii="宋体" w:hAnsi="宋体" w:eastAsia="黑体" w:cs="仿宋_GB2312"/>
          <w:szCs w:val="32"/>
        </w:rPr>
        <w:t>条</w:t>
      </w:r>
      <w:r>
        <w:rPr>
          <w:rFonts w:hint="eastAsia" w:ascii="宋体" w:hAnsi="宋体" w:cs="仿宋_GB2312"/>
          <w:szCs w:val="32"/>
        </w:rPr>
        <w:t>　行政复议期间具体行政行为不停止执行；但是，有下列情形之一的，可以停止执行: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（一）被申请人认为需要停止执行的；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（二）行政复议机关认为需要停止执行的；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（三）申请人申请停止执行，行政复议机关认为其要求合理，决定停止执行的；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（四）法律规定停止执行的。</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第五章　行政复议决定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第二十二</w:t>
      </w:r>
      <w:r>
        <w:rPr>
          <w:rFonts w:hint="eastAsia" w:ascii="宋体" w:hAnsi="宋体" w:eastAsia="黑体" w:cs="仿宋_GB2312"/>
          <w:szCs w:val="32"/>
        </w:rPr>
        <w:t>条</w:t>
      </w:r>
      <w:r>
        <w:rPr>
          <w:rFonts w:hint="eastAsia" w:ascii="宋体" w:hAnsi="宋体" w:cs="仿宋_GB2312"/>
          <w:szCs w:val="32"/>
        </w:rPr>
        <w:t>　行政复议原则上采取书面审查的办法，但是申请人提出要求或者行政复议机关负责法制工作的机构认为有必要时，可以向有关组织和人员调查情况，听取申请人、被申请人和第三人的意见。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第二十三</w:t>
      </w:r>
      <w:r>
        <w:rPr>
          <w:rFonts w:hint="eastAsia" w:ascii="宋体" w:hAnsi="宋体" w:eastAsia="黑体" w:cs="仿宋_GB2312"/>
          <w:szCs w:val="32"/>
        </w:rPr>
        <w:t>条</w:t>
      </w:r>
      <w:r>
        <w:rPr>
          <w:rFonts w:hint="eastAsia" w:ascii="宋体" w:hAnsi="宋体" w:cs="仿宋_GB2312"/>
          <w:szCs w:val="32"/>
        </w:rPr>
        <w:t>　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申请人、第三人可以查阅被申请人提出的书面答复、作出具体行政行为的证据、依据和其他有关材料，除涉及国家秘密、商业秘密或者个人隐私外，行政复议机关不得拒绝。</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第二十四</w:t>
      </w:r>
      <w:r>
        <w:rPr>
          <w:rFonts w:hint="eastAsia" w:ascii="宋体" w:hAnsi="宋体" w:eastAsia="黑体" w:cs="仿宋_GB2312"/>
          <w:szCs w:val="32"/>
        </w:rPr>
        <w:t>条</w:t>
      </w:r>
      <w:r>
        <w:rPr>
          <w:rFonts w:hint="eastAsia" w:ascii="宋体" w:hAnsi="宋体" w:cs="仿宋_GB2312"/>
          <w:szCs w:val="32"/>
        </w:rPr>
        <w:t>　在行政复议过程中，被申请人不得自行向申请人和其他有关组织或者个人收集证据。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第二十五</w:t>
      </w:r>
      <w:r>
        <w:rPr>
          <w:rFonts w:hint="eastAsia" w:ascii="宋体" w:hAnsi="宋体" w:eastAsia="黑体" w:cs="仿宋_GB2312"/>
          <w:szCs w:val="32"/>
        </w:rPr>
        <w:t>条</w:t>
      </w:r>
      <w:r>
        <w:rPr>
          <w:rFonts w:hint="eastAsia" w:ascii="宋体" w:hAnsi="宋体" w:cs="仿宋_GB2312"/>
          <w:szCs w:val="32"/>
        </w:rPr>
        <w:t>　行政复议决定作出前，申请人要求撤回行政复议申请的，经说明理由，可以撤回；撤回行政复议申请的，行政复议终止。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第二十六</w:t>
      </w:r>
      <w:r>
        <w:rPr>
          <w:rFonts w:hint="eastAsia" w:ascii="宋体" w:hAnsi="宋体" w:eastAsia="黑体" w:cs="仿宋_GB2312"/>
          <w:szCs w:val="32"/>
        </w:rPr>
        <w:t>条</w:t>
      </w:r>
      <w:r>
        <w:rPr>
          <w:rFonts w:hint="eastAsia" w:ascii="宋体" w:hAnsi="宋体" w:cs="仿宋_GB2312"/>
          <w:szCs w:val="32"/>
        </w:rPr>
        <w:t>　申请人在申请行政复议时，一并提出对本法第七条所列有关规定的审查申请的，行政复议机关对该规定有权处理的，应当在三十日内依法处理；无权处理的，应当在七日内按照法定程序转送有权处理的行政机关依法处理，有权处理的行政机关应当在六十日内依法处理。处理期间，中止对具体行政行为的审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第二十七</w:t>
      </w:r>
      <w:r>
        <w:rPr>
          <w:rFonts w:hint="eastAsia" w:ascii="宋体" w:hAnsi="宋体" w:eastAsia="黑体" w:cs="仿宋_GB2312"/>
          <w:szCs w:val="32"/>
        </w:rPr>
        <w:t>条</w:t>
      </w:r>
      <w:r>
        <w:rPr>
          <w:rFonts w:hint="eastAsia" w:ascii="宋体" w:hAnsi="宋体" w:cs="仿宋_GB2312"/>
          <w:szCs w:val="32"/>
        </w:rPr>
        <w:t>　行政复议机关在对被申请人作出的具体行政行为进行审查时，认为其依据不合法，本机关有权处理的，应当在三十日内依法处理；无权处理的，应当在七日内按照法定程序转送有权处理的国家机关依法处理。处理期间，中止对具体行政行为的审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第二十八</w:t>
      </w:r>
      <w:r>
        <w:rPr>
          <w:rFonts w:hint="eastAsia" w:ascii="宋体" w:hAnsi="宋体" w:eastAsia="黑体" w:cs="仿宋_GB2312"/>
          <w:szCs w:val="32"/>
        </w:rPr>
        <w:t>条</w:t>
      </w:r>
      <w:r>
        <w:rPr>
          <w:rFonts w:hint="eastAsia" w:ascii="宋体" w:hAnsi="宋体" w:cs="仿宋_GB2312"/>
          <w:szCs w:val="32"/>
        </w:rPr>
        <w:t>　行政复议机关负责法制工作的机构应当对被申请人作出的具体行政行为进行审查，提出意见，经行政复议机关的负责人同意或者集体讨论通过后，按照下列规定作出行政复议决定: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（一）具体行政行为认定事实清楚，证据确凿，适用依据正确，程序合法，内容适当的，决定维持；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（二）被申请人不履行法定职责的，决定其在一定期限内履行；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（三）具体行政行为有下列情形之一的，决定撤销、变更或者确认该具体行政行为违法；决定撤销或者确认该具体行政行为违法的，可以责令被申请人在一定期限内重新作出具体行政行为: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1.主要事实不清、证据不足的；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2.适用依据错误的；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3.违反法定程序的；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4.超越或者滥用职权的；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5.具体行政行为明显不当的。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（四）被申请人不按照本法第二十三条的规定提出书面答复、提交当初作出具体行政行为的证据、依据和其他有关材料的，视为该具体行政行为没有证据、依据，决定撤销该具体行政行为。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行政复议机关责令被申请人重新作出具体行政行为的，被申请人不得以同一的事实和理由作出与原具体行政行为相同或者基本相同的具体行政行为。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第二十九</w:t>
      </w:r>
      <w:r>
        <w:rPr>
          <w:rFonts w:hint="eastAsia" w:ascii="宋体" w:hAnsi="宋体" w:eastAsia="黑体" w:cs="仿宋_GB2312"/>
          <w:szCs w:val="32"/>
        </w:rPr>
        <w:t>条</w:t>
      </w:r>
      <w:r>
        <w:rPr>
          <w:rFonts w:hint="eastAsia" w:ascii="宋体" w:hAnsi="宋体" w:cs="仿宋_GB2312"/>
          <w:szCs w:val="32"/>
        </w:rPr>
        <w:t>　申请人在申请行政复议时可以一并提出行政赔偿请求，行政复议机关对符合国家赔偿法的有关规定应当给予赔偿的，在决定撤销、变更具体行政行为或者确认具体行政行为违法时，应当同时决定被申请人依法给予赔偿。</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申请人在申请行政复议时没有提出行政赔偿请求的，行政复议机关在依法决定撤销或者变更罚款，撤销违法集资、没收财物、征收财物、摊派费用以及对财产的查封、扣押、冻结等具体行政行为时，应当同时责令被申请人返还财产，解除对财产的查封、扣押、冻结措施，或者赔偿相应的价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w:t>
      </w:r>
      <w:r>
        <w:rPr>
          <w:rFonts w:hint="eastAsia" w:ascii="宋体" w:hAnsi="宋体" w:eastAsia="黑体" w:cs="仿宋_GB2312"/>
          <w:szCs w:val="32"/>
        </w:rPr>
        <w:t>条</w:t>
      </w:r>
      <w:r>
        <w:rPr>
          <w:rFonts w:hint="eastAsia" w:ascii="宋体" w:hAnsi="宋体" w:cs="仿宋_GB2312"/>
          <w:szCs w:val="32"/>
        </w:rPr>
        <w:t>　公民、法人或者其他组织认为行政机关的具体行政行为侵犯其已经依法取得的土地、矿藏、水流、森林、山岭、草原、荒地、滩涂、海域等自然资源的所有权或者使用权的，应当先申请行政复议；对行政复议决定不服的，可以依法向人民法院提起行政诉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根据国务院或者省、自治区、直辖市人民政府对行政区划的勘定、调整或者征收土地的决定，省、自治区、直辖市人民政府确认土地、矿藏、水流、森林、山岭、草原、荒地、滩涂、海域等自然资源的所有权或者使用权的行政复议决定为最终裁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第三十一</w:t>
      </w:r>
      <w:r>
        <w:rPr>
          <w:rFonts w:hint="eastAsia" w:ascii="宋体" w:hAnsi="宋体" w:eastAsia="黑体" w:cs="仿宋_GB2312"/>
          <w:szCs w:val="32"/>
        </w:rPr>
        <w:t>条</w:t>
      </w:r>
      <w:r>
        <w:rPr>
          <w:rFonts w:hint="eastAsia" w:ascii="宋体" w:hAnsi="宋体" w:cs="仿宋_GB2312"/>
          <w:szCs w:val="32"/>
        </w:rPr>
        <w:t>　行政复议机关应当自受理申请之日起六十日内作出行政复议决定；但是法律规定的行政复议期限少于六十日的除外。情况复杂，不能在规定期限内作出行政复议决定的，经行政复议机关的负责人批准，可以适当延长，并告知申请人和被申请人；但是延长期限最多不超过三十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行政复议机关作出行政复议决定，应当制作行政复议决定书，并加盖印章。</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行政复议决定书一经送达，即发生法律效力。</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第三十二</w:t>
      </w:r>
      <w:r>
        <w:rPr>
          <w:rFonts w:hint="eastAsia" w:ascii="宋体" w:hAnsi="宋体" w:eastAsia="黑体" w:cs="仿宋_GB2312"/>
          <w:szCs w:val="32"/>
        </w:rPr>
        <w:t>条</w:t>
      </w:r>
      <w:r>
        <w:rPr>
          <w:rFonts w:hint="eastAsia" w:ascii="宋体" w:hAnsi="宋体" w:cs="仿宋_GB2312"/>
          <w:szCs w:val="32"/>
        </w:rPr>
        <w:t>　被申请人应当履行行政复议决定。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被申请人不履行或者无正当理由拖延履行行政复议决定的，行政复议机关或者有关上级行政机关应当责令其限期履行。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第三十三</w:t>
      </w:r>
      <w:r>
        <w:rPr>
          <w:rFonts w:hint="eastAsia" w:ascii="宋体" w:hAnsi="宋体" w:eastAsia="黑体" w:cs="仿宋_GB2312"/>
          <w:szCs w:val="32"/>
        </w:rPr>
        <w:t>条</w:t>
      </w:r>
      <w:r>
        <w:rPr>
          <w:rFonts w:hint="eastAsia" w:ascii="宋体" w:hAnsi="宋体" w:cs="仿宋_GB2312"/>
          <w:szCs w:val="32"/>
        </w:rPr>
        <w:t>　申请人逾期不起诉又不履行行政复议决定的，或者不履行最终裁决的行政复议决定的，按照下列规定分别处理: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（一）维持具体行政行为的行政复议决定，由作出具体行政行为的行政机关依法强制执行，或者申请人民法院强制执行；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lang w:eastAsia="zh-CN"/>
        </w:rPr>
        <w:t>　　</w:t>
      </w:r>
      <w:r>
        <w:rPr>
          <w:rFonts w:hint="eastAsia" w:ascii="宋体" w:hAnsi="宋体" w:cs="仿宋_GB2312"/>
          <w:szCs w:val="32"/>
        </w:rPr>
        <w:t>（二）变更具体行政行为的行政复议决定，由行政复议机关依法强制执行，或者申请人民法院强制执行。</w:t>
      </w:r>
    </w:p>
    <w:p>
      <w:pPr>
        <w:widowControl w:val="0"/>
        <w:wordWrap/>
        <w:overflowPunct w:val="0"/>
        <w:spacing w:beforeAutospacing="0" w:afterAutospacing="0" w:line="560" w:lineRule="exact"/>
        <w:ind w:firstLine="645"/>
        <w:textAlignment w:val="auto"/>
        <w:rPr>
          <w:rFonts w:ascii="宋体" w:hAnsi="宋体" w:cs="仿宋_GB2312"/>
          <w:szCs w:val="32"/>
        </w:rPr>
      </w:pPr>
    </w:p>
    <w:p>
      <w:pPr>
        <w:widowControl w:val="0"/>
        <w:wordWrap/>
        <w:overflowPunct w:val="0"/>
        <w:spacing w:beforeAutospacing="0" w:afterAutospacing="0" w:line="560" w:lineRule="exact"/>
        <w:jc w:val="center"/>
        <w:textAlignment w:val="auto"/>
        <w:rPr>
          <w:rFonts w:ascii="宋体" w:hAnsi="宋体" w:eastAsia="黑体" w:cs="仿宋_GB2312"/>
          <w:szCs w:val="32"/>
        </w:rPr>
      </w:pPr>
      <w:r>
        <w:rPr>
          <w:rFonts w:hint="eastAsia" w:ascii="宋体" w:hAnsi="宋体" w:eastAsia="黑体" w:cs="仿宋_GB2312"/>
          <w:szCs w:val="32"/>
        </w:rPr>
        <w:t>第六章　法律责任</w:t>
      </w:r>
    </w:p>
    <w:p>
      <w:pPr>
        <w:widowControl w:val="0"/>
        <w:wordWrap/>
        <w:overflowPunct w:val="0"/>
        <w:spacing w:beforeAutospacing="0" w:afterAutospacing="0" w:line="560" w:lineRule="exact"/>
        <w:textAlignment w:val="auto"/>
        <w:rPr>
          <w:rFonts w:ascii="宋体" w:hAnsi="宋体" w:cs="仿宋_GB2312"/>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第三十四</w:t>
      </w:r>
      <w:r>
        <w:rPr>
          <w:rFonts w:hint="eastAsia" w:ascii="宋体" w:hAnsi="宋体" w:eastAsia="黑体" w:cs="仿宋_GB2312"/>
          <w:szCs w:val="32"/>
        </w:rPr>
        <w:t>条</w:t>
      </w:r>
      <w:r>
        <w:rPr>
          <w:rFonts w:hint="eastAsia" w:ascii="宋体" w:hAnsi="宋体" w:cs="仿宋_GB2312"/>
          <w:szCs w:val="32"/>
        </w:rPr>
        <w:t>　行政复议机关违反本法规定，无正当理由不予受理依法提出的行政复议申请或者不按照规定转送行政复议申请的，或者在法定期限内不作出行政复议决定的，对直接负责的主管人员和其他直接责任人员依法给予警告、记过、记大过的行政处分；经责令受理仍不受理或者不按照规定转送行政复议申请，造成严重后果的，依法给予降级、撤职、开除的行政处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第三十五</w:t>
      </w:r>
      <w:r>
        <w:rPr>
          <w:rFonts w:hint="eastAsia" w:ascii="宋体" w:hAnsi="宋体" w:eastAsia="黑体" w:cs="仿宋_GB2312"/>
          <w:szCs w:val="32"/>
        </w:rPr>
        <w:t>条</w:t>
      </w:r>
      <w:r>
        <w:rPr>
          <w:rFonts w:hint="eastAsia" w:ascii="宋体" w:hAnsi="宋体" w:cs="仿宋_GB2312"/>
          <w:szCs w:val="32"/>
        </w:rPr>
        <w:t>　行政复议机关工作人员在行政复议活动中，徇私舞弊或者有其他渎职、失职行为的，依法给予警告、记过、记大过的行政处分；情节严重的，依法给予降级、撤职、开除的行政处分；构成犯罪的，依法追究刑事责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第三十六</w:t>
      </w:r>
      <w:r>
        <w:rPr>
          <w:rFonts w:hint="eastAsia" w:ascii="宋体" w:hAnsi="宋体" w:eastAsia="黑体" w:cs="仿宋_GB2312"/>
          <w:szCs w:val="32"/>
        </w:rPr>
        <w:t>条</w:t>
      </w:r>
      <w:r>
        <w:rPr>
          <w:rFonts w:hint="eastAsia" w:ascii="宋体" w:hAnsi="宋体" w:cs="仿宋_GB2312"/>
          <w:szCs w:val="32"/>
        </w:rPr>
        <w:t>　被申请人违反本法规定，不提出书面答复或者不提交作出具体行政行为的证据、依据和其他有关材料，或者阻挠、变相阻挠公民、法人或者其他组织依法申请行政复议的，对直接负责的主管人员和其他直接责任人员依法给予警告、记过、记大过的行政处分；进行报复陷害的，依法给予降级、撤职、开除的行政处分；构成犯罪的，依法追究刑事责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第三十七</w:t>
      </w:r>
      <w:r>
        <w:rPr>
          <w:rFonts w:hint="eastAsia" w:ascii="宋体" w:hAnsi="宋体" w:eastAsia="黑体" w:cs="仿宋_GB2312"/>
          <w:szCs w:val="32"/>
        </w:rPr>
        <w:t>条</w:t>
      </w:r>
      <w:r>
        <w:rPr>
          <w:rFonts w:hint="eastAsia" w:ascii="宋体" w:hAnsi="宋体" w:cs="仿宋_GB2312"/>
          <w:szCs w:val="32"/>
        </w:rPr>
        <w:t>　被申请人不履行或者无正当理由拖延履行行政复议决定的，对直接负责的主管人员和其他直接责任人员依法给予警告、记过、记大过的行政处分；经责令履行仍拒不履行的，依法给予降级、撤职、开除的行政处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第三十八</w:t>
      </w:r>
      <w:r>
        <w:rPr>
          <w:rFonts w:hint="eastAsia" w:ascii="宋体" w:hAnsi="宋体" w:eastAsia="黑体" w:cs="仿宋_GB2312"/>
          <w:szCs w:val="32"/>
        </w:rPr>
        <w:t>条</w:t>
      </w:r>
      <w:r>
        <w:rPr>
          <w:rFonts w:hint="eastAsia" w:ascii="宋体" w:hAnsi="宋体" w:cs="仿宋_GB2312"/>
          <w:szCs w:val="32"/>
        </w:rPr>
        <w:t>　行政复议机关负责法制工作的机构发现有无正当理由不予受理行政复议申请、不按照规定期限作出行政复议决定、徇私舞弊、对申请人打击报复或者不履行行政复议决定等情形的，应当向有关行政机关提出建议，有关行政机关应当依照本法和有关法律、行政法规的规定作出处理。</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第七章　附则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第三十九</w:t>
      </w:r>
      <w:r>
        <w:rPr>
          <w:rFonts w:hint="eastAsia" w:ascii="宋体" w:hAnsi="宋体" w:eastAsia="黑体" w:cs="仿宋_GB2312"/>
          <w:szCs w:val="32"/>
        </w:rPr>
        <w:t>条</w:t>
      </w:r>
      <w:r>
        <w:rPr>
          <w:rFonts w:hint="eastAsia" w:ascii="宋体" w:hAnsi="宋体" w:cs="仿宋_GB2312"/>
          <w:szCs w:val="32"/>
        </w:rPr>
        <w:t>　行政复议机关受理行政复议申请，不得向申请人收取任何费用。行政复议活动所需经费，应当列入本机关的行政经费，由本级财政予以保障。</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w:t>
      </w:r>
      <w:r>
        <w:rPr>
          <w:rFonts w:hint="eastAsia" w:ascii="宋体" w:hAnsi="宋体" w:eastAsia="黑体" w:cs="仿宋_GB2312"/>
          <w:szCs w:val="32"/>
        </w:rPr>
        <w:t>条</w:t>
      </w:r>
      <w:r>
        <w:rPr>
          <w:rFonts w:hint="eastAsia" w:ascii="宋体" w:hAnsi="宋体" w:cs="仿宋_GB2312"/>
          <w:szCs w:val="32"/>
        </w:rPr>
        <w:t>　行政复议期间的计算和行政复议文书的送达，依照民事诉讼法关于期间、送达的规定执行。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本法关于行政复议期间有关“五日”、“七日”的规定是指工作日，不含节假日。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第四十一</w:t>
      </w:r>
      <w:r>
        <w:rPr>
          <w:rFonts w:hint="eastAsia" w:ascii="宋体" w:hAnsi="宋体" w:eastAsia="黑体" w:cs="仿宋_GB2312"/>
          <w:szCs w:val="32"/>
        </w:rPr>
        <w:t>条</w:t>
      </w:r>
      <w:r>
        <w:rPr>
          <w:rFonts w:hint="eastAsia" w:ascii="宋体" w:hAnsi="宋体" w:cs="仿宋_GB2312"/>
          <w:szCs w:val="32"/>
        </w:rPr>
        <w:t>　外国人、无国籍人、外国组织在中华人民共和国境内申请行政复议，适用本法。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第四十二</w:t>
      </w:r>
      <w:r>
        <w:rPr>
          <w:rFonts w:hint="eastAsia" w:ascii="宋体" w:hAnsi="宋体" w:eastAsia="黑体" w:cs="仿宋_GB2312"/>
          <w:szCs w:val="32"/>
        </w:rPr>
        <w:t>条</w:t>
      </w:r>
      <w:r>
        <w:rPr>
          <w:rFonts w:hint="eastAsia" w:ascii="宋体" w:hAnsi="宋体" w:cs="仿宋_GB2312"/>
          <w:szCs w:val="32"/>
        </w:rPr>
        <w:t>　本法施行前公布的法律有关行政复议的规定与本法的规定不一致的，以本法的规定为准。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第四十三</w:t>
      </w:r>
      <w:r>
        <w:rPr>
          <w:rFonts w:hint="eastAsia" w:ascii="宋体" w:hAnsi="宋体" w:eastAsia="黑体" w:cs="仿宋_GB2312"/>
          <w:szCs w:val="32"/>
        </w:rPr>
        <w:t>条</w:t>
      </w:r>
      <w:r>
        <w:rPr>
          <w:rFonts w:hint="eastAsia" w:ascii="宋体" w:hAnsi="宋体" w:cs="仿宋_GB2312"/>
          <w:szCs w:val="32"/>
        </w:rPr>
        <w:t>　本法自1999年10月1日起施行。1990年12月24日国务院发布、1994年10月9日国务院修订发布的《行政复议条例》同时废止。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08" w:name="_Toc8906"/>
      <w:r>
        <w:rPr>
          <w:rFonts w:hint="eastAsia" w:ascii="宋体" w:hAnsi="宋体" w:eastAsia="宋体" w:cs="宋体"/>
          <w:sz w:val="44"/>
          <w:szCs w:val="44"/>
        </w:rPr>
        <w:t>中华人民共和国网络安全法</w:t>
      </w:r>
      <w:bookmarkEnd w:id="208"/>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楷体_GB2312" w:cs="楷体_GB2312"/>
          <w:kern w:val="0"/>
          <w:szCs w:val="32"/>
        </w:rPr>
      </w:pPr>
      <w:r>
        <w:rPr>
          <w:rFonts w:hint="eastAsia" w:ascii="宋体" w:hAnsi="宋体" w:eastAsia="楷体_GB2312" w:cs="楷体_GB2312"/>
          <w:kern w:val="0"/>
          <w:szCs w:val="32"/>
        </w:rPr>
        <w:t>（2016年11月7日第十二届全国人民代表大会常务委员会第二十四次会议通过）</w:t>
      </w:r>
    </w:p>
    <w:p>
      <w:pPr>
        <w:widowControl w:val="0"/>
        <w:wordWrap/>
        <w:overflowPunct w:val="0"/>
        <w:spacing w:beforeAutospacing="0" w:afterAutospacing="0" w:line="560" w:lineRule="exact"/>
        <w:ind w:right="640" w:rightChars="200"/>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b w:val="0"/>
          <w:bCs w:val="0"/>
          <w:kern w:val="0"/>
          <w:szCs w:val="32"/>
        </w:rPr>
      </w:pPr>
      <w:r>
        <w:rPr>
          <w:rFonts w:hint="eastAsia" w:ascii="宋体" w:hAnsi="宋体" w:eastAsia="楷体_GB2312" w:cs="楷体_GB2312"/>
          <w:b w:val="0"/>
          <w:bCs w:val="0"/>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网络安全支持与促进</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网络运行安全</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第二节　关键信息基础设施的运行安全</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网络信息安全</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监测预警与应急处置</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第七章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为了保障网络安全，维护网络空间主权和国家安全、社会公共利益，保护公民、法人和其他组织的合法权益，促进经济社会信息化健康发展，制定本法。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在中华人民共和国境内建设、运营、维护和使用网络，以及网络安全的监督管理，适用本法。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国家坚持网络安全与信息化发展并重，遵循积极利用、科学发展、依法管理、确保安全的方针，推进网络基础设施建设和互联互通，鼓励网络技术创新和应用，支持培养网络安全人才，建立健全网络安全保障体系，提高网络安全保护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国家制定并不断完善网络安全战略，明确保障网络安全的基本要求和主要目标，提出重点领域的网络安全政策、工作任务和措施。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国家采取措施，监测、防御、处置来源于中华人民共和国境内外的网络安全风险和威胁，保护关键信息基础设施免受攻击、侵入、干扰和破坏，依法惩治网络违法犯罪活动，维护网络空间安全和秩序。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国家倡导诚实守信、健康文明的网络行为，推动传播社会主义核心价值观，采取措施提高全社会的网络安全意识和水平，形成全社会共同参与促进网络安全的良好环境。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国家积极开展网络空间治理、网络技术研发和标准制定、打击网络违法犯罪等方面的国际交流与合作，推动构建和平、安全、开放、合作的网络空间，建立多边、民主、透明的网络治理体系。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国家网信部门负责统筹协调网络安全工作和相关监督管理工作。国务院电信主管部门、公安部门和其他有关机关依照本法和有关法律、行政法规的规定，在各自职责范围内负责网络安全保护和监督管理工作。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县级以上地方人民政府有关部门的网络安全保护和监督管理职责，按照国家有关规定确定。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网络运营者开展经营和服务活动，必须遵守法律、行政法规，尊重社会公德，遵守商业道德，诚实信用，履行网络安全保护义务，接受政府和社会的监督，承担社会责任。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建设、运营网络或者通过网络提供服务，应当依照法律、行政法规的规定和国家标准的强制性要求，采取技术措施和其他必要措施，保障网络安全、稳定运行，有效应对网络安全事件，防范网络违法犯罪活动，维护网络数据的完整性、保密性和可用性。</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网络相关行业组织按照章程，加强行业自律，制定网络安全行为规范，指导会员加强网络安全保护，提高网络安全保护水平，促进行业健康发展。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国家保护公民、法人和其他组织依法使用网络的权利，促进网络接入普及，提升网络服务水平，为社会提供安全、便利的网络服务，保障网络信息依法有序自由流动。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任何个人和组织使用网络应当遵守宪法法律，遵守公共秩序，尊重社会公德，不得危害网络安全，不得利用网络从事危害国家安全、荣誉和利益，煽动颠覆国家政权、推翻社会主义制度，煽动分裂国家、破坏国家统一，宣扬恐怖主义、极端主义，宣扬民族仇恨、民族歧视，传播暴力、淫秽色情信息，编造、传播虚假信息扰乱经济秩序和社会秩序，以及侵害他人名誉、隐私、知识产权和其他合法权益等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国家支持研究开发有利于未成年人健康成长的网络产品和服务，依法惩治利用网络从事危害未成年人身心健康的活动，为未成年人提供安全、健康的网络环境。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任何个人和组织有权对危害网络安全的行为向网信、电信、公安等部门举报。收到举报的部门应当及时依法作出处理；不属于本部门职责的，应当及时移送有权处理的部门。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有关部门应当对举报人的相关信息予以保密，保护举报人的合法权益。</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网络安全支持与促进</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国家建立和完善网络安全标准体系。国务院标准化行政主管部门和国务院其他有关部门根据各自的职责，组织制定并适时修订有关网络安全管理以及网络产品、服务和运行安全的国家标准、行业标准。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国家支持企业、研究机构、高等学校、网络相关行业组织参与网络安全国家标准、行业标准的制定。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国务院和省、自治区、直辖市人民政府应当统筹规划，加大投入，扶持重点网络安全技术产业和项目，支持网络安全技术的研究开发和应用，推广安全可信的网络产品和服务，保护网络技术知识产权，支持企业、研究机构和高等学校等参与国家网络安全技术创新项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国家推进网络安全社会化服务体系建设，鼓励有关企业、机构开展网络安全认证、检测和风险评估等安全服务。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w:t>
      </w:r>
      <w:r>
        <w:rPr>
          <w:rFonts w:hint="eastAsia" w:ascii="宋体" w:hAnsi="宋体" w:cs="Arial"/>
          <w:kern w:val="0"/>
          <w:szCs w:val="32"/>
        </w:rPr>
        <w:t>　国家鼓励开发网络数据安全保护和利用技术，促进公共数据资源开放，推动技术创新和经济社会发展。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国家支持创新网络安全管理方式，运用网络新技术，提升网络安全保护水平。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各级人民政府及其有关部门应当组织开展经常性的网络安全宣传教育，并指导、督促有关单位做好网络安全宣传教育工作。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大众传播媒介应当有针对性地面向社会进行网络安全宣传教育。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国家支持企业和高等学校、职业学校等教育培训机构开展网络安全相关教育与培训，采取多种方式培养网络安全人才，促进网络安全人才交流。</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网络运行安全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国家实行网络安全等级保护制度。网络运营者应当按照网络安全等级保护制度的要求，履行下列安全保护义务，保障网络免受干扰、破坏或者未经授权的访问，防止网络数据泄露或者被窃取、篡改: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（一）制定内部安全管理制度和操作规程，确定网络安全负责人，落实网络安全保护责任；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（二）采取防范计算机病毒和网络攻击、网络侵入等危害网络安全行为的技术措施；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（三）采取监测、记录网络运行状态、网络安全事件的技术措施，并按照规定留存相关的网络日志不少于六个月；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（四）采取数据分类、重要数据备份和加密等措施；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（五）法律、行政法规规定的其他义务。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网络产品、服务应当符合相关国家标准的强制性要求。网络产品、服务的提供者不得设置恶意程序；发现其网络产品、服务存在安全缺陷、漏洞等风险时，应当立即采取补救措施，按照规定及时告知用户并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网络产品、服务的提供者应当为其产品、服务持续提供安全维护；在规定或者当事人约定的期限内，不得终止提供安全维护。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网络产品、服务具有收集用户信息功能的，其提供者应当向用户明示并取得同意；涉及用户个人信息的，还应当遵守本法和有关法律、行政法规关于个人信息保护的规定。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网络关键设备和网络安全专用产品应当按照相关国家标准的强制性要求，由具备资格的机构安全认证合格或者安全检测符合要求后，方可销售或者提供。国家网信部门会同国务院有关部门制定、公布网络关键设备和网络安全专用产品目录，并推动安全认证和安全检测结果互认，避免重复认证、检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网络运营者为用户办理网络接入、域名注册服务，办理固定电话、移动电话等入网手续，或者为用户提供信息发布、即时通讯等服务，在与用户签订协议或者确认提供服务时，应当要求用户提供真实身份信息。用户不提供真实身份信息的，网络运营者不得为其提供相关服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国家实施网络可信身份战略，支持研究开发安全、方便的电子身份认证技术，推动不同电子身份认证之间的互认。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网络运营者应当制定网络安全事件应急预案，及时处置系统漏洞、计算机病毒、网络攻击、网络侵入等安全风险；在发生危害网络安全的事件时，立即启动应急预案，采取相应的补救措施，并按照规定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开展网络安全认证、检测、风险评估等活动，向社会发布系统漏洞、计算机病毒、网络攻击、网络侵入等网络安全信息，应当遵守国家有关规定。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任何个人和组织不得从事非法侵入他人网络、干扰他人网络正常功能、窃取网络数据等危害网络安全的活动；不得提供专门用于从事侵入网络、干扰网络正常功能及防护措施、窃取网络数据等危害网络安全活动的程序、工具；明知他人从事危害网络安全的活动的，不得为其提供技术支持、广告推广、支付结算等帮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第二十八条</w:t>
      </w:r>
      <w:r>
        <w:rPr>
          <w:rFonts w:hint="eastAsia" w:ascii="宋体" w:hAnsi="宋体" w:cs="Arial"/>
          <w:kern w:val="0"/>
          <w:szCs w:val="32"/>
        </w:rPr>
        <w:t>　网络运营者应当为公安机关、国家安全机关依法维护国家安全和侦查犯罪的活动提供技术支持和协助。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第二十九条</w:t>
      </w:r>
      <w:r>
        <w:rPr>
          <w:rFonts w:hint="eastAsia" w:ascii="宋体" w:hAnsi="宋体" w:cs="Arial"/>
          <w:kern w:val="0"/>
          <w:szCs w:val="32"/>
        </w:rPr>
        <w:t>　国家支持网络运营者之间在网络安全信息收集、分析、通报和应急处置等方面进行合作，提高网络运营者的安全保障能力。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有关行业组织建立健全本行业的网络安全保护规范和协作机制，加强对网络安全风险的分析评估，定期向会员进行风险警示，支持、协助会员应对网络安全风险。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第三十条</w:t>
      </w:r>
      <w:r>
        <w:rPr>
          <w:rFonts w:hint="eastAsia" w:ascii="宋体" w:hAnsi="宋体" w:cs="Arial"/>
          <w:kern w:val="0"/>
          <w:szCs w:val="32"/>
        </w:rPr>
        <w:t>　网信部门和有关部门在履行网络安全保护职责中获取的信息，只能用于维护网络安全的需要，不得用于其他用途。</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关键信息基础设施的运行安全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第三十一条</w:t>
      </w:r>
      <w:r>
        <w:rPr>
          <w:rFonts w:hint="eastAsia" w:ascii="宋体" w:hAnsi="宋体" w:cs="Arial"/>
          <w:kern w:val="0"/>
          <w:szCs w:val="32"/>
        </w:rPr>
        <w:t>　国家对公共通信和信息服务、能源、交通、水利、金融、公共服务、电子政务等重要行业和领域，以及其他一旦遭到破坏、丧失功能或者数据泄露，可能严重危害国家安全、国计民生、公共利益的关键信息基础设施，在网络安全等级保护制度的基础上，实行重点保护。关键信息基础设施的具体范围和安全保护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国家鼓励关键信息基础设施以外的网络运营者自愿参与关键信息基础设施保护体系。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第三十二条</w:t>
      </w:r>
      <w:r>
        <w:rPr>
          <w:rFonts w:hint="eastAsia" w:ascii="宋体" w:hAnsi="宋体" w:cs="Arial"/>
          <w:kern w:val="0"/>
          <w:szCs w:val="32"/>
        </w:rPr>
        <w:t>　按照国务院规定的职责分工，负责关键信息基础设施安全保护工作的部门分别编制并组织实施本行业、本领域的关键信息基础设施安全规划，指导和监督关键信息基础设施运行安全保护工作。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第三十三条</w:t>
      </w:r>
      <w:r>
        <w:rPr>
          <w:rFonts w:hint="eastAsia" w:ascii="宋体" w:hAnsi="宋体" w:cs="Arial"/>
          <w:kern w:val="0"/>
          <w:szCs w:val="32"/>
        </w:rPr>
        <w:t>　建设关键信息基础设施应当确保其具有支持业务稳定、持续运行的性能，并保证安全技术措施同步规划、同步建设、同步使用。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第三十四条</w:t>
      </w:r>
      <w:r>
        <w:rPr>
          <w:rFonts w:hint="eastAsia" w:ascii="宋体" w:hAnsi="宋体" w:cs="Arial"/>
          <w:kern w:val="0"/>
          <w:szCs w:val="32"/>
        </w:rPr>
        <w:t>　除本法第二十一条的规定外，关键信息基础设施的运营者还应当履行下列安全保护义务: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（一）设置专门安全管理机构和安全管理负责人，并对该负责人和关键岗位的人员进行安全背景审查；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（二）定期对从业人员进行网络安全教育、技术培训和技能考核；</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（三）对重要系统和数据库进行容灾备份；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（四）制定网络安全事件应急预案，并定期进行演练；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（五）法律、行政法规规定的其他义务。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第三十五条</w:t>
      </w:r>
      <w:r>
        <w:rPr>
          <w:rFonts w:hint="eastAsia" w:ascii="宋体" w:hAnsi="宋体" w:cs="Arial"/>
          <w:kern w:val="0"/>
          <w:szCs w:val="32"/>
        </w:rPr>
        <w:t>　关键信息基础设施的运营者采购网络产品和服务，可能影响国家安全的，应当通过国家网信部门会同国务院有关部门组织的国家安全审查。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第三十六条</w:t>
      </w:r>
      <w:r>
        <w:rPr>
          <w:rFonts w:hint="eastAsia" w:ascii="宋体" w:hAnsi="宋体" w:cs="Arial"/>
          <w:kern w:val="0"/>
          <w:szCs w:val="32"/>
        </w:rPr>
        <w:t>　关键信息基础设施的运营者采购网络产品和服务，应当按照规定与提供者签订安全保密协议，明确安全和保密义务与责任。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第三十七条</w:t>
      </w:r>
      <w:r>
        <w:rPr>
          <w:rFonts w:hint="eastAsia" w:ascii="宋体" w:hAnsi="宋体" w:cs="Arial"/>
          <w:kern w:val="0"/>
          <w:szCs w:val="32"/>
        </w:rPr>
        <w:t>　关键信息基础设施的运营者在中华人民共和国境内运营中收集和产生的个人信息和重要数据应当在境内存储。因业务需要，确需向境外提供的，应当按照国家网信部门会同国务院有关部门制定的办法进行安全评估；法律、行政法规另有规定的，依照其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第三十八条</w:t>
      </w:r>
      <w:r>
        <w:rPr>
          <w:rFonts w:hint="eastAsia" w:ascii="宋体" w:hAnsi="宋体" w:cs="Arial"/>
          <w:kern w:val="0"/>
          <w:szCs w:val="32"/>
        </w:rPr>
        <w:t>　关键信息基础设施的运营者应当自行或者委托网络安全服务机构对其网络的安全性和可能存在的风险每年至少进行一次检测评估，并将检测评估情况和改进措施报送相关负责关键信息基础设施安全保护工作的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第三十九条</w:t>
      </w:r>
      <w:r>
        <w:rPr>
          <w:rFonts w:hint="eastAsia" w:ascii="宋体" w:hAnsi="宋体" w:cs="Arial"/>
          <w:kern w:val="0"/>
          <w:szCs w:val="32"/>
        </w:rPr>
        <w:t>　国家网信部门应当统筹协调有关部门对关键信息基础设施的安全保护采取下列措施: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（一）对关键信息基础设施的安全风险进行抽查检测，提出改进措施，必要时可以委托网络安全服务机构对网络存在的安全风险进行检测评估；</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（二）定期组织关键信息基础设施的运营者进行网络安全应急演练，提高应对网络安全事件的水平和协同配合能力；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（三）促进有关部门、关键信息基础设施的运营者以及有关研究机构、网络安全服务机构等之间的网络安全信息共享；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（四）对网络安全事件的应急处置与网络功能的恢复等，提供技术支持和协助。</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网络信息安全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第四十条</w:t>
      </w:r>
      <w:r>
        <w:rPr>
          <w:rFonts w:hint="eastAsia" w:ascii="宋体" w:hAnsi="宋体" w:cs="Arial"/>
          <w:kern w:val="0"/>
          <w:szCs w:val="32"/>
        </w:rPr>
        <w:t>　网络运营者应当对其收集的用户信息严格保密，并建立健全用户信息保护制度。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第四十一条</w:t>
      </w:r>
      <w:r>
        <w:rPr>
          <w:rFonts w:hint="eastAsia" w:ascii="宋体" w:hAnsi="宋体" w:cs="Arial"/>
          <w:kern w:val="0"/>
          <w:szCs w:val="32"/>
        </w:rPr>
        <w:t>　网络运营者收集、使用个人信息，应当遵循合法、正当、必要的原则，公开收集、使用规则，明示收集、使用信息的目的、方式和范围，并经被收集者同意。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网络运营者不得收集与其提供的服务无关的个人信息，不得违反法律、行政法规的规定和双方的约定收集、使用个人信息，并应当依照法律、行政法规的规定和与用户的约定，处理其保存的个人信息。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第四十二条</w:t>
      </w:r>
      <w:r>
        <w:rPr>
          <w:rFonts w:hint="eastAsia" w:ascii="宋体" w:hAnsi="宋体" w:cs="Arial"/>
          <w:kern w:val="0"/>
          <w:szCs w:val="32"/>
        </w:rPr>
        <w:t>　网络运营者不得泄露、篡改、毁损其收集的个人信息；未经被收集者同意，不得向他人提供个人信息。但是，经过处理无法识别特定个人且不能复原的除外。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运营者应当采取技术措施和其他必要措施，确保其收集的个人信息安全，防止信息泄露、毁损、丢失。在发生或者可能发生个人信息泄露、毁损、丢失的情况时，应当立即采取补救措施，按照规定及时告知用户并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第四十三条</w:t>
      </w:r>
      <w:r>
        <w:rPr>
          <w:rFonts w:hint="eastAsia" w:ascii="宋体" w:hAnsi="宋体" w:cs="Arial"/>
          <w:kern w:val="0"/>
          <w:szCs w:val="32"/>
        </w:rPr>
        <w:t>　个人发现网络运营者违反法律、行政法规的规定或者双方的约定收集、使用其个人信息的，有权要求网络运营者删除其个人信息；发现网络运营者收集、存储的其个人信息有错误的，有权要求网络运营者予以更正。网络运营者应当采取措施予以删除或者更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第四十四条</w:t>
      </w:r>
      <w:r>
        <w:rPr>
          <w:rFonts w:hint="eastAsia" w:ascii="宋体" w:hAnsi="宋体" w:cs="Arial"/>
          <w:kern w:val="0"/>
          <w:szCs w:val="32"/>
        </w:rPr>
        <w:t>　任何个人和组织不得窃取或者以其他非法方式获取个人信息，不得非法出售或者非法向他人提供个人信息。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第四十五条</w:t>
      </w:r>
      <w:r>
        <w:rPr>
          <w:rFonts w:hint="eastAsia" w:ascii="宋体" w:hAnsi="宋体" w:cs="Arial"/>
          <w:kern w:val="0"/>
          <w:szCs w:val="32"/>
        </w:rPr>
        <w:t>　依法负有网络安全监督管理职责的部门及其工作人员，必须对在履行职责中知悉的个人信息、隐私和商业秘密严格保密，不得泄露、出售或者非法向他人提供。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第四十六条</w:t>
      </w:r>
      <w:r>
        <w:rPr>
          <w:rFonts w:hint="eastAsia" w:ascii="宋体" w:hAnsi="宋体" w:cs="Arial"/>
          <w:kern w:val="0"/>
          <w:szCs w:val="32"/>
        </w:rPr>
        <w:t>　任何个人和组织应当对其使用网络的行为负责，不得设立用于实施诈骗，传授犯罪方法，制作或者销售违禁物品、管制物品等违法犯罪活动的网站、通讯群组，不得利用网络发布涉及实施诈骗，制作或者销售违禁物品、管制物品以及其他违法犯罪活动的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第四十七条</w:t>
      </w:r>
      <w:r>
        <w:rPr>
          <w:rFonts w:hint="eastAsia" w:ascii="宋体" w:hAnsi="宋体" w:cs="Arial"/>
          <w:kern w:val="0"/>
          <w:szCs w:val="32"/>
        </w:rPr>
        <w:t>　网络运营者应当加强对其用户发布的信息的管理，发现法律、行政法规禁止发布或者传输的信息的，应当立即停止传输该信息，采取消除等处置措施，防止信息扩散，保存有关记录，并向有关主管部门报告。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第四十八条</w:t>
      </w:r>
      <w:r>
        <w:rPr>
          <w:rFonts w:hint="eastAsia" w:ascii="宋体" w:hAnsi="宋体" w:cs="Arial"/>
          <w:kern w:val="0"/>
          <w:szCs w:val="32"/>
        </w:rPr>
        <w:t>　任何个人和组织发送的电子信息、提供的应用软件，不得设置恶意程序，不得含有法律、行政法规禁止发布或者传输的信息。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电子信息发送服务提供者和应用软件下载服务提供者，应当履行安全管理义务，知道其用户有前款规定行为的，应当停止提供服务，采取消除等处置措施，保存有关记录，并向有关主管部门报告。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第四十九条</w:t>
      </w:r>
      <w:r>
        <w:rPr>
          <w:rFonts w:hint="eastAsia" w:ascii="宋体" w:hAnsi="宋体" w:cs="Arial"/>
          <w:kern w:val="0"/>
          <w:szCs w:val="32"/>
        </w:rPr>
        <w:t>　网络运营者应当建立网络信息安全投诉、举报制度，公布投诉、举报方式等信息，及时受理并处理有关网络信息安全的投诉和举报。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网络运营者对网信部门和有关部门依法实施的监督检查，应当予以配合。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第五十条</w:t>
      </w:r>
      <w:r>
        <w:rPr>
          <w:rFonts w:hint="eastAsia" w:ascii="宋体" w:hAnsi="宋体" w:cs="Arial"/>
          <w:kern w:val="0"/>
          <w:szCs w:val="32"/>
        </w:rPr>
        <w:t>　国家网信部门和有关部门依法履行网络信息安全监督管理职责，发现法律、行政法规禁止发布或者传输的信息的，应当要求网络运营者停止传输，采取消除等处置措施，保存有关记录；对来源于中华人民共和国境外的上述信息，应当通知有关机构采取技术措施和其他必要措施阻断传播。</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监测预警与应急处置</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第五十一条</w:t>
      </w:r>
      <w:r>
        <w:rPr>
          <w:rFonts w:hint="eastAsia" w:ascii="宋体" w:hAnsi="宋体" w:cs="Arial"/>
          <w:kern w:val="0"/>
          <w:szCs w:val="32"/>
        </w:rPr>
        <w:t>　国家建立网络安全监测预警和信息通报制度。国家网信部门应当统筹协调有关部门加强网络安全信息收集、分析和通报工作，按照规定统一发布网络安全监测预警信息。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第五十二条</w:t>
      </w:r>
      <w:r>
        <w:rPr>
          <w:rFonts w:hint="eastAsia" w:ascii="宋体" w:hAnsi="宋体" w:cs="Arial"/>
          <w:kern w:val="0"/>
          <w:szCs w:val="32"/>
        </w:rPr>
        <w:t>　负责关键信息基础设施安全保护工作的部门，应当建立健全本行业、本领域的网络安全监测预警和信息通报制度，并按照规定报送网络安全监测预警信息。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第五十三条</w:t>
      </w:r>
      <w:r>
        <w:rPr>
          <w:rFonts w:hint="eastAsia" w:ascii="宋体" w:hAnsi="宋体" w:cs="Arial"/>
          <w:kern w:val="0"/>
          <w:szCs w:val="32"/>
        </w:rPr>
        <w:t>　国家网信部门协调有关部门建立健全网络安全风险评估和应急工作机制，制定网络安全事件应急预案，并定期组织演练。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负责关键信息基础设施安全保护工作的部门应当制定本行业、本领域的网络安全事件应急预案，并定期组织演练。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网络安全事件应急预案应当按照事件发生后的危害程度、影响范围等因素对网络安全事件进行分级，并规定相应的应急处置措施。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第五十四条</w:t>
      </w:r>
      <w:r>
        <w:rPr>
          <w:rFonts w:hint="eastAsia" w:ascii="宋体" w:hAnsi="宋体" w:cs="Arial"/>
          <w:kern w:val="0"/>
          <w:szCs w:val="32"/>
        </w:rPr>
        <w:t>　网络安全事件发生的风险增大时，省级以上人民政府有关部门应当按照规定的权限和程序，并根据网络安全风险的特点和可能造成的危害，采取下列措施: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（一）要求有关部门、机构和人员及时收集、报告有关信息，加强对网络安全风险的监测；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（二）组织有关部门、机构和专业人员，对网络安全风险信息进行分析评估，预测事件发生的可能性、影响范围和危害程度；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（三）向社会发布网络安全风险预警，发布避免、减轻危害的措施。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第五十五条</w:t>
      </w:r>
      <w:r>
        <w:rPr>
          <w:rFonts w:hint="eastAsia" w:ascii="宋体" w:hAnsi="宋体" w:cs="Arial"/>
          <w:kern w:val="0"/>
          <w:szCs w:val="32"/>
        </w:rPr>
        <w:t>　发生网络安全事件，应当立即启动网络安全事件应急预案，对网络安全事件进行调查和评估，要求网络运营者采取技术措施和其他必要措施，消除安全隐患，防止危害扩大，并及时向社会发布与公众有关的警示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第五十六条</w:t>
      </w:r>
      <w:r>
        <w:rPr>
          <w:rFonts w:hint="eastAsia" w:ascii="宋体" w:hAnsi="宋体" w:cs="Arial"/>
          <w:kern w:val="0"/>
          <w:szCs w:val="32"/>
        </w:rPr>
        <w:t>　省级以上人民政府有关部门在履行网络安全监督管理职责中，发现网络存在较大安全风险或者发生安全事件的，可以按照规定的权限和程序对该网络的运营者的法定代表人或者主要负责人进行约谈。网络运营者应当按照要求采取措施，进行整改，消除隐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第五十七条</w:t>
      </w:r>
      <w:r>
        <w:rPr>
          <w:rFonts w:hint="eastAsia" w:ascii="宋体" w:hAnsi="宋体" w:cs="Arial"/>
          <w:kern w:val="0"/>
          <w:szCs w:val="32"/>
        </w:rPr>
        <w:t>　因网络安全事件，发生突发事件或者生产安全事故的，应当依照《中华人民共和国突发事件应对法》、《中华人民共和国安全生产法》等有关法律、行政法规的规定处置。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第五十八条</w:t>
      </w:r>
      <w:r>
        <w:rPr>
          <w:rFonts w:hint="eastAsia" w:ascii="宋体" w:hAnsi="宋体" w:cs="Arial"/>
          <w:kern w:val="0"/>
          <w:szCs w:val="32"/>
        </w:rPr>
        <w:t>　因维护国家安全和社会公共秩序，处置重大突发社会安全事件的需要，经国务院决定或者批准，可以在特定区域对网络通信采取限制等临时措施。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第五十九条</w:t>
      </w:r>
      <w:r>
        <w:rPr>
          <w:rFonts w:hint="eastAsia" w:ascii="宋体" w:hAnsi="宋体" w:cs="Arial"/>
          <w:kern w:val="0"/>
          <w:szCs w:val="32"/>
        </w:rPr>
        <w:t>　网络运营者不履行本法第二十一条、第二十五条规定的网络安全保护义务的，由有关主管部门责令改正，给予警告；拒不改正或者导致危害网络安全等后果的，处一万元以上十万元以下罚款，对直接负责的主管人员处五千元以上五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关键信息基础设施的运营者不履行本法第三十三条、第三十四条、第三十六条、第三十八条规定的网络安全保护义务的，由有关主管部门责令改正，给予警告；拒不改正或者导致危害网络安全等后果的，处十万元以上一百万元以下罚款，对直接负责的主管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第六十条</w:t>
      </w:r>
      <w:r>
        <w:rPr>
          <w:rFonts w:hint="eastAsia" w:ascii="宋体" w:hAnsi="宋体" w:cs="Arial"/>
          <w:kern w:val="0"/>
          <w:szCs w:val="32"/>
        </w:rPr>
        <w:t>　违反本法第二十二条第一款、第二款和第四十八条第一款规定，有下列行为之一的，由有关主管部门责令改正，给予警告；拒不改正或者导致危害网络安全等后果的，处五万元以上五十万元以下罚款，对直接负责的主管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（一）设置恶意程序的；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（二）对其产品、服务存在的安全缺陷、漏洞等风险未立即采取补救措施，或者未按照规定及时告知用户并向有关主管部门报告的；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（三）擅自终止为其产品、服务提供安全维护的。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第六十一条</w:t>
      </w:r>
      <w:r>
        <w:rPr>
          <w:rFonts w:hint="eastAsia" w:ascii="宋体" w:hAnsi="宋体" w:cs="Arial"/>
          <w:kern w:val="0"/>
          <w:szCs w:val="32"/>
        </w:rPr>
        <w:t>　网络运营者违反本法第二十四条第一款规定，未要求用户提供真实身份信息，或者对不提供真实身份信息的用户提供相关服务的，由有关主管部门责令改正；拒不改正或者情节严重的，处五万元以上五十万元以下罚款，并可以由有关主管部门责令暂停相关业务、停业整顿、关闭网站、吊销相关业务许可证或者吊销营业执照，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第六十二条</w:t>
      </w:r>
      <w:r>
        <w:rPr>
          <w:rFonts w:hint="eastAsia" w:ascii="宋体" w:hAnsi="宋体" w:cs="Arial"/>
          <w:kern w:val="0"/>
          <w:szCs w:val="32"/>
        </w:rPr>
        <w:t>　违反本法第二十六条规定，开展网络安全认证、检测、风险评估等活动，或者向社会发布系统漏洞、计算机病毒、网络攻击、网络侵入等网络安全信息的，由有关主管部门责令改正，给予警告；拒不改正或者情节严重的，处一万元以上十万元以下罚款，并可以由有关主管部门责令暂停相关业务、停业整顿、关闭网站、吊销相关业务许可证或者吊销营业执照，对直接负责的主管人员和其他直接责任人员处五千元以上五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第六十三条</w:t>
      </w:r>
      <w:r>
        <w:rPr>
          <w:rFonts w:hint="eastAsia" w:ascii="宋体" w:hAnsi="宋体" w:cs="Arial"/>
          <w:kern w:val="0"/>
          <w:szCs w:val="32"/>
        </w:rPr>
        <w:t>　违反本法第二十七条规定，从事危害网络安全的活动，或者提供专门用于从事危害网络安全活动的程序、工具，或者为他人从事危害网络安全的活动提供技术支持、广告推广、支付结算等帮助，尚不构成犯罪的，由公安机关没收违法所得，处五日以下拘留，可以并处五万元以上五十万元以下罚款；情节较重的，处五日以上十五日以下拘留，可以并处十万元以上一百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单位有前款行为的，由公安机关没收违法所得，处十万元以上一百万元以下罚款，并对直接负责的主管人员和其他直接责任人员依照前款规定处罚。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违反本法第二十七条规定，受到治安管理处罚的人员，五年内不得从事网络安全管理和网络运营关键岗位的工作；受到刑事处罚的人员，终身不得从事网络安全管理和网络运营关键岗位的工作。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第六十四条</w:t>
      </w:r>
      <w:r>
        <w:rPr>
          <w:rFonts w:hint="eastAsia" w:ascii="宋体" w:hAnsi="宋体" w:cs="Arial"/>
          <w:kern w:val="0"/>
          <w:szCs w:val="32"/>
        </w:rPr>
        <w:t>　网络运营者、网络产品或者服务的提供者违反本法第二十二条第三款、第四十一条至第四十三条规定，侵害个人信息依法得到保护的权利的，由有关主管部门责令改正，可以根据情节单处或者并处警告、没收违法所得、处违法所得一倍以上十倍以下罚款，没有违法所得的，处一百万元以下罚款，对直接负责的主管人员和其他直接责任人员处一万元以上十万元以下罚款；情节严重的，并可以责令暂停相关业务、停业整顿、关闭网站、吊销相关业务许可证或者吊销营业执照。</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第四十四条规定，窃取或者以其他非法方式获取、非法出售或者非法向他人提供个人信息，尚不构成犯罪的，由公安机关没收违法所得，并处违法所得一倍以上十倍以下罚款，没有违法所得的，处一百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第六十五条</w:t>
      </w:r>
      <w:r>
        <w:rPr>
          <w:rFonts w:hint="eastAsia" w:ascii="宋体" w:hAnsi="宋体" w:cs="Arial"/>
          <w:kern w:val="0"/>
          <w:szCs w:val="32"/>
        </w:rPr>
        <w:t>　关键信息基础设施的运营者违反本法第三十五条规定，使用未经安全审查或者安全审查未通过的网络产品或者服务的，由有关主管部门责令停止使用，处采购金额一倍以上十倍以下罚款；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第六十六条</w:t>
      </w:r>
      <w:r>
        <w:rPr>
          <w:rFonts w:hint="eastAsia" w:ascii="宋体" w:hAnsi="宋体" w:cs="Arial"/>
          <w:kern w:val="0"/>
          <w:szCs w:val="32"/>
        </w:rPr>
        <w:t>　关键信息基础设施的运营者违反本法第三十七条规定，在境外存储网络数据，或者向境外提供网络数据的，由有关主管部门责令改正，给予警告，没收违法所得，处五万元以上五十万元以下罚款，并可以责令暂停相关业务、停业整顿、关闭网站、吊销相关业务许可证或者吊销营业执照；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第六十七条</w:t>
      </w:r>
      <w:r>
        <w:rPr>
          <w:rFonts w:hint="eastAsia" w:ascii="宋体" w:hAnsi="宋体" w:cs="Arial"/>
          <w:kern w:val="0"/>
          <w:szCs w:val="32"/>
        </w:rPr>
        <w:t>　违反本法第四十六条规定，设立用于实施违法犯罪活动的网站、通讯群组，或者利用网络发布涉及实施违法犯罪活动的信息，尚不构成犯罪的，由公安机关处五日以下拘留，可以并处一万元以上十万元以下罚款；情节较重的，处五日以上十五日以下拘留，可以并处五万元以上五十万元以下罚款。关闭用于实施违法犯罪活动的网站、通讯群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单位有前款行为的，由公安机关处十万元以上五十万元以下罚款，并对直接负责的主管人员和其他直接责任人员依照前款规定处罚。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第六十八条</w:t>
      </w:r>
      <w:r>
        <w:rPr>
          <w:rFonts w:hint="eastAsia" w:ascii="宋体" w:hAnsi="宋体" w:cs="Arial"/>
          <w:kern w:val="0"/>
          <w:szCs w:val="32"/>
        </w:rPr>
        <w:t>　网络运营者违反本法第四十七条规定，对法律、行政法规禁止发布或者传输的信息未停止传输、采取消除等处置措施、保存有关记录的，由有关主管部门责令改正，给予警告，没收违法所得；拒不改正或者情节严重的，处十万元以上五十万元以下罚款，并可以责令暂停相关业务、停业整顿、关闭网站、吊销相关业务许可证或者吊销营业执照，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电子信息发送服务提供者、应用软件下载服务提供者，不履行本法第四十八条第二款规定的安全管理义务的，依照前款规定处罚。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第六十九条</w:t>
      </w:r>
      <w:r>
        <w:rPr>
          <w:rFonts w:hint="eastAsia" w:ascii="宋体" w:hAnsi="宋体" w:cs="Arial"/>
          <w:kern w:val="0"/>
          <w:szCs w:val="32"/>
        </w:rPr>
        <w:t>　网络运营者违反本法规定，有下列行为之一的，由有关主管部门责令改正；拒不改正或者情节严重的，处五万元以上五十万元以下罚款，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（一）不按照有关部门的要求对法律、行政法规禁止发布或者传输的信息，采取停止传输、消除等处置措施的；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（二）拒绝、阻碍有关部门依法实施的监督检查的；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（三）拒不向公安机关、国家安全机关提供技术支持和协助的。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第七十条</w:t>
      </w:r>
      <w:r>
        <w:rPr>
          <w:rFonts w:hint="eastAsia" w:ascii="宋体" w:hAnsi="宋体" w:cs="Arial"/>
          <w:kern w:val="0"/>
          <w:szCs w:val="32"/>
        </w:rPr>
        <w:t>　发布或者传输本法第十二条第二款和其他法律、行政法规禁止发布或者传输的信息的，依照有关法律、行政法规的规定处罚。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第七十一条</w:t>
      </w:r>
      <w:r>
        <w:rPr>
          <w:rFonts w:hint="eastAsia" w:ascii="宋体" w:hAnsi="宋体" w:cs="Arial"/>
          <w:kern w:val="0"/>
          <w:szCs w:val="32"/>
        </w:rPr>
        <w:t>　有本法规定的违法行为的，依照有关法律、行政法规的规定记入信用档案，并予以公示。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第七十二条</w:t>
      </w:r>
      <w:r>
        <w:rPr>
          <w:rFonts w:hint="eastAsia" w:ascii="宋体" w:hAnsi="宋体" w:cs="Arial"/>
          <w:kern w:val="0"/>
          <w:szCs w:val="32"/>
        </w:rPr>
        <w:t>　国家机关政务网络的运营者不履行本法规定的网络安全保护义务的，由其上级机关或者有关机关责令改正；对直接负责的主管人员和其他直接责任人员依法给予处分。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第七十三条</w:t>
      </w:r>
      <w:r>
        <w:rPr>
          <w:rFonts w:hint="eastAsia" w:ascii="宋体" w:hAnsi="宋体" w:cs="Arial"/>
          <w:kern w:val="0"/>
          <w:szCs w:val="32"/>
        </w:rPr>
        <w:t>　网信部门和有关部门违反本法第三十条规定，将在履行网络安全保护职责中获取的信息用于其他用途的，对直接负责的主管人员和其他直接责任人员依法给予处分。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网信部门和有关部门的工作人员玩忽职守、滥用职权、徇私舞弊，尚不构成犯罪的，依法给予处分。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第七十四条</w:t>
      </w:r>
      <w:r>
        <w:rPr>
          <w:rFonts w:hint="eastAsia" w:ascii="宋体" w:hAnsi="宋体" w:cs="Arial"/>
          <w:kern w:val="0"/>
          <w:szCs w:val="32"/>
        </w:rPr>
        <w:t>　违反本法规定，给他人造成损害的，依法承担民事责任。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违反本法规定，构成违反治安管理行为的，依法给予治安管理处罚；构成犯罪的，依法追究刑事责任。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第七十五条</w:t>
      </w:r>
      <w:r>
        <w:rPr>
          <w:rFonts w:hint="eastAsia" w:ascii="宋体" w:hAnsi="宋体" w:cs="Arial"/>
          <w:kern w:val="0"/>
          <w:szCs w:val="32"/>
        </w:rPr>
        <w:t>　境外的机构、组织、个人从事攻击、侵入、干扰、破坏等危害中华人民共和国的关键信息基础设施的活动，造成严重后果的，依法追究法律责任；国务院公安部门和有关部门并可以决定对该机构、组织、个人采取冻结财产或者其他必要的制裁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第七章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第七十六条</w:t>
      </w:r>
      <w:r>
        <w:rPr>
          <w:rFonts w:hint="eastAsia" w:ascii="宋体" w:hAnsi="宋体" w:cs="Arial"/>
          <w:kern w:val="0"/>
          <w:szCs w:val="32"/>
        </w:rPr>
        <w:t>　本法下列用语的含义: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（一）网络，是指由计算机或者其他信息终端及相关设备组成的按照一定的规则和程序对信息进行收集、存储、传输、交换、处理的系统。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（二）网络安全，是指通过采取必要措施，防范对网络的攻击、侵入、干扰、破坏和非法使用以及意外事故，使网络处于稳定可靠运行的状态，以及保障网络数据的完整性、保密性、可用性的能力。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（三）网络运营者，是指网络的所有者、管理者和网络服务提供者。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（四）网络数据，是指通过网络收集、存储、传输、处理和产生的各种电子数据。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（五）个人信息，是指以电子或者其他方式记录的能够单独或者与其他信息结合识别自然人个人身份的各种信息，包括但不限于自然人的姓名、出生日期、身份证件号码、个人生物识别信息、住址、电话号码等。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第七十七条</w:t>
      </w:r>
      <w:r>
        <w:rPr>
          <w:rFonts w:hint="eastAsia" w:ascii="宋体" w:hAnsi="宋体" w:cs="Arial"/>
          <w:kern w:val="0"/>
          <w:szCs w:val="32"/>
        </w:rPr>
        <w:t>　存储、处理涉及国家秘密信息的网络的运行安全保护，除应当遵守本法外，还应当遵守保密法律、行政法规的规定。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第七十八条</w:t>
      </w:r>
      <w:r>
        <w:rPr>
          <w:rFonts w:hint="eastAsia" w:ascii="宋体" w:hAnsi="宋体" w:cs="Arial"/>
          <w:kern w:val="0"/>
          <w:szCs w:val="32"/>
        </w:rPr>
        <w:t>　军事网络的安全保护，由中央军事委员会另行规定。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第七十九条</w:t>
      </w:r>
      <w:r>
        <w:rPr>
          <w:rFonts w:hint="eastAsia" w:ascii="宋体" w:hAnsi="宋体" w:cs="Arial"/>
          <w:kern w:val="0"/>
          <w:szCs w:val="32"/>
        </w:rPr>
        <w:t>　本法自2017年6月1日起施行。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09" w:name="_Toc29538"/>
      <w:r>
        <w:rPr>
          <w:rFonts w:hint="eastAsia" w:ascii="宋体" w:hAnsi="宋体" w:eastAsia="宋体" w:cs="宋体"/>
          <w:sz w:val="44"/>
          <w:szCs w:val="44"/>
        </w:rPr>
        <w:t>中华人民共和国消费者权益保护法</w:t>
      </w:r>
      <w:bookmarkEnd w:id="209"/>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cs="Arial"/>
          <w:kern w:val="0"/>
          <w:szCs w:val="32"/>
        </w:rPr>
      </w:pPr>
      <w:r>
        <w:rPr>
          <w:rFonts w:hint="eastAsia" w:ascii="宋体" w:hAnsi="宋体" w:eastAsia="楷体_GB2312" w:cs="楷体_GB2312"/>
          <w:kern w:val="0"/>
          <w:szCs w:val="32"/>
        </w:rPr>
        <w:t>（1993年10月31日第八届全国人民代表大会常务委员会第四次会议通过　根据2009年8月27日第十一届全国人民代表大会常务委员会第十次会议《关于修改部分法律的决定》第一次修正　根据2013年10月25日第十二届全国人民代表大会常务委员会第五次会议《关于修改&lt;中华人民共和国消费者权益保护法&gt;的决定》第二次修正）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二章　消费者的权利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三章　经营者的义务</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四章　国家对消费者合法权益的保护</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五章　消费者组织</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六章　争议的解决</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七章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八章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一条</w:t>
      </w:r>
      <w:r>
        <w:rPr>
          <w:rFonts w:hint="eastAsia" w:ascii="宋体" w:hAnsi="宋体" w:cs="Arial"/>
          <w:kern w:val="0"/>
          <w:szCs w:val="32"/>
        </w:rPr>
        <w:t>　为保护消费者的合法权益，维护社会经济秩序，促进社会主义市场经济健康发展，制定本法。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第二条</w:t>
      </w:r>
      <w:r>
        <w:rPr>
          <w:rFonts w:hint="eastAsia" w:ascii="宋体" w:hAnsi="宋体" w:cs="Arial"/>
          <w:kern w:val="0"/>
          <w:szCs w:val="32"/>
        </w:rPr>
        <w:t>　消费者为生活消费需要购买、使用商品或者接受服务，其权益受本法保护；本法未作规定的，受其他有关法律、法规保护。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第三条</w:t>
      </w:r>
      <w:r>
        <w:rPr>
          <w:rFonts w:hint="eastAsia" w:ascii="宋体" w:hAnsi="宋体" w:cs="Arial"/>
          <w:kern w:val="0"/>
          <w:szCs w:val="32"/>
        </w:rPr>
        <w:t>　经营者为消费者提供其生产、销售的商品或者提供服务，应当遵守本法；本法未作规定的，应当遵守其他有关法律、法规。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第四条</w:t>
      </w:r>
      <w:r>
        <w:rPr>
          <w:rFonts w:hint="eastAsia" w:ascii="宋体" w:hAnsi="宋体" w:cs="Arial"/>
          <w:kern w:val="0"/>
          <w:szCs w:val="32"/>
        </w:rPr>
        <w:t>　经营者与消费者进行交易，应当遵循自愿、平等、公平、诚实信用的原则。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第五条</w:t>
      </w:r>
      <w:r>
        <w:rPr>
          <w:rFonts w:hint="eastAsia" w:ascii="宋体" w:hAnsi="宋体" w:cs="Arial"/>
          <w:kern w:val="0"/>
          <w:szCs w:val="32"/>
        </w:rPr>
        <w:t>　国家保护消费者的合法权益不受侵害。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国家采取措施，保障消费者依法行使权利，维护消费者的合法权益。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国家倡导文明、健康、节约资源和保护环境的消费方式，反对浪费。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第六条</w:t>
      </w:r>
      <w:r>
        <w:rPr>
          <w:rFonts w:hint="eastAsia" w:ascii="宋体" w:hAnsi="宋体" w:cs="Arial"/>
          <w:kern w:val="0"/>
          <w:szCs w:val="32"/>
        </w:rPr>
        <w:t>　保护消费者的合法权益是全社会的共同责任。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国家鼓励、支持一切组织和个人对损害消费者合法权益的行为进行社会监督。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大众传播媒介应当做好维护消费者合法权益的宣传，对损害消费者合法权益的行为进行舆论监督。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消费者的权利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第七条</w:t>
      </w:r>
      <w:r>
        <w:rPr>
          <w:rFonts w:hint="eastAsia" w:ascii="宋体" w:hAnsi="宋体" w:cs="Arial"/>
          <w:kern w:val="0"/>
          <w:szCs w:val="32"/>
        </w:rPr>
        <w:t>　消费者在购买、使用商品和接受服务时享有人身、财产安全不受损害的权利。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消费者有权要求经营者提供的商品和服务，符合保障人身、财产安全的要求。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第八条</w:t>
      </w:r>
      <w:r>
        <w:rPr>
          <w:rFonts w:hint="eastAsia" w:ascii="宋体" w:hAnsi="宋体" w:cs="Arial"/>
          <w:kern w:val="0"/>
          <w:szCs w:val="32"/>
        </w:rPr>
        <w:t>　消费者享有知悉其购买、使用的商品或者接受的服务的真实情况的权利。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有权根据商品或者服务的不同情况，要求经营者提供商品的价格、产地、生产者、用途、性能、规格、等级、主要成份、生产日期、有效期限、检验合格证明、使用方法说明书、售后服务，或者服务的内容、规格、费用等有关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第九条</w:t>
      </w:r>
      <w:r>
        <w:rPr>
          <w:rFonts w:hint="eastAsia" w:ascii="宋体" w:hAnsi="宋体" w:cs="Arial"/>
          <w:kern w:val="0"/>
          <w:szCs w:val="32"/>
        </w:rPr>
        <w:t>　消费者享有自主选择商品或者服务的权利。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消费者有权自主选择提供商品或者服务的经营者，自主选择商品品种或者服务方式，自主决定购买或者不购买任何一种商品、接受或者不接受任何一项服务。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消费者在自主选择商品或者服务时，有权进行比较、鉴别和挑选。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第十条</w:t>
      </w:r>
      <w:r>
        <w:rPr>
          <w:rFonts w:hint="eastAsia" w:ascii="宋体" w:hAnsi="宋体" w:cs="Arial"/>
          <w:kern w:val="0"/>
          <w:szCs w:val="32"/>
        </w:rPr>
        <w:t>　消费者享有公平交易的权利。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消费者在购买商品或者接受服务时，有权获得质量保障、价格合理、计量正确等公平交易条件，有权拒绝经营者的强制交易行为。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第十一条</w:t>
      </w:r>
      <w:r>
        <w:rPr>
          <w:rFonts w:hint="eastAsia" w:ascii="宋体" w:hAnsi="宋体" w:cs="Arial"/>
          <w:kern w:val="0"/>
          <w:szCs w:val="32"/>
        </w:rPr>
        <w:t>　消费者因购买、使用商品或者接受服务受到人身、财产损害的，享有依法获得赔偿的权利。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第十二条</w:t>
      </w:r>
      <w:r>
        <w:rPr>
          <w:rFonts w:hint="eastAsia" w:ascii="宋体" w:hAnsi="宋体" w:cs="Arial"/>
          <w:kern w:val="0"/>
          <w:szCs w:val="32"/>
        </w:rPr>
        <w:t>　消费者享有依法成立维护自身合法权益的社会组织的权利。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第十三条</w:t>
      </w:r>
      <w:r>
        <w:rPr>
          <w:rFonts w:hint="eastAsia" w:ascii="宋体" w:hAnsi="宋体" w:cs="Arial"/>
          <w:kern w:val="0"/>
          <w:szCs w:val="32"/>
        </w:rPr>
        <w:t>　消费者享有获得有关消费和消费者权益保护方面的知识的权利。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消费者应当努力掌握所需商品或者服务的知识和使用技能，正确使用商品，提高自我保护意识。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第十四条</w:t>
      </w:r>
      <w:r>
        <w:rPr>
          <w:rFonts w:hint="eastAsia" w:ascii="宋体" w:hAnsi="宋体" w:cs="Arial"/>
          <w:kern w:val="0"/>
          <w:szCs w:val="32"/>
        </w:rPr>
        <w:t>　消费者在购买、使用商品和接受服务时，享有人格尊严、民族风俗习惯得到尊重的权利，享有个人信息依法得到保护的权利。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第十五条</w:t>
      </w:r>
      <w:r>
        <w:rPr>
          <w:rFonts w:hint="eastAsia" w:ascii="宋体" w:hAnsi="宋体" w:cs="Arial"/>
          <w:kern w:val="0"/>
          <w:szCs w:val="32"/>
        </w:rPr>
        <w:t>　消费者享有对商品和服务以及保护消费者权益工作进行监督的权利。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消费者有权检举、控告侵害消费者权益的行为和国家机关及其工作人员在保护消费者权益工作中的违法失职行为，有权对保护消费者权益工作提出批评、建议。</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经营者的义务</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第十六条</w:t>
      </w:r>
      <w:r>
        <w:rPr>
          <w:rFonts w:hint="eastAsia" w:ascii="宋体" w:hAnsi="宋体" w:cs="Arial"/>
          <w:kern w:val="0"/>
          <w:szCs w:val="32"/>
        </w:rPr>
        <w:t>　经营者向消费者提供商品或者服务，应当依照本法和其他有关法律、法规的规定履行义务。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经营者和消费者有约定的，应当按照约定履行义务，但双方的约定不得违背法律、法规的规定。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经营者向消费者提供商品或者服务，应当恪守社会公德，诚信经营，保障消费者的合法权益；不得设定不公平、不合理的交易条件，不得强制交易。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第十七条</w:t>
      </w:r>
      <w:r>
        <w:rPr>
          <w:rFonts w:hint="eastAsia" w:ascii="宋体" w:hAnsi="宋体" w:cs="Arial"/>
          <w:kern w:val="0"/>
          <w:szCs w:val="32"/>
        </w:rPr>
        <w:t>　经营者应当听取消费者对其提供的商品或者服务的意见，接受消费者的监督。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第十八条</w:t>
      </w:r>
      <w:r>
        <w:rPr>
          <w:rFonts w:hint="eastAsia" w:ascii="宋体" w:hAnsi="宋体" w:cs="Arial"/>
          <w:kern w:val="0"/>
          <w:szCs w:val="32"/>
        </w:rPr>
        <w:t>　经营者应当保证其提供的商品或者服务符合保障人身、财产安全的要求。对可能危及人身、财产安全的商品和服务，应当向消费者作出真实的说明和明确的警示，并说明和标明正确使用商品或者接受服务的方法以及防止危害发生的方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宾馆、商场、餐馆、银行、机场、车站、港口、影剧院等经营场所的经营者，应当对消费者尽到安全保障义务。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第十九条</w:t>
      </w:r>
      <w:r>
        <w:rPr>
          <w:rFonts w:hint="eastAsia" w:ascii="宋体" w:hAnsi="宋体" w:cs="Arial"/>
          <w:kern w:val="0"/>
          <w:szCs w:val="32"/>
        </w:rPr>
        <w:t>　经营者发现其提供的商品或者服务存在缺陷，有危及人身、财产安全危险的，应当立即向有关行政部门报告和告知消费者，并采取停止销售、警示、召回、无害化处理、销毁、停止生产或者服务等措施。采取召回措施的，经营者应当承担消费者因商品被召回支出的必要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第二十条</w:t>
      </w:r>
      <w:r>
        <w:rPr>
          <w:rFonts w:hint="eastAsia" w:ascii="宋体" w:hAnsi="宋体" w:cs="Arial"/>
          <w:kern w:val="0"/>
          <w:szCs w:val="32"/>
        </w:rPr>
        <w:t>　经营者向消费者提供有关商品或者服务的质量、性能、用途、有效期限等信息，应当真实、全面，不得作虚假或者引人误解的宣传。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经营者对消费者就其提供的商品或者服务的质量和使用方法等问题提出的询问，应当作出真实、明确的答复。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经营者提供商品或者服务应当明码标价。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第二十一条</w:t>
      </w:r>
      <w:r>
        <w:rPr>
          <w:rFonts w:hint="eastAsia" w:ascii="宋体" w:hAnsi="宋体" w:cs="Arial"/>
          <w:kern w:val="0"/>
          <w:szCs w:val="32"/>
        </w:rPr>
        <w:t>　经营者应当标明其真实名称和标记。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租赁他人柜台或者场地的经营者，应当标明其真实名称和标记。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第二十二条</w:t>
      </w:r>
      <w:r>
        <w:rPr>
          <w:rFonts w:hint="eastAsia" w:ascii="宋体" w:hAnsi="宋体" w:cs="Arial"/>
          <w:kern w:val="0"/>
          <w:szCs w:val="32"/>
        </w:rPr>
        <w:t>　经营者提供商品或者服务，应当按照国家有关规定或者商业惯例向消费者出具发票等购货凭证或者服务单据；消费者索要发票等购货凭证或者服务单据的，经营者必须出具。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第二十三条</w:t>
      </w:r>
      <w:r>
        <w:rPr>
          <w:rFonts w:hint="eastAsia" w:ascii="宋体" w:hAnsi="宋体" w:cs="Arial"/>
          <w:kern w:val="0"/>
          <w:szCs w:val="32"/>
        </w:rPr>
        <w:t>　经营者应当保证在正常使用商品或者接受服务的情况下其提供的商品或者服务应当具有的质量、性能、用途和有效期限；但消费者在购买该商品或者接受该服务前已经知道其存在瑕疵，且存在该瑕疵不违反法律强制性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经营者以广告、产品说明、实物样品或者其他方式表明商品或者服务的质量状况的，应当保证其提供的商品或者服务的实际质量与表明的质量状况相符。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经营者提供的机动车、计算机、电视机、电冰箱、空调器、洗衣机等耐用商品或者装饰装修等服务，消费者自接受商品或者服务之日起六个月内发现瑕疵，发生争议的，由经营者承担有关瑕疵的举证责任。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第二十四条</w:t>
      </w:r>
      <w:r>
        <w:rPr>
          <w:rFonts w:hint="eastAsia" w:ascii="宋体" w:hAnsi="宋体" w:cs="Arial"/>
          <w:kern w:val="0"/>
          <w:szCs w:val="32"/>
        </w:rPr>
        <w:t>　经营者提供的商品或者服务不符合质量要求的，消费者可以依照国家规定、当事人约定退货，或者要求经营者履行更换、修理等义务。没有国家规定和当事人约定的，消费者可以自收到商品之日起七日内退货；七日后符合法定解除合同条件的，消费者可以及时退货，不符合法定解除合同条件的，可以要求经营者履行更换、修理等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依照前款规定进行退货、更换、修理的，经营者应当承担运输等必要费用。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第二十五条</w:t>
      </w:r>
      <w:r>
        <w:rPr>
          <w:rFonts w:hint="eastAsia" w:ascii="宋体" w:hAnsi="宋体" w:cs="Arial"/>
          <w:kern w:val="0"/>
          <w:szCs w:val="32"/>
        </w:rPr>
        <w:t>　经营者采用网络、电视、电话、邮购等方式销售商品，消费者有权自收到商品之日起七日内退货，且无需说明理由，但下列商品除外: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（一）消费者定作的；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（二）鲜活易腐的；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（三）在线下载或者消费者拆封的音像制品、计算机软件等数字化商品；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（四）交付的报纸、期刊。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除前款所列商品外，其他根据商品性质并经消费者在购买时确认不宜退货的商品，不适用无理由退货。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消费者退货的商品应当完好。经营者应当自收到退回商品之日起七日内返还消费者支付的商品价款。退回商品的运费由消费者承担；经营者和消费者另有约定的，按照约定。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第二十六条</w:t>
      </w:r>
      <w:r>
        <w:rPr>
          <w:rFonts w:hint="eastAsia" w:ascii="宋体" w:hAnsi="宋体" w:cs="Arial"/>
          <w:kern w:val="0"/>
          <w:szCs w:val="32"/>
        </w:rPr>
        <w:t>　经营者在经营活动中使用格式条款的，应当以显著方式提请消费者注意商品或者服务的数量和质量、价款或者费用、履行期限和方式、安全注意事项和风险警示、售后服务、民事责任等与消费者有重大利害关系的内容，并按照消费者的要求予以说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不得以格式条款、通知、声明、店堂告示等方式，作出排除或者限制消费者权利、减轻或者免除经营者责任、加重消费者责任等对消费者不公平、不合理的规定，不得利用格式条款并借助技术手段强制交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格式条款、通知、声明、店堂告示等含有前款所列内容的，其内容无效。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第二十七条</w:t>
      </w:r>
      <w:r>
        <w:rPr>
          <w:rFonts w:hint="eastAsia" w:ascii="宋体" w:hAnsi="宋体" w:cs="Arial"/>
          <w:kern w:val="0"/>
          <w:szCs w:val="32"/>
        </w:rPr>
        <w:t>　经营者不得对消费者进行侮辱、诽谤，不得搜查消费者的身体及其携带的物品，不得侵犯消费者的人身自由。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第二十八条</w:t>
      </w:r>
      <w:r>
        <w:rPr>
          <w:rFonts w:hint="eastAsia" w:ascii="宋体" w:hAnsi="宋体" w:cs="Arial"/>
          <w:kern w:val="0"/>
          <w:szCs w:val="32"/>
        </w:rPr>
        <w:t>　采用网络、电视、电话、邮购等方式提供商品或者服务的经营者，以及提供证券、保险、银行等金融服务的经营者，应当向消费者提供经营地址、联系方式、商品或者服务的数量和质量、价款或者费用、履行期限和方式、安全注意事项和风险警示、售后服务、民事责任等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第二十九条</w:t>
      </w:r>
      <w:r>
        <w:rPr>
          <w:rFonts w:hint="eastAsia" w:ascii="宋体" w:hAnsi="宋体" w:cs="Arial"/>
          <w:kern w:val="0"/>
          <w:szCs w:val="32"/>
        </w:rPr>
        <w:t>　经营者收集、使用消费者个人信息，应当遵循合法、正当、必要的原则，明示收集、使用信息的目的、方式和范围，并经消费者同意。经营者收集、使用消费者个人信息，应当公开其收集、使用规则，不得违反法律、法规的规定和双方的约定收集、使用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及其工作人员对收集的消费者个人信息必须严格保密，不得泄露、出售或者非法向他人提供。经营者应当采取技术措施和其他必要措施，确保信息安全，防止消费者个人信息泄露、丢失。在发生或者可能发生信息泄露、丢失的情况时，应当立即采取补救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经营者未经消费者同意或者请求，或者消费者明确表示拒绝的，不得向其发送商业性信息。</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国家对消费者合法权益的保护</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第三十条</w:t>
      </w:r>
      <w:r>
        <w:rPr>
          <w:rFonts w:hint="eastAsia" w:ascii="宋体" w:hAnsi="宋体" w:cs="Arial"/>
          <w:kern w:val="0"/>
          <w:szCs w:val="32"/>
        </w:rPr>
        <w:t>　国家制定有关消费者权益的法律、法规、规章和强制性标准，应当听取消费者和消费者协会等组织的意见。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第三十一条</w:t>
      </w:r>
      <w:r>
        <w:rPr>
          <w:rFonts w:hint="eastAsia" w:ascii="宋体" w:hAnsi="宋体" w:cs="Arial"/>
          <w:kern w:val="0"/>
          <w:szCs w:val="32"/>
        </w:rPr>
        <w:t>　各级人民政府应当加强领导，组织、协调、督促有关行政部门做好保护消费者合法权益的工作，落实保护消费者合法权益的职责。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各级人民政府应当加强监督，预防危害消费者人身、财产安全行为的发生，及时制止危害消费者人身、财产安全的行为。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第三十二条</w:t>
      </w:r>
      <w:r>
        <w:rPr>
          <w:rFonts w:hint="eastAsia" w:ascii="宋体" w:hAnsi="宋体" w:cs="Arial"/>
          <w:kern w:val="0"/>
          <w:szCs w:val="32"/>
        </w:rPr>
        <w:t>　各级人民政府工商行政管理部门和其他有关行政部门应当依照法律、法规的规定，在各自的职责范围内，采取措施，保护消费者的合法权益。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有关行政部门应当听取消费者和消费者协会等组织对经营者交易行为、商品和服务质量问题的意见，及时调查处理。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第三十三条</w:t>
      </w:r>
      <w:r>
        <w:rPr>
          <w:rFonts w:hint="eastAsia" w:ascii="宋体" w:hAnsi="宋体" w:cs="Arial"/>
          <w:kern w:val="0"/>
          <w:szCs w:val="32"/>
        </w:rPr>
        <w:t>　有关行政部门在各自的职责范围内，应当定期或者不定期对经营者提供的商品和服务进行抽查检验，并及时向社会公布抽查检验结果。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有关行政部门发现并认定经营者提供的商品或者服务存在缺陷，有危及人身、财产安全危险的，应当立即责令经营者采取停止销售、警示、召回、无害化处理、销毁、停止生产或者服务等措施。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第三十四条</w:t>
      </w:r>
      <w:r>
        <w:rPr>
          <w:rFonts w:hint="eastAsia" w:ascii="宋体" w:hAnsi="宋体" w:cs="Arial"/>
          <w:kern w:val="0"/>
          <w:szCs w:val="32"/>
        </w:rPr>
        <w:t>　有关国家机关应当依照法律、法规的规定，惩处经营者在提供商品和服务中侵害消费者合法权益的违法犯罪行为。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第三十五条</w:t>
      </w:r>
      <w:r>
        <w:rPr>
          <w:rFonts w:hint="eastAsia" w:ascii="宋体" w:hAnsi="宋体" w:cs="Arial"/>
          <w:kern w:val="0"/>
          <w:szCs w:val="32"/>
        </w:rPr>
        <w:t>　人民法院应当采取措施，方便消费者提起诉讼。对符合《中华人民共和国民事诉讼法》起诉条件的消费者权益争议，必须受理，及时审理。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消费者组织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第三十六条</w:t>
      </w:r>
      <w:r>
        <w:rPr>
          <w:rFonts w:hint="eastAsia" w:ascii="宋体" w:hAnsi="宋体" w:cs="Arial"/>
          <w:kern w:val="0"/>
          <w:szCs w:val="32"/>
        </w:rPr>
        <w:t>　消费者协会和其他消费者组织是依法成立的对商品和服务进行社会监督的保护消费者合法权益的社会组织。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第三十七条</w:t>
      </w:r>
      <w:r>
        <w:rPr>
          <w:rFonts w:hint="eastAsia" w:ascii="宋体" w:hAnsi="宋体" w:cs="Arial"/>
          <w:kern w:val="0"/>
          <w:szCs w:val="32"/>
        </w:rPr>
        <w:t>　消费者协会履行下列公益性职责: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（一）向消费者提供消费信息和咨询服务，提高消费者维护自身合法权益的能力，引导文明、健康、节约资源和保护环境的消费方式；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（二）参与制定有关消费者权益的法律、法规、规章和强制性标准；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（三）参与有关行政部门对商品和服务的监督、检查；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（四）就有关消费者合法权益的问题，向有关部门反映、查询，提出建议；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（五）受理消费者的投诉，并对投诉事项进行调查、调解；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（六）投诉事项涉及商品和服务质量问题的，可以委托具备资格的鉴定人鉴定，鉴定人应当告知鉴定意见；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（七）就损害消费者合法权益的行为，支持受损害的消费者提起诉讼或者依照本法提起诉讼；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（八）对损害消费者合法权益的行为，通过大众传播媒介予以揭露、批评。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各级人民政府对消费者协会履行职责应当予以必要的经费等支持。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消费者协会应当认真履行保护消费者合法权益的职责，听取消费者的意见和建议，接受社会监督。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依法成立的其他消费者组织依照法律、法规及其章程的规定，开展保护消费者合法权益的活动。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第三十八条</w:t>
      </w:r>
      <w:r>
        <w:rPr>
          <w:rFonts w:hint="eastAsia" w:ascii="宋体" w:hAnsi="宋体" w:cs="Arial"/>
          <w:kern w:val="0"/>
          <w:szCs w:val="32"/>
        </w:rPr>
        <w:t>　消费者组织不得从事商品经营和营利性服务，不得以收取费用或者其他牟取利益的方式向消费者推荐商品和服务。</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　争议的解决</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第三十九条</w:t>
      </w:r>
      <w:r>
        <w:rPr>
          <w:rFonts w:hint="eastAsia" w:ascii="宋体" w:hAnsi="宋体" w:cs="Arial"/>
          <w:kern w:val="0"/>
          <w:szCs w:val="32"/>
        </w:rPr>
        <w:t>　消费者和经营者发生消费者权益争议的，可以通过下列途径解决: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（一）与经营者协商和解；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（二）请求消费者协会或者依法成立的其他调解组织调解；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（三）向有关行政部门投诉；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（四）根据与经营者达成的仲裁协议提请仲裁机构仲裁；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第四十条</w:t>
      </w:r>
      <w:r>
        <w:rPr>
          <w:rFonts w:hint="eastAsia" w:ascii="宋体" w:hAnsi="宋体" w:cs="Arial"/>
          <w:kern w:val="0"/>
          <w:szCs w:val="32"/>
        </w:rPr>
        <w:t>　消费者在购买、使用商品时，其合法权益受到损害的，可以向销售者要求赔偿。销售者赔偿后，属于生产者的责任或者属于向销售者提供商品的其他销售者的责任的，销售者有权向生产者或者其他销售者追偿。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或者其他受害人因商品缺陷造成人身、财产损害的，可以向销售者要求赔偿，也可以向生产者要求赔偿。属于生产者责任的，销售者赔偿后，有权向生产者追偿。属于销售者责任的，生产者赔偿后，有权向销售者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消费者在接受服务时，其合法权益受到损害的，可以向服务者要求赔偿。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第四十一条</w:t>
      </w:r>
      <w:r>
        <w:rPr>
          <w:rFonts w:hint="eastAsia" w:ascii="宋体" w:hAnsi="宋体" w:cs="Arial"/>
          <w:kern w:val="0"/>
          <w:szCs w:val="32"/>
        </w:rPr>
        <w:t>　消费者在购买、使用商品或者接受服务时，其合法权益受到损害，因原企业分立、合并的，可以向变更后承受其权利义务的企业要求赔偿。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第四十二条</w:t>
      </w:r>
      <w:r>
        <w:rPr>
          <w:rFonts w:hint="eastAsia" w:ascii="宋体" w:hAnsi="宋体" w:cs="Arial"/>
          <w:kern w:val="0"/>
          <w:szCs w:val="32"/>
        </w:rPr>
        <w:t>　使用他人营业执照的违法经营者提供商品或者服务，损害消费者合法权益的，消费者可以向其要求赔偿，也可以向营业执照的持有人要求赔偿。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第四十三条</w:t>
      </w:r>
      <w:r>
        <w:rPr>
          <w:rFonts w:hint="eastAsia" w:ascii="宋体" w:hAnsi="宋体" w:cs="Arial"/>
          <w:kern w:val="0"/>
          <w:szCs w:val="32"/>
        </w:rPr>
        <w:t>　消费者在展销会、租赁柜台购买商品或者接受服务，其合法权益受到损害的，可以向销售者或者服务者要求赔偿。展销会结束或者柜台租赁期满后，也可以向展销会的举办者、柜台的出租者要求赔偿。展销会的举办者、柜台的出租者赔偿后，有权向销售者或者服务者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第四十四条</w:t>
      </w:r>
      <w:r>
        <w:rPr>
          <w:rFonts w:hint="eastAsia" w:ascii="宋体" w:hAnsi="宋体" w:cs="Arial"/>
          <w:kern w:val="0"/>
          <w:szCs w:val="32"/>
        </w:rPr>
        <w:t>　消费者通过网络交易平台购买商品或者接受服务，其合法权益受到损害的，可以向销售者或者服务者要求赔偿。网络交易平台提供者不能提供销售者或者服务者的真实名称、地址和有效联系方式的，消费者也可以向网络交易平台提供者要求赔偿；网络交易平台提供者作出更有利于消费者的承诺的，应当履行承诺。网络交易平台提供者赔偿后，有权向销售者或者服务者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网络交易平台提供者明知或者应知销售者或者服务者利用其平台侵害消费者合法权益，未采取必要措施的，依法与该销售者或者服务者承担连带责任。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第四十五条</w:t>
      </w:r>
      <w:r>
        <w:rPr>
          <w:rFonts w:hint="eastAsia" w:ascii="宋体" w:hAnsi="宋体" w:cs="Arial"/>
          <w:kern w:val="0"/>
          <w:szCs w:val="32"/>
        </w:rPr>
        <w:t>　消费者因经营者利用虚假广告或者其他虚假宣传方式提供商品或者服务，其合法权益受到损害的，可以向经营者要求赔偿。广告经营者、发布者发布虚假广告的，消费者可以请求行政主管部门予以惩处。广告经营者、发布者不能提供经营者的真实名称、地址和有效联系方式的，应当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广告经营者、发布者设计、制作、发布关系消费者生命健康商品或者服务的虚假广告，造成消费者损害的，应当与提供该商品或者服务的经营者承担连带责任。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社会团体或者其他组织、个人在关系消费者生命健康商品或者服务的虚假广告或者其他虚假宣传中向消费者推荐商品或者服务，造成消费者损害的，应当与提供该商品或者服务的经营者承担连带责任。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第四十六条</w:t>
      </w:r>
      <w:r>
        <w:rPr>
          <w:rFonts w:hint="eastAsia" w:ascii="宋体" w:hAnsi="宋体" w:cs="Arial"/>
          <w:kern w:val="0"/>
          <w:szCs w:val="32"/>
        </w:rPr>
        <w:t>　消费者向有关行政部门投诉的，该部门应当自收到投诉之日起七个工作日内，予以处理并告知消费者。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第四十七条</w:t>
      </w:r>
      <w:r>
        <w:rPr>
          <w:rFonts w:hint="eastAsia" w:ascii="宋体" w:hAnsi="宋体" w:cs="Arial"/>
          <w:kern w:val="0"/>
          <w:szCs w:val="32"/>
        </w:rPr>
        <w:t>　对侵害众多消费者合法权益的行为，中国消费者协会以及在省、自治区、直辖市设立的消费者协会，可以向人民法院提起诉讼。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第四十八条</w:t>
      </w:r>
      <w:r>
        <w:rPr>
          <w:rFonts w:hint="eastAsia" w:ascii="宋体" w:hAnsi="宋体" w:cs="Arial"/>
          <w:kern w:val="0"/>
          <w:szCs w:val="32"/>
        </w:rPr>
        <w:t>　经营者提供商品或者服务有下列情形之一的，除本法另有规定外，应当依照其他有关法律、法规的规定，承担民事责任: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（一）商品或者服务存在缺陷的；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（二）不具备商品应当具备的使用性能而出售时未作说明的；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（三）不符合在商品或者其包装上注明采用的商品标准的；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（四）不符合商品说明、实物样品等方式表明的质量状况的；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（五）生产国家明令淘汰的商品或者销售失效、变质的商品的；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（六）销售的商品数量不足的；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（七）服务的内容和费用违反约定的；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（八）对消费者提出的修理、重作、更换、退货、补足商品数量、退还货款和服务费用或者赔偿损失的要求，故意拖延或者无理拒绝的；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（九）法律、法规规定的其他损害消费者权益的情形。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经营者对消费者未尽到安全保障义务，造成消费者损害的，应当承担侵权责任。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第四十九条</w:t>
      </w:r>
      <w:r>
        <w:rPr>
          <w:rFonts w:hint="eastAsia" w:ascii="宋体" w:hAnsi="宋体" w:cs="Arial"/>
          <w:kern w:val="0"/>
          <w:szCs w:val="32"/>
        </w:rPr>
        <w:t>　经营者提供商品或者服务，造成消费者或者其他受害人人身伤害的，应当赔偿医疗费、护理费、交通费等为治疗和康复支出的合理费用，以及因误工减少的收入。造成残疾的，还应当赔偿残疾生活辅助具费和残疾赔偿金。造成死亡的，还应当赔偿丧葬费和死亡赔偿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第五十条</w:t>
      </w:r>
      <w:r>
        <w:rPr>
          <w:rFonts w:hint="eastAsia" w:ascii="宋体" w:hAnsi="宋体" w:cs="Arial"/>
          <w:kern w:val="0"/>
          <w:szCs w:val="32"/>
        </w:rPr>
        <w:t>　经营者侵害消费者的人格尊严、侵犯消费者人身自由或者侵害消费者个人信息依法得到保护的权利的，应当停止侵害、恢复名誉、消除影响、赔礼道歉，并赔偿损失。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第五十一条</w:t>
      </w:r>
      <w:r>
        <w:rPr>
          <w:rFonts w:hint="eastAsia" w:ascii="宋体" w:hAnsi="宋体" w:cs="Arial"/>
          <w:kern w:val="0"/>
          <w:szCs w:val="32"/>
        </w:rPr>
        <w:t>　经营者有侮辱诽谤、搜查身体、侵犯人身自由等侵害消费者或者其他受害人人身权益的行为，造成严重精神损害的，受害人可以要求精神损害赔偿。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第五十二条</w:t>
      </w:r>
      <w:r>
        <w:rPr>
          <w:rFonts w:hint="eastAsia" w:ascii="宋体" w:hAnsi="宋体" w:cs="Arial"/>
          <w:kern w:val="0"/>
          <w:szCs w:val="32"/>
        </w:rPr>
        <w:t>　经营者提供商品或者服务，造成消费者财产损害的，应当依照法律规定或者当事人约定承担修理、重作、更换、退货、补足商品数量、退还货款和服务费用或者赔偿损失等民事责任。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第五十三条</w:t>
      </w:r>
      <w:r>
        <w:rPr>
          <w:rFonts w:hint="eastAsia" w:ascii="宋体" w:hAnsi="宋体" w:cs="Arial"/>
          <w:kern w:val="0"/>
          <w:szCs w:val="32"/>
        </w:rPr>
        <w:t>　经营者以预收款方式提供商品或者服务的，应当按照约定提供。未按照约定提供的，应当按照消费者的要求履行约定或者退回预付款；并应当承担预付款的利息、消费者必须支付的合理费用。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第五十四条</w:t>
      </w:r>
      <w:r>
        <w:rPr>
          <w:rFonts w:hint="eastAsia" w:ascii="宋体" w:hAnsi="宋体" w:cs="Arial"/>
          <w:kern w:val="0"/>
          <w:szCs w:val="32"/>
        </w:rPr>
        <w:t>　依法经有关行政部门认定为不合格的商品，消费者要求退货的，经营者应当负责退货。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第五十五条</w:t>
      </w:r>
      <w:r>
        <w:rPr>
          <w:rFonts w:hint="eastAsia" w:ascii="宋体" w:hAnsi="宋体" w:cs="Arial"/>
          <w:kern w:val="0"/>
          <w:szCs w:val="32"/>
        </w:rPr>
        <w:t>　经营者提供商品或者服务有欺诈行为的，应当按照消费者的要求增加赔偿其受到的损失，增加赔偿的金额为消费者购买商品的价款或者接受服务的费用的三倍；增加赔偿的金额不足五百元的，为五百元。法律另有规定的，依照其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明知商品或者服务存在缺陷，仍然向消费者提供，造成消费者或者其他受害人死亡或者健康严重损害的，受害人有权要求经营者依照本法第四十九条、第五十一条等法律规定赔偿损失，并有权要求所受损失二倍以下的惩罚性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第五十六条</w:t>
      </w:r>
      <w:r>
        <w:rPr>
          <w:rFonts w:hint="eastAsia" w:ascii="宋体" w:hAnsi="宋体" w:cs="Arial"/>
          <w:kern w:val="0"/>
          <w:szCs w:val="32"/>
        </w:rPr>
        <w:t>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（一）提供的商品或者服务不符合保障人身、财产安全要求的；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（二）在商品中掺杂、掺假，以假充真，以次充好，或者以不合格商品冒充合格商品的；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（三）生产国家明令淘汰的商品或者销售失效、变质的商品的；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（四）伪造商品的产地，伪造或者冒用他人的厂名、厂址，篡改生产日期，伪造或者冒用认证标志等质量标志的；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（五）销售的商品应当检验、检疫而未检验、检疫或者伪造检验、检疫结果的；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（六）对商品或者服务作虚假或者引人误解的宣传的；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（七）拒绝或者拖延有关行政部门责令对缺陷商品或者服务采取停止销售、警示、召回、无害化处理、销毁、停止生产或者服务等措施的；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（八）对消费者提出的修理、重作、更换、退货、补足商品数量、退还货款和服务费用或者赔偿损失的要求，故意拖延或者无理拒绝的；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（九）侵害消费者人格尊严、侵犯消费者人身自由或者侵害消费者个人信息依法得到保护的权利的；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（十）法律、法规规定的对损害消费者权益应当予以处罚的其他情形。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经营者有前款规定情形的，除依照法律、法规规定予以处罚外，处罚机关应当记入信用档案，向社会公布。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第五十七条</w:t>
      </w:r>
      <w:r>
        <w:rPr>
          <w:rFonts w:hint="eastAsia" w:ascii="宋体" w:hAnsi="宋体" w:cs="Arial"/>
          <w:kern w:val="0"/>
          <w:szCs w:val="32"/>
        </w:rPr>
        <w:t>　经营者违反本法规定提供商品或者服务，侵害消费者合法权益，构成犯罪的，依法追究刑事责任。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第五十八条</w:t>
      </w:r>
      <w:r>
        <w:rPr>
          <w:rFonts w:hint="eastAsia" w:ascii="宋体" w:hAnsi="宋体" w:cs="Arial"/>
          <w:kern w:val="0"/>
          <w:szCs w:val="32"/>
        </w:rPr>
        <w:t>　经营者违反本法规定，应当承担民事赔偿责任和缴纳罚款、罚金，其财产不足以同时支付的，先承担民事赔偿责任。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第五十九条</w:t>
      </w:r>
      <w:r>
        <w:rPr>
          <w:rFonts w:hint="eastAsia" w:ascii="宋体" w:hAnsi="宋体" w:cs="Arial"/>
          <w:kern w:val="0"/>
          <w:szCs w:val="32"/>
        </w:rPr>
        <w:t>　经营者对行政处罚决定不服的，可以依法申请行政复议或者提起行政诉讼。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第六十条</w:t>
      </w:r>
      <w:r>
        <w:rPr>
          <w:rFonts w:hint="eastAsia" w:ascii="宋体" w:hAnsi="宋体" w:cs="Arial"/>
          <w:kern w:val="0"/>
          <w:szCs w:val="32"/>
        </w:rPr>
        <w:t>　以暴力、威胁等方法阻碍有关行政部门工作人员依法执行职务的，依法追究刑事责任；拒绝、阻碍有关行政部门工作人员依法执行职务，未使用暴力、威胁方法的，由公安机关依照《中华人民共和国治安管理处罚法》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第六十一条</w:t>
      </w:r>
      <w:r>
        <w:rPr>
          <w:rFonts w:hint="eastAsia" w:ascii="宋体" w:hAnsi="宋体" w:cs="Arial"/>
          <w:kern w:val="0"/>
          <w:szCs w:val="32"/>
        </w:rPr>
        <w:t>　国家机关工作人员玩忽职守或者包庇经营者侵害消费者合法权益的行为的，由其所在单位或者上级机关给予行政处分；情节严重，构成犯罪的，依法追究刑事责任。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第六十二条</w:t>
      </w:r>
      <w:r>
        <w:rPr>
          <w:rFonts w:hint="eastAsia" w:ascii="宋体" w:hAnsi="宋体" w:cs="Arial"/>
          <w:kern w:val="0"/>
          <w:szCs w:val="32"/>
        </w:rPr>
        <w:t>　农民购买、使用直接用于农业生产的生产资料，参照本法执行。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第六十三条</w:t>
      </w:r>
      <w:r>
        <w:rPr>
          <w:rFonts w:hint="eastAsia" w:ascii="宋体" w:hAnsi="宋体" w:cs="Arial"/>
          <w:kern w:val="0"/>
          <w:szCs w:val="32"/>
        </w:rPr>
        <w:t>　本法自1994年1月1日起施行。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10" w:name="_Toc18625"/>
      <w:r>
        <w:rPr>
          <w:rFonts w:hint="eastAsia" w:ascii="宋体" w:hAnsi="宋体" w:eastAsia="宋体" w:cs="宋体"/>
          <w:sz w:val="44"/>
          <w:szCs w:val="44"/>
        </w:rPr>
        <w:t>中华人民共和国广告法</w:t>
      </w:r>
      <w:bookmarkEnd w:id="210"/>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（1994年10月27日第八届全国人民代表大会常务委员会第十次会议通过</w:t>
      </w:r>
      <w:r>
        <w:rPr>
          <w:rFonts w:hint="eastAsia" w:ascii="宋体" w:hAnsi="宋体" w:eastAsia="楷体_GB2312" w:cs="Arial"/>
          <w:kern w:val="0"/>
          <w:szCs w:val="32"/>
          <w:lang w:eastAsia="zh-CN"/>
        </w:rPr>
        <w:t>　</w:t>
      </w:r>
      <w:r>
        <w:rPr>
          <w:rFonts w:hint="eastAsia" w:ascii="宋体" w:hAnsi="宋体" w:eastAsia="楷体_GB2312" w:cs="Arial"/>
          <w:kern w:val="0"/>
          <w:szCs w:val="32"/>
        </w:rPr>
        <w:t>2015年4月24日第十二届全国人民代表大会常务委员会第十四次会议修订</w:t>
      </w:r>
      <w:r>
        <w:rPr>
          <w:rFonts w:hint="eastAsia" w:ascii="宋体" w:hAnsi="宋体" w:eastAsia="楷体_GB2312" w:cs="Arial"/>
          <w:kern w:val="0"/>
          <w:szCs w:val="32"/>
          <w:lang w:eastAsia="zh-CN"/>
        </w:rPr>
        <w:t>　</w:t>
      </w:r>
      <w:r>
        <w:rPr>
          <w:rFonts w:hint="eastAsia" w:ascii="宋体" w:hAnsi="宋体" w:eastAsia="楷体_GB2312" w:cs="Arial"/>
          <w:kern w:val="0"/>
          <w:szCs w:val="32"/>
        </w:rPr>
        <w:t>根据2018年10月26日第十三届全国人民代表大会常务委员会第六次会议《关于修改〈中华人民共和国野生动物保护法〉等十五部法律的决定》修正）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目</w:t>
      </w:r>
      <w:r>
        <w:rPr>
          <w:rFonts w:hint="eastAsia" w:ascii="宋体" w:hAnsi="宋体" w:eastAsia="楷体_GB2312" w:cs="Arial"/>
          <w:kern w:val="0"/>
          <w:szCs w:val="32"/>
          <w:lang w:eastAsia="zh-CN"/>
        </w:rPr>
        <w:t>　　</w:t>
      </w:r>
      <w:r>
        <w:rPr>
          <w:rFonts w:hint="eastAsia" w:ascii="宋体" w:hAnsi="宋体" w:eastAsia="楷体_GB2312" w:cs="Arial"/>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第一章</w:t>
      </w:r>
      <w:r>
        <w:rPr>
          <w:rFonts w:hint="eastAsia" w:ascii="宋体" w:hAnsi="宋体" w:eastAsia="楷体_GB2312" w:cs="Arial"/>
          <w:kern w:val="0"/>
          <w:szCs w:val="32"/>
          <w:lang w:eastAsia="zh-CN"/>
        </w:rPr>
        <w:t>　</w:t>
      </w:r>
      <w:r>
        <w:rPr>
          <w:rFonts w:hint="eastAsia" w:ascii="宋体" w:hAnsi="宋体" w:eastAsia="楷体_GB2312" w:cs="Arial"/>
          <w:kern w:val="0"/>
          <w:szCs w:val="32"/>
        </w:rPr>
        <w:t>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第二章</w:t>
      </w:r>
      <w:r>
        <w:rPr>
          <w:rFonts w:hint="eastAsia" w:ascii="宋体" w:hAnsi="宋体" w:eastAsia="楷体_GB2312" w:cs="Arial"/>
          <w:kern w:val="0"/>
          <w:szCs w:val="32"/>
          <w:lang w:eastAsia="zh-CN"/>
        </w:rPr>
        <w:t>　</w:t>
      </w:r>
      <w:r>
        <w:rPr>
          <w:rFonts w:hint="eastAsia" w:ascii="宋体" w:hAnsi="宋体" w:eastAsia="楷体_GB2312" w:cs="Arial"/>
          <w:kern w:val="0"/>
          <w:szCs w:val="32"/>
        </w:rPr>
        <w:t>广告内容准则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第三章</w:t>
      </w:r>
      <w:r>
        <w:rPr>
          <w:rFonts w:hint="eastAsia" w:ascii="宋体" w:hAnsi="宋体" w:eastAsia="楷体_GB2312" w:cs="Arial"/>
          <w:kern w:val="0"/>
          <w:szCs w:val="32"/>
          <w:lang w:eastAsia="zh-CN"/>
        </w:rPr>
        <w:t>　</w:t>
      </w:r>
      <w:r>
        <w:rPr>
          <w:rFonts w:hint="eastAsia" w:ascii="宋体" w:hAnsi="宋体" w:eastAsia="楷体_GB2312" w:cs="Arial"/>
          <w:kern w:val="0"/>
          <w:szCs w:val="32"/>
        </w:rPr>
        <w:t>广告行为规范</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第四章</w:t>
      </w:r>
      <w:r>
        <w:rPr>
          <w:rFonts w:hint="eastAsia" w:ascii="宋体" w:hAnsi="宋体" w:eastAsia="楷体_GB2312" w:cs="Arial"/>
          <w:kern w:val="0"/>
          <w:szCs w:val="32"/>
          <w:lang w:eastAsia="zh-CN"/>
        </w:rPr>
        <w:t>　</w:t>
      </w:r>
      <w:r>
        <w:rPr>
          <w:rFonts w:hint="eastAsia" w:ascii="宋体" w:hAnsi="宋体" w:eastAsia="楷体_GB2312" w:cs="Arial"/>
          <w:kern w:val="0"/>
          <w:szCs w:val="32"/>
        </w:rPr>
        <w:t>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第五章</w:t>
      </w:r>
      <w:r>
        <w:rPr>
          <w:rFonts w:hint="eastAsia" w:ascii="宋体" w:hAnsi="宋体" w:eastAsia="楷体_GB2312" w:cs="Arial"/>
          <w:kern w:val="0"/>
          <w:szCs w:val="32"/>
          <w:lang w:eastAsia="zh-CN"/>
        </w:rPr>
        <w:t>　</w:t>
      </w:r>
      <w:r>
        <w:rPr>
          <w:rFonts w:hint="eastAsia" w:ascii="宋体" w:hAnsi="宋体" w:eastAsia="楷体_GB2312" w:cs="Arial"/>
          <w:kern w:val="0"/>
          <w:szCs w:val="32"/>
        </w:rPr>
        <w:t>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第六章</w:t>
      </w:r>
      <w:r>
        <w:rPr>
          <w:rFonts w:hint="eastAsia" w:ascii="宋体" w:hAnsi="宋体" w:eastAsia="楷体_GB2312" w:cs="Arial"/>
          <w:kern w:val="0"/>
          <w:szCs w:val="32"/>
          <w:lang w:eastAsia="zh-CN"/>
        </w:rPr>
        <w:t>　</w:t>
      </w:r>
      <w:r>
        <w:rPr>
          <w:rFonts w:hint="eastAsia" w:ascii="宋体" w:hAnsi="宋体" w:eastAsia="楷体_GB2312" w:cs="Arial"/>
          <w:kern w:val="0"/>
          <w:szCs w:val="32"/>
        </w:rPr>
        <w:t>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w:t>
      </w:r>
      <w:r>
        <w:rPr>
          <w:rFonts w:hint="eastAsia" w:ascii="宋体" w:hAnsi="宋体" w:eastAsia="黑体" w:cs="黑体"/>
          <w:kern w:val="0"/>
          <w:szCs w:val="32"/>
          <w:lang w:eastAsia="zh-CN"/>
        </w:rPr>
        <w:t>　</w:t>
      </w:r>
      <w:r>
        <w:rPr>
          <w:rFonts w:hint="eastAsia" w:ascii="宋体" w:hAnsi="宋体" w:eastAsia="黑体" w:cs="黑体"/>
          <w:kern w:val="0"/>
          <w:szCs w:val="32"/>
        </w:rPr>
        <w:t>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第一条</w:t>
      </w:r>
      <w:r>
        <w:rPr>
          <w:rFonts w:hint="eastAsia" w:ascii="宋体" w:hAnsi="宋体" w:cs="Arial"/>
          <w:kern w:val="0"/>
          <w:szCs w:val="32"/>
          <w:lang w:eastAsia="zh-CN"/>
        </w:rPr>
        <w:t>　</w:t>
      </w:r>
      <w:r>
        <w:rPr>
          <w:rFonts w:hint="eastAsia" w:ascii="宋体" w:hAnsi="宋体" w:cs="Arial"/>
          <w:kern w:val="0"/>
          <w:szCs w:val="32"/>
        </w:rPr>
        <w:t>为了规范广告活动，保护消费者的合法权益，促进广告业的健康发展，维护社会经济秩序，制定本法。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第二条</w:t>
      </w:r>
      <w:r>
        <w:rPr>
          <w:rFonts w:hint="eastAsia" w:ascii="宋体" w:hAnsi="宋体" w:cs="Arial"/>
          <w:kern w:val="0"/>
          <w:szCs w:val="32"/>
          <w:lang w:eastAsia="zh-CN"/>
        </w:rPr>
        <w:t>　</w:t>
      </w:r>
      <w:r>
        <w:rPr>
          <w:rFonts w:hint="eastAsia" w:ascii="宋体" w:hAnsi="宋体" w:cs="Arial"/>
          <w:kern w:val="0"/>
          <w:szCs w:val="32"/>
        </w:rPr>
        <w:t>在中华人民共和国境内，商品经营者或者服务提供者通过一定媒介和形式直接或者间接地介绍自己所推销的商品或者服务的商业广告活动，适用本法。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本法所称广告主，是指为推销商品或者服务，自行或者委托他人设计、制作、发布广告的自然人、法人或者其他组织。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本法所称广告经营者，是指接受委托提供广告设计、制作、代理服务的自然人、法人或者其他组织。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本法所称广告发布者，是指为广告主或者广告主委托的广告经营者发布广告的自然人、法人或者其他组织。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本法所称广告代言人，是指广告主以外的，在广告中以自己的名义或者形象对商品、服务作推荐、证明的自然人、法人或者其他组织。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第三条</w:t>
      </w:r>
      <w:r>
        <w:rPr>
          <w:rFonts w:hint="eastAsia" w:ascii="宋体" w:hAnsi="宋体" w:cs="Arial"/>
          <w:kern w:val="0"/>
          <w:szCs w:val="32"/>
          <w:lang w:eastAsia="zh-CN"/>
        </w:rPr>
        <w:t>　</w:t>
      </w:r>
      <w:r>
        <w:rPr>
          <w:rFonts w:hint="eastAsia" w:ascii="宋体" w:hAnsi="宋体" w:cs="Arial"/>
          <w:kern w:val="0"/>
          <w:szCs w:val="32"/>
        </w:rPr>
        <w:t>广告应当真实、合法，以健康的表现形式表达广告内容，符合社会主义精神文明建设和弘扬中华民族优秀传统文化的要求。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第四条</w:t>
      </w:r>
      <w:r>
        <w:rPr>
          <w:rFonts w:hint="eastAsia" w:ascii="宋体" w:hAnsi="宋体" w:cs="Arial"/>
          <w:kern w:val="0"/>
          <w:szCs w:val="32"/>
          <w:lang w:eastAsia="zh-CN"/>
        </w:rPr>
        <w:t>　</w:t>
      </w:r>
      <w:r>
        <w:rPr>
          <w:rFonts w:hint="eastAsia" w:ascii="宋体" w:hAnsi="宋体" w:cs="Arial"/>
          <w:kern w:val="0"/>
          <w:szCs w:val="32"/>
        </w:rPr>
        <w:t>广告不得含有虚假或者引人误解的内容，不得欺骗、误导消费者。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广告主应当对广告内容的真实性负责。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第五条</w:t>
      </w:r>
      <w:r>
        <w:rPr>
          <w:rFonts w:hint="eastAsia" w:ascii="宋体" w:hAnsi="宋体" w:cs="Arial"/>
          <w:kern w:val="0"/>
          <w:szCs w:val="32"/>
          <w:lang w:eastAsia="zh-CN"/>
        </w:rPr>
        <w:t>　</w:t>
      </w:r>
      <w:r>
        <w:rPr>
          <w:rFonts w:hint="eastAsia" w:ascii="宋体" w:hAnsi="宋体" w:cs="Arial"/>
          <w:kern w:val="0"/>
          <w:szCs w:val="32"/>
        </w:rPr>
        <w:t>广告主、广告经营者、广告发布者从事广告活动，应当遵守法律、法规，诚实信用，公平竞争。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第六条</w:t>
      </w:r>
      <w:r>
        <w:rPr>
          <w:rFonts w:hint="eastAsia" w:ascii="宋体" w:hAnsi="宋体" w:cs="Arial"/>
          <w:kern w:val="0"/>
          <w:szCs w:val="32"/>
          <w:lang w:eastAsia="zh-CN"/>
        </w:rPr>
        <w:t>　</w:t>
      </w:r>
      <w:r>
        <w:rPr>
          <w:rFonts w:hint="eastAsia" w:ascii="宋体" w:hAnsi="宋体" w:cs="Arial"/>
          <w:kern w:val="0"/>
          <w:szCs w:val="32"/>
        </w:rPr>
        <w:t>国务院市场监督管理部门主管全国的广告监督管理工作，国务院有关部门在各自的职责范围内负责广告管理相关工作。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县级以上地方市场监督管理部门主管本行政区域的广告监督管理工作，县级以上地方人民政府有关部门在各自的职责范围内负责广告管理相关工作。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第七条</w:t>
      </w:r>
      <w:r>
        <w:rPr>
          <w:rFonts w:hint="eastAsia" w:ascii="宋体" w:hAnsi="宋体" w:cs="Arial"/>
          <w:kern w:val="0"/>
          <w:szCs w:val="32"/>
          <w:lang w:eastAsia="zh-CN"/>
        </w:rPr>
        <w:t>　</w:t>
      </w:r>
      <w:r>
        <w:rPr>
          <w:rFonts w:hint="eastAsia" w:ascii="宋体" w:hAnsi="宋体" w:cs="Arial"/>
          <w:kern w:val="0"/>
          <w:szCs w:val="32"/>
        </w:rPr>
        <w:t>广告行业组织依照法律、法规和章程的规定，制定行业规范，加强行业自律，促进行业发展，引导会员依法从事广告活动，推动广告行业诚信建设。</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w:t>
      </w:r>
      <w:r>
        <w:rPr>
          <w:rFonts w:hint="eastAsia" w:ascii="宋体" w:hAnsi="宋体" w:eastAsia="黑体" w:cs="黑体"/>
          <w:kern w:val="0"/>
          <w:szCs w:val="32"/>
          <w:lang w:eastAsia="zh-CN"/>
        </w:rPr>
        <w:t>　</w:t>
      </w:r>
      <w:r>
        <w:rPr>
          <w:rFonts w:hint="eastAsia" w:ascii="宋体" w:hAnsi="宋体" w:eastAsia="黑体" w:cs="黑体"/>
          <w:kern w:val="0"/>
          <w:szCs w:val="32"/>
        </w:rPr>
        <w:t>广告内容准则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第八条</w:t>
      </w:r>
      <w:r>
        <w:rPr>
          <w:rFonts w:hint="eastAsia" w:ascii="宋体" w:hAnsi="宋体" w:cs="Arial"/>
          <w:kern w:val="0"/>
          <w:szCs w:val="32"/>
          <w:lang w:eastAsia="zh-CN"/>
        </w:rPr>
        <w:t>　</w:t>
      </w:r>
      <w:r>
        <w:rPr>
          <w:rFonts w:hint="eastAsia" w:ascii="宋体" w:hAnsi="宋体" w:cs="Arial"/>
          <w:kern w:val="0"/>
          <w:szCs w:val="32"/>
        </w:rPr>
        <w:t>广告中对商品的性能、功能、产地、用途、质量、成分、价格、生产者、有效期限、允诺等或者对服务的内容、提供者、形式、质量、价格、允诺等有表示的，应当准确、清楚、明白。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广告中表明推销的商品或者服务附带赠送的，应当明示所附带赠送商品或者服务的品种、规格、数量、期限和方式。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法律、行政法规规定广告中应当明示的内容，应当显著、清晰表示。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第九条</w:t>
      </w:r>
      <w:r>
        <w:rPr>
          <w:rFonts w:hint="eastAsia" w:ascii="宋体" w:hAnsi="宋体" w:cs="Arial"/>
          <w:kern w:val="0"/>
          <w:szCs w:val="32"/>
          <w:lang w:eastAsia="zh-CN"/>
        </w:rPr>
        <w:t>　</w:t>
      </w:r>
      <w:r>
        <w:rPr>
          <w:rFonts w:hint="eastAsia" w:ascii="宋体" w:hAnsi="宋体" w:cs="Arial"/>
          <w:kern w:val="0"/>
          <w:szCs w:val="32"/>
        </w:rPr>
        <w:t>广告不得有下列情形：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（一）使用或者变相使用中华人民共和国的国旗、国歌、国徽，军旗、军歌、军徽；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（二）使用或者变相使用国家机关、国家机关工作人员的名义或者形象；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（三）使用“国家级”、“最高级”、“最佳”等用语；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（四）损害国家的尊严或者利益，泄露国家秘密；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（五）妨碍社会安定，损害社会公共利益；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（六）危害人身、财产安全，泄露个人隐私；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（七）妨碍社会公共秩序或者违背社会良好风尚；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（八）含有淫秽、色情、赌博、迷信、恐怖、暴力的内容；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（九）含有民族、种族、宗教、性别歧视的内容；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（十）妨碍环境、自然资源或者文化遗产保护；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（十一）法律、行政法规规定禁止的其他情形。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第十条</w:t>
      </w:r>
      <w:r>
        <w:rPr>
          <w:rFonts w:hint="eastAsia" w:ascii="宋体" w:hAnsi="宋体" w:cs="Arial"/>
          <w:kern w:val="0"/>
          <w:szCs w:val="32"/>
          <w:lang w:eastAsia="zh-CN"/>
        </w:rPr>
        <w:t>　</w:t>
      </w:r>
      <w:r>
        <w:rPr>
          <w:rFonts w:hint="eastAsia" w:ascii="宋体" w:hAnsi="宋体" w:cs="Arial"/>
          <w:kern w:val="0"/>
          <w:szCs w:val="32"/>
        </w:rPr>
        <w:t>广告不得损害未成年人和残疾人的身心健康。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第十一条</w:t>
      </w:r>
      <w:r>
        <w:rPr>
          <w:rFonts w:hint="eastAsia" w:ascii="宋体" w:hAnsi="宋体" w:cs="Arial"/>
          <w:kern w:val="0"/>
          <w:szCs w:val="32"/>
          <w:lang w:eastAsia="zh-CN"/>
        </w:rPr>
        <w:t>　</w:t>
      </w:r>
      <w:r>
        <w:rPr>
          <w:rFonts w:hint="eastAsia" w:ascii="宋体" w:hAnsi="宋体" w:cs="Arial"/>
          <w:kern w:val="0"/>
          <w:szCs w:val="32"/>
        </w:rPr>
        <w:t>广告内容涉及的事项需要取得行政许可的，应当与许可的内容相符合。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广告使用数据、统计资料、调查结果、文摘、引用语等引证内容的，应当真实、准确，并表明出处。引证内容有适用范围和有效期限的，应当明确表示。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第十二条</w:t>
      </w:r>
      <w:r>
        <w:rPr>
          <w:rFonts w:hint="eastAsia" w:ascii="宋体" w:hAnsi="宋体" w:cs="Arial"/>
          <w:kern w:val="0"/>
          <w:szCs w:val="32"/>
          <w:lang w:eastAsia="zh-CN"/>
        </w:rPr>
        <w:t>　</w:t>
      </w:r>
      <w:r>
        <w:rPr>
          <w:rFonts w:hint="eastAsia" w:ascii="宋体" w:hAnsi="宋体" w:cs="Arial"/>
          <w:kern w:val="0"/>
          <w:szCs w:val="32"/>
        </w:rPr>
        <w:t>广告中涉及专利产品或者专利方法的，应当标明专利号和专利种类。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未取得专利权的，不得在广告中谎称取得专利权。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禁止使用未授予专利权的专利申请和已经终止、撤销、无效的专利作广告。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第十三条</w:t>
      </w:r>
      <w:r>
        <w:rPr>
          <w:rFonts w:hint="eastAsia" w:ascii="宋体" w:hAnsi="宋体" w:cs="Arial"/>
          <w:kern w:val="0"/>
          <w:szCs w:val="32"/>
          <w:lang w:eastAsia="zh-CN"/>
        </w:rPr>
        <w:t>　</w:t>
      </w:r>
      <w:r>
        <w:rPr>
          <w:rFonts w:hint="eastAsia" w:ascii="宋体" w:hAnsi="宋体" w:cs="Arial"/>
          <w:kern w:val="0"/>
          <w:szCs w:val="32"/>
        </w:rPr>
        <w:t>广告不得贬低其他生产经营者的商品或者服务。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第十四条</w:t>
      </w:r>
      <w:r>
        <w:rPr>
          <w:rFonts w:hint="eastAsia" w:ascii="宋体" w:hAnsi="宋体" w:cs="Arial"/>
          <w:kern w:val="0"/>
          <w:szCs w:val="32"/>
          <w:lang w:eastAsia="zh-CN"/>
        </w:rPr>
        <w:t>　</w:t>
      </w:r>
      <w:r>
        <w:rPr>
          <w:rFonts w:hint="eastAsia" w:ascii="宋体" w:hAnsi="宋体" w:cs="Arial"/>
          <w:kern w:val="0"/>
          <w:szCs w:val="32"/>
        </w:rPr>
        <w:t>广告应当具有可识别性，能够使消费者辨明其为广告。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大众传播媒介不得以新闻报道形式变相发布广告。通过大众传播媒介发布的广告应当显著标明“广告”，与其他非广告信息相区别，不得使消费者产生误解。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广播电台、电视台发布广告，应当遵守国务院有关部门关于时长、方式的规定，并应当对广告时长作出明显提示。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第十五条</w:t>
      </w:r>
      <w:r>
        <w:rPr>
          <w:rFonts w:hint="eastAsia" w:ascii="宋体" w:hAnsi="宋体" w:cs="Arial"/>
          <w:kern w:val="0"/>
          <w:szCs w:val="32"/>
          <w:lang w:eastAsia="zh-CN"/>
        </w:rPr>
        <w:t>　</w:t>
      </w:r>
      <w:r>
        <w:rPr>
          <w:rFonts w:hint="eastAsia" w:ascii="宋体" w:hAnsi="宋体" w:cs="Arial"/>
          <w:kern w:val="0"/>
          <w:szCs w:val="32"/>
        </w:rPr>
        <w:t>麻醉药品、精神药品、医疗用毒性药品、放射性药品等特殊药品，药品类易制毒化学品，以及戒毒治疗的药品、医疗器械和治疗方法，不得作广告。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前款规定以外的处方药，只能在国务院卫生行政部门和国务院药品监督管理部门共同指定的医学、药学专业刊物上作广告。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第十六条</w:t>
      </w:r>
      <w:r>
        <w:rPr>
          <w:rFonts w:hint="eastAsia" w:ascii="宋体" w:hAnsi="宋体" w:cs="Arial"/>
          <w:kern w:val="0"/>
          <w:szCs w:val="32"/>
          <w:lang w:eastAsia="zh-CN"/>
        </w:rPr>
        <w:t>　</w:t>
      </w:r>
      <w:r>
        <w:rPr>
          <w:rFonts w:hint="eastAsia" w:ascii="宋体" w:hAnsi="宋体" w:cs="Arial"/>
          <w:kern w:val="0"/>
          <w:szCs w:val="32"/>
        </w:rPr>
        <w:t>医疗、药品、医疗器械广告不得含有下列内容：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（一）表示功效、安全性的断言或者保证；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（二）说明治愈率或者有效率；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（三）与其他药品、医疗器械的功效和安全性或者其他医疗机构比较；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（四）利用广告代言人作推荐、证明；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（五）法律、行政法规规定禁止的其他内容。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第十七条</w:t>
      </w:r>
      <w:r>
        <w:rPr>
          <w:rFonts w:hint="eastAsia" w:ascii="宋体" w:hAnsi="宋体" w:cs="Arial"/>
          <w:kern w:val="0"/>
          <w:szCs w:val="32"/>
          <w:lang w:eastAsia="zh-CN"/>
        </w:rPr>
        <w:t>　</w:t>
      </w:r>
      <w:r>
        <w:rPr>
          <w:rFonts w:hint="eastAsia" w:ascii="宋体" w:hAnsi="宋体" w:cs="Arial"/>
          <w:kern w:val="0"/>
          <w:szCs w:val="32"/>
        </w:rPr>
        <w:t>除医疗、药品、医疗器械广告外，禁止其他任何广告涉及疾病治疗功能，并不得使用医疗用语或者易使推销的商品与药品、医疗器械相混淆的用语。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第十八条</w:t>
      </w:r>
      <w:r>
        <w:rPr>
          <w:rFonts w:hint="eastAsia" w:ascii="宋体" w:hAnsi="宋体" w:cs="Arial"/>
          <w:kern w:val="0"/>
          <w:szCs w:val="32"/>
          <w:lang w:eastAsia="zh-CN"/>
        </w:rPr>
        <w:t>　</w:t>
      </w:r>
      <w:r>
        <w:rPr>
          <w:rFonts w:hint="eastAsia" w:ascii="宋体" w:hAnsi="宋体" w:cs="Arial"/>
          <w:kern w:val="0"/>
          <w:szCs w:val="32"/>
        </w:rPr>
        <w:t>保健食品广告不得含有下列内容：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（一）表示功效、安全性的断言或者保证；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（二）涉及疾病预防、治疗功能；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（三）声称或者暗示广告商品为保障健康所必需；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（四）与药品、其他保健食品进行比较；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（五）利用广告代言人作推荐、证明；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（六）法律、行政法规规定禁止的其他内容。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保健食品广告应当显著标明“本品不能代替药物”。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第十九条</w:t>
      </w:r>
      <w:r>
        <w:rPr>
          <w:rFonts w:hint="eastAsia" w:ascii="宋体" w:hAnsi="宋体" w:cs="Arial"/>
          <w:kern w:val="0"/>
          <w:szCs w:val="32"/>
          <w:lang w:eastAsia="zh-CN"/>
        </w:rPr>
        <w:t>　</w:t>
      </w:r>
      <w:r>
        <w:rPr>
          <w:rFonts w:hint="eastAsia" w:ascii="宋体" w:hAnsi="宋体" w:cs="Arial"/>
          <w:kern w:val="0"/>
          <w:szCs w:val="32"/>
        </w:rPr>
        <w:t>广播电台、电视台、报刊音像出版单位、互联网信息服务提供者不得以介绍健康、养生知识等形式变相发布医疗、药品、医疗器械、保健食品广告。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第二十条</w:t>
      </w:r>
      <w:r>
        <w:rPr>
          <w:rFonts w:hint="eastAsia" w:ascii="宋体" w:hAnsi="宋体" w:cs="Arial"/>
          <w:kern w:val="0"/>
          <w:szCs w:val="32"/>
          <w:lang w:eastAsia="zh-CN"/>
        </w:rPr>
        <w:t>　</w:t>
      </w:r>
      <w:r>
        <w:rPr>
          <w:rFonts w:hint="eastAsia" w:ascii="宋体" w:hAnsi="宋体" w:cs="Arial"/>
          <w:kern w:val="0"/>
          <w:szCs w:val="32"/>
        </w:rPr>
        <w:t>禁止在大众传播媒介或者公共场所发布声称全部或者部分替代母乳的婴儿乳制品、饮料和其他食品广告。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第二十一条</w:t>
      </w:r>
      <w:r>
        <w:rPr>
          <w:rFonts w:hint="eastAsia" w:ascii="宋体" w:hAnsi="宋体" w:cs="Arial"/>
          <w:kern w:val="0"/>
          <w:szCs w:val="32"/>
          <w:lang w:eastAsia="zh-CN"/>
        </w:rPr>
        <w:t>　</w:t>
      </w:r>
      <w:r>
        <w:rPr>
          <w:rFonts w:hint="eastAsia" w:ascii="宋体" w:hAnsi="宋体" w:cs="Arial"/>
          <w:kern w:val="0"/>
          <w:szCs w:val="32"/>
        </w:rPr>
        <w:t>农药、兽药、饲料和饲料添加剂广告不得含有下列内容：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（一）表示功效、安全性的断言或者保证；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（二）利用科研单位、学术机构、技术推广机构、行业协会或者专业人士、用户的名义或者形象作推荐、证明；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（三）说明有效率；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（四）违反安全使用规程的文字、语言或者画面；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（五）法律、行政法规规定禁止的其他内容。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第二十二条</w:t>
      </w:r>
      <w:r>
        <w:rPr>
          <w:rFonts w:hint="eastAsia" w:ascii="宋体" w:hAnsi="宋体" w:cs="Arial"/>
          <w:kern w:val="0"/>
          <w:szCs w:val="32"/>
          <w:lang w:eastAsia="zh-CN"/>
        </w:rPr>
        <w:t>　</w:t>
      </w:r>
      <w:r>
        <w:rPr>
          <w:rFonts w:hint="eastAsia" w:ascii="宋体" w:hAnsi="宋体" w:cs="Arial"/>
          <w:kern w:val="0"/>
          <w:szCs w:val="32"/>
        </w:rPr>
        <w:t>禁止在大众传播媒介或者公共场所、公共交通工具、户外发布烟草广告。禁止向未成年人发送任何形式的烟草广告。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禁止利用其他商品或者服务的广告、公益广告，宣传烟草制品名称、商标、包装、装潢以及类似内容。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烟草制品生产者或者销售者发布的迁址、更名、招聘等启事中，不得含有烟草制品名称、商标、包装、装潢以及类似内容。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第二十三条</w:t>
      </w:r>
      <w:r>
        <w:rPr>
          <w:rFonts w:hint="eastAsia" w:ascii="宋体" w:hAnsi="宋体" w:cs="Arial"/>
          <w:kern w:val="0"/>
          <w:szCs w:val="32"/>
          <w:lang w:eastAsia="zh-CN"/>
        </w:rPr>
        <w:t>　</w:t>
      </w:r>
      <w:r>
        <w:rPr>
          <w:rFonts w:hint="eastAsia" w:ascii="宋体" w:hAnsi="宋体" w:cs="Arial"/>
          <w:kern w:val="0"/>
          <w:szCs w:val="32"/>
        </w:rPr>
        <w:t>酒类广告不得含有下列内容：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（一）诱导、怂恿饮酒或者宣传无节制饮酒；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（二）出现饮酒的动作；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（三）表现驾驶车、船、飞机等活动；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（四）明示或者暗示饮酒有消除紧张和焦虑、增加体力等功效。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第二十四条</w:t>
      </w:r>
      <w:r>
        <w:rPr>
          <w:rFonts w:hint="eastAsia" w:ascii="宋体" w:hAnsi="宋体" w:cs="Arial"/>
          <w:kern w:val="0"/>
          <w:szCs w:val="32"/>
          <w:lang w:eastAsia="zh-CN"/>
        </w:rPr>
        <w:t>　</w:t>
      </w:r>
      <w:r>
        <w:rPr>
          <w:rFonts w:hint="eastAsia" w:ascii="宋体" w:hAnsi="宋体" w:cs="Arial"/>
          <w:kern w:val="0"/>
          <w:szCs w:val="32"/>
        </w:rPr>
        <w:t>教育、培训广告不得含有下列内容：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（一）对升学、通过考试、获得学位学历或者合格证书，或者对教育、培训的效果作出明示或者暗示的保证性承诺；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（二）明示或者暗示有相关考试机构或者其工作人员、考试命题人员参与教育、培训；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（三）利用科研单位、学术机构、教育机构、行业协会、专业人士、受益者的名义或者形象作推荐、证明。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第二十五条</w:t>
      </w:r>
      <w:r>
        <w:rPr>
          <w:rFonts w:hint="eastAsia" w:ascii="宋体" w:hAnsi="宋体" w:cs="Arial"/>
          <w:kern w:val="0"/>
          <w:szCs w:val="32"/>
          <w:lang w:eastAsia="zh-CN"/>
        </w:rPr>
        <w:t>　</w:t>
      </w:r>
      <w:r>
        <w:rPr>
          <w:rFonts w:hint="eastAsia" w:ascii="宋体" w:hAnsi="宋体" w:cs="Arial"/>
          <w:kern w:val="0"/>
          <w:szCs w:val="32"/>
        </w:rPr>
        <w:t>招商等有投资回报预期的商品或者服务广告，应当对可能存在的风险以及风险责任承担有合理提示或者警示，并不得含有下列内容：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（一）对未来效果、收益或者与其相关的情况作出保证性承诺，明示或者暗示保本、无风险或者保收益等，国家另有规定的除外；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（二）利用学术机构、行业协会、专业人士、受益者的名义或者形象作推荐、证明。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第二十六条</w:t>
      </w:r>
      <w:r>
        <w:rPr>
          <w:rFonts w:hint="eastAsia" w:ascii="宋体" w:hAnsi="宋体" w:cs="Arial"/>
          <w:kern w:val="0"/>
          <w:szCs w:val="32"/>
          <w:lang w:eastAsia="zh-CN"/>
        </w:rPr>
        <w:t>　</w:t>
      </w:r>
      <w:r>
        <w:rPr>
          <w:rFonts w:hint="eastAsia" w:ascii="宋体" w:hAnsi="宋体" w:cs="Arial"/>
          <w:kern w:val="0"/>
          <w:szCs w:val="32"/>
        </w:rPr>
        <w:t>房地产广告，房源信息应当真实，面积应当表明为建筑面积或者套内建筑面积，并不得含有下列内容：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（一）升值或者投资回报的承诺；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（二）以项目到达某一具体参照物的所需时间表示项目位置；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（三）违反国家有关价格管理的规定；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（四）对规划或者建设中的交通、商业、文化教育设施以及其他市政条件作误导宣传。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第二十七条</w:t>
      </w:r>
      <w:r>
        <w:rPr>
          <w:rFonts w:hint="eastAsia" w:ascii="宋体" w:hAnsi="宋体" w:cs="Arial"/>
          <w:kern w:val="0"/>
          <w:szCs w:val="32"/>
          <w:lang w:eastAsia="zh-CN"/>
        </w:rPr>
        <w:t>　</w:t>
      </w:r>
      <w:r>
        <w:rPr>
          <w:rFonts w:hint="eastAsia" w:ascii="宋体" w:hAnsi="宋体" w:cs="Arial"/>
          <w:kern w:val="0"/>
          <w:szCs w:val="32"/>
        </w:rPr>
        <w:t>农作物种子、林木种子、草种子、种畜禽、水产苗种和种养殖广告关于品种名称、生产性能、生长量或者产量、品质、抗性、特殊使用价值、经济价值、适宜种植或者养殖的范围和条件等方面的表述应当真实、清楚、明白，并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（一）作科学上无法验证的断言；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（二）表示功效的断言或者保证；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（三）对经济效益进行分析、预测或者作保证性承诺；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（四）利用科研单位、学术机构、技术推广机构、行业协会或者专业人士、用户的名义或者形象作推荐、证明。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第二十八条</w:t>
      </w:r>
      <w:r>
        <w:rPr>
          <w:rFonts w:hint="eastAsia" w:ascii="宋体" w:hAnsi="宋体" w:cs="Arial"/>
          <w:kern w:val="0"/>
          <w:szCs w:val="32"/>
          <w:lang w:eastAsia="zh-CN"/>
        </w:rPr>
        <w:t>　</w:t>
      </w:r>
      <w:r>
        <w:rPr>
          <w:rFonts w:hint="eastAsia" w:ascii="宋体" w:hAnsi="宋体" w:cs="Arial"/>
          <w:kern w:val="0"/>
          <w:szCs w:val="32"/>
        </w:rPr>
        <w:t>广告以虚假或者引人误解的内容欺骗、误导消费者的，构成虚假广告。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广告有下列情形之一的，为虚假广告：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（一）商品或者服务不存在的；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（三）使用虚构、伪造或者无法验证的科研成果、统计资料、调查结果、文摘、引用语等信息作证明材料的；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（四）虚构使用商品或者接受服务的效果的；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（五）以虚假或者引人误解的内容欺骗、误导消费者的其他情形。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w:t>
      </w:r>
      <w:r>
        <w:rPr>
          <w:rFonts w:hint="eastAsia" w:ascii="宋体" w:hAnsi="宋体" w:eastAsia="黑体" w:cs="黑体"/>
          <w:kern w:val="0"/>
          <w:szCs w:val="32"/>
          <w:lang w:eastAsia="zh-CN"/>
        </w:rPr>
        <w:t>　</w:t>
      </w:r>
      <w:r>
        <w:rPr>
          <w:rFonts w:hint="eastAsia" w:ascii="宋体" w:hAnsi="宋体" w:eastAsia="黑体" w:cs="黑体"/>
          <w:kern w:val="0"/>
          <w:szCs w:val="32"/>
        </w:rPr>
        <w:t>广告行为规范</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第二十九条</w:t>
      </w:r>
      <w:r>
        <w:rPr>
          <w:rFonts w:hint="eastAsia" w:ascii="宋体" w:hAnsi="宋体" w:cs="Arial"/>
          <w:kern w:val="0"/>
          <w:szCs w:val="32"/>
          <w:lang w:eastAsia="zh-CN"/>
        </w:rPr>
        <w:t>　</w:t>
      </w:r>
      <w:r>
        <w:rPr>
          <w:rFonts w:hint="eastAsia" w:ascii="宋体" w:hAnsi="宋体" w:cs="Arial"/>
          <w:kern w:val="0"/>
          <w:szCs w:val="32"/>
        </w:rPr>
        <w:t>广播电台、电视台、报刊出版单位从事广告发布业务的，应当设有专门从事广告业务的机构，配备必要的人员，具有与发布广告相适应的场所、设备，并向县级以上地方市场监督管理部门办理广告发布登记。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第三十条</w:t>
      </w:r>
      <w:r>
        <w:rPr>
          <w:rFonts w:hint="eastAsia" w:ascii="宋体" w:hAnsi="宋体" w:cs="Arial"/>
          <w:kern w:val="0"/>
          <w:szCs w:val="32"/>
          <w:lang w:eastAsia="zh-CN"/>
        </w:rPr>
        <w:t>　</w:t>
      </w:r>
      <w:r>
        <w:rPr>
          <w:rFonts w:hint="eastAsia" w:ascii="宋体" w:hAnsi="宋体" w:cs="Arial"/>
          <w:kern w:val="0"/>
          <w:szCs w:val="32"/>
        </w:rPr>
        <w:t>广告主、广告经营者、广告发布者之间在广告活动中应当依法订立书面合同。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第三十一条</w:t>
      </w:r>
      <w:r>
        <w:rPr>
          <w:rFonts w:hint="eastAsia" w:ascii="宋体" w:hAnsi="宋体" w:cs="Arial"/>
          <w:kern w:val="0"/>
          <w:szCs w:val="32"/>
          <w:lang w:eastAsia="zh-CN"/>
        </w:rPr>
        <w:t>　</w:t>
      </w:r>
      <w:r>
        <w:rPr>
          <w:rFonts w:hint="eastAsia" w:ascii="宋体" w:hAnsi="宋体" w:cs="Arial"/>
          <w:kern w:val="0"/>
          <w:szCs w:val="32"/>
        </w:rPr>
        <w:t>广告主、广告经营者、广告发布者不得在广告活动中进行任何形式的不正当竞争。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第三十二条</w:t>
      </w:r>
      <w:r>
        <w:rPr>
          <w:rFonts w:hint="eastAsia" w:ascii="宋体" w:hAnsi="宋体" w:cs="Arial"/>
          <w:kern w:val="0"/>
          <w:szCs w:val="32"/>
          <w:lang w:eastAsia="zh-CN"/>
        </w:rPr>
        <w:t>　</w:t>
      </w:r>
      <w:r>
        <w:rPr>
          <w:rFonts w:hint="eastAsia" w:ascii="宋体" w:hAnsi="宋体" w:cs="Arial"/>
          <w:kern w:val="0"/>
          <w:szCs w:val="32"/>
        </w:rPr>
        <w:t>广告主委托设计、制作、发布广告，应当委托具有合法经营资格的广告经营者、广告发布者。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第三十三条</w:t>
      </w:r>
      <w:r>
        <w:rPr>
          <w:rFonts w:hint="eastAsia" w:ascii="宋体" w:hAnsi="宋体" w:cs="Arial"/>
          <w:kern w:val="0"/>
          <w:szCs w:val="32"/>
          <w:lang w:eastAsia="zh-CN"/>
        </w:rPr>
        <w:t>　</w:t>
      </w:r>
      <w:r>
        <w:rPr>
          <w:rFonts w:hint="eastAsia" w:ascii="宋体" w:hAnsi="宋体" w:cs="Arial"/>
          <w:kern w:val="0"/>
          <w:szCs w:val="32"/>
        </w:rPr>
        <w:t>广告主或者广告经营者在广告中使用他人名义或者形象的，应当事先取得其书面同意；使用无民事行为能力人、限制民事行为能力人的名义或者形象的，应当事先取得其监护人的书面同意。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第三十四条</w:t>
      </w:r>
      <w:r>
        <w:rPr>
          <w:rFonts w:hint="eastAsia" w:ascii="宋体" w:hAnsi="宋体" w:cs="Arial"/>
          <w:kern w:val="0"/>
          <w:szCs w:val="32"/>
          <w:lang w:eastAsia="zh-CN"/>
        </w:rPr>
        <w:t>　</w:t>
      </w:r>
      <w:r>
        <w:rPr>
          <w:rFonts w:hint="eastAsia" w:ascii="宋体" w:hAnsi="宋体" w:cs="Arial"/>
          <w:kern w:val="0"/>
          <w:szCs w:val="32"/>
        </w:rPr>
        <w:t>广告经营者、广告发布者应当按照国家有关规定，建立、健全广告业务的承接登记、审核、档案管理制度。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广告经营者、广告发布者依据法律、行政法规查验有关证明文件，核对广告内容。对内容不符或者证明文件不全的广告，广告经营者不得提供设计、制作、代理服务，广告发布者不得发布。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第三十五条</w:t>
      </w:r>
      <w:r>
        <w:rPr>
          <w:rFonts w:hint="eastAsia" w:ascii="宋体" w:hAnsi="宋体" w:cs="Arial"/>
          <w:kern w:val="0"/>
          <w:szCs w:val="32"/>
          <w:lang w:eastAsia="zh-CN"/>
        </w:rPr>
        <w:t>　</w:t>
      </w:r>
      <w:r>
        <w:rPr>
          <w:rFonts w:hint="eastAsia" w:ascii="宋体" w:hAnsi="宋体" w:cs="Arial"/>
          <w:kern w:val="0"/>
          <w:szCs w:val="32"/>
        </w:rPr>
        <w:t>广告经营者、广告发布者应当公布其收费标准和收费办法。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第三十六条</w:t>
      </w:r>
      <w:r>
        <w:rPr>
          <w:rFonts w:hint="eastAsia" w:ascii="宋体" w:hAnsi="宋体" w:cs="Arial"/>
          <w:kern w:val="0"/>
          <w:szCs w:val="32"/>
          <w:lang w:eastAsia="zh-CN"/>
        </w:rPr>
        <w:t>　</w:t>
      </w:r>
      <w:r>
        <w:rPr>
          <w:rFonts w:hint="eastAsia" w:ascii="宋体" w:hAnsi="宋体" w:cs="Arial"/>
          <w:kern w:val="0"/>
          <w:szCs w:val="32"/>
        </w:rPr>
        <w:t>广告发布者向广告主、广告经营者提供的覆盖率、收视率、点击率、发行量等资料应当真实。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第三十七条</w:t>
      </w:r>
      <w:r>
        <w:rPr>
          <w:rFonts w:hint="eastAsia" w:ascii="宋体" w:hAnsi="宋体" w:cs="Arial"/>
          <w:kern w:val="0"/>
          <w:szCs w:val="32"/>
          <w:lang w:eastAsia="zh-CN"/>
        </w:rPr>
        <w:t>　</w:t>
      </w:r>
      <w:r>
        <w:rPr>
          <w:rFonts w:hint="eastAsia" w:ascii="宋体" w:hAnsi="宋体" w:cs="Arial"/>
          <w:kern w:val="0"/>
          <w:szCs w:val="32"/>
        </w:rPr>
        <w:t>法律、行政法规规定禁止生产、销售的产品或者提供的服务，以及禁止发布广告的商品或者服务，任何单位或者个人不得设计、制作、代理、发布广告。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第三十八条</w:t>
      </w:r>
      <w:r>
        <w:rPr>
          <w:rFonts w:hint="eastAsia" w:ascii="宋体" w:hAnsi="宋体" w:cs="Arial"/>
          <w:kern w:val="0"/>
          <w:szCs w:val="32"/>
          <w:lang w:eastAsia="zh-CN"/>
        </w:rPr>
        <w:t>　</w:t>
      </w:r>
      <w:r>
        <w:rPr>
          <w:rFonts w:hint="eastAsia" w:ascii="宋体" w:hAnsi="宋体" w:cs="Arial"/>
          <w:kern w:val="0"/>
          <w:szCs w:val="32"/>
        </w:rPr>
        <w:t>广告代言人在广告中对商品、服务作推荐、证明，应当依据事实，符合本法和有关法律、行政法规规定，并不得为其未使用过的商品或者未接受过的服务作推荐、证明。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不得利用不满十周岁的未成年人作为广告代言人。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对在虚假广告中作推荐、证明受到行政处罚未满三年的自然人、法人或者其他组织，不得利用其作为广告代言人。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第三十九条</w:t>
      </w:r>
      <w:r>
        <w:rPr>
          <w:rFonts w:hint="eastAsia" w:ascii="宋体" w:hAnsi="宋体" w:cs="Arial"/>
          <w:kern w:val="0"/>
          <w:szCs w:val="32"/>
          <w:lang w:eastAsia="zh-CN"/>
        </w:rPr>
        <w:t>　</w:t>
      </w:r>
      <w:r>
        <w:rPr>
          <w:rFonts w:hint="eastAsia" w:ascii="宋体" w:hAnsi="宋体" w:cs="Arial"/>
          <w:kern w:val="0"/>
          <w:szCs w:val="32"/>
        </w:rPr>
        <w:t>不得在中小学校、幼儿园内开展广告活动，不得利用中小学生和幼儿的教材、教辅材料、练习册、文具、教具、校服、校车等发布或者变相发布广告，但公益广告除外。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第四十条</w:t>
      </w:r>
      <w:r>
        <w:rPr>
          <w:rFonts w:hint="eastAsia" w:ascii="宋体" w:hAnsi="宋体" w:cs="Arial"/>
          <w:kern w:val="0"/>
          <w:szCs w:val="32"/>
          <w:lang w:eastAsia="zh-CN"/>
        </w:rPr>
        <w:t>　</w:t>
      </w:r>
      <w:r>
        <w:rPr>
          <w:rFonts w:hint="eastAsia" w:ascii="宋体" w:hAnsi="宋体" w:cs="Arial"/>
          <w:kern w:val="0"/>
          <w:szCs w:val="32"/>
        </w:rPr>
        <w:t>在针对未成年人的大众传播媒介上不得发布医疗、药品、保健食品、医疗器械、化妆品、酒类、美容广告，以及不利于未成年人身心健康的网络游戏广告。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针对不满十四周岁的未成年人的商品或者服务的广告不得含有下列内容：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（一）劝诱其要求家长购买广告商品或者服务；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（二）可能引发其模仿不安全行为。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第四十一条</w:t>
      </w:r>
      <w:r>
        <w:rPr>
          <w:rFonts w:hint="eastAsia" w:ascii="宋体" w:hAnsi="宋体" w:cs="Arial"/>
          <w:kern w:val="0"/>
          <w:szCs w:val="32"/>
          <w:lang w:eastAsia="zh-CN"/>
        </w:rPr>
        <w:t>　</w:t>
      </w:r>
      <w:r>
        <w:rPr>
          <w:rFonts w:hint="eastAsia" w:ascii="宋体" w:hAnsi="宋体" w:cs="Arial"/>
          <w:kern w:val="0"/>
          <w:szCs w:val="32"/>
        </w:rPr>
        <w:t>县级以上地方人民政府应当组织有关部门加强对利用户外场所、空间、设施等发布户外广告的监督管理，制定户外广告设置规划和安全要求。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户外广告的管理办法，由地方性法规、地方政府规章规定。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第四十二条</w:t>
      </w:r>
      <w:r>
        <w:rPr>
          <w:rFonts w:hint="eastAsia" w:ascii="宋体" w:hAnsi="宋体" w:cs="Arial"/>
          <w:kern w:val="0"/>
          <w:szCs w:val="32"/>
          <w:lang w:eastAsia="zh-CN"/>
        </w:rPr>
        <w:t>　</w:t>
      </w:r>
      <w:r>
        <w:rPr>
          <w:rFonts w:hint="eastAsia" w:ascii="宋体" w:hAnsi="宋体" w:cs="Arial"/>
          <w:kern w:val="0"/>
          <w:szCs w:val="32"/>
        </w:rPr>
        <w:t>有下列情形之一的，不得设置户外广告：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（一）利用交通安全设施、交通标志的；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（二）影响市政公共设施、交通安全设施、交通标志、消防设施、消防安全标志使用的；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（三）妨碍生产或者人民生活，损害市容市貌的；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（四）在国家机关、文物保护单位、风景名胜区等的建筑控制地带，或者县级以上地方人民政府禁止设置户外广告的区域设置的。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第四十三条</w:t>
      </w:r>
      <w:r>
        <w:rPr>
          <w:rFonts w:hint="eastAsia" w:ascii="宋体" w:hAnsi="宋体" w:cs="Arial"/>
          <w:kern w:val="0"/>
          <w:szCs w:val="32"/>
          <w:lang w:eastAsia="zh-CN"/>
        </w:rPr>
        <w:t>　</w:t>
      </w:r>
      <w:r>
        <w:rPr>
          <w:rFonts w:hint="eastAsia" w:ascii="宋体" w:hAnsi="宋体" w:cs="Arial"/>
          <w:kern w:val="0"/>
          <w:szCs w:val="32"/>
        </w:rPr>
        <w:t>任何单位或者个人未经当事人同意或者请求，不得向其住宅、交通工具等发送广告，也不得以电子信息方式向其发送广告。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以电子信息方式发送广告的，应当明示发送者的真实身份和联系方式，并向接收者提供拒绝继续接收的方式。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第四十四条</w:t>
      </w:r>
      <w:r>
        <w:rPr>
          <w:rFonts w:hint="eastAsia" w:ascii="宋体" w:hAnsi="宋体" w:cs="Arial"/>
          <w:kern w:val="0"/>
          <w:szCs w:val="32"/>
          <w:lang w:eastAsia="zh-CN"/>
        </w:rPr>
        <w:t>　</w:t>
      </w:r>
      <w:r>
        <w:rPr>
          <w:rFonts w:hint="eastAsia" w:ascii="宋体" w:hAnsi="宋体" w:cs="Arial"/>
          <w:kern w:val="0"/>
          <w:szCs w:val="32"/>
        </w:rPr>
        <w:t>利用互联网从事广告活动，适用本法的各项规定。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利用互联网发布、发送广告，不得影响用户正常使用网络。在互联网页面以弹出等形式发布的广告，应当显著标明关闭标志，确保一键关闭。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第四十五条</w:t>
      </w:r>
      <w:r>
        <w:rPr>
          <w:rFonts w:hint="eastAsia" w:ascii="宋体" w:hAnsi="宋体" w:cs="Arial"/>
          <w:kern w:val="0"/>
          <w:szCs w:val="32"/>
          <w:lang w:eastAsia="zh-CN"/>
        </w:rPr>
        <w:t>　</w:t>
      </w:r>
      <w:r>
        <w:rPr>
          <w:rFonts w:hint="eastAsia" w:ascii="宋体" w:hAnsi="宋体" w:cs="Arial"/>
          <w:kern w:val="0"/>
          <w:szCs w:val="32"/>
        </w:rPr>
        <w:t>公共场所的管理者或者电信业务经营者、互联网信息服务提供者对其明知或者应知的利用其场所或者信息传输、发布平台发送、发布违法广告的，应当予以制止。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w:t>
      </w:r>
      <w:r>
        <w:rPr>
          <w:rFonts w:hint="eastAsia" w:ascii="宋体" w:hAnsi="宋体" w:eastAsia="黑体" w:cs="黑体"/>
          <w:kern w:val="0"/>
          <w:szCs w:val="32"/>
          <w:lang w:eastAsia="zh-CN"/>
        </w:rPr>
        <w:t>　</w:t>
      </w:r>
      <w:r>
        <w:rPr>
          <w:rFonts w:hint="eastAsia" w:ascii="宋体" w:hAnsi="宋体" w:eastAsia="黑体" w:cs="黑体"/>
          <w:kern w:val="0"/>
          <w:szCs w:val="32"/>
        </w:rPr>
        <w:t>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第四十六条</w:t>
      </w:r>
      <w:r>
        <w:rPr>
          <w:rFonts w:hint="eastAsia" w:ascii="宋体" w:hAnsi="宋体" w:cs="Arial"/>
          <w:kern w:val="0"/>
          <w:szCs w:val="32"/>
          <w:lang w:eastAsia="zh-CN"/>
        </w:rPr>
        <w:t>　</w:t>
      </w:r>
      <w:r>
        <w:rPr>
          <w:rFonts w:hint="eastAsia" w:ascii="宋体" w:hAnsi="宋体" w:cs="Arial"/>
          <w:kern w:val="0"/>
          <w:szCs w:val="32"/>
        </w:rPr>
        <w:t>发布医疗、药品、医疗器械、农药、兽药和保健食品广告，以及法律、行政法规规定应当进行审查的其他广告，应当在发布前由有关部门（以下称广告审查机关）对广告内容进行审查；未经审查，不得发布。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第四十七条</w:t>
      </w:r>
      <w:r>
        <w:rPr>
          <w:rFonts w:hint="eastAsia" w:ascii="宋体" w:hAnsi="宋体" w:cs="Arial"/>
          <w:kern w:val="0"/>
          <w:szCs w:val="32"/>
          <w:lang w:eastAsia="zh-CN"/>
        </w:rPr>
        <w:t>　</w:t>
      </w:r>
      <w:r>
        <w:rPr>
          <w:rFonts w:hint="eastAsia" w:ascii="宋体" w:hAnsi="宋体" w:cs="Arial"/>
          <w:kern w:val="0"/>
          <w:szCs w:val="32"/>
        </w:rPr>
        <w:t>广告主申请广告审查，应当依照法律、行政法规向广告审查机关提交有关证明文件。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广告审查机关应当依照法律、行政法规规定作出审查决定，并应当将审查批准文件抄送同级市场监督管理部门。广告审查机关应当及时向社会公布批准的广告。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第四十八条</w:t>
      </w:r>
      <w:r>
        <w:rPr>
          <w:rFonts w:hint="eastAsia" w:ascii="宋体" w:hAnsi="宋体" w:cs="Arial"/>
          <w:kern w:val="0"/>
          <w:szCs w:val="32"/>
          <w:lang w:eastAsia="zh-CN"/>
        </w:rPr>
        <w:t>　</w:t>
      </w:r>
      <w:r>
        <w:rPr>
          <w:rFonts w:hint="eastAsia" w:ascii="宋体" w:hAnsi="宋体" w:cs="Arial"/>
          <w:kern w:val="0"/>
          <w:szCs w:val="32"/>
        </w:rPr>
        <w:t>任何单位或者个人不得伪造、变造或者转让广告审查批准文件。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第四十九条</w:t>
      </w:r>
      <w:r>
        <w:rPr>
          <w:rFonts w:hint="eastAsia" w:ascii="宋体" w:hAnsi="宋体" w:cs="Arial"/>
          <w:kern w:val="0"/>
          <w:szCs w:val="32"/>
          <w:lang w:eastAsia="zh-CN"/>
        </w:rPr>
        <w:t>　</w:t>
      </w:r>
      <w:r>
        <w:rPr>
          <w:rFonts w:hint="eastAsia" w:ascii="宋体" w:hAnsi="宋体" w:cs="Arial"/>
          <w:kern w:val="0"/>
          <w:szCs w:val="32"/>
        </w:rPr>
        <w:t>市场监督管理部门履行广告监督管理职责，可以行使下列职权：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（一）对涉嫌从事违法广告活动的场所实施现场检查；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（二）询问涉嫌违法当事人或者其法定代表人、主要负责人和其他有关人员，对有关单位或者个人进行调查；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（三）要求涉嫌违法当事人限期提供有关证明文件；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（四）查阅、复制与涉嫌违法广告有关的合同、票据、账簿、广告作品和其他有关资料；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（五）查封、扣押与涉嫌违法广告直接相关的广告物品、经营工具、设备等财物；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（六）责令暂停发布可能造成严重后果的涉嫌违法广告；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（七）法律、行政法规规定的其他职权。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市场监督管理部门应当建立健全广告监测制度，完善监测措施，及时发现和依法查处违法广告行为。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第五十条</w:t>
      </w:r>
      <w:r>
        <w:rPr>
          <w:rFonts w:hint="eastAsia" w:ascii="宋体" w:hAnsi="宋体" w:cs="Arial"/>
          <w:kern w:val="0"/>
          <w:szCs w:val="32"/>
          <w:lang w:eastAsia="zh-CN"/>
        </w:rPr>
        <w:t>　</w:t>
      </w:r>
      <w:r>
        <w:rPr>
          <w:rFonts w:hint="eastAsia" w:ascii="宋体" w:hAnsi="宋体" w:cs="Arial"/>
          <w:kern w:val="0"/>
          <w:szCs w:val="32"/>
        </w:rPr>
        <w:t>国务院市场监督管理部门会同国务院有关部门，制定大众传播媒介广告发布行为规范。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第五十一条</w:t>
      </w:r>
      <w:r>
        <w:rPr>
          <w:rFonts w:hint="eastAsia" w:ascii="宋体" w:hAnsi="宋体" w:cs="Arial"/>
          <w:kern w:val="0"/>
          <w:szCs w:val="32"/>
          <w:lang w:eastAsia="zh-CN"/>
        </w:rPr>
        <w:t>　</w:t>
      </w:r>
      <w:r>
        <w:rPr>
          <w:rFonts w:hint="eastAsia" w:ascii="宋体" w:hAnsi="宋体" w:cs="Arial"/>
          <w:kern w:val="0"/>
          <w:szCs w:val="32"/>
        </w:rPr>
        <w:t>市场监督管理部门依照本法规定行使职权，当事人应当协助、配合，不得拒绝、阻挠。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第五十二条</w:t>
      </w:r>
      <w:r>
        <w:rPr>
          <w:rFonts w:hint="eastAsia" w:ascii="宋体" w:hAnsi="宋体" w:cs="Arial"/>
          <w:kern w:val="0"/>
          <w:szCs w:val="32"/>
          <w:lang w:eastAsia="zh-CN"/>
        </w:rPr>
        <w:t>　</w:t>
      </w:r>
      <w:r>
        <w:rPr>
          <w:rFonts w:hint="eastAsia" w:ascii="宋体" w:hAnsi="宋体" w:cs="Arial"/>
          <w:kern w:val="0"/>
          <w:szCs w:val="32"/>
        </w:rPr>
        <w:t>市场监督管理部门和有关部门及其工作人员对其在广告监督管理活动中知悉的商业秘密负有保密义务。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第五十三条</w:t>
      </w:r>
      <w:r>
        <w:rPr>
          <w:rFonts w:hint="eastAsia" w:ascii="宋体" w:hAnsi="宋体" w:cs="Arial"/>
          <w:kern w:val="0"/>
          <w:szCs w:val="32"/>
          <w:lang w:eastAsia="zh-CN"/>
        </w:rPr>
        <w:t>　</w:t>
      </w:r>
      <w:r>
        <w:rPr>
          <w:rFonts w:hint="eastAsia" w:ascii="宋体" w:hAnsi="宋体" w:cs="Arial"/>
          <w:kern w:val="0"/>
          <w:szCs w:val="32"/>
        </w:rPr>
        <w:t>任何单位或者个人有权向市场监督管理部门和有关部门投诉、举报违反本法的行为。市场监督管理部门和有关部门应当向社会公开受理投诉、举报的电话、信箱或者电子邮件地址，接到投诉、举报的部门应当自收到投诉之日起七个工作日内，予以处理并告知投诉、举报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市场监督管理部门和有关部门不依法履行职责的，任何单位或者个人有权向其上级机关或者监察机关举报。接到举报的机关应当依法作出处理，并将处理结果及时告知举报人。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有关部门应当为投诉、举报人保密。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第五十四条</w:t>
      </w:r>
      <w:r>
        <w:rPr>
          <w:rFonts w:hint="eastAsia" w:ascii="宋体" w:hAnsi="宋体" w:cs="Arial"/>
          <w:kern w:val="0"/>
          <w:szCs w:val="32"/>
          <w:lang w:eastAsia="zh-CN"/>
        </w:rPr>
        <w:t>　</w:t>
      </w:r>
      <w:r>
        <w:rPr>
          <w:rFonts w:hint="eastAsia" w:ascii="宋体" w:hAnsi="宋体" w:cs="Arial"/>
          <w:kern w:val="0"/>
          <w:szCs w:val="32"/>
        </w:rPr>
        <w:t>消费者协会和其他消费者组织对违反本法规定，发布虚假广告侵害消费者合法权益，以及其他损害社会公共利益的行为，依法进行社会监督。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w:t>
      </w:r>
      <w:r>
        <w:rPr>
          <w:rFonts w:hint="eastAsia" w:ascii="宋体" w:hAnsi="宋体" w:eastAsia="黑体" w:cs="黑体"/>
          <w:kern w:val="0"/>
          <w:szCs w:val="32"/>
          <w:lang w:eastAsia="zh-CN"/>
        </w:rPr>
        <w:t>　</w:t>
      </w:r>
      <w:r>
        <w:rPr>
          <w:rFonts w:hint="eastAsia" w:ascii="宋体" w:hAnsi="宋体" w:eastAsia="黑体" w:cs="黑体"/>
          <w:kern w:val="0"/>
          <w:szCs w:val="32"/>
        </w:rPr>
        <w:t>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第五十五条</w:t>
      </w:r>
      <w:r>
        <w:rPr>
          <w:rFonts w:hint="eastAsia" w:ascii="宋体" w:hAnsi="宋体" w:cs="Arial"/>
          <w:kern w:val="0"/>
          <w:szCs w:val="32"/>
          <w:lang w:eastAsia="zh-CN"/>
        </w:rPr>
        <w:t>　</w:t>
      </w:r>
      <w:r>
        <w:rPr>
          <w:rFonts w:hint="eastAsia" w:ascii="宋体" w:hAnsi="宋体" w:cs="Arial"/>
          <w:kern w:val="0"/>
          <w:szCs w:val="32"/>
        </w:rPr>
        <w:t>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医疗机构有前款规定违法行为，情节严重的，除由市场监督管理部门依照本法处罚外，卫生行政部门可以吊销诊疗科目或者吊销医疗机构执业许可证。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广告主、广告经营者、广告发布者有本条第一款、第三款规定行为，构成犯罪的，依法追究刑事责任。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第五十六条</w:t>
      </w:r>
      <w:r>
        <w:rPr>
          <w:rFonts w:hint="eastAsia" w:ascii="宋体" w:hAnsi="宋体" w:cs="Arial"/>
          <w:kern w:val="0"/>
          <w:szCs w:val="32"/>
          <w:lang w:eastAsia="zh-CN"/>
        </w:rPr>
        <w:t>　</w:t>
      </w:r>
      <w:r>
        <w:rPr>
          <w:rFonts w:hint="eastAsia" w:ascii="宋体" w:hAnsi="宋体" w:cs="Arial"/>
          <w:kern w:val="0"/>
          <w:szCs w:val="32"/>
        </w:rPr>
        <w:t>违反本法规定，发布虚假广告，欺骗、误导消费者，使购买商品或者接受服务的消费者的合法权益受到损害的，由广告主依法承担民事责任。广告经营者、广告发布者不能提供广告主的真实名称、地址和有效联系方式的，消费者可以要求广告经营者、广告发布者先行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关系消费者生命健康的商品或者服务的虚假广告，造成消费者损害的，其广告经营者、广告发布者、广告代言人应当与广告主承担连带责任。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前款规定以外的商品或者服务的虚假广告，造成消费者损害的，其广告经营者、广告发布者、广告代言人，明知或者应知广告虚假仍设计、制作、代理、发布或者作推荐、证明的，应当与广告主承担连带责任。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第五十七条</w:t>
      </w:r>
      <w:r>
        <w:rPr>
          <w:rFonts w:hint="eastAsia" w:ascii="宋体" w:hAnsi="宋体" w:cs="Arial"/>
          <w:kern w:val="0"/>
          <w:szCs w:val="32"/>
          <w:lang w:eastAsia="zh-CN"/>
        </w:rPr>
        <w:t>　</w:t>
      </w:r>
      <w:r>
        <w:rPr>
          <w:rFonts w:hint="eastAsia" w:ascii="宋体" w:hAnsi="宋体" w:cs="Arial"/>
          <w:kern w:val="0"/>
          <w:szCs w:val="32"/>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w:t>
      </w:r>
      <w:r>
        <w:rPr>
          <w:rFonts w:hint="eastAsia" w:ascii="宋体" w:hAnsi="宋体" w:eastAsia="仿宋_GB2312" w:cs="仿宋_GB2312"/>
          <w:kern w:val="0"/>
          <w:szCs w:val="32"/>
        </w:rPr>
        <w:t>广告发布登记证件：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（一）发布有本法第九条、第十条规定的禁止情形的广告的；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（二）违反本法第十五条规定发布处方药广告、药品类易制毒化学品广告、戒毒治疗的医疗器械和治疗方法广告的；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（三）违反本法第二十条规定，发布声称全部或者部分替代母乳的婴儿乳制品、饮料和其他食品广告的；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（四）违反本法第二十二条规定发布烟草广告的；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（五）违反本法第三十七条规定，利用广告推销禁止生产、销售的产品或者提供的服务，或者禁止发布广告的商品或者服务的；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（六）违反本法第四十条第一款规定，在针对未成年人的大众传播媒介上发布医疗、药品、保健食品、医疗器械、化妆品、酒类、美容广告，以及不利于未成年人身心健康的网络游戏广告的。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第五十八条</w:t>
      </w:r>
      <w:r>
        <w:rPr>
          <w:rFonts w:hint="eastAsia" w:ascii="宋体" w:hAnsi="宋体" w:cs="Arial"/>
          <w:kern w:val="0"/>
          <w:szCs w:val="32"/>
          <w:lang w:eastAsia="zh-CN"/>
        </w:rPr>
        <w:t>　</w:t>
      </w:r>
      <w:r>
        <w:rPr>
          <w:rFonts w:hint="eastAsia" w:ascii="宋体" w:hAnsi="宋体" w:cs="Arial"/>
          <w:kern w:val="0"/>
          <w:szCs w:val="32"/>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w:t>
      </w:r>
      <w:r>
        <w:rPr>
          <w:rFonts w:hint="eastAsia" w:ascii="宋体" w:hAnsi="宋体" w:eastAsia="仿宋_GB2312" w:cs="仿宋_GB2312"/>
          <w:kern w:val="0"/>
          <w:szCs w:val="32"/>
        </w:rPr>
        <w:t>查机关撤销广告审查批准文件、一年内不受理其广告审查申请：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（一）违反本法第十六条规定发布医疗、药品、医疗器械广告的；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（二）违反本法第十七条规定，在广告中涉及疾病治疗功能，以及使用医疗用语或者易使推销的商品与药品、医疗器械相混淆的用语的；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（三）违反本法第十八条规定发布保健食品广告的；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（四）违反本法第二十一条规定发布农药、兽药、饲料和饲料添加剂广告的；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（五）违反本法第二十三条规定发布酒类广告的；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（六）违反本法第二十四条规定发布教育、培训广告的；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（七）违反本法第二十五条规定发布招商等有投资回报预期的商品或者服务广告的；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（八）违反本法第二十六条规定发布房地产广告的；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（九）违反本法第二十七条规定发布农作物种子、林木种子、草种子、种畜禽、水产苗种和种养殖广告的；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（十）违反本法第三十八条第二款规定，利用不满十周岁的未成年人作为广告代言人的；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（十一）违反本法第三十八条第三款规定，利用自然人、法人或者其他组织作为广告代言人的；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（十二）违反本法第三十九条规定，在中小学校、幼儿园内或者利用与中小学生、幼儿有关的物品发布广告的；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（十三）违反本法第四十条第二款规定，发布针对不满十四周岁的未成年人的商品或者服务的广告的；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（十四）违反本法第四十六条规定，未经审查发布广告的。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cs="Arial"/>
          <w:kern w:val="0"/>
          <w:szCs w:val="32"/>
        </w:rPr>
        <w:t>医疗机构有前款规定违法行为，情节严重的，除由市场监督管理部门依照本法处罚外，卫生行政部门可以吊销诊疗科目或者吊销医疗机构执业许可证。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第五十九条</w:t>
      </w:r>
      <w:r>
        <w:rPr>
          <w:rFonts w:hint="eastAsia" w:ascii="宋体" w:hAnsi="宋体" w:cs="Arial"/>
          <w:kern w:val="0"/>
          <w:szCs w:val="32"/>
          <w:lang w:eastAsia="zh-CN"/>
        </w:rPr>
        <w:t>　</w:t>
      </w:r>
      <w:r>
        <w:rPr>
          <w:rFonts w:hint="eastAsia" w:ascii="宋体" w:hAnsi="宋体" w:cs="Arial"/>
          <w:kern w:val="0"/>
          <w:szCs w:val="32"/>
        </w:rPr>
        <w:t>有下列行为之一的，由市场监督管理部门责令停止发布广告，对广告主处十万元以下的罚款：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（一）广告内容违反本法第八条规定的；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（二）广告引证内容违反本法第十一条规定的；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（三）涉及专利的广告违反本法第十二条规定的；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（四）违反本法第十三条规定，广告贬低其他生产经营者的</w:t>
      </w:r>
      <w:r>
        <w:rPr>
          <w:rFonts w:hint="eastAsia" w:ascii="宋体" w:hAnsi="宋体" w:cs="Arial"/>
          <w:kern w:val="0"/>
          <w:szCs w:val="32"/>
        </w:rPr>
        <w:t>商品或者服务的。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广告经营者、广告发布者明知或者应知有前款规定违法行为仍设计、制作、代理、发布的，由市场监督管理部门处十万元以下的罚款。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广告违反本法第十四条规定，不具有可识别性的，或者违反本法第十九条规定，变相发布医疗、药品、医疗器械、保健食品</w:t>
      </w:r>
      <w:r>
        <w:rPr>
          <w:rFonts w:hint="eastAsia" w:ascii="宋体" w:hAnsi="宋体" w:cs="Arial"/>
          <w:kern w:val="0"/>
          <w:szCs w:val="32"/>
        </w:rPr>
        <w:t>广告的，由市场监督管理部门责令改正，对广告发布者处十万元以下的罚款。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第六十条</w:t>
      </w:r>
      <w:r>
        <w:rPr>
          <w:rFonts w:hint="eastAsia" w:ascii="宋体" w:hAnsi="宋体" w:cs="Arial"/>
          <w:kern w:val="0"/>
          <w:szCs w:val="32"/>
          <w:lang w:eastAsia="zh-CN"/>
        </w:rPr>
        <w:t>　</w:t>
      </w:r>
      <w:r>
        <w:rPr>
          <w:rFonts w:hint="eastAsia" w:ascii="宋体" w:hAnsi="宋体" w:cs="Arial"/>
          <w:kern w:val="0"/>
          <w:szCs w:val="32"/>
        </w:rPr>
        <w:t>违反本</w:t>
      </w:r>
      <w:r>
        <w:rPr>
          <w:rFonts w:hint="eastAsia" w:ascii="宋体" w:hAnsi="宋体" w:eastAsia="仿宋_GB2312" w:cs="仿宋_GB2312"/>
          <w:kern w:val="0"/>
          <w:szCs w:val="32"/>
        </w:rPr>
        <w:t>法第二十九条规</w:t>
      </w:r>
      <w:r>
        <w:rPr>
          <w:rFonts w:hint="eastAsia" w:ascii="宋体" w:hAnsi="宋体" w:cs="Arial"/>
          <w:kern w:val="0"/>
          <w:szCs w:val="32"/>
        </w:rPr>
        <w:t>定，广播电台、电视台、报刊出版单位未办理广告发布登记，擅自从事广告发布业务的，由市场监督管理部门责令改正，没收违法所得，违法所得一万元以上的，并处违法所得一倍以上三倍以下的罚款；违法所得不足一万元的，并处五千元以上三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第六十一条</w:t>
      </w:r>
      <w:r>
        <w:rPr>
          <w:rFonts w:hint="eastAsia" w:ascii="宋体" w:hAnsi="宋体" w:cs="Arial"/>
          <w:kern w:val="0"/>
          <w:szCs w:val="32"/>
          <w:lang w:eastAsia="zh-CN"/>
        </w:rPr>
        <w:t>　</w:t>
      </w:r>
      <w:r>
        <w:rPr>
          <w:rFonts w:hint="eastAsia" w:ascii="宋体" w:hAnsi="宋体" w:cs="Arial"/>
          <w:kern w:val="0"/>
          <w:szCs w:val="32"/>
        </w:rPr>
        <w:t>违反本</w:t>
      </w:r>
      <w:r>
        <w:rPr>
          <w:rFonts w:hint="eastAsia" w:ascii="宋体" w:hAnsi="宋体" w:eastAsia="仿宋_GB2312" w:cs="仿宋_GB2312"/>
          <w:kern w:val="0"/>
          <w:szCs w:val="32"/>
        </w:rPr>
        <w:t>法第三十四条规定，广告</w:t>
      </w:r>
      <w:r>
        <w:rPr>
          <w:rFonts w:hint="eastAsia" w:ascii="宋体" w:hAnsi="宋体" w:cs="Arial"/>
          <w:kern w:val="0"/>
          <w:szCs w:val="32"/>
        </w:rPr>
        <w:t>经营者、广告发布者未按照国家有关规定建立、健全广告业务管理制度的，或者未对广告内容进行核对的，由市场监督管理部门责令改正，可以处五万元以下的罚款。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违反本</w:t>
      </w:r>
      <w:r>
        <w:rPr>
          <w:rFonts w:hint="eastAsia" w:ascii="宋体" w:hAnsi="宋体" w:eastAsia="仿宋_GB2312" w:cs="仿宋_GB2312"/>
          <w:kern w:val="0"/>
          <w:szCs w:val="32"/>
        </w:rPr>
        <w:t>法第三十五条规</w:t>
      </w:r>
      <w:r>
        <w:rPr>
          <w:rFonts w:hint="eastAsia" w:ascii="宋体" w:hAnsi="宋体" w:cs="Arial"/>
          <w:kern w:val="0"/>
          <w:szCs w:val="32"/>
        </w:rPr>
        <w:t>定，广告经营者、广告发布者未公布其收费标准和收费办法的，由价格主管部门责令改正，可以处五万元以下的罚款。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第六十二条</w:t>
      </w:r>
      <w:r>
        <w:rPr>
          <w:rFonts w:hint="eastAsia" w:ascii="宋体" w:hAnsi="宋体" w:cs="Arial"/>
          <w:kern w:val="0"/>
          <w:szCs w:val="32"/>
          <w:lang w:eastAsia="zh-CN"/>
        </w:rPr>
        <w:t>　</w:t>
      </w:r>
      <w:r>
        <w:rPr>
          <w:rFonts w:hint="eastAsia" w:ascii="宋体" w:hAnsi="宋体" w:cs="Arial"/>
          <w:kern w:val="0"/>
          <w:szCs w:val="32"/>
        </w:rPr>
        <w:t>广告代言人有下列情形之一的，由市场监督管理部门没收违法所得，并处违法所得一倍以上二倍以下的罚款：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（一）违反本法第十六条第一款第四项规定，在医疗、药品、医疗器械广告中作推荐、证明的；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（二）违反本法第十八条第一款第五项规定，在保健食品广告中作推荐、证明的；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（三）违反本法第三十八条第一款规定，为其未使用过的商品或者未接受过的服务作推荐、证明的；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（四）明知或者应知广告虚假仍在广告中对商品、服务作推荐、证明的。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第六十三条</w:t>
      </w:r>
      <w:r>
        <w:rPr>
          <w:rFonts w:hint="eastAsia" w:ascii="宋体" w:hAnsi="宋体" w:cs="Arial"/>
          <w:kern w:val="0"/>
          <w:szCs w:val="32"/>
          <w:lang w:eastAsia="zh-CN"/>
        </w:rPr>
        <w:t>　</w:t>
      </w:r>
      <w:r>
        <w:rPr>
          <w:rFonts w:hint="eastAsia" w:ascii="宋体" w:hAnsi="宋体" w:cs="Arial"/>
          <w:kern w:val="0"/>
          <w:szCs w:val="32"/>
        </w:rPr>
        <w:t>违</w:t>
      </w:r>
      <w:r>
        <w:rPr>
          <w:rFonts w:hint="eastAsia" w:ascii="宋体" w:hAnsi="宋体" w:eastAsia="仿宋_GB2312" w:cs="仿宋_GB2312"/>
          <w:kern w:val="0"/>
          <w:szCs w:val="32"/>
        </w:rPr>
        <w:t>反本法第四十三条规定发</w:t>
      </w:r>
      <w:r>
        <w:rPr>
          <w:rFonts w:hint="eastAsia" w:ascii="宋体" w:hAnsi="宋体" w:cs="Arial"/>
          <w:kern w:val="0"/>
          <w:szCs w:val="32"/>
        </w:rPr>
        <w:t>送广告的，由有关部门责令停止违法行为，对广告主处五千元以上三万元以下的罚款。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仿宋_GB2312" w:cs="仿宋_GB2312"/>
          <w:kern w:val="0"/>
          <w:szCs w:val="32"/>
        </w:rPr>
        <w:t>违反本法第四十四条第二款规定，利用互联网发布广告，未显著标明关闭标志，确保一键关闭的，由市场监督管理部门责令改正，对广告主处五千元以上三万元以下的罚款。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第六十四条</w:t>
      </w:r>
      <w:r>
        <w:rPr>
          <w:rFonts w:hint="eastAsia" w:ascii="宋体" w:hAnsi="宋体" w:cs="Arial"/>
          <w:kern w:val="0"/>
          <w:szCs w:val="32"/>
          <w:lang w:eastAsia="zh-CN"/>
        </w:rPr>
        <w:t>　</w:t>
      </w:r>
      <w:r>
        <w:rPr>
          <w:rFonts w:hint="eastAsia" w:ascii="宋体" w:hAnsi="宋体" w:cs="Arial"/>
          <w:kern w:val="0"/>
          <w:szCs w:val="32"/>
        </w:rPr>
        <w:t>违反本</w:t>
      </w:r>
      <w:r>
        <w:rPr>
          <w:rFonts w:hint="eastAsia" w:ascii="宋体" w:hAnsi="宋体" w:eastAsia="仿宋_GB2312" w:cs="仿宋_GB2312"/>
          <w:kern w:val="0"/>
          <w:szCs w:val="32"/>
        </w:rPr>
        <w:t>法第四十五条规定</w:t>
      </w:r>
      <w:r>
        <w:rPr>
          <w:rFonts w:hint="eastAsia" w:ascii="宋体" w:hAnsi="宋体" w:cs="Arial"/>
          <w:kern w:val="0"/>
          <w:szCs w:val="32"/>
        </w:rPr>
        <w:t>，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第六十五条</w:t>
      </w:r>
      <w:r>
        <w:rPr>
          <w:rFonts w:hint="eastAsia" w:ascii="宋体" w:hAnsi="宋体" w:cs="Arial"/>
          <w:kern w:val="0"/>
          <w:szCs w:val="32"/>
          <w:lang w:eastAsia="zh-CN"/>
        </w:rPr>
        <w:t>　</w:t>
      </w:r>
      <w:r>
        <w:rPr>
          <w:rFonts w:hint="eastAsia" w:ascii="宋体" w:hAnsi="宋体" w:cs="Arial"/>
          <w:kern w:val="0"/>
          <w:szCs w:val="32"/>
        </w:rPr>
        <w:t>违反本法规定，隐瞒真实情况或者提供虚假材料申请广告审查的，广告审查机关不予受理或者不予批准，予以警告，一年内不受理该申请人的广告审查申请；以欺骗、贿赂等不正当手段取得广告审查批准的，广告审查机关予以撤销，处十万元以上二十万元以下的罚款，三年内不受理该申请人的广告审查申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第六十六条</w:t>
      </w:r>
      <w:r>
        <w:rPr>
          <w:rFonts w:hint="eastAsia" w:ascii="宋体" w:hAnsi="宋体" w:cs="Arial"/>
          <w:kern w:val="0"/>
          <w:szCs w:val="32"/>
          <w:lang w:eastAsia="zh-CN"/>
        </w:rPr>
        <w:t>　</w:t>
      </w:r>
      <w:r>
        <w:rPr>
          <w:rFonts w:hint="eastAsia" w:ascii="宋体" w:hAnsi="宋体" w:cs="Arial"/>
          <w:kern w:val="0"/>
          <w:szCs w:val="32"/>
        </w:rPr>
        <w:t>违反本法规定，伪造、变造或者转让广告审查批准文件的，由市场监督管理部门没收违法所得，并处一万元以上十万元以下的罚款。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第六十七条</w:t>
      </w:r>
      <w:r>
        <w:rPr>
          <w:rFonts w:hint="eastAsia" w:ascii="宋体" w:hAnsi="宋体" w:cs="Arial"/>
          <w:kern w:val="0"/>
          <w:szCs w:val="32"/>
          <w:lang w:eastAsia="zh-CN"/>
        </w:rPr>
        <w:t>　</w:t>
      </w:r>
      <w:r>
        <w:rPr>
          <w:rFonts w:hint="eastAsia" w:ascii="宋体" w:hAnsi="宋体" w:cs="Arial"/>
          <w:kern w:val="0"/>
          <w:szCs w:val="32"/>
        </w:rPr>
        <w:t>有本法规定的违法行为的，由市场监督管理部门记入信用档案，并依照有关法律、行政法规规定予以公示。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第六十八条</w:t>
      </w:r>
      <w:r>
        <w:rPr>
          <w:rFonts w:hint="eastAsia" w:ascii="宋体" w:hAnsi="宋体" w:cs="Arial"/>
          <w:kern w:val="0"/>
          <w:szCs w:val="32"/>
          <w:lang w:eastAsia="zh-CN"/>
        </w:rPr>
        <w:t>　</w:t>
      </w:r>
      <w:r>
        <w:rPr>
          <w:rFonts w:hint="eastAsia" w:ascii="宋体" w:hAnsi="宋体" w:cs="Arial"/>
          <w:kern w:val="0"/>
          <w:szCs w:val="32"/>
        </w:rPr>
        <w:t>广播电台、电视台、报刊音像出版单位发布违法广告，或者以新闻报道形式变相发布广告，或者以介绍健康、养生知识等形式变相发布医疗、药品、医疗器械、保健食品广告，市场监督管理部门依照本法给予处罚的，应当通报新闻出版、广播电视主管部门以及其他有关部门。新闻出版、广播电视主管部门以及其他有关部门应当依法对负有责任的主管人员和直接责任人员给予处分；情节严重的，并可以暂停媒体的广告发布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新闻出版、广播电视主管部门以及其他有关部门未依照前款规定对广播电台、电视台、报刊音像出版单位进行处理的，对负有责任的主管人员和直接责任人员，依法给予处分。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第六十九条</w:t>
      </w:r>
      <w:r>
        <w:rPr>
          <w:rFonts w:hint="eastAsia" w:ascii="宋体" w:hAnsi="宋体" w:cs="Arial"/>
          <w:kern w:val="0"/>
          <w:szCs w:val="32"/>
          <w:lang w:eastAsia="zh-CN"/>
        </w:rPr>
        <w:t>　</w:t>
      </w:r>
      <w:r>
        <w:rPr>
          <w:rFonts w:hint="eastAsia" w:ascii="宋体" w:hAnsi="宋体" w:cs="Arial"/>
          <w:kern w:val="0"/>
          <w:szCs w:val="32"/>
        </w:rPr>
        <w:t>广告主、广告经营者、广告发布者违反本法规定，有下列侵权行为之一的，依法承担民事责任：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（一）在广告中损害未成年人或者残疾人的身心健康的；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（二）假冒他人专利的；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（三）贬低其他生产经营者的商品、服务的；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（四）在广告中未经同意使用他人名义或者形象的；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（五）其他侵犯他人合法民事权益的。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第七十条</w:t>
      </w:r>
      <w:r>
        <w:rPr>
          <w:rFonts w:hint="eastAsia" w:ascii="宋体" w:hAnsi="宋体" w:cs="Arial"/>
          <w:kern w:val="0"/>
          <w:szCs w:val="32"/>
          <w:lang w:eastAsia="zh-CN"/>
        </w:rPr>
        <w:t>　</w:t>
      </w:r>
      <w:r>
        <w:rPr>
          <w:rFonts w:hint="eastAsia" w:ascii="宋体" w:hAnsi="宋体" w:cs="Arial"/>
          <w:kern w:val="0"/>
          <w:szCs w:val="32"/>
        </w:rPr>
        <w:t>因发布虚假广告，或者有其他本法规定的违法行为，被吊销营业执照的公司、企业的法定代表人，对违法行为负有个人责任的，自该公司、企业被吊销营业执照之日起三年内不得担任公司、企业的董事、监事、高级管理人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第七十一条</w:t>
      </w:r>
      <w:r>
        <w:rPr>
          <w:rFonts w:hint="eastAsia" w:ascii="宋体" w:hAnsi="宋体" w:cs="Arial"/>
          <w:kern w:val="0"/>
          <w:szCs w:val="32"/>
          <w:lang w:eastAsia="zh-CN"/>
        </w:rPr>
        <w:t>　</w:t>
      </w:r>
      <w:r>
        <w:rPr>
          <w:rFonts w:hint="eastAsia" w:ascii="宋体" w:hAnsi="宋体" w:cs="Arial"/>
          <w:kern w:val="0"/>
          <w:szCs w:val="32"/>
        </w:rPr>
        <w:t>违反本法规定，拒绝、阻挠市场监督管理部门监督检查，或者有其他构成违反治安管理行为的，依法给予治安管理处罚；构成犯罪的，依法追究刑事责任。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第七十二条</w:t>
      </w:r>
      <w:r>
        <w:rPr>
          <w:rFonts w:hint="eastAsia" w:ascii="宋体" w:hAnsi="宋体" w:cs="Arial"/>
          <w:kern w:val="0"/>
          <w:szCs w:val="32"/>
          <w:lang w:eastAsia="zh-CN"/>
        </w:rPr>
        <w:t>　</w:t>
      </w:r>
      <w:r>
        <w:rPr>
          <w:rFonts w:hint="eastAsia" w:ascii="宋体" w:hAnsi="宋体" w:cs="Arial"/>
          <w:kern w:val="0"/>
          <w:szCs w:val="32"/>
        </w:rPr>
        <w:t>广告审查机关对违法的广告内容作出审查批准决定的，对负有责任的主管人员和直接责任人员，由任免机关或者监察机关依法给予处分；构成犯罪的，依法追究刑事责任。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第七十三条</w:t>
      </w:r>
      <w:r>
        <w:rPr>
          <w:rFonts w:hint="eastAsia" w:ascii="宋体" w:hAnsi="宋体" w:cs="Arial"/>
          <w:kern w:val="0"/>
          <w:szCs w:val="32"/>
          <w:lang w:eastAsia="zh-CN"/>
        </w:rPr>
        <w:t>　</w:t>
      </w:r>
      <w:r>
        <w:rPr>
          <w:rFonts w:hint="eastAsia" w:ascii="宋体" w:hAnsi="宋体" w:cs="Arial"/>
          <w:kern w:val="0"/>
          <w:szCs w:val="32"/>
        </w:rPr>
        <w:t>市场监督管理部门对在履行广告监测职责中发现的违法广告行为或者对经投诉、举报的违法广告行为，不依法予以查处的，对负有责任的主管人员和直接责任人员，依法给予处分。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市场监督管理部门和负责广告管理相关工作的有关部门的工作人员玩忽职守、滥用职权、徇私舞弊的，依法给予处分。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有前两款行为，构成犯罪的，依法追究刑事责任。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w:t>
      </w:r>
      <w:r>
        <w:rPr>
          <w:rFonts w:hint="eastAsia" w:ascii="宋体" w:hAnsi="宋体" w:eastAsia="黑体" w:cs="黑体"/>
          <w:kern w:val="0"/>
          <w:szCs w:val="32"/>
          <w:lang w:eastAsia="zh-CN"/>
        </w:rPr>
        <w:t>　</w:t>
      </w:r>
      <w:r>
        <w:rPr>
          <w:rFonts w:hint="eastAsia" w:ascii="宋体" w:hAnsi="宋体" w:eastAsia="黑体" w:cs="黑体"/>
          <w:kern w:val="0"/>
          <w:szCs w:val="32"/>
        </w:rPr>
        <w:t>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第七十四条</w:t>
      </w:r>
      <w:r>
        <w:rPr>
          <w:rFonts w:hint="eastAsia" w:ascii="宋体" w:hAnsi="宋体" w:cs="Arial"/>
          <w:kern w:val="0"/>
          <w:szCs w:val="32"/>
          <w:lang w:eastAsia="zh-CN"/>
        </w:rPr>
        <w:t>　</w:t>
      </w:r>
      <w:r>
        <w:rPr>
          <w:rFonts w:hint="eastAsia" w:ascii="宋体" w:hAnsi="宋体" w:cs="Arial"/>
          <w:kern w:val="0"/>
          <w:szCs w:val="32"/>
        </w:rPr>
        <w:t>国家鼓励、支持开展公益广告宣传活动，传播社会主义核心价值观，倡导文明风尚。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大众传播媒介有义务发布公益广告。广播电台、电视台、报刊出版单位应当按照规定的版面、时段、时长发布公益广告。公益广告的管理办法，由国务院市场监督管理部门会同有关部门制定。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第七十五条</w:t>
      </w:r>
      <w:r>
        <w:rPr>
          <w:rFonts w:hint="eastAsia" w:ascii="宋体" w:hAnsi="宋体" w:cs="Arial"/>
          <w:kern w:val="0"/>
          <w:szCs w:val="32"/>
          <w:lang w:eastAsia="zh-CN"/>
        </w:rPr>
        <w:t>　</w:t>
      </w:r>
      <w:r>
        <w:rPr>
          <w:rFonts w:hint="eastAsia" w:ascii="宋体" w:hAnsi="宋体" w:cs="Arial"/>
          <w:kern w:val="0"/>
          <w:szCs w:val="32"/>
        </w:rPr>
        <w:t>本法自2015年9月1日起施行。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11" w:name="_Toc223"/>
      <w:r>
        <w:rPr>
          <w:rFonts w:hint="eastAsia" w:ascii="宋体" w:hAnsi="宋体" w:eastAsia="宋体" w:cs="宋体"/>
          <w:sz w:val="44"/>
          <w:szCs w:val="44"/>
        </w:rPr>
        <w:t>中华人民共和国产品质量法</w:t>
      </w:r>
      <w:bookmarkEnd w:id="211"/>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(1993年2月22日第七届全国人民代表大会常务委员会第三十次会议通过　根据2000年7月8日第九届全国人民代表大会常务委员会第十六次会议《关于修改〈中华人民共和国产品质量法〉的决定》第一次修正根据2009年8月27日第十一届全国人民代表大会常务委员会第十次会议《关于修改部分法律的决定》第二次修正　根据2018年12月29日第十三届全国人民代表大会常务委员会第七次会议《关于修改〈中华人民共和国产品质量法〉等五部法律的决定》第三次修正)</w:t>
      </w:r>
    </w:p>
    <w:p>
      <w:pPr>
        <w:pStyle w:val="3"/>
        <w:rPr>
          <w:rFonts w:hint="eastAsia"/>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产品质量的监督</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生产者、销售者的产品质量责任和义务</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宋体" w:cs="宋体"/>
          <w:kern w:val="0"/>
          <w:szCs w:val="32"/>
          <w:lang w:val="en-US" w:eastAsia="zh-CN"/>
        </w:rPr>
        <w:t xml:space="preserve">    </w:t>
      </w:r>
      <w:r>
        <w:rPr>
          <w:rFonts w:hint="eastAsia" w:ascii="宋体" w:hAnsi="宋体" w:eastAsia="楷体_GB2312" w:cs="楷体_GB2312"/>
          <w:kern w:val="0"/>
          <w:szCs w:val="32"/>
        </w:rPr>
        <w:t>第一节　生产者的产品质量责任和义务</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宋体" w:cs="宋体"/>
          <w:kern w:val="0"/>
          <w:szCs w:val="32"/>
          <w:lang w:val="en-US" w:eastAsia="zh-CN"/>
        </w:rPr>
        <w:t xml:space="preserve">    </w:t>
      </w:r>
      <w:r>
        <w:rPr>
          <w:rFonts w:hint="eastAsia" w:ascii="宋体" w:hAnsi="宋体" w:eastAsia="楷体_GB2312" w:cs="楷体_GB2312"/>
          <w:kern w:val="0"/>
          <w:szCs w:val="32"/>
        </w:rPr>
        <w:t>第二节　销售者的产品质量责任和义务</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损害赔偿</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罚则</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第一条</w:t>
      </w:r>
      <w:r>
        <w:rPr>
          <w:rFonts w:hint="eastAsia" w:ascii="宋体" w:hAnsi="宋体" w:cs="Arial"/>
          <w:kern w:val="0"/>
          <w:szCs w:val="32"/>
          <w:lang w:eastAsia="zh-CN"/>
        </w:rPr>
        <w:t>　为了加强对产品质量的监督管理，提高产品质量水平，明确产品质量责任，保护消费者的合法权益，维护社会经济秩序，制定本法。</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第二条　</w:t>
      </w:r>
      <w:r>
        <w:rPr>
          <w:rFonts w:hint="eastAsia" w:ascii="宋体" w:hAnsi="宋体" w:cs="Arial"/>
          <w:kern w:val="0"/>
          <w:szCs w:val="32"/>
          <w:lang w:eastAsia="zh-CN"/>
        </w:rPr>
        <w:t>在中华人民共和国境内从事产品生产、销售活动，必须遵守本法。</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本法所称产品是指经过加工、制作，用于销售的产品。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建设工程不适用本法规定；但是，建设工程使用的建筑材料、建筑构配件和设备，属于前款规定的产品范围的，适用本法规定。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第三条</w:t>
      </w:r>
      <w:r>
        <w:rPr>
          <w:rFonts w:hint="eastAsia" w:ascii="宋体" w:hAnsi="宋体" w:cs="Arial"/>
          <w:kern w:val="0"/>
          <w:szCs w:val="32"/>
          <w:lang w:eastAsia="zh-CN"/>
        </w:rPr>
        <w:t>　生产者、销售者应当建立健全内部产品质量管理制度，严格实施岗位质量规范、质量责任以及相应的考核办法。</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第四条</w:t>
      </w:r>
      <w:r>
        <w:rPr>
          <w:rFonts w:hint="eastAsia" w:ascii="宋体" w:hAnsi="宋体" w:cs="Arial"/>
          <w:kern w:val="0"/>
          <w:szCs w:val="32"/>
          <w:lang w:eastAsia="zh-CN"/>
        </w:rPr>
        <w:t>　生产者、销售者依照本法规定承担产品质量责任。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第五条　</w:t>
      </w:r>
      <w:r>
        <w:rPr>
          <w:rFonts w:hint="eastAsia" w:ascii="宋体" w:hAnsi="宋体" w:cs="Arial"/>
          <w:kern w:val="0"/>
          <w:szCs w:val="32"/>
          <w:lang w:eastAsia="zh-CN"/>
        </w:rPr>
        <w:t>禁止伪造或者冒用认证标志等质量标志；禁止伪造产品的产地，伪造或者冒用他人的厂名、厂址；禁止在生产、销售的产品中掺杂、掺假，以假充真，以次充好。</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第六条</w:t>
      </w:r>
      <w:r>
        <w:rPr>
          <w:rFonts w:hint="eastAsia" w:ascii="宋体" w:hAnsi="宋体" w:cs="Arial"/>
          <w:kern w:val="0"/>
          <w:szCs w:val="32"/>
          <w:lang w:eastAsia="zh-CN"/>
        </w:rPr>
        <w:t>　国家鼓励推行科学的质量管理方法，采用先进的科学技术，鼓励企业产品质量达到并且超过行业标准、国家标准和国际标准。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对产品质量管理先进和产品质量达到国际先进水平、成绩显著的单位和个人，给予奖励。</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第七条</w:t>
      </w:r>
      <w:r>
        <w:rPr>
          <w:rFonts w:hint="eastAsia" w:ascii="宋体" w:hAnsi="宋体" w:cs="Arial"/>
          <w:kern w:val="0"/>
          <w:szCs w:val="32"/>
          <w:lang w:eastAsia="zh-CN"/>
        </w:rPr>
        <w:t>　各级人民政府应当把提高产品质量纳入国民经济和社会发展规划，加强对产品质量工作的统筹规划和组织领导，引导、督促生产者、销售者加强产品质量管理，提高产品质量，组织各有关部门依法采取措施，制止产品生产、销售中违反本法规定的行为，保障本法的施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第八条</w:t>
      </w:r>
      <w:r>
        <w:rPr>
          <w:rFonts w:hint="eastAsia" w:ascii="宋体" w:hAnsi="宋体" w:cs="Arial"/>
          <w:kern w:val="0"/>
          <w:szCs w:val="32"/>
          <w:lang w:eastAsia="zh-CN"/>
        </w:rPr>
        <w:t>　国务院市场监督管理部门主管全国产品质量监督工作。国务院有关部门在各自的职责范围内负责产品质量监督工作。</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县级以上地方市场监督管理部门主管本行政区域内的产品质量监督工作。县级以上地方人民政府有关部门在各自的职责范围内负责产品质量监督工作。</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法律对产品质量的监督部门另有规定的，依照有关法律的规定执行。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第九条</w:t>
      </w:r>
      <w:r>
        <w:rPr>
          <w:rFonts w:hint="eastAsia" w:ascii="宋体" w:hAnsi="宋体" w:cs="Arial"/>
          <w:kern w:val="0"/>
          <w:szCs w:val="32"/>
          <w:lang w:eastAsia="zh-CN"/>
        </w:rPr>
        <w:t>　各级人民政府工作人员和其他国家机关工作人员不得滥用职权、玩忽职守或者徇私舞弊，包庇、放纵本地区、本系统发生的产品生产、销售中违反本法规定的行为，或者阻挠、干预依法对产品生产、销售中违反本法规定的行为进行查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各级地方人民政府和其他国家机关有包庇、放纵产品生产、销售中违反本法规定的行为的，依法追究其主要负责人的法律责任。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第十条</w:t>
      </w:r>
      <w:r>
        <w:rPr>
          <w:rFonts w:hint="eastAsia" w:ascii="宋体" w:hAnsi="宋体" w:cs="Arial"/>
          <w:kern w:val="0"/>
          <w:szCs w:val="32"/>
          <w:lang w:eastAsia="zh-CN"/>
        </w:rPr>
        <w:t>　任何单位和个人有权对违反本法规定的行为，向市场监督管理部门或者其他有关部门检举。</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市场监督管理部门和有关部门应当为检举人保密，并按照省、自治区、直辖市人民政府的规定给予奖励。</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第十一条</w:t>
      </w:r>
      <w:r>
        <w:rPr>
          <w:rFonts w:hint="eastAsia" w:ascii="宋体" w:hAnsi="宋体" w:cs="Arial"/>
          <w:kern w:val="0"/>
          <w:szCs w:val="32"/>
          <w:lang w:eastAsia="zh-CN"/>
        </w:rPr>
        <w:t>　任何单位和个人不得排斥非本地区或者非本系统企业生产的质量合格产品进入本地区、本系统。</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第二章  产品质量的监督</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第十二条</w:t>
      </w:r>
      <w:r>
        <w:rPr>
          <w:rFonts w:hint="eastAsia" w:ascii="宋体" w:hAnsi="宋体" w:cs="Arial"/>
          <w:kern w:val="0"/>
          <w:szCs w:val="32"/>
          <w:lang w:eastAsia="zh-CN"/>
        </w:rPr>
        <w:t>　产品质量应当检验合格，不得以不合格产品冒充合格产品。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第十三条</w:t>
      </w:r>
      <w:r>
        <w:rPr>
          <w:rFonts w:hint="eastAsia" w:ascii="宋体" w:hAnsi="宋体" w:cs="Arial"/>
          <w:kern w:val="0"/>
          <w:szCs w:val="32"/>
          <w:lang w:eastAsia="zh-CN"/>
        </w:rPr>
        <w:t>　可能危及人体健康和人身、财产安全的工业产品，必须符合保障人体健康和人身、财产安全的国家标准、行业标准；未制定国家标准、行业标准的，必须符合保障人体健康和人身、财产安全的要求。</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禁止生产、销售不符合保障人体健康和人身、财产安全的标准和要求的工业产品。具体管理办法由国务院规定。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第十四条</w:t>
      </w:r>
      <w:r>
        <w:rPr>
          <w:rFonts w:hint="eastAsia" w:ascii="宋体" w:hAnsi="宋体" w:cs="Arial"/>
          <w:kern w:val="0"/>
          <w:szCs w:val="32"/>
          <w:lang w:eastAsia="zh-CN"/>
        </w:rPr>
        <w:t>　国家根据国际通用的质量管理标准，推行企业质量体系认证制度。企业根据自愿原则可以向国务院市场监督管理部门认可的或者国务院市场监督管理部门授权的部门认可的认证机构申请企业质量体系认证。经认证合格的，由认证机构颁发企业质量体系认证证书。</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国家参照国际先进的产品标准和技术要求，推行产品质量认证制度。企业根据自愿原则可以向国务院市场监督管理部门认可的或者国务院市场监督管理部门授权的部门认可的认证机构申请产品质量认证。经认证合格的，由认证机构颁发产品质量认证证书，准许企业在产品或者其包装上使用产品质量认证标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第十五条</w:t>
      </w:r>
      <w:r>
        <w:rPr>
          <w:rFonts w:hint="eastAsia" w:ascii="宋体" w:hAnsi="宋体" w:cs="Arial"/>
          <w:kern w:val="0"/>
          <w:szCs w:val="32"/>
          <w:lang w:eastAsia="zh-CN"/>
        </w:rPr>
        <w:t>　国家对产品质量实行以抽查为主要方式的监督检查制度，对可能危及人体健康和人身、财产安全的产品，影响国计民生的重要工业产品以及消费者、有关组织反映有质量问题的产品进行抽查。抽查的样品应当在市场上或者企业成品仓库内的待销产品中随机抽取。监督抽查工作由国务院市场监督管理部门规划和组织。县级以上地方市场监督管理部门在本行政区域内也可以组织监督抽查。法律对产品质量的监督检查另有规定的，依照有关法律的规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国家监督抽查的产品，地方不得另行重复抽查；上级监督抽查的产品，下级不得另行重复抽查。</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根据监督抽查的需要，可以对产品进行检验。检验抽取样品的数量不得超过检验的合理需要，并不得向被检查人收取检验费用。监督抽查所需检验费用按照国务院规定列支。</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生产者、销售者对抽查检验的结果有异议的，可以自收到检验结果之日起十五日内向实施监督抽查的市场监督管理部门或者其上级市场监督管理部门申请复检，由受理复检的市场监督管理部门作出复检结论。</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第十六条</w:t>
      </w:r>
      <w:r>
        <w:rPr>
          <w:rFonts w:hint="eastAsia" w:ascii="宋体" w:hAnsi="宋体" w:cs="Arial"/>
          <w:kern w:val="0"/>
          <w:szCs w:val="32"/>
          <w:lang w:eastAsia="zh-CN"/>
        </w:rPr>
        <w:t>　对依法进行的产品质量监督检查，生产者、销售者不得拒绝。</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第十七条</w:t>
      </w:r>
      <w:r>
        <w:rPr>
          <w:rFonts w:hint="eastAsia" w:ascii="宋体" w:hAnsi="宋体" w:cs="Arial"/>
          <w:kern w:val="0"/>
          <w:szCs w:val="32"/>
          <w:lang w:eastAsia="zh-CN"/>
        </w:rPr>
        <w:t>　依照本法规定进行监督抽查的产品质量不合格的，由实施监督抽查的市场监督管理部门责令其生产者、销售者限期改正。逾期不改正的，由省级以上人民政府市场监督管理部门予以公告；公告后经复查仍不合格的，责令停业，限期整顿；整顿期满后经复查产品质量仍不合格的，吊销营业执照。</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监督抽查的产品有严重质量问题的，依照本法第五章的有关规定处罚。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第十八条</w:t>
      </w:r>
      <w:r>
        <w:rPr>
          <w:rFonts w:hint="eastAsia" w:ascii="宋体" w:hAnsi="宋体" w:cs="Arial"/>
          <w:kern w:val="0"/>
          <w:szCs w:val="32"/>
          <w:lang w:eastAsia="zh-CN"/>
        </w:rPr>
        <w:t>　县级以上市场监督管理部门根据已经取得的违法嫌疑证据或者举报，对涉嫌违反本法规定的行为进行查处时，可以行使下列职权：</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(一)对当事人涉嫌从事违反本法的生产、销售活动的场所实施现场检查；</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(二)向当事人的法定代表人、主要负责人和其他有关人员调查、了解与涉嫌从事违反本法的生产、销售活动有关的情况；</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(三)查阅、复制当事人有关的合同、发票、帐簿以及其他有关资料；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(四)对有根据认为不符合保障人体健康和人身、财产安全的国家标准、行业标准的产品或者有其他严重质量问题的产品，以及直接用于生产、销售该项产品的原辅材料、包装物、生产工具，予以查封或者扣押。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第十九条</w:t>
      </w:r>
      <w:r>
        <w:rPr>
          <w:rFonts w:hint="eastAsia" w:ascii="宋体" w:hAnsi="宋体" w:cs="Arial"/>
          <w:kern w:val="0"/>
          <w:szCs w:val="32"/>
          <w:lang w:eastAsia="zh-CN"/>
        </w:rPr>
        <w:t>　产品质量检验机构必须具备相应的检测条件和能力，经省级以上人民政府市场监督管理部门或者其授权的部门考核合格后，方可承担产品质量检验工作。法律、行政法规对产品质量检验机构另有规定的，依照有关法律、行政法规的规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第二十条</w:t>
      </w:r>
      <w:r>
        <w:rPr>
          <w:rFonts w:hint="eastAsia" w:ascii="宋体" w:hAnsi="宋体" w:cs="Arial"/>
          <w:kern w:val="0"/>
          <w:szCs w:val="32"/>
          <w:lang w:eastAsia="zh-CN"/>
        </w:rPr>
        <w:t>　从事产品质量检验、认证的社会中介机构必须依法设立，不得与行政机关和其他国家机关存在隶属关系或者其他利益关系。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第二十一条　</w:t>
      </w:r>
      <w:r>
        <w:rPr>
          <w:rFonts w:hint="eastAsia" w:ascii="宋体" w:hAnsi="宋体" w:cs="Arial"/>
          <w:kern w:val="0"/>
          <w:szCs w:val="32"/>
          <w:lang w:eastAsia="zh-CN"/>
        </w:rPr>
        <w:t>产品质量检验机构、认证机构必须依法按照有关标准，客观、公正地出具检验结果或者认证证明。</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产品质量认证机构应当依照国家规定对准许使用认证标志的产品进行认证后的跟踪检查；对不符合认证标准而使用认证标志的，要求其改正；情节严重的，取消其使用认证标志的资格。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第二十二条</w:t>
      </w:r>
      <w:r>
        <w:rPr>
          <w:rFonts w:hint="eastAsia" w:ascii="宋体" w:hAnsi="宋体" w:cs="Arial"/>
          <w:kern w:val="0"/>
          <w:szCs w:val="32"/>
          <w:lang w:eastAsia="zh-CN"/>
        </w:rPr>
        <w:t>　消费者有权就产品质量问题，向产品的生产者、销售者查询；向市场监督管理部门及有关部门申诉，接受申诉的部门应当负责处理。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第二十三条</w:t>
      </w:r>
      <w:r>
        <w:rPr>
          <w:rFonts w:hint="eastAsia" w:ascii="宋体" w:hAnsi="宋体" w:cs="Arial"/>
          <w:kern w:val="0"/>
          <w:szCs w:val="32"/>
          <w:lang w:eastAsia="zh-CN"/>
        </w:rPr>
        <w:t>　保护消费者权益的社会组织可以就消费者反映的产品质量问题建议有关部门负责处理，支持消费者对因产品质量造成的损害向人民法院起诉。</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第二十四条</w:t>
      </w:r>
      <w:r>
        <w:rPr>
          <w:rFonts w:hint="eastAsia" w:ascii="宋体" w:hAnsi="宋体" w:cs="Arial"/>
          <w:kern w:val="0"/>
          <w:szCs w:val="32"/>
          <w:lang w:eastAsia="zh-CN"/>
        </w:rPr>
        <w:t>　国务院和省、自治区、直辖市人民政府的市场监督管理部门应当定期发布其监督抽查的产品的质量状况公告。</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第二十五条</w:t>
      </w:r>
      <w:r>
        <w:rPr>
          <w:rFonts w:hint="eastAsia" w:ascii="宋体" w:hAnsi="宋体" w:cs="Arial"/>
          <w:kern w:val="0"/>
          <w:szCs w:val="32"/>
          <w:lang w:eastAsia="zh-CN"/>
        </w:rPr>
        <w:t>　市场监督管理部门或者其他国家机关以及产品质量检验机构不得向社会推荐生产者的产品；不得以对产品进行监制、监销等方式参与产品经营活动。</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第三章　生产者、销售者的产品质量责任和义务</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生产者的产品质量责任和义务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第二十六条</w:t>
      </w:r>
      <w:r>
        <w:rPr>
          <w:rFonts w:hint="eastAsia" w:ascii="宋体" w:hAnsi="宋体" w:cs="Arial"/>
          <w:kern w:val="0"/>
          <w:szCs w:val="32"/>
          <w:lang w:eastAsia="zh-CN"/>
        </w:rPr>
        <w:t>　生产者应当对其生产的产品质量负责。</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产品质量应当符合下列要求：</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(一)不存在危及人身、财产安全的不合理的危险，有保障人体健康和人身、财产安全的国家标准、行业标准的，应当符合该标准；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(二)具备产品应当具备的使用性能，但是，对产品存在使用性能的瑕疵作出说明的除外；</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(三)符合在产品或者其包装上注明采用的产品标准，符合以产品说明、实物样品等方式表明的质量状况。</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第二十七条</w:t>
      </w:r>
      <w:r>
        <w:rPr>
          <w:rFonts w:hint="eastAsia" w:ascii="宋体" w:hAnsi="宋体" w:cs="Arial"/>
          <w:kern w:val="0"/>
          <w:szCs w:val="32"/>
          <w:lang w:eastAsia="zh-CN"/>
        </w:rPr>
        <w:t>　产品或者其包装上的标识必须真实，并符合下列要求：</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(一)有产品质量检验合格证明；</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(二)有中文标明的产品名称、生产厂厂名和厂址；</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(三)根据产品的特点和使用要求，需要标明产品规格、等级、所含主要成份的名称和含量的，用中文相应予以标明；需要事先让消费者知晓的，应当在外包装上标明，或者预先向消费者提供有关资料；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(四)限期使用的产品，应当在显著位置清晰地标明生产日期和安全使用期或者失效日期；</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(五)使用不当，容易造成产品本身损坏或者可能危及人身、财产安全的产品，应当有警示标志或者中文警示说明。</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裸装的食品和其他根据产品的特点难以附加标识的裸装产品，可以不附加产品标识。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第二十八条</w:t>
      </w:r>
      <w:r>
        <w:rPr>
          <w:rFonts w:hint="eastAsia" w:ascii="宋体" w:hAnsi="宋体" w:cs="Arial"/>
          <w:kern w:val="0"/>
          <w:szCs w:val="32"/>
          <w:lang w:eastAsia="zh-CN"/>
        </w:rPr>
        <w:t>　易碎、易燃、易爆、有毒、有腐蚀性、有放射性等危险物品以及储运中不能倒置和其他有特殊要求的产品，其包装质量必须符合相应要求，依照国家有关规定作出警示标志或者中文警示说明，标明储运注意事项。</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第二十九条</w:t>
      </w:r>
      <w:r>
        <w:rPr>
          <w:rFonts w:hint="eastAsia" w:ascii="宋体" w:hAnsi="宋体" w:cs="Arial"/>
          <w:kern w:val="0"/>
          <w:szCs w:val="32"/>
          <w:lang w:eastAsia="zh-CN"/>
        </w:rPr>
        <w:t>　生产者不得生产国家明令淘汰的产品。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第三十条</w:t>
      </w:r>
      <w:r>
        <w:rPr>
          <w:rFonts w:hint="eastAsia" w:ascii="宋体" w:hAnsi="宋体" w:cs="Arial"/>
          <w:kern w:val="0"/>
          <w:szCs w:val="32"/>
          <w:lang w:eastAsia="zh-CN"/>
        </w:rPr>
        <w:t>　生产者不得伪造产地，不得伪造或者冒用他人的厂名、厂址。</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第三十一条</w:t>
      </w:r>
      <w:r>
        <w:rPr>
          <w:rFonts w:hint="eastAsia" w:ascii="宋体" w:hAnsi="宋体" w:cs="Arial"/>
          <w:kern w:val="0"/>
          <w:szCs w:val="32"/>
          <w:lang w:eastAsia="zh-CN"/>
        </w:rPr>
        <w:t>　生产者不得伪造或者冒用认证标志等质量标志。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第三十二条</w:t>
      </w:r>
      <w:r>
        <w:rPr>
          <w:rFonts w:hint="eastAsia" w:ascii="宋体" w:hAnsi="宋体" w:cs="Arial"/>
          <w:kern w:val="0"/>
          <w:szCs w:val="32"/>
          <w:lang w:eastAsia="zh-CN"/>
        </w:rPr>
        <w:t>　生产者生产产品，不得掺杂、掺假，不得以假充真、以次充好，不得以不合格产品冒充合格产品。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销售者的产品质量责任和义务</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第三十三条</w:t>
      </w:r>
      <w:r>
        <w:rPr>
          <w:rFonts w:hint="eastAsia" w:ascii="宋体" w:hAnsi="宋体" w:cs="Arial"/>
          <w:kern w:val="0"/>
          <w:szCs w:val="32"/>
          <w:lang w:eastAsia="zh-CN"/>
        </w:rPr>
        <w:t>　销售者应当建立并执行进货检查验收制度，验明产品合格证明和其他标识。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第三十四条</w:t>
      </w:r>
      <w:r>
        <w:rPr>
          <w:rFonts w:hint="eastAsia" w:ascii="宋体" w:hAnsi="宋体" w:cs="Arial"/>
          <w:kern w:val="0"/>
          <w:szCs w:val="32"/>
          <w:lang w:eastAsia="zh-CN"/>
        </w:rPr>
        <w:t>　销售者应当采取措施，保持销售产品的质量。</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第三十五条</w:t>
      </w:r>
      <w:r>
        <w:rPr>
          <w:rFonts w:hint="eastAsia" w:ascii="宋体" w:hAnsi="宋体" w:cs="Arial"/>
          <w:kern w:val="0"/>
          <w:szCs w:val="32"/>
          <w:lang w:eastAsia="zh-CN"/>
        </w:rPr>
        <w:t>　销售者不得销售国家明令淘汰并停止销售的产品和失效、变质的产品。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第三十六条</w:t>
      </w:r>
      <w:r>
        <w:rPr>
          <w:rFonts w:hint="eastAsia" w:ascii="宋体" w:hAnsi="宋体" w:cs="Arial"/>
          <w:kern w:val="0"/>
          <w:szCs w:val="32"/>
          <w:lang w:eastAsia="zh-CN"/>
        </w:rPr>
        <w:t>　销售者销售的产品的标识应当符合本法第二十七条的规定。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第三十七条</w:t>
      </w:r>
      <w:r>
        <w:rPr>
          <w:rFonts w:hint="eastAsia" w:ascii="宋体" w:hAnsi="宋体" w:cs="Arial"/>
          <w:kern w:val="0"/>
          <w:szCs w:val="32"/>
          <w:lang w:eastAsia="zh-CN"/>
        </w:rPr>
        <w:t>　销售者不得伪造产地，不得伪造或者冒用他人的厂名、厂址。</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第三十八条　</w:t>
      </w:r>
      <w:r>
        <w:rPr>
          <w:rFonts w:hint="eastAsia" w:ascii="宋体" w:hAnsi="宋体" w:cs="Arial"/>
          <w:kern w:val="0"/>
          <w:szCs w:val="32"/>
          <w:lang w:eastAsia="zh-CN"/>
        </w:rPr>
        <w:t>销售者不得伪造或者冒用认证标志等质量标志。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第三十九条</w:t>
      </w:r>
      <w:r>
        <w:rPr>
          <w:rFonts w:hint="eastAsia" w:ascii="宋体" w:hAnsi="宋体" w:cs="Arial"/>
          <w:kern w:val="0"/>
          <w:szCs w:val="32"/>
          <w:lang w:eastAsia="zh-CN"/>
        </w:rPr>
        <w:t>　销售者销售产品，不得掺杂、掺假，不得以假充真、以次充好，不得以不合格产品冒充合格产品。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第四章　损害赔偿</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第四十条</w:t>
      </w:r>
      <w:r>
        <w:rPr>
          <w:rFonts w:hint="eastAsia" w:ascii="宋体" w:hAnsi="宋体" w:cs="Arial"/>
          <w:kern w:val="0"/>
          <w:szCs w:val="32"/>
          <w:lang w:eastAsia="zh-CN"/>
        </w:rPr>
        <w:t>　售出的产品有下列情形之一的，销售者应当负责修理、更换、退货；给购买产品的消费者造成损失的，销售者应当赔偿损失：</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(一)不具备产品应当具备的使用性能而事先未作说明的；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(二)不符合在产品或者其包装上注明采用的产品标准的；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(三)不符合以产品说明、实物样品等方式表明的质量状况的。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销售者依照前款规定负责修理、更换、退货、赔偿损失后，属于生产者的责任或者属于向销售者提供产品的其他销售者(以下简称供货者)的责任的，销售者有权向生产者、供货者追偿。</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销售者未按照第一款规定给予修理、更换、退货或者赔偿损失的，由市场监督管理部门责令改正。</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生产者之间，销售者之间，生产者与销售者之间订立的买卖合同、承揽合同有不同约定的，合同当事人按照合同约定执行。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第四十一条</w:t>
      </w:r>
      <w:r>
        <w:rPr>
          <w:rFonts w:hint="eastAsia" w:ascii="宋体" w:hAnsi="宋体" w:cs="Arial"/>
          <w:kern w:val="0"/>
          <w:szCs w:val="32"/>
          <w:lang w:eastAsia="zh-CN"/>
        </w:rPr>
        <w:t>　因产品存在缺陷造成人身、缺陷产品以外的其他财产(以下简称他人财产)损害的，生产者应当承担赔偿责任。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生产者能够证明有下列情形之一的，不承担赔偿责任：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(一)未将产品投入流通的；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(二)产品投入流通时，引起损害的缺陷尚不存在的；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(三)将产品投入流通时的科学技术水平尚不能发现缺陷的存在的。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第四十二条　</w:t>
      </w:r>
      <w:r>
        <w:rPr>
          <w:rFonts w:hint="eastAsia" w:ascii="宋体" w:hAnsi="宋体" w:cs="Arial"/>
          <w:kern w:val="0"/>
          <w:szCs w:val="32"/>
          <w:lang w:eastAsia="zh-CN"/>
        </w:rPr>
        <w:t>由于销售者的过错使产品存在缺陷，造成人身、他人财产损害的，销售者应当承担赔偿责任。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销售者不能指明缺陷产品的生产者也不能指明缺陷产品的供货者的，销售者应当承担赔偿责任。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第四十三条</w:t>
      </w:r>
      <w:r>
        <w:rPr>
          <w:rFonts w:hint="eastAsia" w:ascii="宋体" w:hAnsi="宋体" w:cs="Arial"/>
          <w:kern w:val="0"/>
          <w:szCs w:val="32"/>
          <w:lang w:eastAsia="zh-CN"/>
        </w:rPr>
        <w:t>　因产品存在缺陷造成人身、他人财产损害的，受害人可以向产品的生产者要求赔偿，也可以向产品的销售者要求赔偿。属于产品的生产者的责任，产品的销售者赔偿的，产品的销售者有权向产品的生产者追偿。属于产品的销售者的责任，产品的生产者赔偿的，产品的生产者有权向产品的销售者追偿。</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第四十四条</w:t>
      </w:r>
      <w:r>
        <w:rPr>
          <w:rFonts w:hint="eastAsia" w:ascii="宋体" w:hAnsi="宋体" w:cs="Arial"/>
          <w:kern w:val="0"/>
          <w:szCs w:val="32"/>
          <w:lang w:eastAsia="zh-CN"/>
        </w:rPr>
        <w:t>　因产品存在缺陷造成受害人人身伤害的，侵害人应当赔偿医疗费、治疗期间的护理费、因误工减少的收入等费用；造成残疾的，还应当支付残疾者生活自助具费、生活补助费、残疾赔偿金以及由其扶养的人所必需的生活费等费用；造成受害人死亡的，并应当支付丧葬费、死亡赔偿金以及由死者生前扶养的人所必需的生活费等费用。</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因产品存在缺陷造成受害人财产损失的，侵害人应当恢复原状或者折价赔偿。受害人因此遭受其他重大损失的，侵害人应当赔偿损失。</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第四十五条</w:t>
      </w:r>
      <w:r>
        <w:rPr>
          <w:rFonts w:hint="eastAsia" w:ascii="宋体" w:hAnsi="宋体" w:cs="Arial"/>
          <w:kern w:val="0"/>
          <w:szCs w:val="32"/>
          <w:lang w:eastAsia="zh-CN"/>
        </w:rPr>
        <w:t>　因产品存在缺陷造成损害要求赔偿的诉讼时效期间为二年，自当事人知道或者应当知道其权益受到损害时起计算。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因产品存在缺陷造成损害要求赔偿的请求权，在造成损害的缺陷产品交付最初消费者满十年丧失；但是，尚未超过明示的安全使用期的除外。</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第四十六条</w:t>
      </w:r>
      <w:r>
        <w:rPr>
          <w:rFonts w:hint="eastAsia" w:ascii="宋体" w:hAnsi="宋体" w:cs="Arial"/>
          <w:kern w:val="0"/>
          <w:szCs w:val="32"/>
          <w:lang w:eastAsia="zh-CN"/>
        </w:rPr>
        <w:t>　本法所称缺陷，是指产品存在危及人身、他人财产安全的不合理的危险；产品有保障人体健康和人身、财产安全的国家标准、行业标准的，是指不符合该标准。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第四十七条</w:t>
      </w:r>
      <w:r>
        <w:rPr>
          <w:rFonts w:hint="eastAsia" w:ascii="宋体" w:hAnsi="宋体" w:cs="Arial"/>
          <w:kern w:val="0"/>
          <w:szCs w:val="32"/>
          <w:lang w:eastAsia="zh-CN"/>
        </w:rPr>
        <w:t>　因产品质量发生民事纠纷时，当事人可以通过协商或者调解解决。当事人不愿通过协商、调解解决或者协商、调解不成的，可以根据当事人各方的协议向仲裁机构申请仲裁；当事人各方没有达成仲裁协议或者仲裁协议无效的，可以直接向人民法院起诉。</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第四十八条</w:t>
      </w:r>
      <w:r>
        <w:rPr>
          <w:rFonts w:hint="eastAsia" w:ascii="宋体" w:hAnsi="宋体" w:cs="Arial"/>
          <w:kern w:val="0"/>
          <w:szCs w:val="32"/>
          <w:lang w:eastAsia="zh-CN"/>
        </w:rPr>
        <w:t>　仲裁机构或者人民法院可以委托本法第十九条规定的产品质量检验机构，对有关产品质量进行检验。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第五章　罚则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第四十九条　</w:t>
      </w:r>
      <w:r>
        <w:rPr>
          <w:rFonts w:hint="eastAsia" w:ascii="宋体" w:hAnsi="宋体" w:cs="Arial"/>
          <w:kern w:val="0"/>
          <w:szCs w:val="32"/>
          <w:lang w:eastAsia="zh-CN"/>
        </w:rPr>
        <w:t>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第五十条　</w:t>
      </w:r>
      <w:r>
        <w:rPr>
          <w:rFonts w:hint="eastAsia" w:ascii="宋体" w:hAnsi="宋体" w:cs="Arial"/>
          <w:kern w:val="0"/>
          <w:szCs w:val="32"/>
          <w:lang w:eastAsia="zh-CN"/>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第五十一条</w:t>
      </w:r>
      <w:r>
        <w:rPr>
          <w:rFonts w:hint="eastAsia" w:ascii="宋体" w:hAnsi="宋体" w:cs="Arial"/>
          <w:kern w:val="0"/>
          <w:szCs w:val="32"/>
          <w:lang w:eastAsia="zh-CN"/>
        </w:rPr>
        <w:t>　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第五十二条</w:t>
      </w:r>
      <w:r>
        <w:rPr>
          <w:rFonts w:hint="eastAsia" w:ascii="宋体" w:hAnsi="宋体" w:cs="Arial"/>
          <w:kern w:val="0"/>
          <w:szCs w:val="32"/>
          <w:lang w:eastAsia="zh-CN"/>
        </w:rPr>
        <w:t>　销售失效、变质的产品的，责令停止销售，没收违法销售的产品，并处违法销售产品货值金额二倍以下的罚款；有违法所得的，并处没收违法所得；情节严重的，吊销营业执照；构成犯罪的，依法追究刑事责任。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第五十三条</w:t>
      </w:r>
      <w:r>
        <w:rPr>
          <w:rFonts w:hint="eastAsia" w:ascii="宋体" w:hAnsi="宋体" w:cs="Arial"/>
          <w:kern w:val="0"/>
          <w:szCs w:val="32"/>
          <w:lang w:eastAsia="zh-CN"/>
        </w:rPr>
        <w:t>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第五十四条　</w:t>
      </w:r>
      <w:r>
        <w:rPr>
          <w:rFonts w:hint="eastAsia" w:ascii="宋体" w:hAnsi="宋体" w:cs="Arial"/>
          <w:kern w:val="0"/>
          <w:szCs w:val="32"/>
          <w:lang w:eastAsia="zh-CN"/>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第五十五条</w:t>
      </w:r>
      <w:r>
        <w:rPr>
          <w:rFonts w:hint="eastAsia" w:ascii="宋体" w:hAnsi="宋体" w:cs="Arial"/>
          <w:kern w:val="0"/>
          <w:szCs w:val="32"/>
          <w:lang w:eastAsia="zh-CN"/>
        </w:rPr>
        <w:t>　销售者销售本法第四十九条至第五十三条规定禁止销售的产品，有充分证据证明其不知道该产品为禁止销售的产品并如实说明其进货来源的，可以从轻或者减轻处罚。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第五十六条</w:t>
      </w:r>
      <w:r>
        <w:rPr>
          <w:rFonts w:hint="eastAsia" w:ascii="宋体" w:hAnsi="宋体" w:cs="Arial"/>
          <w:kern w:val="0"/>
          <w:szCs w:val="32"/>
          <w:lang w:eastAsia="zh-CN"/>
        </w:rPr>
        <w:t>　拒绝接受依法进行的产品质量监督检查的，给予警告，责令改正；拒不改正的，责令停业整顿；情节特别严重的，吊销营业执照。</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第五十七条</w:t>
      </w:r>
      <w:r>
        <w:rPr>
          <w:rFonts w:hint="eastAsia" w:ascii="宋体" w:hAnsi="宋体" w:cs="Arial"/>
          <w:kern w:val="0"/>
          <w:szCs w:val="32"/>
          <w:lang w:eastAsia="zh-CN"/>
        </w:rPr>
        <w:t>　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产品质量检验机构、认证机构出具的检验结果或者证明不实，造成损失的，应当承担相应的赔偿责任；造成重大损失的，撤销其检验资格、认证资格。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认证机构违反本法第二十一条第二款的规定，对不符合认证标准而使用认证标志的产品，未依法要求其改正或者取消其使用认证标志资格的，对因产品不符合认证标准给消费者造成的损失，与产品的生产者、销售者承担连带责任；情节严重的，撤销其认证资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第五十八条</w:t>
      </w:r>
      <w:r>
        <w:rPr>
          <w:rFonts w:hint="eastAsia" w:ascii="宋体" w:hAnsi="宋体" w:cs="Arial"/>
          <w:kern w:val="0"/>
          <w:szCs w:val="32"/>
          <w:lang w:eastAsia="zh-CN"/>
        </w:rPr>
        <w:t>　社会团体、社会中介机构对产品质量作出承诺、保证，而该产品又不符合其承诺、保证的质量要求，给消费者造成损失的，与产品的生产者、销售者承担连带责任。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第五十九条　</w:t>
      </w:r>
      <w:r>
        <w:rPr>
          <w:rFonts w:hint="eastAsia" w:ascii="宋体" w:hAnsi="宋体" w:cs="Arial"/>
          <w:kern w:val="0"/>
          <w:szCs w:val="32"/>
          <w:lang w:eastAsia="zh-CN"/>
        </w:rPr>
        <w:t>在广告中对产品质量作虚假宣传，欺骗和误导消费者的，依照《中华人民共和国广告法》的规定追究法律责任。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第六十条　</w:t>
      </w:r>
      <w:r>
        <w:rPr>
          <w:rFonts w:hint="eastAsia" w:ascii="宋体" w:hAnsi="宋体" w:cs="Arial"/>
          <w:kern w:val="0"/>
          <w:szCs w:val="32"/>
          <w:lang w:eastAsia="zh-CN"/>
        </w:rPr>
        <w:t>对生产者专门用于生产本法第四十九条、第五十一条所列的产品或者以假充真的产品的原辅材料、包装物、生产工具，应当予以没收。</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第六十一条</w:t>
      </w:r>
      <w:r>
        <w:rPr>
          <w:rFonts w:hint="eastAsia" w:ascii="宋体" w:hAnsi="宋体" w:cs="Arial"/>
          <w:kern w:val="0"/>
          <w:szCs w:val="32"/>
          <w:lang w:eastAsia="zh-CN"/>
        </w:rPr>
        <w:t>　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第六十二条</w:t>
      </w:r>
      <w:r>
        <w:rPr>
          <w:rFonts w:hint="eastAsia" w:ascii="宋体" w:hAnsi="宋体" w:cs="Arial"/>
          <w:kern w:val="0"/>
          <w:szCs w:val="32"/>
          <w:lang w:eastAsia="zh-CN"/>
        </w:rPr>
        <w:t>　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第六十三条</w:t>
      </w:r>
      <w:r>
        <w:rPr>
          <w:rFonts w:hint="eastAsia" w:ascii="宋体" w:hAnsi="宋体" w:cs="Arial"/>
          <w:kern w:val="0"/>
          <w:szCs w:val="32"/>
          <w:lang w:eastAsia="zh-CN"/>
        </w:rPr>
        <w:t>　隐匿、转移、变卖、损毁被市场监督管理部门查封、扣押的物品的，处被隐匿、转移、变卖、损毁物品货值金额等值以上三倍以下的罚款；有违法所得的，并处没收违法所得。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第六十四条</w:t>
      </w:r>
      <w:r>
        <w:rPr>
          <w:rFonts w:hint="eastAsia" w:ascii="宋体" w:hAnsi="宋体" w:cs="Arial"/>
          <w:kern w:val="0"/>
          <w:szCs w:val="32"/>
          <w:lang w:eastAsia="zh-CN"/>
        </w:rPr>
        <w:t>　违反本法规定，应当承担民事赔偿责任和缴纳罚款、罚金，其财产不足以同时支付时，先承担民事赔偿责任。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第六十五条</w:t>
      </w:r>
      <w:r>
        <w:rPr>
          <w:rFonts w:hint="eastAsia" w:ascii="宋体" w:hAnsi="宋体" w:cs="Arial"/>
          <w:kern w:val="0"/>
          <w:szCs w:val="32"/>
          <w:lang w:eastAsia="zh-CN"/>
        </w:rPr>
        <w:t>　各级人民政府工作人员和其他国家机关工作人员有下列情形之一的，依法给予行政处分；构成犯罪的，依法追究刑事责任：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(一)包庇、放纵产品生产、销售中违反本法规定行为的；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(二)向从事违反本法规定的生产、销售活动的当事人通风报信，帮助其逃避查处的；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(三)阻挠、干预市场监督管理部门依法对产品生产、销售中违反本法规定的行为进行查处，造成严重后果的。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第六十六条</w:t>
      </w:r>
      <w:r>
        <w:rPr>
          <w:rFonts w:hint="eastAsia" w:ascii="宋体" w:hAnsi="宋体" w:cs="Arial"/>
          <w:kern w:val="0"/>
          <w:szCs w:val="32"/>
          <w:lang w:eastAsia="zh-CN"/>
        </w:rPr>
        <w:t>　市场监督管理部门在产品质量监督抽查中超过规定的数量索取样品或者向被检查人收取检验费用的，由上级市场监督管理部门或者监察机关责令退还；情节严重的，对直接负责的主管人员和其他直接责任人员依法给予行政处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第六十七条</w:t>
      </w:r>
      <w:r>
        <w:rPr>
          <w:rFonts w:hint="eastAsia" w:ascii="宋体" w:hAnsi="宋体" w:cs="Arial"/>
          <w:kern w:val="0"/>
          <w:szCs w:val="32"/>
          <w:lang w:eastAsia="zh-CN"/>
        </w:rPr>
        <w:t>　市场监督管理部门或者其他国家机关违反本法第二十五条的规定，向社会推荐生产者的产品或者以监制、监销等方式参与产品经营活动的，由其上级机关或者监察机关责令改正，消除影响，有违法收入的予以没收；情节严重的，对直接负责的主管人员和其他直接责任人员依法给予行政处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产品质量检验机构有前款所列违法行为的，由市场监督管理部门责令改正，消除影响，有违法收入的予以没收，可以并处违法收入一倍以下的罚款；情节严重的，撤销其质量检验资格。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第六十八条</w:t>
      </w:r>
      <w:r>
        <w:rPr>
          <w:rFonts w:hint="eastAsia" w:ascii="宋体" w:hAnsi="宋体" w:cs="Arial"/>
          <w:kern w:val="0"/>
          <w:szCs w:val="32"/>
          <w:lang w:eastAsia="zh-CN"/>
        </w:rPr>
        <w:t>　市场监督管理部门的工作人员滥用职权、玩忽职守、徇私舞弊，构成犯罪的，依法追究刑事责任；尚不构成犯罪的，依法给予行政处分。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第六十九条</w:t>
      </w:r>
      <w:r>
        <w:rPr>
          <w:rFonts w:hint="eastAsia" w:ascii="宋体" w:hAnsi="宋体" w:cs="Arial"/>
          <w:kern w:val="0"/>
          <w:szCs w:val="32"/>
          <w:lang w:eastAsia="zh-CN"/>
        </w:rPr>
        <w:t>　以暴力、威胁方法阻碍市场监督管理部门的工作人员依法执行职务的，依法追究刑事责任；拒绝、阻碍未使用暴力、威胁方法的，由公安机关依照治安管理处罚法的规定处罚。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第七十条　</w:t>
      </w:r>
      <w:r>
        <w:rPr>
          <w:rFonts w:hint="eastAsia" w:ascii="宋体" w:hAnsi="宋体" w:cs="Arial"/>
          <w:kern w:val="0"/>
          <w:szCs w:val="32"/>
          <w:lang w:eastAsia="zh-CN"/>
        </w:rPr>
        <w:t>本法第四十九条至第五十七条、第六十条至第六十三条规定的行政处罚由市场监督管理部门决定。法律、行政法规对行使行政处罚权的机关另有规定的，依照有关法律、行政法规的规定执行。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第七十一条</w:t>
      </w:r>
      <w:r>
        <w:rPr>
          <w:rFonts w:hint="eastAsia" w:ascii="宋体" w:hAnsi="宋体" w:cs="Arial"/>
          <w:kern w:val="0"/>
          <w:szCs w:val="32"/>
          <w:lang w:eastAsia="zh-CN"/>
        </w:rPr>
        <w:t>　对依照本法规定没收的产品，依照国家有关规定进行销毁或者采取其他方式处理。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第七十二条</w:t>
      </w:r>
      <w:r>
        <w:rPr>
          <w:rFonts w:hint="eastAsia" w:ascii="宋体" w:hAnsi="宋体" w:cs="Arial"/>
          <w:kern w:val="0"/>
          <w:szCs w:val="32"/>
          <w:lang w:eastAsia="zh-CN"/>
        </w:rPr>
        <w:t>　本法第四十九条至第五十四条、第六十二条、第六十三条所规定的货值金额以违法生产、销售产品的标价计算；没有标价的，按照同类产品的市场价格计算。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第六章　附则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第七十三条</w:t>
      </w:r>
      <w:r>
        <w:rPr>
          <w:rFonts w:hint="eastAsia" w:ascii="宋体" w:hAnsi="宋体" w:cs="Arial"/>
          <w:kern w:val="0"/>
          <w:szCs w:val="32"/>
          <w:lang w:eastAsia="zh-CN"/>
        </w:rPr>
        <w:t>　军工产品质量监督管理办法，由国务院、中央军事委员会另行制定。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因核设施、核产品造成损害的赔偿责任，法律、行政法规另有规定的，依照其规定。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rPr>
      </w:pPr>
      <w:r>
        <w:rPr>
          <w:rFonts w:hint="eastAsia" w:ascii="黑体" w:hAnsi="黑体" w:eastAsia="黑体" w:cs="黑体"/>
          <w:kern w:val="0"/>
          <w:szCs w:val="32"/>
          <w:lang w:eastAsia="zh-CN"/>
        </w:rPr>
        <w:t>第七十四条</w:t>
      </w:r>
      <w:r>
        <w:rPr>
          <w:rFonts w:hint="eastAsia" w:ascii="宋体" w:hAnsi="宋体" w:cs="Arial"/>
          <w:kern w:val="0"/>
          <w:szCs w:val="32"/>
          <w:lang w:eastAsia="zh-CN"/>
        </w:rPr>
        <w:t>　本法自1993年9月1日起施行。</w:t>
      </w:r>
      <w:r>
        <w:rPr>
          <w:rFonts w:hint="eastAsia" w:ascii="宋体" w:hAnsi="宋体" w:cs="Arial"/>
          <w:kern w:val="0"/>
          <w:szCs w:val="32"/>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12" w:name="_Toc18122"/>
      <w:r>
        <w:rPr>
          <w:rFonts w:hint="eastAsia" w:ascii="宋体" w:hAnsi="宋体" w:eastAsia="宋体" w:cs="宋体"/>
          <w:sz w:val="44"/>
          <w:szCs w:val="44"/>
        </w:rPr>
        <w:t>中华人民共和国价格法</w:t>
      </w:r>
      <w:bookmarkEnd w:id="212"/>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 w:val="32"/>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楷体_GB2312"/>
          <w:kern w:val="0"/>
          <w:szCs w:val="32"/>
          <w:lang w:eastAsia="zh-CN"/>
        </w:rPr>
      </w:pPr>
      <w:r>
        <w:rPr>
          <w:rFonts w:hint="eastAsia" w:ascii="宋体" w:hAnsi="宋体" w:eastAsia="楷体_GB2312" w:cs="楷体_GB2312"/>
          <w:kern w:val="0"/>
          <w:szCs w:val="32"/>
          <w:lang w:eastAsia="zh-CN"/>
        </w:rPr>
        <w:t>（</w:t>
      </w:r>
      <w:r>
        <w:rPr>
          <w:rFonts w:hint="eastAsia" w:ascii="宋体" w:hAnsi="宋体" w:eastAsia="楷体_GB2312" w:cs="楷体_GB2312"/>
          <w:kern w:val="0"/>
          <w:szCs w:val="32"/>
        </w:rPr>
        <w:t>1997年12月29日第八届全国人民代表大会常务委员会第二十九次会议通过</w:t>
      </w:r>
      <w:r>
        <w:rPr>
          <w:rFonts w:hint="eastAsia" w:ascii="宋体" w:hAnsi="宋体" w:eastAsia="楷体_GB2312" w:cs="楷体_GB2312"/>
          <w:kern w:val="0"/>
          <w:szCs w:val="32"/>
          <w:lang w:eastAsia="zh-CN"/>
        </w:rPr>
        <w:t>）</w:t>
      </w:r>
    </w:p>
    <w:p>
      <w:pPr>
        <w:widowControl w:val="0"/>
        <w:wordWrap/>
        <w:overflowPunct w:val="0"/>
        <w:adjustRightInd/>
        <w:snapToGrid/>
        <w:spacing w:beforeAutospacing="0" w:afterAutospacing="0" w:line="560" w:lineRule="exact"/>
        <w:ind w:right="640" w:rightChars="200"/>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ind w:right="640" w:rightChars="200"/>
        <w:jc w:val="center"/>
        <w:textAlignment w:val="auto"/>
        <w:outlineLvl w:val="9"/>
        <w:rPr>
          <w:rFonts w:hint="eastAsia" w:ascii="宋体" w:hAnsi="宋体" w:eastAsia="楷体_GB2312" w:cs="楷体_GB2312"/>
          <w:kern w:val="0"/>
          <w:szCs w:val="32"/>
          <w:lang w:eastAsia="zh-CN"/>
        </w:rPr>
      </w:pPr>
      <w:r>
        <w:rPr>
          <w:rFonts w:hint="eastAsia" w:ascii="宋体" w:hAnsi="宋体" w:eastAsia="楷体_GB2312" w:cs="楷体_GB2312"/>
          <w:kern w:val="0"/>
          <w:szCs w:val="32"/>
          <w:lang w:eastAsia="zh-CN"/>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二章　经营者的价格行为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三章　政府的定价行为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四章　价格总水平调控</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五章　价格监督检查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六章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七章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cs="Arial"/>
          <w:kern w:val="0"/>
          <w:szCs w:val="32"/>
        </w:rPr>
      </w:pPr>
      <w:r>
        <w:rPr>
          <w:rFonts w:hint="eastAsia" w:ascii="宋体" w:hAnsi="宋体" w:eastAsia="黑体" w:cs="黑体"/>
          <w:kern w:val="0"/>
          <w:szCs w:val="32"/>
          <w:lang w:eastAsia="zh-CN"/>
        </w:rPr>
        <w:t>第</w:t>
      </w:r>
      <w:r>
        <w:rPr>
          <w:rFonts w:hint="eastAsia" w:ascii="宋体" w:hAnsi="宋体" w:eastAsia="黑体" w:cs="黑体"/>
          <w:kern w:val="0"/>
          <w:szCs w:val="32"/>
        </w:rPr>
        <w:t>一章　总则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第一条</w:t>
      </w:r>
      <w:r>
        <w:rPr>
          <w:rFonts w:hint="eastAsia" w:ascii="宋体" w:hAnsi="宋体" w:cs="Arial"/>
          <w:kern w:val="0"/>
          <w:szCs w:val="32"/>
        </w:rPr>
        <w:t>　为了规范价格行为，发挥价格合理配置资源的作用，稳定市场价格总水平，保护消费者和经营者的合法权益，促进社会主义市场经济健康发展，制定本法。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第二条</w:t>
      </w:r>
      <w:r>
        <w:rPr>
          <w:rFonts w:hint="eastAsia" w:ascii="宋体" w:hAnsi="宋体" w:cs="Arial"/>
          <w:kern w:val="0"/>
          <w:szCs w:val="32"/>
        </w:rPr>
        <w:t>　在中华人民共和国境内发生的价格行为，适用本法。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本法所称价格包括商品价格和服务价格。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商品价格是指各类有形产品和无形资产的价格。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服务价格是指各类有偿服务的收费。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第三条</w:t>
      </w:r>
      <w:r>
        <w:rPr>
          <w:rFonts w:hint="eastAsia" w:ascii="宋体" w:hAnsi="宋体" w:cs="Arial"/>
          <w:kern w:val="0"/>
          <w:szCs w:val="32"/>
        </w:rPr>
        <w:t>　国家实行并逐步完善宏观经济调控下主要由市场形成价格的机制。价格的制定应当符合价值规律，大多数商品和服务价格实行市场调节价，极少数商品和服务价格实行政府指导价或者政府定价。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市场调节价，是指由经营者自主制定，通过市场竞争形成的价格。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本法所称经营者是指从事生产、经营商品或者提供有偿服务的法人、其他组织和个人。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政府指导价，是指依照本法规定，由政府价格主管部门或者其他有关部门，按照定价权限和范围规定基准价及其浮动幅度，指导经营者制定的价格。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政府定价，是指依照本法规定，由政府价格主管部门或者其他有关部门，按照定价权限和范围制定的价格。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第四条</w:t>
      </w:r>
      <w:r>
        <w:rPr>
          <w:rFonts w:hint="eastAsia" w:ascii="宋体" w:hAnsi="宋体" w:cs="Arial"/>
          <w:kern w:val="0"/>
          <w:szCs w:val="32"/>
        </w:rPr>
        <w:t>　国家支持和促进公平、公开、合法的市场竞争，维护正常的价格秩序，对价格活动实行管理、监督和必要的调控。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第五条</w:t>
      </w:r>
      <w:r>
        <w:rPr>
          <w:rFonts w:hint="eastAsia" w:ascii="宋体" w:hAnsi="宋体" w:cs="Arial"/>
          <w:kern w:val="0"/>
          <w:szCs w:val="32"/>
        </w:rPr>
        <w:t>　国务院价格主管部门统一负责全国的价格工作。国务院其他有关部门在各自的职责范围内，负责有关的价格工作。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县级以上地方各级人民政府价格主管部门负责本行政区域内的价格工作。县级以上地方各级人民政府其他有关部门在各自的职责范围内，负责有关的价格工作。</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第二章　经营者的价格行为</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第六条</w:t>
      </w:r>
      <w:r>
        <w:rPr>
          <w:rFonts w:hint="eastAsia" w:ascii="宋体" w:hAnsi="宋体" w:cs="Arial"/>
          <w:kern w:val="0"/>
          <w:szCs w:val="32"/>
        </w:rPr>
        <w:t>　商品价格和服务价格，除依照本法第十八条规定适用政府指导价或者政府定价外，实行市场调节价，由经营者依照本法自主制定。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第七条</w:t>
      </w:r>
      <w:r>
        <w:rPr>
          <w:rFonts w:hint="eastAsia" w:ascii="宋体" w:hAnsi="宋体" w:cs="Arial"/>
          <w:kern w:val="0"/>
          <w:szCs w:val="32"/>
        </w:rPr>
        <w:t>　经营者定价，应当遵循公平、合法和诚实信用的原则。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第八条</w:t>
      </w:r>
      <w:r>
        <w:rPr>
          <w:rFonts w:hint="eastAsia" w:ascii="宋体" w:hAnsi="宋体" w:cs="Arial"/>
          <w:kern w:val="0"/>
          <w:szCs w:val="32"/>
        </w:rPr>
        <w:t>　经营者定价的基本依据是生产经营成本和市场供求状况。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第九条</w:t>
      </w:r>
      <w:r>
        <w:rPr>
          <w:rFonts w:hint="eastAsia" w:ascii="宋体" w:hAnsi="宋体" w:cs="Arial"/>
          <w:kern w:val="0"/>
          <w:szCs w:val="32"/>
        </w:rPr>
        <w:t>　经营者应当努力改进生产经营管理，降低生产经营成本，为消费者提供价格合理的商品和服务，并在市场竞争中获取合法利润。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第十条</w:t>
      </w:r>
      <w:r>
        <w:rPr>
          <w:rFonts w:hint="eastAsia" w:ascii="宋体" w:hAnsi="宋体" w:cs="Arial"/>
          <w:kern w:val="0"/>
          <w:szCs w:val="32"/>
        </w:rPr>
        <w:t>　经营者应当根据其经营条件建立、健全内部价格管理制度，准确记录与核定商品和服务的生产经营成本，不得弄虚作假。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第十一条</w:t>
      </w:r>
      <w:r>
        <w:rPr>
          <w:rFonts w:hint="eastAsia" w:ascii="宋体" w:hAnsi="宋体" w:cs="Arial"/>
          <w:kern w:val="0"/>
          <w:szCs w:val="32"/>
        </w:rPr>
        <w:t>　经营者进行价格活动，享有下列权利：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（一）自主制定属于市场调节的价格；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（二）在政府指导价规定的幅度内制定价格；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（三）制定属于政府指导价、政府定价产品范围内的新产品的试销价格，特定产品除外；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（四）检举、控告侵犯其依法自主定价权利的行为。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第十二条</w:t>
      </w:r>
      <w:r>
        <w:rPr>
          <w:rFonts w:hint="eastAsia" w:ascii="宋体" w:hAnsi="宋体" w:cs="Arial"/>
          <w:kern w:val="0"/>
          <w:szCs w:val="32"/>
        </w:rPr>
        <w:t>　经营者进行价格活动，应当遵守法律、法规，执行依法制定的政府指导价、政府定价和法定的价格干预措施、紧急措施。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第十三条</w:t>
      </w:r>
      <w:r>
        <w:rPr>
          <w:rFonts w:hint="eastAsia" w:ascii="宋体" w:hAnsi="宋体" w:cs="Arial"/>
          <w:kern w:val="0"/>
          <w:szCs w:val="32"/>
        </w:rPr>
        <w:t>　经营者销售、收购商品和提供服务，应当按照政府价格主管部门的规定明码标价，注明商品的品名、产地、规格、等级、计价单位、价格或者服务的项目、收费标准等有关情况。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经营者不得在标价之外加价出售商品，不得收取任何未予标明的费用。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第十四条</w:t>
      </w:r>
      <w:r>
        <w:rPr>
          <w:rFonts w:hint="eastAsia" w:ascii="宋体" w:hAnsi="宋体" w:cs="Arial"/>
          <w:kern w:val="0"/>
          <w:szCs w:val="32"/>
        </w:rPr>
        <w:t>　经营者不得有下列不正当价格行为：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（一）相互串通，操纵市场价格，损害其他经营者或者消费者的合法权益；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（二）在依法降价处理鲜活商品、季节性商品、积压商品等商品外，为了排挤竞争对手或者独占市场，以低于成本的价格倾销，扰乱正常的生产经营秩序，损害国家利益或者其他经营者的合法权益；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（三）捏造、散布涨价信息，哄抬价格，推动商品价格过高上涨的；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（四）利用虚假的或者使人误解的价格手段，诱骗消费者或者其他经营者与其进行交易；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（五）提供相同商品或者服务，对具有同等交易条件的其他经营者实行价格歧视；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（六）采取抬高等级或者压低等级等手段收购、销售商品或者提供服务，变相提高或者压低价格；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（七）违反法律、法规的规定牟取暴利；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（八）法律、行政法规禁止的其他不正当价格行为。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第十五条</w:t>
      </w:r>
      <w:r>
        <w:rPr>
          <w:rFonts w:hint="eastAsia" w:ascii="宋体" w:hAnsi="宋体" w:cs="Arial"/>
          <w:kern w:val="0"/>
          <w:szCs w:val="32"/>
        </w:rPr>
        <w:t>　各类中介机构提供有偿服务收取费用，应当遵守本法的规定。法律另有规定的，按照有关规定执行。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第十六条</w:t>
      </w:r>
      <w:r>
        <w:rPr>
          <w:rFonts w:hint="eastAsia" w:ascii="宋体" w:hAnsi="宋体" w:cs="Arial"/>
          <w:kern w:val="0"/>
          <w:szCs w:val="32"/>
        </w:rPr>
        <w:t>　经营者销售进口商品、收购出口商品，应当遵守本章的有关规定，维护国内市场秩序。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第十七条</w:t>
      </w:r>
      <w:r>
        <w:rPr>
          <w:rFonts w:hint="eastAsia" w:ascii="宋体" w:hAnsi="宋体" w:cs="Arial"/>
          <w:kern w:val="0"/>
          <w:szCs w:val="32"/>
        </w:rPr>
        <w:t>　行业组织应当遵守价格法律、法规，加强价格自律，接受政府价格主管部门的工作指导。</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第三章　政府的定价行为</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第十八条</w:t>
      </w:r>
      <w:r>
        <w:rPr>
          <w:rFonts w:hint="eastAsia" w:ascii="宋体" w:hAnsi="宋体" w:cs="Arial"/>
          <w:kern w:val="0"/>
          <w:szCs w:val="32"/>
        </w:rPr>
        <w:t>　下列商品和服务价格，政府在必要时可以实行政府指导价或者政府定价：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（一）与国民经济发展和人民生活关系重大的极少数商品价格；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（二）资源稀缺的少数商品价格；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（三）自然垄断经营的商品价格；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（四）重要的公用事业价格；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（五）重要的公益性服务价格。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第十九条</w:t>
      </w:r>
      <w:r>
        <w:rPr>
          <w:rFonts w:hint="eastAsia" w:ascii="宋体" w:hAnsi="宋体" w:cs="Arial"/>
          <w:kern w:val="0"/>
          <w:szCs w:val="32"/>
        </w:rPr>
        <w:t>　政府指导价、政府定价的定价权限和具体适用范围，以中央的和地方的定价目录为依据。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中央定价目录由国务院价格主管部门制定、修订，报国务院批准后公布。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地方定价目录由省、自治区、直辖市人民政府价格主管部门按照中央定价目录规定的定价权限和具体适用范围制定，经本级人民政府审核同意，报国务院价格主管部门审定后公布。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省、自治区、直辖市人民政府以下各级地方人民政府不得制定定价目录。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第二十条</w:t>
      </w:r>
      <w:r>
        <w:rPr>
          <w:rFonts w:hint="eastAsia" w:ascii="宋体" w:hAnsi="宋体" w:cs="Arial"/>
          <w:kern w:val="0"/>
          <w:szCs w:val="32"/>
        </w:rPr>
        <w:t>　国务院价格主管部门和其他有关部门，按照中央定价目录规定的定价权限和具体适用范围制定政府指导价、政府定价；其中重要的商品和服务价格的政府指导价、政府定价，应当按照规定经国务院批准。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省、自治区、直辖市人民政府价格主管部门和其他有关部门，应当按照地方定价目录规定的定价权限和具体适用范围制定在本地区执行的政府指导价、政府定价。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市、县人民政府可以根据省、自治区、直辖市人民政府的授权，按照地方定价目录规定的定价权限和具体适用范围制定在本地区执行的政府指导价、政府定价。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第二十一条</w:t>
      </w:r>
      <w:r>
        <w:rPr>
          <w:rFonts w:hint="eastAsia" w:ascii="宋体" w:hAnsi="宋体" w:cs="Arial"/>
          <w:kern w:val="0"/>
          <w:szCs w:val="32"/>
        </w:rPr>
        <w:t>　制定政府指导价、政府定价，应当依据有关商品或者服务的社会平均成本和市场供求状况、国民经济与社会发展要求以及社会承受能力，实行合理的购销差价、批零差价、地区差价和季节差价。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第二十二条</w:t>
      </w:r>
      <w:r>
        <w:rPr>
          <w:rFonts w:hint="eastAsia" w:ascii="宋体" w:hAnsi="宋体" w:cs="Arial"/>
          <w:kern w:val="0"/>
          <w:szCs w:val="32"/>
        </w:rPr>
        <w:t>　政府价格主管部门和其他有关部门制定政府指导价、政府定价，应当开展价格、成本调查，听取消费者、经营者和有关方面的意见。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政府价格主管部门开展对政府指导价、政府定价的价格、成本调查时，有关单位应当如实反映情况，提供必需的帐簿、文件以及其他资料。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第二十三条</w:t>
      </w:r>
      <w:r>
        <w:rPr>
          <w:rFonts w:hint="eastAsia" w:ascii="宋体" w:hAnsi="宋体" w:cs="Arial"/>
          <w:kern w:val="0"/>
          <w:szCs w:val="32"/>
        </w:rPr>
        <w:t>　制定关系群众切身利益的公用事业价格、公益性服务价格、自然垄断经营的商品价格等政府指导价、政府定价，应当建立听证会制度，由政府价格主管部门主持，征求消费者、经营者和有关方面的意见，论证其必要性、可行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第二十四条</w:t>
      </w:r>
      <w:r>
        <w:rPr>
          <w:rFonts w:hint="eastAsia" w:ascii="宋体" w:hAnsi="宋体" w:cs="Arial"/>
          <w:kern w:val="0"/>
          <w:szCs w:val="32"/>
        </w:rPr>
        <w:t>　政府指导价、政府定价制定后，由制定价格的部门向消费者、经营者公布。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第二十五条</w:t>
      </w:r>
      <w:r>
        <w:rPr>
          <w:rFonts w:hint="eastAsia" w:ascii="宋体" w:hAnsi="宋体" w:cs="Arial"/>
          <w:kern w:val="0"/>
          <w:szCs w:val="32"/>
        </w:rPr>
        <w:t>　政府指导价、政府定价的具体适用范围、价格水平，应当根据经济运行情况，按照规定的定价权限和程序适时调整。</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消费者、经营者可以对政府指导价、政府定价提出调整建议。</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第四章　价格总水平调控</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第二十六条</w:t>
      </w:r>
      <w:r>
        <w:rPr>
          <w:rFonts w:hint="eastAsia" w:ascii="宋体" w:hAnsi="宋体" w:cs="Arial"/>
          <w:kern w:val="0"/>
          <w:szCs w:val="32"/>
        </w:rPr>
        <w:t>　稳定市场价格总水平是国家重要的宏观经济政策目标。国家根据国民经济发展的需要和社会承受能力，确定市场价格总水平调控目标，列入国民经济和社会发展计划，并综合运用货币、财政、投资、进出口等方面的政策和措施，予以实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第二十七条</w:t>
      </w:r>
      <w:r>
        <w:rPr>
          <w:rFonts w:hint="eastAsia" w:ascii="宋体" w:hAnsi="宋体" w:cs="Arial"/>
          <w:kern w:val="0"/>
          <w:szCs w:val="32"/>
        </w:rPr>
        <w:t>　政府可以建立重要商品储备制度，设立价格调节基金，调控价格，稳定市场。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第二十八条</w:t>
      </w:r>
      <w:r>
        <w:rPr>
          <w:rFonts w:hint="eastAsia" w:ascii="宋体" w:hAnsi="宋体" w:cs="Arial"/>
          <w:kern w:val="0"/>
          <w:szCs w:val="32"/>
        </w:rPr>
        <w:t>　为适应价格调控和管理的需要，政府价格主管部门应当建立价格监测制度，对重要商品、服务价格的变动进行监测。</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第二十九条</w:t>
      </w:r>
      <w:r>
        <w:rPr>
          <w:rFonts w:hint="eastAsia" w:ascii="宋体" w:hAnsi="宋体" w:cs="Arial"/>
          <w:kern w:val="0"/>
          <w:szCs w:val="32"/>
        </w:rPr>
        <w:t>　政府在粮食等重要农产品的市场购买价格过低时，可以在收购中实行保护价格，并采取相应的经济措施保证其实现。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第三十条</w:t>
      </w:r>
      <w:r>
        <w:rPr>
          <w:rFonts w:hint="eastAsia" w:ascii="宋体" w:hAnsi="宋体" w:cs="Arial"/>
          <w:kern w:val="0"/>
          <w:szCs w:val="32"/>
        </w:rPr>
        <w:t>　当重要商品和服务价格显著上涨或者有可能显著上涨，国务院和省、自治区、直辖市人民政府可以对部分价格采取限定差价率或者利润率、规定限价、实行提价申报制度和调价备案制度等干预措施。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省、自治区、直辖市人民政府采取前款规定的干预措施，应当报国务院备案。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第三十一条</w:t>
      </w:r>
      <w:r>
        <w:rPr>
          <w:rFonts w:hint="eastAsia" w:ascii="宋体" w:hAnsi="宋体" w:cs="Arial"/>
          <w:kern w:val="0"/>
          <w:szCs w:val="32"/>
        </w:rPr>
        <w:t>　当市场价格总水平出现剧烈波动等异常状态时，国务院可以在全国范围内或者部分区域内采取临时集中定价权限、部分或者全面冻结价格的紧急措施。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第三十二条</w:t>
      </w:r>
      <w:r>
        <w:rPr>
          <w:rFonts w:hint="eastAsia" w:ascii="宋体" w:hAnsi="宋体" w:cs="Arial"/>
          <w:kern w:val="0"/>
          <w:szCs w:val="32"/>
        </w:rPr>
        <w:t>　依照本法第三十条、第三十一条的规定实行干预措施、紧急措施的情形消除后，应当及时解除干预措施、紧急措施。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第五章　价格监督检查</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第三十三条</w:t>
      </w:r>
      <w:r>
        <w:rPr>
          <w:rFonts w:hint="eastAsia" w:ascii="宋体" w:hAnsi="宋体" w:cs="Arial"/>
          <w:kern w:val="0"/>
          <w:szCs w:val="32"/>
        </w:rPr>
        <w:t>　县级以上各级人民政府价格主管部门，依法对价格活动进行监督检查，并依照本法的规定对价格违法行为实施行政处罚。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第三十四</w:t>
      </w:r>
      <w:r>
        <w:rPr>
          <w:rFonts w:hint="eastAsia" w:ascii="宋体" w:hAnsi="宋体" w:eastAsia="黑体" w:cs="黑体"/>
          <w:kern w:val="0"/>
          <w:szCs w:val="32"/>
        </w:rPr>
        <w:t>条</w:t>
      </w:r>
      <w:r>
        <w:rPr>
          <w:rFonts w:hint="eastAsia" w:ascii="宋体" w:hAnsi="宋体" w:cs="Arial"/>
          <w:kern w:val="0"/>
          <w:szCs w:val="32"/>
        </w:rPr>
        <w:t>　政府价格主管部门进行价格监督检查时，可以行使下列职权；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（一）询问当事人或者有关人员，并要求其提供证明材料和与价格违法行为有关的其他资料；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（二）查询、复制与价格违法行为有关的帐簿、单据、凭证、文件及其他资料，核对与价格违法行为有关的银行资料；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（三）检查与价格违法行为有关的财物，必要时可以责令当事人暂停相关营业；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（四）在证据可能灭失或者以后难以取得的情况下，可以依法先行登记保存，当事人或者有关人员不得转移、隐匿或者销毁。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三十五条</w:t>
      </w:r>
      <w:r>
        <w:rPr>
          <w:rFonts w:hint="eastAsia" w:ascii="宋体" w:hAnsi="宋体" w:cs="Arial"/>
          <w:kern w:val="0"/>
          <w:szCs w:val="32"/>
        </w:rPr>
        <w:t>　经营者接受政府价格主管部门的监督检查时，应当如实提供价格监督检查所必需的帐簿、单据、凭证、文件以及其他资料。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三十六条</w:t>
      </w:r>
      <w:r>
        <w:rPr>
          <w:rFonts w:hint="eastAsia" w:ascii="宋体" w:hAnsi="宋体" w:cs="Arial"/>
          <w:kern w:val="0"/>
          <w:szCs w:val="32"/>
        </w:rPr>
        <w:t>　政府部门价格工作人员不得将依法取得的资料或者了解的情况用于依法进行价格管理以外的任何其他目的，不得泄露当事人的商业秘密。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三十七条</w:t>
      </w:r>
      <w:r>
        <w:rPr>
          <w:rFonts w:hint="eastAsia" w:ascii="宋体" w:hAnsi="宋体" w:cs="Arial"/>
          <w:kern w:val="0"/>
          <w:szCs w:val="32"/>
        </w:rPr>
        <w:t>　消费者组织、职工价格监督组织、居民委员会、村民委员会等组织以及消费者，有权对价格行为进行社会监督。政府价格主管部门应当充分发挥群众的价格监督作用。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新闻单位有权进行价格舆论监督。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三十八条</w:t>
      </w:r>
      <w:r>
        <w:rPr>
          <w:rFonts w:hint="eastAsia" w:ascii="宋体" w:hAnsi="宋体" w:cs="Arial"/>
          <w:kern w:val="0"/>
          <w:szCs w:val="32"/>
        </w:rPr>
        <w:t>　政府价格主管部门应当建立对价格违法行为的举报制度。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任何单位和个人均有权对价格违法行为进行举报。政府价格主管部门应当对举报者给予鼓励，并负责为举报者保密。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w:t>
      </w:r>
      <w:r>
        <w:rPr>
          <w:rFonts w:hint="eastAsia" w:ascii="宋体" w:hAnsi="宋体" w:eastAsia="黑体" w:cs="黑体"/>
          <w:kern w:val="0"/>
          <w:szCs w:val="32"/>
        </w:rPr>
        <w:t>六章　法律责任</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三十九条</w:t>
      </w:r>
      <w:r>
        <w:rPr>
          <w:rFonts w:hint="eastAsia" w:ascii="宋体" w:hAnsi="宋体" w:cs="Arial"/>
          <w:kern w:val="0"/>
          <w:szCs w:val="32"/>
        </w:rPr>
        <w:t>　经营者不执行政府指导价、政府定价以及法定的价格干预措施、紧急措施的，责令改正，没收违法所得，可以并处违法所得五倍以下的罚款；没有违法所得的，可以处以罚款；情节严重的，责令停业整顿。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四十条</w:t>
      </w:r>
      <w:r>
        <w:rPr>
          <w:rFonts w:hint="eastAsia" w:ascii="宋体" w:hAnsi="宋体" w:cs="Arial"/>
          <w:kern w:val="0"/>
          <w:szCs w:val="32"/>
        </w:rPr>
        <w:t>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有本法第十四条第（一）项、第（二）项所列行为，属于是全国性的，由国务院价格主管部门认定；属于是省及省以下区域性的，由省、自治区、直辖市人民政府价格主管部门认定。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四十一条</w:t>
      </w:r>
      <w:r>
        <w:rPr>
          <w:rFonts w:hint="eastAsia" w:ascii="宋体" w:hAnsi="宋体" w:cs="Arial"/>
          <w:kern w:val="0"/>
          <w:szCs w:val="32"/>
        </w:rPr>
        <w:t>　经营者因价格违法行为致使消费者或者其他经营者多付价款的，应当退还多付部分；造成损害的，应当依法承担赔偿责任。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四十二条</w:t>
      </w:r>
      <w:r>
        <w:rPr>
          <w:rFonts w:hint="eastAsia" w:ascii="宋体" w:hAnsi="宋体" w:cs="Arial"/>
          <w:kern w:val="0"/>
          <w:szCs w:val="32"/>
        </w:rPr>
        <w:t>　经营者违反明码标价规定的，责令改正，没收违法所得，可以并处五千元以下的罚款。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四十三条</w:t>
      </w:r>
      <w:r>
        <w:rPr>
          <w:rFonts w:hint="eastAsia" w:ascii="宋体" w:hAnsi="宋体" w:cs="Arial"/>
          <w:kern w:val="0"/>
          <w:szCs w:val="32"/>
        </w:rPr>
        <w:t>　经营者被责令暂停相关营业而不停止的，或者转移、隐匿、销毁依法登记保存的财物的，处相关营业所得或者转移、隐匿、销毁的财物价值一倍以上三倍以下的罚款。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四十四条</w:t>
      </w:r>
      <w:r>
        <w:rPr>
          <w:rFonts w:hint="eastAsia" w:ascii="宋体" w:hAnsi="宋体" w:cs="Arial"/>
          <w:kern w:val="0"/>
          <w:szCs w:val="32"/>
        </w:rPr>
        <w:t>　拒绝按照规定提供监督检查所需资料或者提供虚假资料的，责令改正，予以警告；逾期不改正的，可以处以罚款。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四十五条</w:t>
      </w:r>
      <w:r>
        <w:rPr>
          <w:rFonts w:hint="eastAsia" w:ascii="宋体" w:hAnsi="宋体" w:cs="Arial"/>
          <w:kern w:val="0"/>
          <w:szCs w:val="32"/>
        </w:rPr>
        <w:t>　地方各级人民政府或者各级人民政府有关部门违反本法规定，超越定价权限和范围擅自制定、调整价格或者不执行法定的价格干预措施、紧急措施的，责令改正，并可以通报批评；对直接负责的主管人员和其他直接责任人员，依法给予行政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四十六条</w:t>
      </w:r>
      <w:r>
        <w:rPr>
          <w:rFonts w:hint="eastAsia" w:ascii="宋体" w:hAnsi="宋体" w:cs="Arial"/>
          <w:kern w:val="0"/>
          <w:szCs w:val="32"/>
        </w:rPr>
        <w:t>　价格工作人员泄露国家秘密、商业秘密以及滥用职权、徇私舞弊、玩忽职守、索贿受贿，构成犯罪的，依法追究刑事责任；尚不构成犯罪的，依法给予处分。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w:t>
      </w:r>
      <w:r>
        <w:rPr>
          <w:rFonts w:hint="eastAsia" w:ascii="宋体" w:hAnsi="宋体" w:eastAsia="黑体" w:cs="黑体"/>
          <w:kern w:val="0"/>
          <w:szCs w:val="32"/>
        </w:rPr>
        <w:t>七章　附则</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四十七条</w:t>
      </w:r>
      <w:r>
        <w:rPr>
          <w:rFonts w:hint="eastAsia" w:ascii="宋体" w:hAnsi="宋体" w:cs="Arial"/>
          <w:kern w:val="0"/>
          <w:szCs w:val="32"/>
        </w:rPr>
        <w:t>　国家行政机关的收费，应当依法进行，严格控制收费项目，限定收费范围、标准。收费的具体管理办法由国务院另行制定。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利率、汇率、保险费率、证券及期货价格，适用有关法律、行政法规的规定，不适用本法。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四十八条</w:t>
      </w:r>
      <w:r>
        <w:rPr>
          <w:rFonts w:hint="eastAsia" w:ascii="宋体" w:hAnsi="宋体" w:cs="Arial"/>
          <w:kern w:val="0"/>
          <w:szCs w:val="32"/>
        </w:rPr>
        <w:t>　本法自1998年5月1日起施行。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adjustRightInd/>
        <w:snapToGrid/>
        <w:spacing w:beforeAutospacing="0" w:afterAutospacing="0" w:line="560" w:lineRule="exact"/>
        <w:jc w:val="center"/>
        <w:textAlignment w:val="auto"/>
        <w:outlineLvl w:val="9"/>
        <w:rPr>
          <w:rFonts w:hint="eastAsia" w:ascii="宋体" w:hAnsi="宋体" w:cs="Arial"/>
          <w:kern w:val="0"/>
          <w:szCs w:val="32"/>
        </w:rPr>
      </w:pPr>
      <w:r>
        <w:rPr>
          <w:rFonts w:hint="eastAsia" w:ascii="宋体" w:hAnsi="宋体" w:eastAsia="宋体" w:cs="宋体"/>
          <w:sz w:val="44"/>
          <w:szCs w:val="44"/>
        </w:rPr>
        <w:t>中华人民共和国社会保险法</w:t>
      </w:r>
      <w:r>
        <w:rPr>
          <w:rFonts w:hint="eastAsia" w:ascii="宋体" w:hAnsi="宋体" w:cs="Arial"/>
          <w:kern w:val="0"/>
          <w:szCs w:val="32"/>
        </w:rPr>
        <w:br w:type="textWrapping"/>
      </w:r>
    </w:p>
    <w:p>
      <w:pPr>
        <w:widowControl w:val="0"/>
        <w:wordWrap/>
        <w:overflowPunct w:val="0"/>
        <w:adjustRightInd/>
        <w:snapToGrid/>
        <w:spacing w:beforeAutospacing="0" w:afterAutospacing="0" w:line="560" w:lineRule="exact"/>
        <w:ind w:left="640" w:leftChars="200" w:right="525" w:rightChars="164" w:firstLine="0" w:firstLineChars="0"/>
        <w:jc w:val="center"/>
        <w:textAlignment w:val="auto"/>
        <w:outlineLvl w:val="9"/>
        <w:rPr>
          <w:rFonts w:hint="eastAsia" w:ascii="宋体" w:hAnsi="宋体" w:cs="Arial"/>
          <w:kern w:val="0"/>
          <w:szCs w:val="32"/>
        </w:rPr>
      </w:pPr>
      <w:r>
        <w:rPr>
          <w:rFonts w:hint="eastAsia" w:ascii="楷体" w:hAnsi="楷体" w:eastAsia="楷体" w:cs="楷体"/>
          <w:kern w:val="0"/>
          <w:szCs w:val="32"/>
        </w:rPr>
        <w:t>（2010年10月28日第十一届全国人民代表大会常务委员会第十七次会议通过　根据2018年12月29日第十三届全国人民代表大会常务委员会第七次会议《关于修改〈中华人民共和国社会保险法〉的决定》修正）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楷体" w:hAnsi="楷体" w:eastAsia="楷体" w:cs="楷体"/>
          <w:kern w:val="0"/>
          <w:szCs w:val="32"/>
        </w:rPr>
      </w:pPr>
      <w:r>
        <w:rPr>
          <w:rFonts w:hint="eastAsia" w:ascii="楷体" w:hAnsi="楷体" w:eastAsia="楷体" w:cs="楷体"/>
          <w:kern w:val="0"/>
          <w:szCs w:val="32"/>
          <w:lang w:val="en-US" w:eastAsia="zh-CN"/>
        </w:rPr>
        <w:t>目　　录</w:t>
      </w:r>
    </w:p>
    <w:p>
      <w:pPr>
        <w:widowControl w:val="0"/>
        <w:wordWrap/>
        <w:overflowPunct w:val="0"/>
        <w:adjustRightInd/>
        <w:snapToGrid/>
        <w:spacing w:beforeAutospacing="0" w:afterAutospacing="0" w:line="560" w:lineRule="exact"/>
        <w:ind w:left="640" w:leftChars="200" w:firstLine="0" w:firstLineChars="0"/>
        <w:textAlignment w:val="auto"/>
        <w:outlineLvl w:val="9"/>
        <w:rPr>
          <w:rFonts w:hint="eastAsia" w:ascii="楷体" w:hAnsi="楷体" w:eastAsia="楷体" w:cs="楷体"/>
          <w:kern w:val="0"/>
          <w:szCs w:val="32"/>
          <w:lang w:val="en-US" w:eastAsia="zh-CN"/>
        </w:rPr>
      </w:pPr>
      <w:r>
        <w:rPr>
          <w:rFonts w:hint="eastAsia" w:ascii="楷体" w:hAnsi="楷体" w:eastAsia="楷体" w:cs="楷体"/>
          <w:kern w:val="0"/>
          <w:szCs w:val="32"/>
          <w:lang w:val="en-US" w:eastAsia="zh-CN"/>
        </w:rPr>
        <w:t>第一章　总　　则</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第二章　基本养老保险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第三章　基本医疗保险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第四章　工伤保险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第五章　失业保险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第六章　生育保险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第七章　社会保险费征缴</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第八章　社会保险基金</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第九章　社会保险经办</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第十章　社会保险监督</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第十一章　法律责任</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第十二章　附　　则</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　　则</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第一条</w:t>
      </w:r>
      <w:r>
        <w:rPr>
          <w:rFonts w:hint="eastAsia" w:ascii="宋体" w:hAnsi="宋体" w:cs="Arial"/>
          <w:kern w:val="0"/>
          <w:szCs w:val="32"/>
          <w:lang w:val="en-US" w:eastAsia="zh-CN"/>
        </w:rPr>
        <w:t>　为了规范社会保险关系，维护公民参加社会保险和享受社会保险待遇的合法权益，使公民共享发展成果，促进社会和谐稳定，根据</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328179&amp;ix=1&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56S+5Lya5L+d6Zmp5rOVJScpIAYFAAAADS3lj5HluIPml6XmnJ8GBgAAAA/npL7kvJrkv53pmanms5UAAAsBAAD//javascript:SLC(311281,0)" </w:instrText>
      </w:r>
      <w:r>
        <w:rPr>
          <w:rFonts w:hint="eastAsia" w:ascii="宋体" w:hAnsi="宋体" w:cs="Arial"/>
          <w:kern w:val="0"/>
          <w:szCs w:val="32"/>
          <w:lang w:val="en-US" w:eastAsia="zh-CN"/>
        </w:rPr>
        <w:fldChar w:fldCharType="separate"/>
      </w:r>
      <w:r>
        <w:rPr>
          <w:rFonts w:hint="eastAsia" w:ascii="宋体" w:hAnsi="宋体" w:cs="Arial"/>
          <w:kern w:val="0"/>
          <w:szCs w:val="32"/>
        </w:rPr>
        <w:t>宪法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，制定本法。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第二条　</w:t>
      </w:r>
      <w:r>
        <w:rPr>
          <w:rFonts w:hint="eastAsia" w:ascii="宋体" w:hAnsi="宋体" w:cs="Arial"/>
          <w:kern w:val="0"/>
          <w:szCs w:val="32"/>
          <w:lang w:val="en-US" w:eastAsia="zh-CN"/>
        </w:rPr>
        <w:t>国家建立基本养老保险、基本医疗保险、工伤保险、失业保险、生育保险等社会保险制度，保障公民在年老、疾病、工伤、失业、生育等情况下依法从国家和社会获得物质帮助的权利。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第三条</w:t>
      </w:r>
      <w:r>
        <w:rPr>
          <w:rFonts w:hint="eastAsia" w:ascii="宋体" w:hAnsi="宋体" w:cs="Arial"/>
          <w:kern w:val="0"/>
          <w:szCs w:val="32"/>
          <w:lang w:val="en-US" w:eastAsia="zh-CN"/>
        </w:rPr>
        <w:t>　社会保险制度坚持广覆盖、保基本、多层次、可持续的方针，社会保险水平应当与经济社会发展水平相适应。</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第四条　中华人民共和国境内的用人单位和个人依法缴纳社会保险费，有权查询缴费记录、个人权益记录，要求社会保险经办机构提供社会保险咨询等相关服务。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个人依法享受社会保险待遇，有权监督本单位为其缴费情况。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第五条</w:t>
      </w:r>
      <w:r>
        <w:rPr>
          <w:rFonts w:hint="eastAsia" w:ascii="宋体" w:hAnsi="宋体" w:cs="Arial"/>
          <w:kern w:val="0"/>
          <w:szCs w:val="32"/>
          <w:lang w:val="en-US" w:eastAsia="zh-CN"/>
        </w:rPr>
        <w:t>　县级以上人民政府将社会保险事业纳入国民经济和社会发展规划。</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国家多渠道筹集社会保险资金。县级以上人民政府对社会保险事业给予必要的经费支持。</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国家通过税收优惠政策支持社会保险事业。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第六条</w:t>
      </w:r>
      <w:r>
        <w:rPr>
          <w:rFonts w:hint="eastAsia" w:ascii="宋体" w:hAnsi="宋体" w:cs="Arial"/>
          <w:kern w:val="0"/>
          <w:szCs w:val="32"/>
          <w:lang w:val="en-US" w:eastAsia="zh-CN"/>
        </w:rPr>
        <w:t>　国家对社会保险基金实行严格监管。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国务院和省、自治区、直辖市人民政府建立健全社会保险基金监督管理制度，保障社会保险基金安全、有效运行。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县级以上人民政府采取措施，鼓励和支持社会各方面参与社会保险基金的监督。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第七条</w:t>
      </w:r>
      <w:r>
        <w:rPr>
          <w:rFonts w:hint="eastAsia" w:ascii="宋体" w:hAnsi="宋体" w:cs="Arial"/>
          <w:kern w:val="0"/>
          <w:szCs w:val="32"/>
          <w:lang w:val="en-US" w:eastAsia="zh-CN"/>
        </w:rPr>
        <w:t>　国务院社会保险行政部门负责全国的社会保险管理工作，国务院其他有关部门在各自的职责范围内负责有关的社会保险工作。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县级以上地方人民政府社会保险行政部门负责本行政区域的社会保险管理工作，县级以上地方人民政府其他有关部门在各自的职责范围内负责有关的社会保险工作。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第八条　</w:t>
      </w:r>
      <w:r>
        <w:rPr>
          <w:rFonts w:hint="eastAsia" w:ascii="宋体" w:hAnsi="宋体" w:cs="Arial"/>
          <w:kern w:val="0"/>
          <w:szCs w:val="32"/>
          <w:lang w:val="en-US" w:eastAsia="zh-CN"/>
        </w:rPr>
        <w:t>社会保险经办机构提供社会保险服务，负责社会保险登记、个人权益记录、社会保险待遇支付等工作。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第九条　</w:t>
      </w:r>
      <w:r>
        <w:rPr>
          <w:rFonts w:hint="eastAsia" w:ascii="宋体" w:hAnsi="宋体" w:cs="Arial"/>
          <w:kern w:val="0"/>
          <w:szCs w:val="32"/>
          <w:lang w:val="en-US" w:eastAsia="zh-CN"/>
        </w:rPr>
        <w:t>工会依法维护职工的合法权益，有权参与社会保险重大事项的研究，参加社会保险监督委员会，对与职工社会保险权益有关的事项进行监督。</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基本养老保险</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ind w:left="320" w:hanging="320" w:hangingChars="100"/>
        <w:textAlignment w:val="auto"/>
        <w:outlineLvl w:val="9"/>
        <w:rPr>
          <w:rFonts w:hint="eastAsia" w:ascii="宋体" w:hAnsi="宋体" w:cs="Arial"/>
          <w:kern w:val="0"/>
          <w:szCs w:val="32"/>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第十条</w:t>
      </w:r>
      <w:r>
        <w:rPr>
          <w:rFonts w:hint="eastAsia" w:ascii="宋体" w:hAnsi="宋体" w:cs="Arial"/>
          <w:kern w:val="0"/>
          <w:szCs w:val="32"/>
          <w:lang w:val="en-US" w:eastAsia="zh-CN"/>
        </w:rPr>
        <w:t>　职工应当参加基本养老保险，由用人单位和职工共同缴纳基本养老保险费。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无雇工的个体工商户、未在用人单位参加基本养老保险的非全日制从业人员以及其他灵活就业人员可以参加基本养老保险，由个人缴纳基本养老保险费。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公务员和参照</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328179&amp;ix=1&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56S+5Lya5L+d6Zmp5rOVJScpIAYFAAAADS3lj5HluIPml6XmnJ8GBgAAAA/npL7kvJrkv53pmanms5UAAAsBAAD//javascript:SLC(301392,0)" </w:instrText>
      </w:r>
      <w:r>
        <w:rPr>
          <w:rFonts w:hint="eastAsia" w:ascii="宋体" w:hAnsi="宋体" w:cs="Arial"/>
          <w:kern w:val="0"/>
          <w:szCs w:val="32"/>
          <w:lang w:val="en-US" w:eastAsia="zh-CN"/>
        </w:rPr>
        <w:fldChar w:fldCharType="separate"/>
      </w:r>
      <w:r>
        <w:rPr>
          <w:rFonts w:hint="eastAsia" w:ascii="宋体" w:hAnsi="宋体" w:cs="Arial"/>
          <w:kern w:val="0"/>
          <w:szCs w:val="32"/>
        </w:rPr>
        <w:t>公务员法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管理的工作人员养老保险的办法由国务院规定。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第十一条　</w:t>
      </w:r>
      <w:r>
        <w:rPr>
          <w:rFonts w:hint="eastAsia" w:ascii="宋体" w:hAnsi="宋体" w:cs="Arial"/>
          <w:kern w:val="0"/>
          <w:szCs w:val="32"/>
          <w:lang w:val="en-US" w:eastAsia="zh-CN"/>
        </w:rPr>
        <w:t>基本养老保险实行社会统筹与个人账户相结合。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基本养老保险基金由用人单位和个人缴费以及政府补贴等组成。</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第十二条　</w:t>
      </w:r>
      <w:r>
        <w:rPr>
          <w:rFonts w:hint="eastAsia" w:ascii="宋体" w:hAnsi="宋体" w:cs="Arial"/>
          <w:kern w:val="0"/>
          <w:szCs w:val="32"/>
          <w:lang w:val="en-US" w:eastAsia="zh-CN"/>
        </w:rPr>
        <w:t>用人单位应当按照国家规定的本单位职工工资总额的比例缴纳基本养老保险费，记入基本养老保险统筹基金。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职工应当按照国家规定的本人工资的比例缴纳基本养老保险费，记入个人账户。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无雇工的个体工商户、未在用人单位参加基本养老保险的非全日制从业人员以及其他灵活就业人员参加基本养老保险的，应当按照国家规定缴纳基本养老保险费，分别记入基本养老保险统筹基金和个人账户。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第十三条</w:t>
      </w:r>
      <w:r>
        <w:rPr>
          <w:rFonts w:hint="eastAsia" w:ascii="宋体" w:hAnsi="宋体" w:cs="Arial"/>
          <w:kern w:val="0"/>
          <w:szCs w:val="32"/>
          <w:lang w:val="en-US" w:eastAsia="zh-CN"/>
        </w:rPr>
        <w:t>　国有企业、事业单位职工参加基本养老保险前，视同缴费年限期间应当缴纳的基本养老保险费由政府承担。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基本养老保险基金出现支付不足时，政府给予补贴。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第十四条</w:t>
      </w:r>
      <w:r>
        <w:rPr>
          <w:rFonts w:hint="eastAsia" w:ascii="宋体" w:hAnsi="宋体" w:cs="Arial"/>
          <w:kern w:val="0"/>
          <w:szCs w:val="32"/>
          <w:lang w:val="en-US" w:eastAsia="zh-CN"/>
        </w:rPr>
        <w:t>　个人账户不得提前支取，记账利率不得低于银行定期存款利率，免征利息税。个人死亡的，个人账户余额可以继承。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第十五条</w:t>
      </w:r>
      <w:r>
        <w:rPr>
          <w:rFonts w:hint="eastAsia" w:ascii="宋体" w:hAnsi="宋体" w:cs="Arial"/>
          <w:kern w:val="0"/>
          <w:szCs w:val="32"/>
          <w:lang w:val="en-US" w:eastAsia="zh-CN"/>
        </w:rPr>
        <w:t>　基本养老金由统筹养老金和个人账户养老金组成。</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基本养老金根据个人累计缴费年限、缴费工资、当地职工平均工资、个人账户金额、城镇人口平均预期寿命等因素确定。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第十六条　</w:t>
      </w:r>
      <w:r>
        <w:rPr>
          <w:rFonts w:hint="eastAsia" w:ascii="宋体" w:hAnsi="宋体" w:cs="Arial"/>
          <w:kern w:val="0"/>
          <w:szCs w:val="32"/>
          <w:lang w:val="en-US" w:eastAsia="zh-CN"/>
        </w:rPr>
        <w:t>参加基本养老保险的个人，达到法定退休年龄时累计缴费满十五年的，按月领取基本养老金。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参加基本养老保险的个人，达到法定退休年龄时累计缴费不足十五年的，可以缴费至满十五年，按月领取基本养老金；也可以转入新型农村社会养老保险或者城镇居民社会养老保险，按照国务院规定享受相应的养老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第十七条　</w:t>
      </w:r>
      <w:r>
        <w:rPr>
          <w:rFonts w:hint="eastAsia" w:ascii="宋体" w:hAnsi="宋体" w:cs="Arial"/>
          <w:kern w:val="0"/>
          <w:szCs w:val="32"/>
          <w:lang w:val="en-US" w:eastAsia="zh-CN"/>
        </w:rPr>
        <w:t>参加基本养老保险的个人，因病或者非因工死亡的，其遗属可以领取丧葬补助金和抚恤金；在未达到法定退休年龄时因病或者非因工致残完全丧失劳动能力的，可以领取病残津贴。所需资金从基本养老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第十八条　</w:t>
      </w:r>
      <w:r>
        <w:rPr>
          <w:rFonts w:hint="eastAsia" w:ascii="宋体" w:hAnsi="宋体" w:cs="Arial"/>
          <w:kern w:val="0"/>
          <w:szCs w:val="32"/>
          <w:lang w:val="en-US" w:eastAsia="zh-CN"/>
        </w:rPr>
        <w:t>国家建立基本养老金正常调整机制。根据职工平均工资增长、物价上涨情况，适时提高基本养老保险待遇水平。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第十九条</w:t>
      </w:r>
      <w:r>
        <w:rPr>
          <w:rFonts w:hint="eastAsia" w:ascii="宋体" w:hAnsi="宋体" w:cs="Arial"/>
          <w:kern w:val="0"/>
          <w:szCs w:val="32"/>
          <w:lang w:val="en-US" w:eastAsia="zh-CN"/>
        </w:rPr>
        <w:t>　个人跨统筹地区就业的，其基本养老保险关系随本人转移，缴费年限累计计算。个人达到法定退休年龄时，基本养老金分段计算、统一支付。具体办法由国务院规定。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第二十条　</w:t>
      </w:r>
      <w:r>
        <w:rPr>
          <w:rFonts w:hint="eastAsia" w:ascii="宋体" w:hAnsi="宋体" w:cs="Arial"/>
          <w:kern w:val="0"/>
          <w:szCs w:val="32"/>
          <w:lang w:val="en-US" w:eastAsia="zh-CN"/>
        </w:rPr>
        <w:t>国家建立和完善新型农村社会养老保险制度。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新型农村社会养老保险实行个人缴费、集体补助和政府补贴相结合。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第二十一条　</w:t>
      </w:r>
      <w:r>
        <w:rPr>
          <w:rFonts w:hint="eastAsia" w:ascii="宋体" w:hAnsi="宋体" w:cs="Arial"/>
          <w:kern w:val="0"/>
          <w:szCs w:val="32"/>
          <w:lang w:val="en-US" w:eastAsia="zh-CN"/>
        </w:rPr>
        <w:t>新型农村社会养老保险待遇由基础养老金和个人账户养老金组成。</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参加新型农村社会养老保险的农村居民，符合国家规定条件的，按月领取新型农村社会养老保险待遇。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第二十二条　</w:t>
      </w:r>
      <w:r>
        <w:rPr>
          <w:rFonts w:hint="eastAsia" w:ascii="宋体" w:hAnsi="宋体" w:cs="Arial"/>
          <w:kern w:val="0"/>
          <w:szCs w:val="32"/>
          <w:lang w:val="en-US" w:eastAsia="zh-CN"/>
        </w:rPr>
        <w:t>国家建立和完善城镇居民社会养老保险制度。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省、自治区、直辖市人民政府根据实际情况，可以将城镇居民社会养老保险和新型农村社会养老保险合并实施。</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基本医疗保险</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第二十三条</w:t>
      </w:r>
      <w:r>
        <w:rPr>
          <w:rFonts w:hint="eastAsia" w:ascii="宋体" w:hAnsi="宋体" w:cs="Arial"/>
          <w:kern w:val="0"/>
          <w:szCs w:val="32"/>
          <w:lang w:val="en-US" w:eastAsia="zh-CN"/>
        </w:rPr>
        <w:t>　职工应当参加职工基本医疗保险，由用人单位和职工按照国家规定共同缴纳基本医疗保险费。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无雇工的个体工商户、未在用人单位参加职工基本医疗保险的非全日制从业人员以及其他灵活就业人员可以参加职工基本医疗保险，由个人按照国家规定缴纳基本医疗保险费。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第二十四条　</w:t>
      </w:r>
      <w:r>
        <w:rPr>
          <w:rFonts w:hint="eastAsia" w:ascii="宋体" w:hAnsi="宋体" w:cs="Arial"/>
          <w:kern w:val="0"/>
          <w:szCs w:val="32"/>
          <w:lang w:val="en-US" w:eastAsia="zh-CN"/>
        </w:rPr>
        <w:t>国家建立和完善新型农村合作医疗制度。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新型农村合作医疗的管理办法，由国务院规定。</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第二十五条　</w:t>
      </w:r>
      <w:r>
        <w:rPr>
          <w:rFonts w:hint="eastAsia" w:ascii="宋体" w:hAnsi="宋体" w:cs="Arial"/>
          <w:kern w:val="0"/>
          <w:szCs w:val="32"/>
          <w:lang w:val="en-US" w:eastAsia="zh-CN"/>
        </w:rPr>
        <w:t>国家建立和完善城镇居民基本医疗保险制度。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城镇居民基本医疗保险实行个人缴费和政府补贴相结合。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享受最低生活保障的人、丧失劳动能力的残疾人、低收入家庭六十周岁以上的老年人和未成年人等所需个人缴费部分，由政府给予补贴。</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第二十六条　</w:t>
      </w:r>
      <w:r>
        <w:rPr>
          <w:rFonts w:hint="eastAsia" w:ascii="宋体" w:hAnsi="宋体" w:cs="Arial"/>
          <w:kern w:val="0"/>
          <w:szCs w:val="32"/>
          <w:lang w:val="en-US" w:eastAsia="zh-CN"/>
        </w:rPr>
        <w:t>职工基本医疗保险、新型农村合作医疗和城镇居民基本医疗保险的待遇标准按照国家规定执行。</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第二十七条</w:t>
      </w:r>
      <w:r>
        <w:rPr>
          <w:rFonts w:hint="eastAsia" w:ascii="宋体" w:hAnsi="宋体" w:cs="Arial"/>
          <w:kern w:val="0"/>
          <w:szCs w:val="32"/>
          <w:lang w:val="en-US" w:eastAsia="zh-CN"/>
        </w:rPr>
        <w:t>　参加职工基本医疗保险的个人，达到法定退休年龄时累计缴费达到国家规定年限的，退休后不再缴纳基本医疗保险费，按照国家规定享受基本医疗保险待遇；未达到国家规定年限的，可以缴费至国家规定年限。</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第二十八条　</w:t>
      </w:r>
      <w:r>
        <w:rPr>
          <w:rFonts w:hint="eastAsia" w:ascii="宋体" w:hAnsi="宋体" w:cs="Arial"/>
          <w:kern w:val="0"/>
          <w:szCs w:val="32"/>
          <w:lang w:val="en-US" w:eastAsia="zh-CN"/>
        </w:rPr>
        <w:t>符合基本医疗保险药品目录、诊疗项目、医疗服务设施标准以及急诊、抢救的医疗费用，按照国家规定从基本医疗保险基金中支付。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第二十九条</w:t>
      </w:r>
      <w:r>
        <w:rPr>
          <w:rFonts w:hint="eastAsia" w:ascii="宋体" w:hAnsi="宋体" w:cs="Arial"/>
          <w:kern w:val="0"/>
          <w:szCs w:val="32"/>
          <w:lang w:val="en-US" w:eastAsia="zh-CN"/>
        </w:rPr>
        <w:t>　参保人员医疗费用中应当由基本医疗保险基金支付的部分，由社会保险经办机构与医疗机构、药品经营单位直接结算。</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社会保险行政部门和卫生行政部门应当建立异地就医医疗费用结算制度，方便参保人员享受基本医疗保险待遇。</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第三十条</w:t>
      </w:r>
      <w:r>
        <w:rPr>
          <w:rFonts w:hint="eastAsia" w:ascii="宋体" w:hAnsi="宋体" w:cs="Arial"/>
          <w:kern w:val="0"/>
          <w:szCs w:val="32"/>
          <w:lang w:val="en-US" w:eastAsia="zh-CN"/>
        </w:rPr>
        <w:t>　下列医疗费用不纳入基本医疗保险基金支付范围: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（一）应当从工伤保险基金中支付的；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（二）应当由第三人负担的；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（三）应当由公共卫生负担的；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（四）在境外就医的。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医疗费用依法应当由第三人负担，第三人不支付或者无法确定第三人的，由基本医疗保险基金先行支付。基本医疗保险基金先行支付后，有权向第三人追偿。</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第三十一条</w:t>
      </w:r>
      <w:r>
        <w:rPr>
          <w:rFonts w:hint="eastAsia" w:ascii="宋体" w:hAnsi="宋体" w:cs="Arial"/>
          <w:kern w:val="0"/>
          <w:szCs w:val="32"/>
          <w:lang w:val="en-US" w:eastAsia="zh-CN"/>
        </w:rPr>
        <w:t>　社会保险经办机构根据管理服务的需要，可以与医疗机构、药品经营单位签订服务协议，规范医疗服务行为。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医疗机构应当为参保人员提供合理、必要的医疗服务。</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第三十二条</w:t>
      </w:r>
      <w:r>
        <w:rPr>
          <w:rFonts w:hint="eastAsia" w:ascii="宋体" w:hAnsi="宋体" w:cs="Arial"/>
          <w:kern w:val="0"/>
          <w:szCs w:val="32"/>
          <w:lang w:val="en-US" w:eastAsia="zh-CN"/>
        </w:rPr>
        <w:t>　个人跨统筹地区就业的，其基本医疗保险关系随本人转移，缴费年限累计计算。</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第四章　工伤保险</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第三十三条</w:t>
      </w:r>
      <w:r>
        <w:rPr>
          <w:rFonts w:hint="eastAsia" w:ascii="宋体" w:hAnsi="宋体" w:cs="Arial"/>
          <w:kern w:val="0"/>
          <w:szCs w:val="32"/>
          <w:lang w:val="en-US" w:eastAsia="zh-CN"/>
        </w:rPr>
        <w:t>　职工应当参加工伤保险，由用人单位缴纳工伤保险费，职工不缴纳工伤保险费。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第三十四条</w:t>
      </w:r>
      <w:r>
        <w:rPr>
          <w:rFonts w:hint="eastAsia" w:ascii="宋体" w:hAnsi="宋体" w:cs="Arial"/>
          <w:kern w:val="0"/>
          <w:szCs w:val="32"/>
          <w:lang w:val="en-US" w:eastAsia="zh-CN"/>
        </w:rPr>
        <w:t>　国家根据不同行业的工伤风险程度确定行业的差别费率，并根据使用工伤保险基金、工伤发生率等情况在每个行业内确定费率档次。行业差别费率和行业内费率档次由国务院社会保险行政部门制定，报国务院批准后公布施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社会保险经办机构根据用人单位使用工伤保险基金、工伤发生率和所属行业费率档次等情况，确定用人单位缴费费率。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第三十五条</w:t>
      </w:r>
      <w:r>
        <w:rPr>
          <w:rFonts w:hint="eastAsia" w:ascii="宋体" w:hAnsi="宋体" w:cs="Arial"/>
          <w:kern w:val="0"/>
          <w:szCs w:val="32"/>
          <w:lang w:val="en-US" w:eastAsia="zh-CN"/>
        </w:rPr>
        <w:t>　用人单位应当按照本单位职工工资总额，根据社会保险经办机构确定的费率缴纳工伤保险费。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第三十六条　</w:t>
      </w:r>
      <w:r>
        <w:rPr>
          <w:rFonts w:hint="eastAsia" w:ascii="宋体" w:hAnsi="宋体" w:cs="Arial"/>
          <w:kern w:val="0"/>
          <w:szCs w:val="32"/>
          <w:lang w:val="en-US" w:eastAsia="zh-CN"/>
        </w:rPr>
        <w:t>职工因工作原因受到事故伤害或者患职业病，且经工伤认定的，享受工伤保险待遇；其中，经劳动能力鉴定丧失劳动能力的，享受伤残待遇。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工伤认定和劳动能力鉴定应当简捷、方便。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第三十七条　</w:t>
      </w:r>
      <w:r>
        <w:rPr>
          <w:rFonts w:hint="eastAsia" w:ascii="宋体" w:hAnsi="宋体" w:cs="Arial"/>
          <w:kern w:val="0"/>
          <w:szCs w:val="32"/>
          <w:lang w:val="en-US" w:eastAsia="zh-CN"/>
        </w:rPr>
        <w:t>职工因下列情形之一导致本人在工作中伤亡的，不认定为工伤：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（一）故意犯罪；</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（二）醉酒或者吸毒；</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（三）自残或者自杀；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（四）法律、行政法规规定的其他情形。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第三十八条　</w:t>
      </w:r>
      <w:r>
        <w:rPr>
          <w:rFonts w:hint="eastAsia" w:ascii="宋体" w:hAnsi="宋体" w:cs="Arial"/>
          <w:kern w:val="0"/>
          <w:szCs w:val="32"/>
          <w:lang w:val="en-US" w:eastAsia="zh-CN"/>
        </w:rPr>
        <w:t>因工伤发生的下列费用，按照国家规定从工伤保险基金中支付：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（一）治疗工伤的医疗费用和康复费用；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（二）住院伙食补助费；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（三）到统筹地区以外就医的交通食宿费；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（四）安装配置伤残辅助器具所需费用；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（五）生活不能自理的，经劳动能力鉴定委员会确认的生活护理费；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（六）一次性伤残补助金和一至四级伤残职工按月领取的伤残津贴；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（七）终止或者解除劳动合同时，应当享受的一次性医疗补助金；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（八）因工死亡的，其遗属领取的丧葬补助金、供养亲属抚恤金和因工死亡补助金；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（九）劳动能力鉴定费。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第三十九条　</w:t>
      </w:r>
      <w:r>
        <w:rPr>
          <w:rFonts w:hint="eastAsia" w:ascii="宋体" w:hAnsi="宋体" w:cs="Arial"/>
          <w:kern w:val="0"/>
          <w:szCs w:val="32"/>
          <w:lang w:val="en-US" w:eastAsia="zh-CN"/>
        </w:rPr>
        <w:t>因工伤发生的下列费用，按照国家规定由用人单位支付：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（一）治疗工伤期间的工资福利；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（二）五级、六级伤残职工按月领取的伤残津贴；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（三）终止或者解除劳动合同时，应当享受的一次性伤残就业补助金。</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第四十条　</w:t>
      </w:r>
      <w:r>
        <w:rPr>
          <w:rFonts w:hint="eastAsia" w:ascii="宋体" w:hAnsi="宋体" w:cs="Arial"/>
          <w:kern w:val="0"/>
          <w:szCs w:val="32"/>
          <w:lang w:val="en-US" w:eastAsia="zh-CN"/>
        </w:rPr>
        <w:t>工伤职工符合领取基本养老金条件的，停发伤残津贴，享受基本养老保险待遇。基本养老保险待遇低于伤残津贴的，从工伤保险基金中补足差额。</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第四十一条　</w:t>
      </w:r>
      <w:r>
        <w:rPr>
          <w:rFonts w:hint="eastAsia" w:ascii="宋体" w:hAnsi="宋体" w:cs="Arial"/>
          <w:kern w:val="0"/>
          <w:szCs w:val="32"/>
          <w:lang w:val="en-US" w:eastAsia="zh-CN"/>
        </w:rPr>
        <w:t>职工所在用人单位未依法缴纳工伤保险费，发生工伤事故的，由用人单位支付工伤保险待遇。用人单位不支付的，从工伤保险基金中先行支付。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从工伤保险基金中先行支付的工伤保险待遇应当由用人单位偿还。用人单位不偿还的，社会保险经办机构可以依照本法第六十三条的规定追偿。</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第四十二条</w:t>
      </w:r>
      <w:r>
        <w:rPr>
          <w:rFonts w:hint="eastAsia" w:ascii="宋体" w:hAnsi="宋体" w:cs="Arial"/>
          <w:kern w:val="0"/>
          <w:szCs w:val="32"/>
          <w:lang w:val="en-US" w:eastAsia="zh-CN"/>
        </w:rPr>
        <w:t>　由于第三人的原因造成工伤，第三人不支付工伤医疗费用或者无法确定第三人的，由工伤保险基金先行支付。工伤保险基金先行支付后，有权向第三人追偿。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第四十三条　</w:t>
      </w:r>
      <w:r>
        <w:rPr>
          <w:rFonts w:hint="eastAsia" w:ascii="宋体" w:hAnsi="宋体" w:cs="Arial"/>
          <w:kern w:val="0"/>
          <w:szCs w:val="32"/>
          <w:lang w:val="en-US" w:eastAsia="zh-CN"/>
        </w:rPr>
        <w:t>工伤职工有下列情形之一的，停止享受工伤保险待遇：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（一）丧失享受待遇条件的；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（二）拒不接受劳动能力鉴定的；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（三）拒绝治疗的。</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失业保险</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第四十四条　</w:t>
      </w:r>
      <w:r>
        <w:rPr>
          <w:rFonts w:hint="eastAsia" w:ascii="宋体" w:hAnsi="宋体" w:cs="Arial"/>
          <w:kern w:val="0"/>
          <w:szCs w:val="32"/>
          <w:lang w:val="en-US" w:eastAsia="zh-CN"/>
        </w:rPr>
        <w:t>职工应当参加失业保险，由用人单位和职工按照国家规定共同缴纳失业保险费。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第四十五条　</w:t>
      </w:r>
      <w:r>
        <w:rPr>
          <w:rFonts w:hint="eastAsia" w:ascii="宋体" w:hAnsi="宋体" w:cs="Arial"/>
          <w:kern w:val="0"/>
          <w:szCs w:val="32"/>
          <w:lang w:val="en-US" w:eastAsia="zh-CN"/>
        </w:rPr>
        <w:t>失业人员符合下列条件的，从失业保险基金中领取失业保险金：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（一）失业前用人单位和本人已经缴纳失业保险费满一年的；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（二）非因本人意愿中断就业的；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（三）已经进行失业登记，并有求职要求的。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第四十六条</w:t>
      </w:r>
      <w:r>
        <w:rPr>
          <w:rFonts w:hint="eastAsia" w:ascii="宋体" w:hAnsi="宋体" w:cs="Arial"/>
          <w:kern w:val="0"/>
          <w:szCs w:val="32"/>
          <w:lang w:val="en-US" w:eastAsia="zh-CN"/>
        </w:rPr>
        <w:t>　失业人员失业前用人单位和本人累计缴费满一年不足五年的，领取失业保险金的期限最长为十二个月；累计缴费满五年不足十年的，领取失业保险金的期限最长为十八个月；累计缴费十年以上的，领取失业保险金的期限最长为二十四个月。重新就业后，再次失业的，缴费时间重新计算，领取失业保险金的期限与前次失业应当领取而尚未领取的失业保险金的期限合并计算，最长不超过二十四个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第四十七条</w:t>
      </w:r>
      <w:r>
        <w:rPr>
          <w:rFonts w:hint="eastAsia" w:ascii="宋体" w:hAnsi="宋体" w:cs="Arial"/>
          <w:kern w:val="0"/>
          <w:szCs w:val="32"/>
          <w:lang w:val="en-US" w:eastAsia="zh-CN"/>
        </w:rPr>
        <w:t>　失业保险金的标准，由省、自治区、直辖市人民政府确定，不得低于城市居民最低生活保障标准。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第四十八条　</w:t>
      </w:r>
      <w:r>
        <w:rPr>
          <w:rFonts w:hint="eastAsia" w:ascii="宋体" w:hAnsi="宋体" w:cs="Arial"/>
          <w:kern w:val="0"/>
          <w:szCs w:val="32"/>
          <w:lang w:val="en-US" w:eastAsia="zh-CN"/>
        </w:rPr>
        <w:t>失业人员在领取失业保险金期间，参加职工基本医疗保险，享受基本医疗保险待遇。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失业人员应当缴纳的基本医疗保险费从失业保险基金中支付，个人不缴纳基本医疗保险费。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第四十九条</w:t>
      </w:r>
      <w:r>
        <w:rPr>
          <w:rFonts w:hint="eastAsia" w:ascii="宋体" w:hAnsi="宋体" w:cs="Arial"/>
          <w:kern w:val="0"/>
          <w:szCs w:val="32"/>
          <w:lang w:val="en-US" w:eastAsia="zh-CN"/>
        </w:rPr>
        <w:t>　失业人员在领取失业保险金期间死亡的，参照当地对在职职工死亡的规定，向其遗属发给一次性丧葬补助金和抚恤金。所需资金从失业保险基金中支付。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个人死亡同时符合领取基本养老保险丧葬补助金、工伤保险丧葬补助金和失业保险丧葬补助金条件的，其遗属只能选择领取其中的一项。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第五十条</w:t>
      </w:r>
      <w:r>
        <w:rPr>
          <w:rFonts w:hint="eastAsia" w:ascii="宋体" w:hAnsi="宋体" w:cs="Arial"/>
          <w:kern w:val="0"/>
          <w:szCs w:val="32"/>
          <w:lang w:val="en-US" w:eastAsia="zh-CN"/>
        </w:rPr>
        <w:t>　用人单位应当及时为失业人员出具终止或者解除劳动关系的证明，并将失业人员的名单自终止或者解除劳动关系之日起十五日内告知社会保险经办机构。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失业人员应当持本单位为其出具的终止或者解除劳动关系的证明，及时到指定的公共就业服务机构办理失业登记。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失业人员凭失业登记证明和个人身份证明，到社会保险经办机构办理领取失业保险金的手续。失业保险金领取期限自办理失业登记之日起计算。</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第五十一条</w:t>
      </w:r>
      <w:r>
        <w:rPr>
          <w:rFonts w:hint="eastAsia" w:ascii="宋体" w:hAnsi="宋体" w:cs="Arial"/>
          <w:kern w:val="0"/>
          <w:szCs w:val="32"/>
          <w:lang w:val="en-US" w:eastAsia="zh-CN"/>
        </w:rPr>
        <w:t>　失业人员在领取失业保险金期间有下列情形之一的，停止领取失业保险金，并同时停止享受其他失业保险待遇：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（一）重新就业的；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（二）应征服兵役的；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（三）移居境外的；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（四）享受基本养老保险待遇的；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（五）无正当理由，拒不接受当地人民政府指定部门或者机构介绍的适当工作或者提供的培训的。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第五十二条　</w:t>
      </w:r>
      <w:r>
        <w:rPr>
          <w:rFonts w:hint="eastAsia" w:ascii="宋体" w:hAnsi="宋体" w:cs="Arial"/>
          <w:kern w:val="0"/>
          <w:szCs w:val="32"/>
          <w:lang w:val="en-US" w:eastAsia="zh-CN"/>
        </w:rPr>
        <w:t>职工跨统筹地区就业的，其失业保险关系随本人转移，缴费年限累计计算。</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第六章　生育保险</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第五十三条　</w:t>
      </w:r>
      <w:r>
        <w:rPr>
          <w:rFonts w:hint="eastAsia" w:ascii="宋体" w:hAnsi="宋体" w:cs="Arial"/>
          <w:kern w:val="0"/>
          <w:szCs w:val="32"/>
          <w:lang w:val="en-US" w:eastAsia="zh-CN"/>
        </w:rPr>
        <w:t>职工应当参加生育保险，由用人单位按照国家规定缴纳生育保险费，职工不缴纳生育保险费。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第五十四条</w:t>
      </w:r>
      <w:r>
        <w:rPr>
          <w:rFonts w:hint="eastAsia" w:ascii="宋体" w:hAnsi="宋体" w:cs="Arial"/>
          <w:kern w:val="0"/>
          <w:szCs w:val="32"/>
          <w:lang w:val="en-US" w:eastAsia="zh-CN"/>
        </w:rPr>
        <w:t>　用人单位已经缴纳生育保险费的，其职工享受生育保险待遇；职工未就业配偶按照国家规定享受生育医疗费用待遇。所需资金从生育保险基金中支付。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生育保险待遇包括生育医疗费用和生育津贴。</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第五十五条　</w:t>
      </w:r>
      <w:r>
        <w:rPr>
          <w:rFonts w:hint="eastAsia" w:ascii="宋体" w:hAnsi="宋体" w:cs="Arial"/>
          <w:kern w:val="0"/>
          <w:szCs w:val="32"/>
          <w:lang w:val="en-US" w:eastAsia="zh-CN"/>
        </w:rPr>
        <w:t>生育医疗费用包括下列各项：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（一）生育的医疗费用；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（二）计划生育的医疗费用；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（三）法律、法规规定的其他项目费用。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第五十六条</w:t>
      </w:r>
      <w:r>
        <w:rPr>
          <w:rFonts w:hint="eastAsia" w:ascii="宋体" w:hAnsi="宋体" w:cs="Arial"/>
          <w:kern w:val="0"/>
          <w:szCs w:val="32"/>
          <w:lang w:val="en-US" w:eastAsia="zh-CN"/>
        </w:rPr>
        <w:t>　职工有下列情形之一的，可以按照国家规定享受生育津贴：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（一）女职工生育享受产假；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（二）享受计划生育手术休假；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（三）法律、法规规定的其他情形。</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生育津贴按照职工所在用人单位上年度职工月平均工资计发。</w:t>
      </w: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第七章　社会保险费征缴</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第五十七条　</w:t>
      </w:r>
      <w:r>
        <w:rPr>
          <w:rFonts w:hint="eastAsia" w:ascii="宋体" w:hAnsi="宋体" w:cs="Arial"/>
          <w:kern w:val="0"/>
          <w:szCs w:val="32"/>
          <w:lang w:val="en-US" w:eastAsia="zh-CN"/>
        </w:rPr>
        <w:t>用人单位应当自成立之日起三十日内凭营业执照、登记证书或者单位印章，向当地社会保险经办机构申请办理社会保险登记。社会保险经办机构应当自收到申请之日起十五日内予以审核，发给社会保险登记证件。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用人单位的社会保险登记事项发生变更或者用人单位依法终止的，应当自变更或者终止之日起三十日内，到社会保险经办机构办理变更或者注销社会保险登记。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市场监督管理部门、民政部门和机构编制管理机关应当及时向社会保险经办机构通报用人单位的成立、终止情况，公安机关应当及时向社会保险经办机构通报个人的出生、死亡以及户口登记、迁移、注销等情况。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第五十八条</w:t>
      </w:r>
      <w:r>
        <w:rPr>
          <w:rFonts w:hint="eastAsia" w:ascii="宋体" w:hAnsi="宋体" w:cs="Arial"/>
          <w:kern w:val="0"/>
          <w:szCs w:val="32"/>
          <w:lang w:val="en-US" w:eastAsia="zh-CN"/>
        </w:rPr>
        <w:t>　用人单位应当自用工之日起三十日内为其职工向社会保险经办机构申请办理社会保险登记。未办理社会保险登记的，由社会保险经办机构核定其应当缴纳的社会保险费。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自愿参加社会保险的无雇工的个体工商户、未在用人单位参加社会保险的非全日制从业人员以及其他灵活就业人员，应当向社会保险经办机构申请办理社会保险登记。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国家建立全国统一的个人社会保障号码。个人社会保障号码为公民身份号码。</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第五十九条　</w:t>
      </w:r>
      <w:r>
        <w:rPr>
          <w:rFonts w:hint="eastAsia" w:ascii="宋体" w:hAnsi="宋体" w:cs="Arial"/>
          <w:kern w:val="0"/>
          <w:szCs w:val="32"/>
          <w:lang w:val="en-US" w:eastAsia="zh-CN"/>
        </w:rPr>
        <w:t>县级以上人民政府加强社会保险费的征收工作。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社会保险费实行统一征收，实施步骤和具体办法由国务院规定。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第六十条　</w:t>
      </w:r>
      <w:r>
        <w:rPr>
          <w:rFonts w:hint="eastAsia" w:ascii="宋体" w:hAnsi="宋体" w:cs="Arial"/>
          <w:kern w:val="0"/>
          <w:szCs w:val="32"/>
          <w:lang w:val="en-US" w:eastAsia="zh-CN"/>
        </w:rPr>
        <w:t>用人单位应当自行申报、按时足额缴纳社会保险费，非因不可抗力等法定事由不得缓缴、减免。职工应当缴纳的社会保险费由用人单位代扣代缴，用人单位应当按月将缴纳社会保险费的明细情况告知本人。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无雇工的个体工商户、未在用人单位参加社会保险的非全日制从业人员以及其他灵活就业人员，可以直接向社会保险费征收机构缴纳社会保险费。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第六十一条　</w:t>
      </w:r>
      <w:r>
        <w:rPr>
          <w:rFonts w:hint="eastAsia" w:ascii="宋体" w:hAnsi="宋体" w:cs="Arial"/>
          <w:kern w:val="0"/>
          <w:szCs w:val="32"/>
          <w:lang w:val="en-US" w:eastAsia="zh-CN"/>
        </w:rPr>
        <w:t>社会保险费征收机构应当依法按时足额征收社会保险费，并将缴费情况定期告知用人单位和个人。</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第六十二条</w:t>
      </w:r>
      <w:r>
        <w:rPr>
          <w:rFonts w:hint="eastAsia" w:ascii="宋体" w:hAnsi="宋体" w:cs="Arial"/>
          <w:kern w:val="0"/>
          <w:szCs w:val="32"/>
          <w:lang w:val="en-US" w:eastAsia="zh-CN"/>
        </w:rPr>
        <w:t>　用人单位未按规定申报应当缴纳的社会保险费数额的，按照该单位上月缴费额的百分之一百一十确定应当缴纳数额；缴费单位补办申报手续后，由社会保险费征收机构按照规定结算。</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第六十三条</w:t>
      </w:r>
      <w:r>
        <w:rPr>
          <w:rFonts w:hint="eastAsia" w:ascii="宋体" w:hAnsi="宋体" w:cs="Arial"/>
          <w:kern w:val="0"/>
          <w:szCs w:val="32"/>
          <w:lang w:val="en-US" w:eastAsia="zh-CN"/>
        </w:rPr>
        <w:t>　用人单位未按时足额缴纳社会保险费的，由社会保险费征收机构责令其限期缴纳或者补足。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逾期仍未缴纳或者补足社会保险费的，社会保险费征收机构可以向银行和其他金融机构查询其存款账户；并可以申请县级以上有关行政部门作出划拨社会保险费的决定，书面通知其开户银行或者其他金融机构划拨社会保险费。用人单位账户余额少于应当缴纳的社会保险费的，社会保险费征收机构可以要求该用人单位提供担保，签订延期缴费协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用人单位未足额缴纳社会保险费且未提供担保的，社会保险费征收机构可以申请人民法院扣押、查封、拍卖其价值相当于应当缴纳社会保险费的财产，以拍卖所得抵缴社会保险费。</w:t>
      </w: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第八章　社会保险基金</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第六十四条　</w:t>
      </w:r>
      <w:r>
        <w:rPr>
          <w:rFonts w:hint="eastAsia" w:ascii="宋体" w:hAnsi="宋体" w:cs="Arial"/>
          <w:kern w:val="0"/>
          <w:szCs w:val="32"/>
          <w:lang w:val="en-US" w:eastAsia="zh-CN"/>
        </w:rPr>
        <w:t>社会保险基金包括基本养老保险基金、基本医疗保险基金、工伤保险基金、失业保险基金和生育保险基金。除基本医疗保险基金与生育保险基金合并建账及核算外，其他各项社会保险基金按照社会保险险种分别建账，分账核算。社会保险基金执行国家统一的会计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社会保险基金专款专用，任何组织和个人不得侵占或者挪用。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基本养老保险基金逐步实行全国统筹,其他社会保险基金逐步实行省级统筹，具体时间、步骤由国务院规定。</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第六十五条　</w:t>
      </w:r>
      <w:r>
        <w:rPr>
          <w:rFonts w:hint="eastAsia" w:ascii="宋体" w:hAnsi="宋体" w:cs="Arial"/>
          <w:kern w:val="0"/>
          <w:szCs w:val="32"/>
          <w:lang w:val="en-US" w:eastAsia="zh-CN"/>
        </w:rPr>
        <w:t>社会保险基金通过预算实现收支平衡。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县级以上人民政府在社会保险基金出现支付不足时，给予补贴。</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第六十六条　</w:t>
      </w:r>
      <w:r>
        <w:rPr>
          <w:rFonts w:hint="eastAsia" w:ascii="宋体" w:hAnsi="宋体" w:cs="Arial"/>
          <w:kern w:val="0"/>
          <w:szCs w:val="32"/>
          <w:lang w:val="en-US" w:eastAsia="zh-CN"/>
        </w:rPr>
        <w:t>社会保险基金按照统筹层次设立预算。除基本医疗保险基金与生育保险基金预算合并编制外，其他社会保险基金预算按照社会保险项目分别编制。</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第六十七条</w:t>
      </w:r>
      <w:r>
        <w:rPr>
          <w:rFonts w:hint="eastAsia" w:ascii="宋体" w:hAnsi="宋体" w:cs="Arial"/>
          <w:kern w:val="0"/>
          <w:szCs w:val="32"/>
          <w:lang w:val="en-US" w:eastAsia="zh-CN"/>
        </w:rPr>
        <w:t>　社会保险基金预算、决算草案的编制、审核和批准，依照法律和国务院规定执行。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第六十八条　</w:t>
      </w:r>
      <w:r>
        <w:rPr>
          <w:rFonts w:hint="eastAsia" w:ascii="宋体" w:hAnsi="宋体" w:cs="Arial"/>
          <w:kern w:val="0"/>
          <w:szCs w:val="32"/>
          <w:lang w:val="en-US" w:eastAsia="zh-CN"/>
        </w:rPr>
        <w:t>社会保险基金存入财政专户，具体管理办法由国务院规定。</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第六十九条　</w:t>
      </w:r>
      <w:r>
        <w:rPr>
          <w:rFonts w:hint="eastAsia" w:ascii="宋体" w:hAnsi="宋体" w:cs="Arial"/>
          <w:kern w:val="0"/>
          <w:szCs w:val="32"/>
          <w:lang w:val="en-US" w:eastAsia="zh-CN"/>
        </w:rPr>
        <w:t>社会保险基金在保证安全的前提下，按照国务院规定投资运营实现保值增值。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社会保险基金不得违规投资运营，不得用于平衡其他政府预算，不得用于兴建、改建办公场所和支付人员经费、运行费用、管理费用，或者违反法律、行政法规规定挪作其他用途。</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第七十条　</w:t>
      </w:r>
      <w:r>
        <w:rPr>
          <w:rFonts w:hint="eastAsia" w:ascii="宋体" w:hAnsi="宋体" w:cs="Arial"/>
          <w:kern w:val="0"/>
          <w:szCs w:val="32"/>
          <w:lang w:val="en-US" w:eastAsia="zh-CN"/>
        </w:rPr>
        <w:t>社会保险经办机构应当定期向社会公布参加社会保险情况以及社会保险基金的收入、支出、结余和收益情况。</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第七十一条　</w:t>
      </w:r>
      <w:r>
        <w:rPr>
          <w:rFonts w:hint="eastAsia" w:ascii="宋体" w:hAnsi="宋体" w:cs="Arial"/>
          <w:kern w:val="0"/>
          <w:szCs w:val="32"/>
          <w:lang w:val="en-US" w:eastAsia="zh-CN"/>
        </w:rPr>
        <w:t>国家设立全国社会保障基金，由中央财政预算拨款以及国务院批准的其他方式筹集的资金构成，用于社会保障支出的补充、调剂。全国社会保障基金由全国社会保障基金管理运营机构负责管理运营，在保证安全的前提下实现保值增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全国社会保障基金应当定期向社会公布收支、管理和投资运营的情况。国务院财政部门、社会保险行政部门、审计机关对全国社会保障基金的收支、管理和投资运营情况实施监督。</w:t>
      </w:r>
    </w:p>
    <w:p>
      <w:pPr>
        <w:pStyle w:val="33"/>
        <w:wordWrap/>
        <w:spacing w:line="560" w:lineRule="exact"/>
        <w:textAlignment w:val="auto"/>
        <w:rPr>
          <w:rFonts w:hint="eastAsia"/>
        </w:rPr>
      </w:pPr>
    </w:p>
    <w:p>
      <w:pPr>
        <w:widowControl w:val="0"/>
        <w:numPr>
          <w:ilvl w:val="0"/>
          <w:numId w:val="6"/>
        </w:numPr>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rPr>
      </w:pPr>
      <w:r>
        <w:rPr>
          <w:rFonts w:hint="eastAsia" w:ascii="黑体" w:hAnsi="黑体" w:eastAsia="黑体" w:cs="黑体"/>
          <w:kern w:val="0"/>
          <w:szCs w:val="32"/>
        </w:rPr>
        <w:t>　社会保险经办</w:t>
      </w:r>
    </w:p>
    <w:p>
      <w:pPr>
        <w:pStyle w:val="33"/>
        <w:numPr>
          <w:ilvl w:val="0"/>
          <w:numId w:val="0"/>
        </w:numPr>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第七十二条</w:t>
      </w:r>
      <w:r>
        <w:rPr>
          <w:rFonts w:hint="eastAsia" w:ascii="宋体" w:hAnsi="宋体" w:cs="Arial"/>
          <w:kern w:val="0"/>
          <w:szCs w:val="32"/>
          <w:lang w:val="en-US" w:eastAsia="zh-CN"/>
        </w:rPr>
        <w:t>　统筹地区设立社会保险经办机构。社会保险经办机构根据工作需要，经所在地的社会保险行政部门和机构编制管理机关批准，可以在本统筹地区设立分支机构和服务网点。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社会保险经办机构的人员经费和经办社会保险发生的基本运行费用、管理费用，由同级财政按照国家规定予以保障。</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第七十三条　</w:t>
      </w:r>
      <w:r>
        <w:rPr>
          <w:rFonts w:hint="eastAsia" w:ascii="宋体" w:hAnsi="宋体" w:cs="Arial"/>
          <w:kern w:val="0"/>
          <w:szCs w:val="32"/>
          <w:lang w:val="en-US" w:eastAsia="zh-CN"/>
        </w:rPr>
        <w:t>社会保险经办机构应当建立健全业务、财务、安全和风险管理制度。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社会保险经办机构应当按时足额支付社会保险待遇。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第七十四条</w:t>
      </w:r>
      <w:r>
        <w:rPr>
          <w:rFonts w:hint="eastAsia" w:ascii="宋体" w:hAnsi="宋体" w:cs="Arial"/>
          <w:kern w:val="0"/>
          <w:szCs w:val="32"/>
          <w:lang w:val="en-US" w:eastAsia="zh-CN"/>
        </w:rPr>
        <w:t>　社会保险经办机构通过业务经办、统计、调查获取社会保险工作所需的数据，有关单位和个人应当及时、如实提供。</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社会保险经办机构应当及时为用人单位建立档案，完整、准确地记录参加社会保险的人员、缴费等社会保险数据，妥善保管登记、申报的原始凭证和支付结算的会计凭证。</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社会保险经办机构应当及时、完整、准确地记录参加社会保险的个人缴费和用人单位为其缴费，以及享受社会保险待遇等个人权益记录，定期将个人权益记录单免费寄送本人。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用人单位和个人可以免费向社会保险经办机构查询、核对其缴费和享受社会保险待遇记录，要求社会保险经办机构提供社会保险咨询等相关服务。</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第七十五条</w:t>
      </w:r>
      <w:r>
        <w:rPr>
          <w:rFonts w:hint="eastAsia" w:ascii="宋体" w:hAnsi="宋体" w:cs="Arial"/>
          <w:kern w:val="0"/>
          <w:szCs w:val="32"/>
          <w:lang w:val="en-US" w:eastAsia="zh-CN"/>
        </w:rPr>
        <w:t>　全国社会保险信息系统按照国家统一规划，由县级以上人民政府按照分级负责的原则共同建设。</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第十章　社会保险监督</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第七十六条</w:t>
      </w:r>
      <w:r>
        <w:rPr>
          <w:rFonts w:hint="eastAsia" w:ascii="宋体" w:hAnsi="宋体" w:cs="Arial"/>
          <w:kern w:val="0"/>
          <w:szCs w:val="32"/>
          <w:lang w:val="en-US" w:eastAsia="zh-CN"/>
        </w:rPr>
        <w:t>　各级人民代表大会常务委员会听取和审议本级人民政府对社会保险基金的收支、管理、投资运营以及监督检查情况的专项工作报告，组织对本法实施情况的执法检查等，依法行使监督职权。</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第七十七条</w:t>
      </w:r>
      <w:r>
        <w:rPr>
          <w:rFonts w:hint="eastAsia" w:ascii="宋体" w:hAnsi="宋体" w:cs="Arial"/>
          <w:kern w:val="0"/>
          <w:szCs w:val="32"/>
          <w:lang w:val="en-US" w:eastAsia="zh-CN"/>
        </w:rPr>
        <w:t>　县级以上人民政府社会保险行政部门应当加强对用人单位和个人遵守社会保险法律、法规情况的监督检查。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社会保险行政部门实施监督检查时，被检查的用人单位和个人应当如实提供与社会保险有关的资料，不得拒绝检查或者谎报、瞒报。</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第七十八条</w:t>
      </w:r>
      <w:r>
        <w:rPr>
          <w:rFonts w:hint="eastAsia" w:ascii="宋体" w:hAnsi="宋体" w:cs="Arial"/>
          <w:kern w:val="0"/>
          <w:szCs w:val="32"/>
          <w:lang w:val="en-US" w:eastAsia="zh-CN"/>
        </w:rPr>
        <w:t>　财政部门、审计机关按照各自职责，对社会保险基金的收支、管理和投资运营情况实施监督。</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第七十九条　</w:t>
      </w:r>
      <w:r>
        <w:rPr>
          <w:rFonts w:hint="eastAsia" w:ascii="宋体" w:hAnsi="宋体" w:cs="Arial"/>
          <w:kern w:val="0"/>
          <w:szCs w:val="32"/>
          <w:lang w:val="en-US" w:eastAsia="zh-CN"/>
        </w:rPr>
        <w:t>社会保险行政部门对社会保险基金的收支、管理和投资运营情况进行监督检查，发现存在问题的，应当提出整改建议，依法作出处理决定或者向有关行政部门提出处理建议。社会保险基金检查结果应当定期向社会公布。</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社会保险行政部门对社会保险基金实施监督检查，有权采取下列措施：</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（一）查阅、记录、复制与社会保险基金收支、管理和投资运营相关的资料，对可能被转移、隐匿或者灭失的资料予以封存；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（二）询问与调查事项有关的单位和个人，要求其对与调查事项有关的问题作出说明、提供有关证明材料；</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（三）对隐匿、转移、侵占、挪用社会保险基金的行为予以制止并责令改正。</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第八十条　</w:t>
      </w:r>
      <w:r>
        <w:rPr>
          <w:rFonts w:hint="eastAsia" w:ascii="宋体" w:hAnsi="宋体" w:cs="Arial"/>
          <w:kern w:val="0"/>
          <w:szCs w:val="32"/>
          <w:lang w:val="en-US" w:eastAsia="zh-CN"/>
        </w:rPr>
        <w:t>统筹地区人民政府成立由用人单位代表、参保人员代表，以及工会代表、专家等组成的社会保险监督委员会，掌握、分析社会保险基金的收支、管理和投资运营情况，对社会保险工作提出咨询意见和建议，实施社会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应当定期向社会保险监督委员会汇报社会保险基金的收支、管理和投资运营情况。社会保险监督委员会可以聘请会计师事务所对社会保险基金的收支、管理和投资运营情况进行年度审计和专项审计。审计结果应当向社会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社会保险监督委员会发现社会保险基金收支、管理和投资运营中存在问题的，有权提出改正建议；对社会保险经办机构及其工作人员的违法行为，有权向有关部门提出依法处理建议。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第八十一条　</w:t>
      </w:r>
      <w:r>
        <w:rPr>
          <w:rFonts w:hint="eastAsia" w:ascii="宋体" w:hAnsi="宋体" w:cs="Arial"/>
          <w:kern w:val="0"/>
          <w:szCs w:val="32"/>
          <w:lang w:val="en-US" w:eastAsia="zh-CN"/>
        </w:rPr>
        <w:t>社会保险行政部门和其他有关行政部门、社会保险经办机构、社会保险费征收机构及其工作人员，应当依法为用人单位和个人的信息保密，不得以任何形式泄露。</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第八十二条</w:t>
      </w:r>
      <w:r>
        <w:rPr>
          <w:rFonts w:hint="eastAsia" w:ascii="宋体" w:hAnsi="宋体" w:cs="Arial"/>
          <w:kern w:val="0"/>
          <w:szCs w:val="32"/>
          <w:lang w:val="en-US" w:eastAsia="zh-CN"/>
        </w:rPr>
        <w:t>　任何组织或者个人有权对违反社会保险法律、法规的行为进行举报、投诉。</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行政部门、卫生行政部门、社会保险经办机构、社会保险费征收机构和财政部门、审计机关对属于本部门、本机构职责范围的举报、投诉，应当依法处理；对不属于本部门、本机构职责范围的，应当书面通知并移交有权处理的部门、机构处理。有权处理的部门、机构应当及时处理，不得推诿。</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第八十三条</w:t>
      </w:r>
      <w:r>
        <w:rPr>
          <w:rFonts w:hint="eastAsia" w:ascii="宋体" w:hAnsi="宋体" w:cs="Arial"/>
          <w:kern w:val="0"/>
          <w:szCs w:val="32"/>
          <w:lang w:val="en-US" w:eastAsia="zh-CN"/>
        </w:rPr>
        <w:t>　用人单位或者个人认为社会保险费征收机构的行为侵害自己合法权益的，可以依法申请行政复议或者提起行政诉讼。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用人单位或者个人对社会保险经办机构不依法办理社会保险登记、核定社会保险费、支付社会保险待遇、办理社会保险转移接续手续或者侵害其他社会保险权益的行为，可以依法申请行政复议或者提起行政诉讼。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个人与所在用人单位发生社会保险争议的，可以依法申请调解、仲裁，提起诉讼。用人单位侵害个人社会保险权益的，个人也可以要求社会保险行政部门或者社会保险费征收机构依法处理。</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第十一章　法律责任</w:t>
      </w:r>
    </w:p>
    <w:p>
      <w:pPr>
        <w:pStyle w:val="33"/>
        <w:wordWrap/>
        <w:spacing w:line="560" w:lineRule="exact"/>
        <w:textAlignment w:val="auto"/>
        <w:rPr>
          <w:rFonts w:hint="default"/>
          <w:lang w:val="en-US" w:eastAsia="zh-CN"/>
        </w:rPr>
      </w:pPr>
      <w:r>
        <w:rPr>
          <w:rFonts w:hint="eastAsia"/>
          <w:lang w:val="en-US" w:eastAsia="zh-CN"/>
        </w:rPr>
        <w:t xml:space="preserve"> </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第八十四条</w:t>
      </w:r>
      <w:r>
        <w:rPr>
          <w:rFonts w:hint="eastAsia" w:ascii="宋体" w:hAnsi="宋体" w:cs="Arial"/>
          <w:kern w:val="0"/>
          <w:szCs w:val="32"/>
          <w:lang w:val="en-US" w:eastAsia="zh-CN"/>
        </w:rPr>
        <w:t>　用人单位不办理社会保险登记的，由社会保险行政部门责令限期改正；逾期不改正的，对用人单位处应缴社会保险费数额一倍以上三倍以下的罚款，对其直接负责的主管人员和其他直接责任人员处五百元以上三千元以下的罚款。</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第八十五条　</w:t>
      </w:r>
      <w:r>
        <w:rPr>
          <w:rFonts w:hint="eastAsia" w:ascii="宋体" w:hAnsi="宋体" w:cs="Arial"/>
          <w:kern w:val="0"/>
          <w:szCs w:val="32"/>
          <w:lang w:val="en-US" w:eastAsia="zh-CN"/>
        </w:rPr>
        <w:t>用人单位拒不出具终止或者解除劳动关系证明的，依照《</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328179&amp;ix=1&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56S+5Lya5L+d6Zmp5rOVJScpIAYFAAAADS3lj5HluIPml6XmnJ8GBgAAAA/npL7kvJrkv53pmanms5UAAAsBAAD//javascript:SLC(199310,0)" </w:instrText>
      </w:r>
      <w:r>
        <w:rPr>
          <w:rFonts w:hint="eastAsia" w:ascii="宋体" w:hAnsi="宋体" w:cs="Arial"/>
          <w:kern w:val="0"/>
          <w:szCs w:val="32"/>
          <w:lang w:val="en-US" w:eastAsia="zh-CN"/>
        </w:rPr>
        <w:fldChar w:fldCharType="separate"/>
      </w:r>
      <w:r>
        <w:rPr>
          <w:rFonts w:hint="eastAsia" w:ascii="宋体" w:hAnsi="宋体" w:cs="Arial"/>
          <w:kern w:val="0"/>
          <w:szCs w:val="32"/>
        </w:rPr>
        <w:t>中华人民共和国劳动合同法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》的规定处理。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第八十六条　</w:t>
      </w:r>
      <w:r>
        <w:rPr>
          <w:rFonts w:hint="eastAsia" w:ascii="宋体" w:hAnsi="宋体" w:cs="Arial"/>
          <w:kern w:val="0"/>
          <w:szCs w:val="32"/>
          <w:lang w:val="en-US" w:eastAsia="zh-CN"/>
        </w:rPr>
        <w:t>用人单位未按时足额缴纳社会保险费的，由社会保险费征收机构责令限期缴纳或者补足，并自欠缴之日起，按日加收万分之五的滞纳金；逾期仍不缴纳的，由有关行政部门处欠缴数额一倍以上三倍以下的罚款。</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第八十七条</w:t>
      </w:r>
      <w:r>
        <w:rPr>
          <w:rFonts w:hint="eastAsia" w:ascii="宋体" w:hAnsi="宋体" w:cs="Arial"/>
          <w:kern w:val="0"/>
          <w:szCs w:val="32"/>
          <w:lang w:val="en-US" w:eastAsia="zh-CN"/>
        </w:rPr>
        <w:t>　社会保险经办机构以及医疗机构、药品经营单位等社会保险服务机构以欺诈、伪造证明材料或者其他手段骗取社会保险基金支出的，由社会保险行政部门责令退回骗取的社会保险金，处骗取金额二倍以上五倍以下的罚款；属于社会保险服务机构的，解除服务协议；直接负责的主管人员和其他直接责任人员有执业资格的，依法吊销其执业资格。</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第八十八条</w:t>
      </w:r>
      <w:r>
        <w:rPr>
          <w:rFonts w:hint="eastAsia" w:ascii="宋体" w:hAnsi="宋体" w:cs="Arial"/>
          <w:kern w:val="0"/>
          <w:szCs w:val="32"/>
          <w:lang w:val="en-US" w:eastAsia="zh-CN"/>
        </w:rPr>
        <w:t>　以欺诈、伪造证明材料或者其他手段骗取社会保险待遇的，由社会保险行政部门责令退回骗取的社会保险金，处骗取金额二倍以上五倍以下的罚款。</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第八十九条</w:t>
      </w:r>
      <w:r>
        <w:rPr>
          <w:rFonts w:hint="eastAsia" w:ascii="宋体" w:hAnsi="宋体" w:cs="Arial"/>
          <w:kern w:val="0"/>
          <w:szCs w:val="32"/>
          <w:lang w:val="en-US" w:eastAsia="zh-CN"/>
        </w:rPr>
        <w:t>　社会保险经办机构及其工作人员有下列行为之一的，由社会保险行政部门责令改正；给社会保险基金、用人单位或者个人造成损失的，依法承担赔偿责任；对直接负责的主管人员和其他直接责任人员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（一）未履行社会保险法定职责的；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（二）未将社会保险基金存入财政专户的；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（三）克扣或者拒不按时支付社会保险待遇的；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（四）丢失或者篡改缴费记录、享受社会保险待遇记录等社会保险数据、个人权益记录的；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（五）有违反社会保险法律、法规的其他行为的。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第九十条　</w:t>
      </w:r>
      <w:r>
        <w:rPr>
          <w:rFonts w:hint="eastAsia" w:ascii="宋体" w:hAnsi="宋体" w:cs="Arial"/>
          <w:kern w:val="0"/>
          <w:szCs w:val="32"/>
          <w:lang w:val="en-US" w:eastAsia="zh-CN"/>
        </w:rPr>
        <w:t>社会保险费征收机构擅自更改社会保险费缴费基数、费率，导致少收或者多收社会保险费的，由有关行政部门责令其追缴应当缴纳的社会保险费或者退还不应当缴纳的社会保险费；对直接负责的主管人员和其他直接责任人员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第九十一条　</w:t>
      </w:r>
      <w:r>
        <w:rPr>
          <w:rFonts w:hint="eastAsia" w:ascii="宋体" w:hAnsi="宋体" w:cs="Arial"/>
          <w:kern w:val="0"/>
          <w:szCs w:val="32"/>
          <w:lang w:val="en-US" w:eastAsia="zh-CN"/>
        </w:rPr>
        <w:t>违反本法规定，隐匿、转移、侵占、挪用社会保险基金或者违规投资运营的，由社会保险行政部门、财政部门、审计机关责令追回；有违法所得的，没收违法所得；对直接负责的主管人员和其他直接责任人员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第九十二条</w:t>
      </w:r>
      <w:r>
        <w:rPr>
          <w:rFonts w:hint="eastAsia" w:ascii="宋体" w:hAnsi="宋体" w:cs="Arial"/>
          <w:kern w:val="0"/>
          <w:szCs w:val="32"/>
          <w:lang w:val="en-US" w:eastAsia="zh-CN"/>
        </w:rPr>
        <w:t>　社会保险行政部门和其他有关行政部门、社会保险经办机构、社会保险费征收机构及其工作人员泄露用人单位和个人信息的，对直接负责的主管人员和其他直接责任人员依法给予处分；给用人单位或者个人造成损失的，应当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第九十三条　</w:t>
      </w:r>
      <w:r>
        <w:rPr>
          <w:rFonts w:hint="eastAsia" w:ascii="宋体" w:hAnsi="宋体" w:cs="Arial"/>
          <w:kern w:val="0"/>
          <w:szCs w:val="32"/>
          <w:lang w:val="en-US" w:eastAsia="zh-CN"/>
        </w:rPr>
        <w:t>国家工作人员在社会保险管理、监督工作中滥用职权、玩忽职守、徇私舞弊的，依法给予处分。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第九十四条</w:t>
      </w:r>
      <w:r>
        <w:rPr>
          <w:rFonts w:hint="eastAsia" w:ascii="宋体" w:hAnsi="宋体" w:cs="Arial"/>
          <w:kern w:val="0"/>
          <w:szCs w:val="32"/>
          <w:lang w:val="en-US" w:eastAsia="zh-CN"/>
        </w:rPr>
        <w:t>　违反本法规定，构成犯罪的，依法追究刑事责任。</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第十二章　附则</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第九十五条</w:t>
      </w:r>
      <w:r>
        <w:rPr>
          <w:rFonts w:hint="eastAsia" w:ascii="宋体" w:hAnsi="宋体" w:cs="Arial"/>
          <w:kern w:val="0"/>
          <w:szCs w:val="32"/>
          <w:lang w:val="en-US" w:eastAsia="zh-CN"/>
        </w:rPr>
        <w:t>　进城务工的农村居民依照本法规定参加社会保险。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第九十六条</w:t>
      </w:r>
      <w:r>
        <w:rPr>
          <w:rFonts w:hint="eastAsia" w:ascii="宋体" w:hAnsi="宋体" w:cs="Arial"/>
          <w:kern w:val="0"/>
          <w:szCs w:val="32"/>
          <w:lang w:val="en-US" w:eastAsia="zh-CN"/>
        </w:rPr>
        <w:t>　征收农村集体所有的土地，应当足额安排被征地农民的社会保险费，按照国务院规定将被征地农民纳入相应的社会保险制度。</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第九十七条　</w:t>
      </w:r>
      <w:r>
        <w:rPr>
          <w:rFonts w:hint="eastAsia" w:ascii="宋体" w:hAnsi="宋体" w:cs="Arial"/>
          <w:kern w:val="0"/>
          <w:szCs w:val="32"/>
          <w:lang w:val="en-US" w:eastAsia="zh-CN"/>
        </w:rPr>
        <w:t>外国人在中国境内就业的，参照本法规定参加社会保险。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第九十八条</w:t>
      </w:r>
      <w:r>
        <w:rPr>
          <w:rFonts w:hint="eastAsia" w:ascii="宋体" w:hAnsi="宋体" w:cs="Arial"/>
          <w:kern w:val="0"/>
          <w:szCs w:val="32"/>
          <w:lang w:val="en-US" w:eastAsia="zh-CN"/>
        </w:rPr>
        <w:t>　本法自2011年7月1日起施行。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lang w:eastAsia="zh-CN"/>
        </w:rPr>
      </w:pPr>
      <w:r>
        <w:rPr>
          <w:rFonts w:hint="eastAsia" w:ascii="宋体" w:hAnsi="宋体" w:eastAsia="宋体" w:cs="宋体"/>
          <w:kern w:val="0"/>
          <w:sz w:val="44"/>
          <w:szCs w:val="44"/>
          <w:lang w:eastAsia="zh-CN"/>
        </w:rPr>
        <w:br w:type="page"/>
      </w:r>
    </w:p>
    <w:p>
      <w:pPr>
        <w:widowControl w:val="0"/>
        <w:wordWrap/>
        <w:overflowPunct w:val="0"/>
        <w:adjustRightInd/>
        <w:snapToGrid/>
        <w:spacing w:beforeAutospacing="0" w:afterAutospacing="0" w:line="560" w:lineRule="exact"/>
        <w:jc w:val="center"/>
        <w:textAlignment w:val="auto"/>
        <w:outlineLvl w:val="0"/>
        <w:rPr>
          <w:rFonts w:hint="eastAsia" w:ascii="宋体" w:hAnsi="宋体" w:cs="Arial"/>
          <w:kern w:val="0"/>
          <w:szCs w:val="32"/>
          <w:lang w:eastAsia="zh-CN"/>
        </w:rPr>
      </w:pPr>
      <w:bookmarkStart w:id="213" w:name="_Toc18139"/>
      <w:r>
        <w:rPr>
          <w:rFonts w:hint="eastAsia" w:ascii="宋体" w:hAnsi="宋体" w:eastAsia="宋体" w:cs="宋体"/>
          <w:kern w:val="0"/>
          <w:sz w:val="44"/>
          <w:szCs w:val="44"/>
          <w:lang w:eastAsia="zh-CN"/>
        </w:rPr>
        <w:t>中华人民共和国劳动法</w:t>
      </w:r>
      <w:r>
        <w:rPr>
          <w:rFonts w:hint="eastAsia" w:ascii="宋体" w:hAnsi="宋体" w:cs="Arial"/>
          <w:kern w:val="0"/>
          <w:szCs w:val="32"/>
          <w:lang w:eastAsia="zh-CN"/>
        </w:rPr>
        <w:br w:type="textWrapping"/>
      </w:r>
      <w:bookmarkEnd w:id="213"/>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cs="Arial"/>
          <w:kern w:val="0"/>
          <w:szCs w:val="32"/>
          <w:lang w:eastAsia="zh-CN"/>
        </w:rPr>
      </w:pPr>
      <w:r>
        <w:rPr>
          <w:rFonts w:hint="eastAsia" w:ascii="宋体" w:hAnsi="宋体" w:cs="Arial"/>
          <w:kern w:val="0"/>
          <w:szCs w:val="32"/>
          <w:lang w:eastAsia="zh-CN"/>
        </w:rPr>
        <w:t>（1994年7月5日第八届全国人民代表大会常务委员会第八次会议通过　根据2009年8月27日第十一届全国人民代表大会常务委员会第十次会议《关于修改部分法律的决定》第一次修正　根据2018年12月29日第十三届全国人民代表大会常务委员会第七次会议《关于修改〈中华人民共和国劳动法〉等七部法律的决定》第二次修正）</w:t>
      </w: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目　　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　　第一章　总　　则</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第二章　促进就业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第三章　劳动合同和集体合同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第四章　工作时间和休息休假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第五章　工　　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第六章　劳动安全卫生</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第七章　女职工和未成年工特殊保护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第八章　职业培训</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第九章　社会保险和福利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第十章　劳动争议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第十一章　监督检查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第十二章　法律责任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第十三章　附　　则</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第一章　总则</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第一条　</w:t>
      </w:r>
      <w:r>
        <w:rPr>
          <w:rFonts w:hint="eastAsia" w:ascii="宋体" w:hAnsi="宋体" w:cs="Arial"/>
          <w:kern w:val="0"/>
          <w:szCs w:val="32"/>
          <w:lang w:val="en-US" w:eastAsia="zh-CN"/>
        </w:rPr>
        <w:t>为了保护劳动者的合法权益，调整劳动关系，建立和维护适应社会主义市场经济的劳动制度，促进经济发展和社会进步，根据</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328222&amp;ix=1&amp;w=H4sIAAAAAAAEAAArAdT+AAEAAAD/////AQAAAAAAAAAMAgAAADxDbGlWNSwgVmVyc2lvbj0xLjAuMC4wLCBDdWx0dXJlPW5ldXRyYWwsIFB1YmxpY0tleVRva2VuPW51bGwFAQAAACtDbGlWNS5Db21tb25DbGFzcy5TZXJpYWxQYXJhbStTZWFyY2hfU3RydWN0BgAAAAhEYXRhYmFzZQVXaGVyZQRTb3J0B0tleXdvcmQHSXNHcm91cAlJc1N1bW1hcnkBAQEBAAABAQIAAAAGAwAAAANjaGwGBAAAADXmlYjlipvnuqfliKs9WEEwMSUgYW5kICAo5rOV6KeE5qCH6aKYPScl5Yqz5Yqo5rOVJScpIAYFAAAADS3lj5HluIPml6XmnJ8GBgAAAAnlirPliqjms5UAAAsBAAD///javascript:SLC(311950,0)" </w:instrText>
      </w:r>
      <w:r>
        <w:rPr>
          <w:rFonts w:hint="eastAsia" w:ascii="宋体" w:hAnsi="宋体" w:cs="Arial"/>
          <w:kern w:val="0"/>
          <w:szCs w:val="32"/>
          <w:lang w:val="en-US" w:eastAsia="zh-CN"/>
        </w:rPr>
        <w:fldChar w:fldCharType="separate"/>
      </w:r>
      <w:r>
        <w:rPr>
          <w:rFonts w:hint="eastAsia" w:ascii="宋体" w:hAnsi="宋体" w:cs="Arial"/>
          <w:kern w:val="0"/>
          <w:szCs w:val="32"/>
          <w:lang w:eastAsia="zh-CN"/>
        </w:rPr>
        <w:t>宪法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，制定本法。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第二条　</w:t>
      </w:r>
      <w:r>
        <w:rPr>
          <w:rFonts w:hint="eastAsia" w:ascii="宋体" w:hAnsi="宋体" w:cs="Arial"/>
          <w:kern w:val="0"/>
          <w:szCs w:val="32"/>
          <w:lang w:val="en-US" w:eastAsia="zh-CN"/>
        </w:rPr>
        <w:t>在中华人民共和国境内的企业、个体经济组织（以下统称用人单位）和与之形成劳动关系的劳动者，适用本法。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国家机关、事业组织、社会团体和与之建立劳动合同关系的劳动者，依照本法执行。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第三条　</w:t>
      </w:r>
      <w:r>
        <w:rPr>
          <w:rFonts w:hint="eastAsia" w:ascii="宋体" w:hAnsi="宋体" w:cs="Arial"/>
          <w:kern w:val="0"/>
          <w:szCs w:val="32"/>
          <w:lang w:val="en-US" w:eastAsia="zh-CN"/>
        </w:rPr>
        <w:t>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劳动者应当完成劳动任务，提高职业技能，执行劳动安全卫生规程，遵守劳动纪律和职业道德。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第四条</w:t>
      </w:r>
      <w:r>
        <w:rPr>
          <w:rFonts w:hint="eastAsia" w:ascii="宋体" w:hAnsi="宋体" w:cs="Arial"/>
          <w:kern w:val="0"/>
          <w:szCs w:val="32"/>
          <w:lang w:val="en-US" w:eastAsia="zh-CN"/>
        </w:rPr>
        <w:t>　用人单位应当依法建立和完善规章制度，保障劳动者享有劳动权利和履行劳动义务。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第五条</w:t>
      </w:r>
      <w:r>
        <w:rPr>
          <w:rFonts w:hint="eastAsia" w:ascii="宋体" w:hAnsi="宋体" w:cs="Arial"/>
          <w:kern w:val="0"/>
          <w:szCs w:val="32"/>
          <w:lang w:val="en-US" w:eastAsia="zh-CN"/>
        </w:rPr>
        <w:t>　国家采取各种措施，促进劳动就业，发展职业教育，制定劳动标准，调节社会收入，完善社会保险，协调劳动关系，逐步提高劳动者的生活水平。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第六条</w:t>
      </w:r>
      <w:r>
        <w:rPr>
          <w:rFonts w:hint="eastAsia" w:ascii="宋体" w:hAnsi="宋体" w:cs="Arial"/>
          <w:kern w:val="0"/>
          <w:szCs w:val="32"/>
          <w:lang w:val="en-US" w:eastAsia="zh-CN"/>
        </w:rPr>
        <w:t>　国家提倡劳动者参加社会义务劳动，开展劳动竞赛和合理化建议活动，鼓励和保护劳动者进行科学研究、技术革新和发明创造，表彰和奖励劳动模范和先进工作者。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第七条　</w:t>
      </w:r>
      <w:r>
        <w:rPr>
          <w:rFonts w:hint="eastAsia" w:ascii="宋体" w:hAnsi="宋体" w:cs="Arial"/>
          <w:kern w:val="0"/>
          <w:szCs w:val="32"/>
          <w:lang w:val="en-US" w:eastAsia="zh-CN"/>
        </w:rPr>
        <w:t>劳动者有权依法参加和组织工会。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工会代表和维护劳动者的合法权益，依法独立自主地开展活动。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第八条</w:t>
      </w:r>
      <w:r>
        <w:rPr>
          <w:rFonts w:hint="eastAsia" w:ascii="宋体" w:hAnsi="宋体" w:cs="Arial"/>
          <w:kern w:val="0"/>
          <w:szCs w:val="32"/>
          <w:lang w:val="en-US" w:eastAsia="zh-CN"/>
        </w:rPr>
        <w:t>　劳动者依照法律规定，通过职工大会、职工代表大会或者其他形式，参与民主管理或者就保护劳动者合法权益与用人单位进行平等协商。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第九条</w:t>
      </w:r>
      <w:r>
        <w:rPr>
          <w:rFonts w:hint="eastAsia" w:ascii="宋体" w:hAnsi="宋体" w:cs="Arial"/>
          <w:kern w:val="0"/>
          <w:szCs w:val="32"/>
          <w:lang w:val="en-US" w:eastAsia="zh-CN"/>
        </w:rPr>
        <w:t>　国务院劳动行政部门主管全国劳动工作。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县级以上地方人民政府劳动行政部门主管本行政区域内的劳动工作。</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第二章　促进就业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第十条</w:t>
      </w:r>
      <w:r>
        <w:rPr>
          <w:rFonts w:hint="eastAsia" w:ascii="宋体" w:hAnsi="宋体" w:cs="Arial"/>
          <w:kern w:val="0"/>
          <w:szCs w:val="32"/>
          <w:lang w:val="en-US" w:eastAsia="zh-CN"/>
        </w:rPr>
        <w:t>　国家通过促进经济和社会发展，创造就业条件，扩大就业机会。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国家鼓励企业、事业组织、社会团体在法律、行政法规规定的范围内兴办产业或者拓展经营，增加就业。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国家支持劳动者自愿组织起来就业和从事个体经营实现就业。</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第十一条</w:t>
      </w:r>
      <w:r>
        <w:rPr>
          <w:rFonts w:hint="eastAsia" w:ascii="宋体" w:hAnsi="宋体" w:cs="Arial"/>
          <w:kern w:val="0"/>
          <w:szCs w:val="32"/>
          <w:lang w:val="en-US" w:eastAsia="zh-CN"/>
        </w:rPr>
        <w:t>　地方各级人民政府应当采取措施，发展多种类型的职业介绍机构，提供就业服务。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第十二条</w:t>
      </w:r>
      <w:r>
        <w:rPr>
          <w:rFonts w:hint="eastAsia" w:ascii="宋体" w:hAnsi="宋体" w:cs="Arial"/>
          <w:kern w:val="0"/>
          <w:szCs w:val="32"/>
          <w:lang w:val="en-US" w:eastAsia="zh-CN"/>
        </w:rPr>
        <w:t>　劳动者就业，不因民族、种族、性别、宗教信仰不同而受歧视。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第十三条　</w:t>
      </w:r>
      <w:r>
        <w:rPr>
          <w:rFonts w:hint="eastAsia" w:ascii="宋体" w:hAnsi="宋体" w:cs="Arial"/>
          <w:kern w:val="0"/>
          <w:szCs w:val="32"/>
          <w:lang w:val="en-US" w:eastAsia="zh-CN"/>
        </w:rPr>
        <w:t>妇女享有与男子平等的就业权利。在录用职工时，除国家规定的不适合妇女的工种或者岗位外，不得以性别为由拒绝录用妇女或者提高对妇女的录用标准。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第十四条</w:t>
      </w:r>
      <w:r>
        <w:rPr>
          <w:rFonts w:hint="eastAsia" w:ascii="宋体" w:hAnsi="宋体" w:cs="Arial"/>
          <w:kern w:val="0"/>
          <w:szCs w:val="32"/>
          <w:lang w:val="en-US" w:eastAsia="zh-CN"/>
        </w:rPr>
        <w:t>　残疾人、少数民族人员、退出现役的军人的就业，法律、法规有特别规定的，从其规定。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第十五条</w:t>
      </w:r>
      <w:r>
        <w:rPr>
          <w:rFonts w:hint="eastAsia" w:ascii="宋体" w:hAnsi="宋体" w:cs="Arial"/>
          <w:kern w:val="0"/>
          <w:szCs w:val="32"/>
          <w:lang w:val="en-US" w:eastAsia="zh-CN"/>
        </w:rPr>
        <w:t>　禁止用人单位招用未满十六周岁的未成年人。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文艺、体育和特种工艺单位招用未满十六周岁的未成年人，必须遵守国家有关规定，并保障其接受义务教育的权利。</w:t>
      </w:r>
    </w:p>
    <w:p>
      <w:pPr>
        <w:pStyle w:val="33"/>
        <w:wordWrap/>
        <w:spacing w:line="560" w:lineRule="exact"/>
        <w:textAlignment w:val="auto"/>
        <w:rPr>
          <w:rFonts w:hint="eastAsia"/>
          <w:lang w:eastAsia="zh-CN"/>
        </w:rPr>
      </w:pPr>
    </w:p>
    <w:p>
      <w:pPr>
        <w:widowControl w:val="0"/>
        <w:numPr>
          <w:ilvl w:val="0"/>
          <w:numId w:val="7"/>
        </w:numPr>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eastAsia="zh-CN"/>
        </w:rPr>
      </w:pPr>
      <w:r>
        <w:rPr>
          <w:rFonts w:hint="eastAsia" w:ascii="黑体" w:hAnsi="黑体" w:eastAsia="黑体" w:cs="黑体"/>
          <w:kern w:val="0"/>
          <w:szCs w:val="32"/>
          <w:lang w:eastAsia="zh-CN"/>
        </w:rPr>
        <w:t>　劳动合同和集体合同</w:t>
      </w:r>
    </w:p>
    <w:p>
      <w:pPr>
        <w:pStyle w:val="33"/>
        <w:numPr>
          <w:ilvl w:val="0"/>
          <w:numId w:val="0"/>
        </w:numPr>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第十六条</w:t>
      </w:r>
      <w:r>
        <w:rPr>
          <w:rFonts w:hint="eastAsia" w:ascii="宋体" w:hAnsi="宋体" w:cs="Arial"/>
          <w:kern w:val="0"/>
          <w:szCs w:val="32"/>
          <w:lang w:val="en-US" w:eastAsia="zh-CN"/>
        </w:rPr>
        <w:t>　劳动合同是劳动者与用人单位确立劳动关系、明确双方权利和义务的协议。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建立劳动关系应当订立劳动合同。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第十七条　</w:t>
      </w:r>
      <w:r>
        <w:rPr>
          <w:rFonts w:hint="eastAsia" w:ascii="宋体" w:hAnsi="宋体" w:cs="Arial"/>
          <w:kern w:val="0"/>
          <w:szCs w:val="32"/>
          <w:lang w:val="en-US" w:eastAsia="zh-CN"/>
        </w:rPr>
        <w:t>订立和变更劳动合同，应当遵循平等自愿、协商一致的原则，不得违反法律、行政法规的规定。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劳动合同依法订立即具有法律约束力，当事人必须履行劳动合同规定的义务。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第十八条　</w:t>
      </w:r>
      <w:r>
        <w:rPr>
          <w:rFonts w:hint="eastAsia" w:ascii="宋体" w:hAnsi="宋体" w:cs="Arial"/>
          <w:kern w:val="0"/>
          <w:szCs w:val="32"/>
          <w:lang w:val="en-US" w:eastAsia="zh-CN"/>
        </w:rPr>
        <w:t>下列劳动合同无效：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（一）违反法律、行政法规的劳动合同；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（二）采取欺诈、威胁等手段订立的劳动合同。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无效的劳动合同，从订立的时候起，就没有法律约束力。确认劳动合同部分无效的，如果不影响其余部分的效力，其余部分仍然有效。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劳动合同的无效，由劳动争议仲裁委员会或者人民法院确认。</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第十九条　</w:t>
      </w:r>
      <w:r>
        <w:rPr>
          <w:rFonts w:hint="eastAsia" w:ascii="宋体" w:hAnsi="宋体" w:cs="Arial"/>
          <w:kern w:val="0"/>
          <w:szCs w:val="32"/>
          <w:lang w:val="en-US" w:eastAsia="zh-CN"/>
        </w:rPr>
        <w:t>劳动合同应当以书面形式订立，并具备以下条款：</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（一）劳动合同期限；</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（二）工作内容；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（三）劳动保护和劳动条件；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（四）劳动报酬；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（五）劳动纪律；</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（六）劳动合同终止的条件；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（七）违反劳动合同的责任。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劳动合同除前款规定的必备条款外，当事人可以协商约定其他内容。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第二十条</w:t>
      </w:r>
      <w:r>
        <w:rPr>
          <w:rFonts w:hint="eastAsia" w:ascii="宋体" w:hAnsi="宋体" w:cs="Arial"/>
          <w:kern w:val="0"/>
          <w:szCs w:val="32"/>
          <w:lang w:val="en-US" w:eastAsia="zh-CN"/>
        </w:rPr>
        <w:t>　劳动合同的期限分为有固定期限、无固定期限和以完成一定的工作为期限。</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劳动者在同一用人单位连续工作满十年以上，当事人双方同意续延劳动合同的，如果劳动者提出订立无固定期限的劳动合同，应当订立无固定期限的劳动合同。</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第二十一条</w:t>
      </w:r>
      <w:r>
        <w:rPr>
          <w:rFonts w:hint="eastAsia" w:ascii="宋体" w:hAnsi="宋体" w:cs="Arial"/>
          <w:kern w:val="0"/>
          <w:szCs w:val="32"/>
          <w:lang w:val="en-US" w:eastAsia="zh-CN"/>
        </w:rPr>
        <w:t>　劳动合同可以约定试用期。试用期最长不得超过六个月。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第二十二条</w:t>
      </w:r>
      <w:r>
        <w:rPr>
          <w:rFonts w:hint="eastAsia" w:ascii="宋体" w:hAnsi="宋体" w:cs="Arial"/>
          <w:kern w:val="0"/>
          <w:szCs w:val="32"/>
          <w:lang w:val="en-US" w:eastAsia="zh-CN"/>
        </w:rPr>
        <w:t>　劳动合同当事人可以在劳动合同中约定保守用人单位商业秘密的有关事项。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第二十三条</w:t>
      </w:r>
      <w:r>
        <w:rPr>
          <w:rFonts w:hint="eastAsia" w:ascii="宋体" w:hAnsi="宋体" w:cs="Arial"/>
          <w:kern w:val="0"/>
          <w:szCs w:val="32"/>
          <w:lang w:val="en-US" w:eastAsia="zh-CN"/>
        </w:rPr>
        <w:t>　劳动合同期满或者当事人约定的劳动合同终止条件出现，劳动合同即行终止。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第二十四条　</w:t>
      </w:r>
      <w:r>
        <w:rPr>
          <w:rFonts w:hint="eastAsia" w:ascii="宋体" w:hAnsi="宋体" w:cs="Arial"/>
          <w:kern w:val="0"/>
          <w:szCs w:val="32"/>
          <w:lang w:val="en-US" w:eastAsia="zh-CN"/>
        </w:rPr>
        <w:t>经劳动合同当事人协商一致，劳动合同可以解除。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第二十五条　</w:t>
      </w:r>
      <w:r>
        <w:rPr>
          <w:rFonts w:hint="eastAsia" w:ascii="宋体" w:hAnsi="宋体" w:cs="Arial"/>
          <w:kern w:val="0"/>
          <w:szCs w:val="32"/>
          <w:lang w:val="en-US" w:eastAsia="zh-CN"/>
        </w:rPr>
        <w:t>劳动者有下列情形之一的，用人单位可以解除劳动合同：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（一）在试用期间被证明不符合录用条件的；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（二）严重违反劳动纪律或者用人单位规章制度的；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（三）严重失职，营私舞弊，对用人单位利益造成重大损害的；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（四）被依法追究刑事责任的。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第二十六条</w:t>
      </w:r>
      <w:r>
        <w:rPr>
          <w:rFonts w:hint="eastAsia" w:ascii="宋体" w:hAnsi="宋体" w:cs="Arial"/>
          <w:kern w:val="0"/>
          <w:szCs w:val="32"/>
          <w:lang w:val="en-US" w:eastAsia="zh-CN"/>
        </w:rPr>
        <w:t>　有下列情形之一的，用人单位可以解除劳动合同，但是应当提前三十日以书面形式通知劳动者本人：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（一）劳动者患病或者非因工负伤，医疗期满后，不能从事原工作也不能从事由用人单位另行安排的工作的；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（二）劳动者不能胜任工作，经过培训或者调整工作岗位，仍不能胜任工作的；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（三）劳动合同订立时所依据的客观情况发生重大变化，致使原劳动合同无法履行，经当事人协商不能就变更劳动合同达成协议的。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第二十七条　</w:t>
      </w:r>
      <w:r>
        <w:rPr>
          <w:rFonts w:hint="eastAsia" w:ascii="宋体" w:hAnsi="宋体" w:cs="Arial"/>
          <w:kern w:val="0"/>
          <w:szCs w:val="32"/>
          <w:lang w:val="en-US" w:eastAsia="zh-CN"/>
        </w:rPr>
        <w:t>用人单位濒临破产进行法定整顿期间或者生产经营状况发生严重困难，确需裁减人员的，应当提前三十日向工会或者全体职工说明情况，听取工会或者职工的意见，经向劳动行政部门报告后，可以裁减人员。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用人单位依据本条规定裁减人员，在六个月内录用人员的，应当优先录用被裁减的人员。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第二十八条　</w:t>
      </w:r>
      <w:r>
        <w:rPr>
          <w:rFonts w:hint="eastAsia" w:ascii="宋体" w:hAnsi="宋体" w:cs="Arial"/>
          <w:kern w:val="0"/>
          <w:szCs w:val="32"/>
          <w:lang w:val="en-US" w:eastAsia="zh-CN"/>
        </w:rPr>
        <w:t>用人单位依据本法第二十四条、第二十六条、第二十七条的规定解除劳动合同的，应当依照国家有关规定给予经济补偿。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第二十九条　</w:t>
      </w:r>
      <w:r>
        <w:rPr>
          <w:rFonts w:hint="eastAsia" w:ascii="宋体" w:hAnsi="宋体" w:cs="Arial"/>
          <w:kern w:val="0"/>
          <w:szCs w:val="32"/>
          <w:lang w:val="en-US" w:eastAsia="zh-CN"/>
        </w:rPr>
        <w:t>劳动者有下列情形之一的，用人单位不得依据本法第二十六条、第二十七条的规定解除劳动合同：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（一）患职业病或者因工负伤并被确认丧失或者部分丧失劳动能力的；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（二）患病或者负伤，在规定的医疗期内的；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（三）女职工在孕期、产期、哺乳期内的；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（四）法律、行政法规规定的其他情形。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第三十条</w:t>
      </w:r>
      <w:r>
        <w:rPr>
          <w:rFonts w:hint="eastAsia" w:ascii="宋体" w:hAnsi="宋体" w:cs="Arial"/>
          <w:kern w:val="0"/>
          <w:szCs w:val="32"/>
          <w:lang w:val="en-US" w:eastAsia="zh-CN"/>
        </w:rPr>
        <w:t>　用人单位解除劳动合同，工会认为不适当的，有权提出意见。如果用人单位违反法律、法规或者劳动合同，工会有权要求重新处理；劳动者申请仲裁或者提起诉讼的，工会应当依法给予支持和帮助。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第三十一条　</w:t>
      </w:r>
      <w:r>
        <w:rPr>
          <w:rFonts w:hint="eastAsia" w:ascii="宋体" w:hAnsi="宋体" w:cs="Arial"/>
          <w:kern w:val="0"/>
          <w:szCs w:val="32"/>
          <w:lang w:val="en-US" w:eastAsia="zh-CN"/>
        </w:rPr>
        <w:t>劳动者解除劳动合同，应当提前三十日以书面形式通知用人单位。</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第三十二条　</w:t>
      </w:r>
      <w:r>
        <w:rPr>
          <w:rFonts w:hint="eastAsia" w:ascii="宋体" w:hAnsi="宋体" w:cs="Arial"/>
          <w:kern w:val="0"/>
          <w:szCs w:val="32"/>
          <w:lang w:val="en-US" w:eastAsia="zh-CN"/>
        </w:rPr>
        <w:t>有下列情形之一的，劳动者可以随时通知用人单位解除劳动合同：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（一）在试用期内的；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（二）用人单位以暴力、威胁或者非法限制人身自由的手段强迫劳动的；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（三）用人单位未按照劳动合同约定支付劳动报酬或者提供劳动条件的。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第三十三条　</w:t>
      </w:r>
      <w:r>
        <w:rPr>
          <w:rFonts w:hint="eastAsia" w:ascii="宋体" w:hAnsi="宋体" w:cs="Arial"/>
          <w:kern w:val="0"/>
          <w:szCs w:val="32"/>
          <w:lang w:val="en-US" w:eastAsia="zh-CN"/>
        </w:rPr>
        <w:t>企业职工一方与企业可以就劳动报酬、工作时间、休息休假、劳动安全卫生、保险福利等事项，签订集体合同。集体合同草案应当提交职工代表大会或者全体职工讨论通过。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集体合同由工会代表职工与企业签订；没有建立工会的企业，由职工推举的代表与企业签订。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第三十四条　</w:t>
      </w:r>
      <w:r>
        <w:rPr>
          <w:rFonts w:hint="eastAsia" w:ascii="宋体" w:hAnsi="宋体" w:cs="Arial"/>
          <w:kern w:val="0"/>
          <w:szCs w:val="32"/>
          <w:lang w:val="en-US" w:eastAsia="zh-CN"/>
        </w:rPr>
        <w:t>集体合同签订后应当报送劳动行政部门；劳动行政部门自收到集体合同文本之日起十五日内未提出异议的，集体合同即行生效。</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第三十五条　</w:t>
      </w:r>
      <w:r>
        <w:rPr>
          <w:rFonts w:hint="eastAsia" w:ascii="宋体" w:hAnsi="宋体" w:cs="Arial"/>
          <w:kern w:val="0"/>
          <w:szCs w:val="32"/>
          <w:lang w:val="en-US" w:eastAsia="zh-CN"/>
        </w:rPr>
        <w:t>依法签订的集体合同对企业和企业全体职工具有约束力。职工个人与企业订立的劳动合同中劳动条件和劳动报酬等标准不得低于集体合同的规定。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第四章　工作时间和休息休假</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第三十六条　</w:t>
      </w:r>
      <w:r>
        <w:rPr>
          <w:rFonts w:hint="eastAsia" w:ascii="宋体" w:hAnsi="宋体" w:cs="Arial"/>
          <w:kern w:val="0"/>
          <w:szCs w:val="32"/>
          <w:lang w:val="en-US" w:eastAsia="zh-CN"/>
        </w:rPr>
        <w:t>国家实行劳动者每日工作时间不超过八小时、平均每周工作时间不超过四十四小时的工时制度。</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第三十七条</w:t>
      </w:r>
      <w:r>
        <w:rPr>
          <w:rFonts w:hint="eastAsia" w:ascii="宋体" w:hAnsi="宋体" w:cs="Arial"/>
          <w:kern w:val="0"/>
          <w:szCs w:val="32"/>
          <w:lang w:val="en-US" w:eastAsia="zh-CN"/>
        </w:rPr>
        <w:t>　对实行计件工作的劳动者，用人单位应当根据本法第三十六条规定的工时制度合理确定其劳动定额和计件报酬标准。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第三十八条</w:t>
      </w:r>
      <w:r>
        <w:rPr>
          <w:rFonts w:hint="eastAsia" w:ascii="宋体" w:hAnsi="宋体" w:cs="Arial"/>
          <w:kern w:val="0"/>
          <w:szCs w:val="32"/>
          <w:lang w:val="en-US" w:eastAsia="zh-CN"/>
        </w:rPr>
        <w:t>　用人单位应当保证劳动者每周至少休息一日。</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第三十九条</w:t>
      </w:r>
      <w:r>
        <w:rPr>
          <w:rFonts w:hint="eastAsia" w:ascii="宋体" w:hAnsi="宋体" w:cs="Arial"/>
          <w:kern w:val="0"/>
          <w:szCs w:val="32"/>
          <w:lang w:val="en-US" w:eastAsia="zh-CN"/>
        </w:rPr>
        <w:t>　企业因生产特点不能实行本法第三十六条、第三十八条规定的，经劳动行政部门批准，可以实行其他工作和休息办法。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第四十条　</w:t>
      </w:r>
      <w:r>
        <w:rPr>
          <w:rFonts w:hint="eastAsia" w:ascii="宋体" w:hAnsi="宋体" w:cs="Arial"/>
          <w:kern w:val="0"/>
          <w:szCs w:val="32"/>
          <w:lang w:val="en-US" w:eastAsia="zh-CN"/>
        </w:rPr>
        <w:t>用人单位在下列节日期间应当依法安排劳动者休假：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（一）元旦；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（二）春节；</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（三）国际劳动节；</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（四）国庆节；</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（五）法律、法规规定的其他休假节日。</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第四十一条　</w:t>
      </w:r>
      <w:r>
        <w:rPr>
          <w:rFonts w:hint="eastAsia" w:ascii="宋体" w:hAnsi="宋体" w:cs="Arial"/>
          <w:kern w:val="0"/>
          <w:szCs w:val="32"/>
          <w:lang w:val="en-US" w:eastAsia="zh-CN"/>
        </w:rPr>
        <w:t>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第四十二条　</w:t>
      </w:r>
      <w:r>
        <w:rPr>
          <w:rFonts w:hint="eastAsia" w:ascii="宋体" w:hAnsi="宋体" w:cs="Arial"/>
          <w:kern w:val="0"/>
          <w:szCs w:val="32"/>
          <w:lang w:val="en-US" w:eastAsia="zh-CN"/>
        </w:rPr>
        <w:t>有下列情形之一的，延长工作时间不受本法第四十一条规定的限制：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（一）发生自然灾害、事故或者因其他原因，威胁劳动者生命健康和财产安全，需要紧急处理的；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（二）生产设备、交通运输线路、公共设施发生故障，影响生产和公众利益，必须及时抢修的；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（三）法律、行政法规规定的其他情形。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第四十三条</w:t>
      </w:r>
      <w:r>
        <w:rPr>
          <w:rFonts w:hint="eastAsia" w:ascii="宋体" w:hAnsi="宋体" w:cs="Arial"/>
          <w:kern w:val="0"/>
          <w:szCs w:val="32"/>
          <w:lang w:val="en-US" w:eastAsia="zh-CN"/>
        </w:rPr>
        <w:t>　用人单位不得违反本法规定延长劳动者的工作时间。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第四十四条</w:t>
      </w:r>
      <w:r>
        <w:rPr>
          <w:rFonts w:hint="eastAsia" w:ascii="宋体" w:hAnsi="宋体" w:cs="Arial"/>
          <w:kern w:val="0"/>
          <w:szCs w:val="32"/>
          <w:lang w:val="en-US" w:eastAsia="zh-CN"/>
        </w:rPr>
        <w:t>　有下列情形之一的，用人单位应当按照下列标准支付高于劳动者正常工作时间工资的工资报酬：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（一）安排劳动者延长工作时间的，支付不低于工资的百分之一百五十的工资报酬；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（二）休息日安排劳动者工作又不能安排补休的，支付不低于工资的百分之二百的工资报酬；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（三）法定休假日安排劳动者工作的，支付不低于工资的百分之三百的工资报酬。</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第四十五条</w:t>
      </w:r>
      <w:r>
        <w:rPr>
          <w:rFonts w:hint="eastAsia" w:ascii="宋体" w:hAnsi="宋体" w:cs="Arial"/>
          <w:kern w:val="0"/>
          <w:szCs w:val="32"/>
          <w:lang w:val="en-US" w:eastAsia="zh-CN"/>
        </w:rPr>
        <w:t>　国家实行带薪年休假制度。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劳动者连续工作一年以上的，享受带薪年休假。具体办法由国务院规定。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第五章　工资</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第四十六条</w:t>
      </w:r>
      <w:r>
        <w:rPr>
          <w:rFonts w:hint="eastAsia" w:ascii="宋体" w:hAnsi="宋体" w:cs="Arial"/>
          <w:kern w:val="0"/>
          <w:szCs w:val="32"/>
          <w:lang w:val="en-US" w:eastAsia="zh-CN"/>
        </w:rPr>
        <w:t>　工资分配应当遵循按劳分配原则，实行同工同酬。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工资水平在经济发展的基础上逐步提高。国家对工资总量实行宏观调控。</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第四十七条　</w:t>
      </w:r>
      <w:r>
        <w:rPr>
          <w:rFonts w:hint="eastAsia" w:ascii="宋体" w:hAnsi="宋体" w:cs="Arial"/>
          <w:kern w:val="0"/>
          <w:szCs w:val="32"/>
          <w:lang w:val="en-US" w:eastAsia="zh-CN"/>
        </w:rPr>
        <w:t>用人单位根据本单位的生产经营特点和经济效益，依法自主确定本单位的工资分配方式和工资水平。</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第四十八条</w:t>
      </w:r>
      <w:r>
        <w:rPr>
          <w:rFonts w:hint="eastAsia" w:ascii="宋体" w:hAnsi="宋体" w:cs="Arial"/>
          <w:kern w:val="0"/>
          <w:szCs w:val="32"/>
          <w:lang w:val="en-US" w:eastAsia="zh-CN"/>
        </w:rPr>
        <w:t>　国家实行最低工资保障制度。最低工资的具体标准由省、自治区、直辖市人民政府规定，报国务院备案。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用人单位支付劳动者的工资不得低于当地最低工资标准。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第四十九条</w:t>
      </w:r>
      <w:r>
        <w:rPr>
          <w:rFonts w:hint="eastAsia" w:ascii="宋体" w:hAnsi="宋体" w:cs="Arial"/>
          <w:kern w:val="0"/>
          <w:szCs w:val="32"/>
          <w:lang w:val="en-US" w:eastAsia="zh-CN"/>
        </w:rPr>
        <w:t>　确定和调整最低工资标准应当综合参考下列因素：</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（一）劳动者本人及平均赡养人口的最低生活费用；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（二）社会平均工资水平；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（三）劳动生产率；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（四）就业状况；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（五）地区之间经济发展水平的差异。</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第五十条</w:t>
      </w:r>
      <w:r>
        <w:rPr>
          <w:rFonts w:hint="eastAsia" w:ascii="宋体" w:hAnsi="宋体" w:cs="Arial"/>
          <w:kern w:val="0"/>
          <w:szCs w:val="32"/>
          <w:lang w:val="en-US" w:eastAsia="zh-CN"/>
        </w:rPr>
        <w:t>　工资应当以货币形式按月支付给劳动者本人。不得克扣或者无故拖欠劳动者的工资。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第五十一条　</w:t>
      </w:r>
      <w:r>
        <w:rPr>
          <w:rFonts w:hint="eastAsia" w:ascii="宋体" w:hAnsi="宋体" w:cs="Arial"/>
          <w:kern w:val="0"/>
          <w:szCs w:val="32"/>
          <w:lang w:val="en-US" w:eastAsia="zh-CN"/>
        </w:rPr>
        <w:t>劳动者在法定休假日和婚丧假期间以及依法参加社会活动期间，用人单位应当依法支付工资。</w:t>
      </w: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第六章　劳动安全卫生</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第五十二条</w:t>
      </w:r>
      <w:r>
        <w:rPr>
          <w:rFonts w:hint="eastAsia" w:ascii="宋体" w:hAnsi="宋体" w:cs="Arial"/>
          <w:kern w:val="0"/>
          <w:szCs w:val="32"/>
          <w:lang w:val="en-US" w:eastAsia="zh-CN"/>
        </w:rPr>
        <w:t>　用人单位必须建立、健全劳动安全卫生制度，严格执行国家劳动安全卫生规程和标准，对劳动者进行劳动安全卫生教育，防止劳动过程中的事故，减少职业危害。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第五十三条</w:t>
      </w:r>
      <w:r>
        <w:rPr>
          <w:rFonts w:hint="eastAsia" w:ascii="宋体" w:hAnsi="宋体" w:cs="Arial"/>
          <w:kern w:val="0"/>
          <w:szCs w:val="32"/>
          <w:lang w:val="en-US" w:eastAsia="zh-CN"/>
        </w:rPr>
        <w:t>　劳动安全卫生设施必须符合国家规定的标准。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新建、改建、扩建工程的劳动安全卫生设施必须与主体工程同时设计、同时施工、同时投入生产和使用。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第五十四条</w:t>
      </w:r>
      <w:r>
        <w:rPr>
          <w:rFonts w:hint="eastAsia" w:ascii="宋体" w:hAnsi="宋体" w:cs="Arial"/>
          <w:kern w:val="0"/>
          <w:szCs w:val="32"/>
          <w:lang w:val="en-US" w:eastAsia="zh-CN"/>
        </w:rPr>
        <w:t>　用人单位必须为劳动者提供符合国家规定的劳动安全卫生条件和必要的劳动防护用品，对从事有职业危害作业的劳动者应当定期进行健康检查。</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第五十五条</w:t>
      </w:r>
      <w:r>
        <w:rPr>
          <w:rFonts w:hint="eastAsia" w:ascii="宋体" w:hAnsi="宋体" w:cs="Arial"/>
          <w:kern w:val="0"/>
          <w:szCs w:val="32"/>
          <w:lang w:val="en-US" w:eastAsia="zh-CN"/>
        </w:rPr>
        <w:t>　从事特种作业的劳动者必须经过专门培训并取得特种作业资格。</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第五十六条　</w:t>
      </w:r>
      <w:r>
        <w:rPr>
          <w:rFonts w:hint="eastAsia" w:ascii="宋体" w:hAnsi="宋体" w:cs="Arial"/>
          <w:kern w:val="0"/>
          <w:szCs w:val="32"/>
          <w:lang w:val="en-US" w:eastAsia="zh-CN"/>
        </w:rPr>
        <w:t>劳动者在劳动过程中必须严格遵守安全操作规程。</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劳动者对用人单位管理人员违章指挥、强令冒险作业，有权拒绝执行；对危害生命安全和身体健康的行为，有权提出批评、检举和控告。</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第五十七条</w:t>
      </w:r>
      <w:r>
        <w:rPr>
          <w:rFonts w:hint="eastAsia" w:ascii="宋体" w:hAnsi="宋体" w:cs="Arial"/>
          <w:kern w:val="0"/>
          <w:szCs w:val="32"/>
          <w:lang w:val="en-US" w:eastAsia="zh-CN"/>
        </w:rPr>
        <w:t>　国家建立伤亡事故和职业病统计报告和处理制度。县级以上各级人民政府劳动行政部门、有关部门和用人单位应当依法对劳动者在劳动过程中发生的伤亡事故和劳动者的职业病状况，进行统计、报告和处理。</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第七章　女职工和未成年工特殊保护</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黑体" w:hAnsi="黑体" w:eastAsia="黑体" w:cs="黑体"/>
          <w:kern w:val="0"/>
          <w:szCs w:val="32"/>
          <w:lang w:val="en-US" w:eastAsia="zh-CN"/>
        </w:rPr>
        <w:t>　  第五十八条</w:t>
      </w:r>
      <w:r>
        <w:rPr>
          <w:rFonts w:hint="eastAsia" w:ascii="宋体" w:hAnsi="宋体" w:cs="Arial"/>
          <w:kern w:val="0"/>
          <w:szCs w:val="32"/>
          <w:lang w:val="en-US" w:eastAsia="zh-CN"/>
        </w:rPr>
        <w:t>　国家对女职工和未成年工实行特殊劳动保护。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未成年工是指年满十六周岁未满十八周岁的劳动者。</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第五十九条</w:t>
      </w:r>
      <w:r>
        <w:rPr>
          <w:rFonts w:hint="eastAsia" w:ascii="宋体" w:hAnsi="宋体" w:cs="Arial"/>
          <w:kern w:val="0"/>
          <w:szCs w:val="32"/>
          <w:lang w:val="en-US" w:eastAsia="zh-CN"/>
        </w:rPr>
        <w:t>　禁止安排女职工从事矿山井下、国家规定的第四级体力劳动强度的劳动和其他禁忌从事的劳动。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第六十条</w:t>
      </w:r>
      <w:r>
        <w:rPr>
          <w:rFonts w:hint="eastAsia" w:ascii="宋体" w:hAnsi="宋体" w:cs="Arial"/>
          <w:kern w:val="0"/>
          <w:szCs w:val="32"/>
          <w:lang w:val="en-US" w:eastAsia="zh-CN"/>
        </w:rPr>
        <w:t>　不得安排女职工在经期从事高处、低温、冷水作业和国家规定的第三级体力劳动强度的劳动。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第六十一条</w:t>
      </w:r>
      <w:r>
        <w:rPr>
          <w:rFonts w:hint="eastAsia" w:ascii="宋体" w:hAnsi="宋体" w:cs="Arial"/>
          <w:kern w:val="0"/>
          <w:szCs w:val="32"/>
          <w:lang w:val="en-US" w:eastAsia="zh-CN"/>
        </w:rPr>
        <w:t>　不得安排女职工在怀孕期间从事国家规定的第三级体力劳动强度的劳动和孕期禁忌从事的劳动。对怀孕七个月以上的女职工，不得安排其延长工作时间和夜班劳动。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第六十二条</w:t>
      </w:r>
      <w:r>
        <w:rPr>
          <w:rFonts w:hint="eastAsia" w:ascii="宋体" w:hAnsi="宋体" w:cs="Arial"/>
          <w:kern w:val="0"/>
          <w:szCs w:val="32"/>
          <w:lang w:val="en-US" w:eastAsia="zh-CN"/>
        </w:rPr>
        <w:t>　女职工生育享受不少于九十天的产假。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第六十三条</w:t>
      </w:r>
      <w:r>
        <w:rPr>
          <w:rFonts w:hint="eastAsia" w:ascii="宋体" w:hAnsi="宋体" w:cs="Arial"/>
          <w:kern w:val="0"/>
          <w:szCs w:val="32"/>
          <w:lang w:val="en-US" w:eastAsia="zh-CN"/>
        </w:rPr>
        <w:t>　不得安排女职工在哺乳未满一周岁的婴儿期间从事国家规定的第三级体力劳动强度的劳动和哺乳期禁忌从事的其他劳动，不得安排其延长工作时间和夜班劳动。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第六十四条</w:t>
      </w:r>
      <w:r>
        <w:rPr>
          <w:rFonts w:hint="eastAsia" w:ascii="宋体" w:hAnsi="宋体" w:cs="Arial"/>
          <w:kern w:val="0"/>
          <w:szCs w:val="32"/>
          <w:lang w:val="en-US" w:eastAsia="zh-CN"/>
        </w:rPr>
        <w:t>　不得安排未成年工从事矿山井下、有毒有害、国家规定的第四级体力劳动强度的劳动和其他禁忌从事的劳动。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第六十五条　</w:t>
      </w:r>
      <w:r>
        <w:rPr>
          <w:rFonts w:hint="eastAsia" w:ascii="宋体" w:hAnsi="宋体" w:cs="Arial"/>
          <w:kern w:val="0"/>
          <w:szCs w:val="32"/>
          <w:lang w:val="en-US" w:eastAsia="zh-CN"/>
        </w:rPr>
        <w:t>用人单位应当对未成年工定期进行健康检查。</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第八章　职业培训</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第六十六条</w:t>
      </w:r>
      <w:r>
        <w:rPr>
          <w:rFonts w:hint="eastAsia" w:ascii="宋体" w:hAnsi="宋体" w:cs="Arial"/>
          <w:kern w:val="0"/>
          <w:szCs w:val="32"/>
          <w:lang w:val="en-US" w:eastAsia="zh-CN"/>
        </w:rPr>
        <w:t>　国家通过各种途径，采取各种措施，发展职业培训事业，开发劳动者的职业技能，提高劳动者素质，增强劳动者的就业能力和工作能力。</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第六十七条　</w:t>
      </w:r>
      <w:r>
        <w:rPr>
          <w:rFonts w:hint="eastAsia" w:ascii="宋体" w:hAnsi="宋体" w:cs="Arial"/>
          <w:kern w:val="0"/>
          <w:szCs w:val="32"/>
          <w:lang w:val="en-US" w:eastAsia="zh-CN"/>
        </w:rPr>
        <w:t>各级人民政府应当把发展职业培训纳入社会经济发展的规划，鼓励和支持有条件的企业、事业组织、社会团体和个人进行各种形式的职业培训。</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第六十八条</w:t>
      </w:r>
      <w:r>
        <w:rPr>
          <w:rFonts w:hint="eastAsia" w:ascii="宋体" w:hAnsi="宋体" w:cs="Arial"/>
          <w:kern w:val="0"/>
          <w:szCs w:val="32"/>
          <w:lang w:val="en-US" w:eastAsia="zh-CN"/>
        </w:rPr>
        <w:t>　用人单位应当建立职业培训制度，按照国家规定提取和使用职业培训经费，根据本单位实际，有计划地对劳动者进行职业培训。</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从事技术工种的劳动者，上岗前必须经过培训。</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第六十九条</w:t>
      </w:r>
      <w:r>
        <w:rPr>
          <w:rFonts w:hint="eastAsia" w:ascii="宋体" w:hAnsi="宋体" w:cs="Arial"/>
          <w:kern w:val="0"/>
          <w:szCs w:val="32"/>
          <w:lang w:val="en-US" w:eastAsia="zh-CN"/>
        </w:rPr>
        <w:t>　国家确定职业分类，对规定的职业制定职业技能标准，实行职业资格证书制度，由经备案的考核鉴定机构负责对劳动者实施职业技能考核鉴定。</w:t>
      </w: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第九章　社会保险和福利</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第七十条</w:t>
      </w:r>
      <w:r>
        <w:rPr>
          <w:rFonts w:hint="eastAsia" w:ascii="宋体" w:hAnsi="宋体" w:cs="Arial"/>
          <w:kern w:val="0"/>
          <w:szCs w:val="32"/>
          <w:lang w:val="en-US" w:eastAsia="zh-CN"/>
        </w:rPr>
        <w:t>　国家发展社会保险事业，建立社会保险制度，设立社会保险基金，使劳动者在年老、患病、工伤、失业、生育等情况下获得帮助和补偿。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第七十一条</w:t>
      </w:r>
      <w:r>
        <w:rPr>
          <w:rFonts w:hint="eastAsia" w:ascii="宋体" w:hAnsi="宋体" w:cs="Arial"/>
          <w:kern w:val="0"/>
          <w:szCs w:val="32"/>
          <w:lang w:val="en-US" w:eastAsia="zh-CN"/>
        </w:rPr>
        <w:t>　社会保险水平应当与社会经济发展水平和社会承受能力相适应。</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第七十二条　</w:t>
      </w:r>
      <w:r>
        <w:rPr>
          <w:rFonts w:hint="eastAsia" w:ascii="宋体" w:hAnsi="宋体" w:cs="Arial"/>
          <w:kern w:val="0"/>
          <w:szCs w:val="32"/>
          <w:lang w:val="en-US" w:eastAsia="zh-CN"/>
        </w:rPr>
        <w:t>社会保险基金按照保险类型确定资金来源，逐步实行社会统筹。用人单位和劳动者必须依法参加社会保险，缴纳社会保险费。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第七十三条</w:t>
      </w:r>
      <w:r>
        <w:rPr>
          <w:rFonts w:hint="eastAsia" w:ascii="宋体" w:hAnsi="宋体" w:cs="Arial"/>
          <w:kern w:val="0"/>
          <w:szCs w:val="32"/>
          <w:lang w:val="en-US" w:eastAsia="zh-CN"/>
        </w:rPr>
        <w:t>　劳动者在下列情形下，依法享受社会保险待遇：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（一）退休；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（二）患病、负伤；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（三）因工伤残或者患职业病；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（四）失业；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（五）生育。</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劳动者死亡后，其遗属依法享受遗属津贴。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劳动者享受社会保险待遇的条件和标准由法律、法规规定。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劳动者享受的社会保险金必须按时足额支付。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第七十四条</w:t>
      </w:r>
      <w:r>
        <w:rPr>
          <w:rFonts w:hint="eastAsia" w:ascii="宋体" w:hAnsi="宋体" w:cs="Arial"/>
          <w:kern w:val="0"/>
          <w:szCs w:val="32"/>
          <w:lang w:val="en-US" w:eastAsia="zh-CN"/>
        </w:rPr>
        <w:t>　社会保险基金经办机构依照法律规定收支、管理和运营社会保险基金，并负有使社会保险基金保值增值的责任。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社会保险基金监督机构依照法律规定，对社会保险基金的收支、管理和运营实施监督。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社会保险基金经办机构和社会保险基金监督机构的设立和职能由法律规定。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任何组织和个人不得挪用社会保险基金。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第七十五条　</w:t>
      </w:r>
      <w:r>
        <w:rPr>
          <w:rFonts w:hint="eastAsia" w:ascii="宋体" w:hAnsi="宋体" w:cs="Arial"/>
          <w:kern w:val="0"/>
          <w:szCs w:val="32"/>
          <w:lang w:val="en-US" w:eastAsia="zh-CN"/>
        </w:rPr>
        <w:t>国家鼓励用人单位根据本单位实际情况为劳动者建立补充保险。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国家提倡劳动者个人进行储蓄性保险。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第七十六条　</w:t>
      </w:r>
      <w:r>
        <w:rPr>
          <w:rFonts w:hint="eastAsia" w:ascii="宋体" w:hAnsi="宋体" w:cs="Arial"/>
          <w:kern w:val="0"/>
          <w:szCs w:val="32"/>
          <w:lang w:val="en-US" w:eastAsia="zh-CN"/>
        </w:rPr>
        <w:t>国家发展社会福利事业，兴建公共福利设施，为劳动者休息、休养和疗养提供条件。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用人单位应当创造条件，改善集体福利，提高劳动者的福利待遇。</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第十章　劳动争议</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第七十七条</w:t>
      </w:r>
      <w:r>
        <w:rPr>
          <w:rFonts w:hint="eastAsia" w:ascii="宋体" w:hAnsi="宋体" w:cs="Arial"/>
          <w:kern w:val="0"/>
          <w:szCs w:val="32"/>
          <w:lang w:val="en-US" w:eastAsia="zh-CN"/>
        </w:rPr>
        <w:t>　用人单位与劳动者发生劳动争议，当事人可以依法申请调解、仲裁、提起诉讼，也可以协商解决。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调解原则适用于仲裁和诉讼程序。</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第七十八条</w:t>
      </w:r>
      <w:r>
        <w:rPr>
          <w:rFonts w:hint="eastAsia" w:ascii="宋体" w:hAnsi="宋体" w:cs="Arial"/>
          <w:kern w:val="0"/>
          <w:szCs w:val="32"/>
          <w:lang w:val="en-US" w:eastAsia="zh-CN"/>
        </w:rPr>
        <w:t>　解决劳动争议，应当根据合法、公正、及时处理的原则，依法维护劳动争议当事人的合法权益。</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第七十九条</w:t>
      </w:r>
      <w:r>
        <w:rPr>
          <w:rFonts w:hint="eastAsia" w:ascii="宋体" w:hAnsi="宋体" w:cs="Arial"/>
          <w:kern w:val="0"/>
          <w:szCs w:val="32"/>
          <w:lang w:val="en-US" w:eastAsia="zh-CN"/>
        </w:rPr>
        <w:t>　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第八十条</w:t>
      </w:r>
      <w:r>
        <w:rPr>
          <w:rFonts w:hint="eastAsia" w:ascii="宋体" w:hAnsi="宋体" w:cs="Arial"/>
          <w:kern w:val="0"/>
          <w:szCs w:val="32"/>
          <w:lang w:val="en-US" w:eastAsia="zh-CN"/>
        </w:rPr>
        <w:t>　在用人单位内，可以设立劳动争议调解委员会。劳动争议调解委员会由职工代表、用人单位代表和工会代表组成。劳动争议调解委员会主任由工会代表担任。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劳动争议经调解达成协议的，当事人应当履行。</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第八十一条　</w:t>
      </w:r>
      <w:r>
        <w:rPr>
          <w:rFonts w:hint="eastAsia" w:ascii="宋体" w:hAnsi="宋体" w:cs="Arial"/>
          <w:kern w:val="0"/>
          <w:szCs w:val="32"/>
          <w:lang w:val="en-US" w:eastAsia="zh-CN"/>
        </w:rPr>
        <w:t>劳动争议仲裁委员会由劳动行政部门代表、同级工会代表、用人单位方面的代表组成。劳动争议仲裁委员会主任由劳动行政部门代表担任。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第八十二条　</w:t>
      </w:r>
      <w:r>
        <w:rPr>
          <w:rFonts w:hint="eastAsia" w:ascii="宋体" w:hAnsi="宋体" w:cs="Arial"/>
          <w:kern w:val="0"/>
          <w:szCs w:val="32"/>
          <w:lang w:val="en-US" w:eastAsia="zh-CN"/>
        </w:rPr>
        <w:t>提出仲裁要求的一方应当自劳动争议发生之日起六十日内向劳动争议仲裁委员会提出书面申请。仲裁裁决一般应在收到仲裁申请的六十日内作出。对仲裁裁决无异议的，当事人必须履行。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第八十三条　</w:t>
      </w:r>
      <w:r>
        <w:rPr>
          <w:rFonts w:hint="eastAsia" w:ascii="宋体" w:hAnsi="宋体" w:cs="Arial"/>
          <w:kern w:val="0"/>
          <w:szCs w:val="32"/>
          <w:lang w:val="en-US" w:eastAsia="zh-CN"/>
        </w:rPr>
        <w:t>劳动争议当事人对仲裁裁决不服的，可以自收到仲裁裁决书之日起十五日内向人民法院提起诉讼。一方当事人在法定期限内不起诉又不履行仲裁裁决的，另一方当事人可以申请人民法院强制执行。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第八十四条</w:t>
      </w:r>
      <w:r>
        <w:rPr>
          <w:rFonts w:hint="eastAsia" w:ascii="宋体" w:hAnsi="宋体" w:cs="Arial"/>
          <w:kern w:val="0"/>
          <w:szCs w:val="32"/>
          <w:lang w:val="en-US" w:eastAsia="zh-CN"/>
        </w:rPr>
        <w:t>　因签订集体合同发生争议，当事人协商解决不成的，当地人民政府劳动行政部门可以组织有关各方协调处理。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因履行集体合同发生争议，当事人协商解决不成的，可以向劳动争议仲裁委员会申请仲裁；对仲裁裁决不服的，可以自收到仲裁裁决书之日起十五日内向人民法院提起诉讼。</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第十一章　监督检查</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第八十五条　</w:t>
      </w:r>
      <w:r>
        <w:rPr>
          <w:rFonts w:hint="eastAsia" w:ascii="宋体" w:hAnsi="宋体" w:cs="Arial"/>
          <w:kern w:val="0"/>
          <w:szCs w:val="32"/>
          <w:lang w:val="en-US" w:eastAsia="zh-CN"/>
        </w:rPr>
        <w:t>县级以上各级人民政府劳动行政部门依法对用人单位遵守劳动法律、法规的情况进行监督检查，对违反劳动法律、法规的行为有权制止，并责令改正。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第八十六条</w:t>
      </w:r>
      <w:r>
        <w:rPr>
          <w:rFonts w:hint="eastAsia" w:ascii="宋体" w:hAnsi="宋体" w:cs="Arial"/>
          <w:kern w:val="0"/>
          <w:szCs w:val="32"/>
          <w:lang w:val="en-US" w:eastAsia="zh-CN"/>
        </w:rPr>
        <w:t>　县级以上各级人民政府劳动行政部门监督检查人员执行公务，有权进入用人单位了解执行劳动法律、法规的情况，查阅必要的资料，并对劳动场所进行检查。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县级以上各级人民政府劳动行政部门监督检查人员执行公务，必须出示证件，秉公执法并遵守有关规定。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第八十七条　</w:t>
      </w:r>
      <w:r>
        <w:rPr>
          <w:rFonts w:hint="eastAsia" w:ascii="宋体" w:hAnsi="宋体" w:cs="Arial"/>
          <w:kern w:val="0"/>
          <w:szCs w:val="32"/>
          <w:lang w:val="en-US" w:eastAsia="zh-CN"/>
        </w:rPr>
        <w:t>县级以上各级人民政府有关部门在各自职责范围内，对用人单位遵守劳动法律、法规的情况进行监督。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第八十八条　</w:t>
      </w:r>
      <w:r>
        <w:rPr>
          <w:rFonts w:hint="eastAsia" w:ascii="宋体" w:hAnsi="宋体" w:cs="Arial"/>
          <w:kern w:val="0"/>
          <w:szCs w:val="32"/>
          <w:lang w:val="en-US" w:eastAsia="zh-CN"/>
        </w:rPr>
        <w:t>各级工会依法维护劳动者的合法权益，对用人单位遵守劳动法律、法规的情况进行监督。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任何组织和个人对于违反劳动法律、法规的行为有权检举和控告。</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第十二章　法律责任</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ind w:left="320" w:hanging="320" w:hangingChars="100"/>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第八十九条　</w:t>
      </w:r>
      <w:r>
        <w:rPr>
          <w:rFonts w:hint="eastAsia" w:ascii="宋体" w:hAnsi="宋体" w:cs="Arial"/>
          <w:kern w:val="0"/>
          <w:szCs w:val="32"/>
          <w:lang w:val="en-US" w:eastAsia="zh-CN"/>
        </w:rPr>
        <w:t>用人单位制定的劳动规章制度违反法律、法规规定的，由劳动行政部门给予警告，责令改正；对劳动者造成损害的，应当承担赔偿责任。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第九十条</w:t>
      </w:r>
      <w:r>
        <w:rPr>
          <w:rFonts w:hint="eastAsia" w:ascii="宋体" w:hAnsi="宋体" w:cs="Arial"/>
          <w:kern w:val="0"/>
          <w:szCs w:val="32"/>
          <w:lang w:val="en-US" w:eastAsia="zh-CN"/>
        </w:rPr>
        <w:t>　用人单位违反本法规定，延长劳动者工作时间的，由劳动行政部门给予警告，责令改正，并可以处以罚款。</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第九十一条</w:t>
      </w:r>
      <w:r>
        <w:rPr>
          <w:rFonts w:hint="eastAsia" w:ascii="宋体" w:hAnsi="宋体" w:cs="Arial"/>
          <w:kern w:val="0"/>
          <w:szCs w:val="32"/>
          <w:lang w:val="en-US" w:eastAsia="zh-CN"/>
        </w:rPr>
        <w:t>　用人单位有下列侵害劳动者合法权益情形之一的，由劳动行政部门责令支付劳动者的工资报酬、经济补偿，并可以责令支付赔偿金：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（一）克扣或者无故拖欠劳动者工资的；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（二）拒不支付劳动者延长工作时间工资报酬的；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（三）低于当地最低工资标准支付劳动者工资的；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（四）解除劳动合同后，未依照本法规定给予劳动者经济补偿的。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第九十二条</w:t>
      </w:r>
      <w:r>
        <w:rPr>
          <w:rFonts w:hint="eastAsia" w:ascii="宋体" w:hAnsi="宋体" w:cs="Arial"/>
          <w:kern w:val="0"/>
          <w:szCs w:val="32"/>
          <w:lang w:val="en-US" w:eastAsia="zh-CN"/>
        </w:rPr>
        <w:t>　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328222&amp;ix=1&amp;w=H4sIAAAAAAAEAAArAdT+AAEAAAD/////AQAAAAAAAAAMAgAAADxDbGlWNSwgVmVyc2lvbj0xLjAuMC4wLCBDdWx0dXJlPW5ldXRyYWwsIFB1YmxpY0tleVRva2VuPW51bGwFAQAAACtDbGlWNS5Db21tb25DbGFzcy5TZXJpYWxQYXJhbStTZWFyY2hfU3RydWN0BgAAAAhEYXRhYmFzZQVXaGVyZQRTb3J0B0tleXdvcmQHSXNHcm91cAlJc1N1bW1hcnkBAQEBAAABAQIAAAAGAwAAAANjaGwGBAAAADXmlYjlipvnuqfliKs9WEEwMSUgYW5kICAo5rOV6KeE5qCH6aKYPScl5Yqz5Yqo5rOVJScpIAYFAAAADS3lj5HluIPml6XmnJ8GBgAAAAnlirPliqjms5UAAAsBAAD///javascript:SLC(17010,0)" </w:instrText>
      </w:r>
      <w:r>
        <w:rPr>
          <w:rFonts w:hint="eastAsia" w:ascii="宋体" w:hAnsi="宋体" w:cs="Arial"/>
          <w:kern w:val="0"/>
          <w:szCs w:val="32"/>
          <w:lang w:val="en-US" w:eastAsia="zh-CN"/>
        </w:rPr>
        <w:fldChar w:fldCharType="separate"/>
      </w:r>
      <w:r>
        <w:rPr>
          <w:rFonts w:hint="eastAsia" w:ascii="宋体" w:hAnsi="宋体" w:cs="Arial"/>
          <w:kern w:val="0"/>
          <w:szCs w:val="32"/>
          <w:lang w:eastAsia="zh-CN"/>
        </w:rPr>
        <w:t>刑法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有关规定追究刑事责任。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第九十三条　</w:t>
      </w:r>
      <w:r>
        <w:rPr>
          <w:rFonts w:hint="eastAsia" w:ascii="宋体" w:hAnsi="宋体" w:cs="Arial"/>
          <w:kern w:val="0"/>
          <w:szCs w:val="32"/>
          <w:lang w:val="en-US" w:eastAsia="zh-CN"/>
        </w:rPr>
        <w:t>用人单位强令劳动者违章冒险作业，发生重大伤亡事故，造成严重后果的，对责任人员依法追究刑事责任。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第九十四条　</w:t>
      </w:r>
      <w:r>
        <w:rPr>
          <w:rFonts w:hint="eastAsia" w:ascii="宋体" w:hAnsi="宋体" w:cs="Arial"/>
          <w:kern w:val="0"/>
          <w:szCs w:val="32"/>
          <w:lang w:val="en-US" w:eastAsia="zh-CN"/>
        </w:rPr>
        <w:t>用人单位非法招用未满十六周岁的未成年人的，由劳动行政部门责令改正，处以罚款；情节严重的，由市场监督管理部门吊销营业执照。</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第九十五条　</w:t>
      </w:r>
      <w:r>
        <w:rPr>
          <w:rFonts w:hint="eastAsia" w:ascii="宋体" w:hAnsi="宋体" w:cs="Arial"/>
          <w:kern w:val="0"/>
          <w:szCs w:val="32"/>
          <w:lang w:val="en-US" w:eastAsia="zh-CN"/>
        </w:rPr>
        <w:t>用人单位违反本法对女职工和未成年工的保护规定，侵害其合法权益的，由劳动行政部门责令改正，处以罚款；对女职工或者未成年工造成损害的，应当承担赔偿责任。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第九十六条　</w:t>
      </w:r>
      <w:r>
        <w:rPr>
          <w:rFonts w:hint="eastAsia" w:ascii="宋体" w:hAnsi="宋体" w:cs="Arial"/>
          <w:kern w:val="0"/>
          <w:szCs w:val="32"/>
          <w:lang w:val="en-US" w:eastAsia="zh-CN"/>
        </w:rPr>
        <w:t>用人单位有下列行为之一，由公安机关对责任人员处以十五日以下拘留、罚款或者警告；构成犯罪的，对责任人员依法追究刑事责任：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（一）以暴力、威胁或者非法限制人身自由的手段强迫劳动的；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（二）侮辱、体罚、殴打、非法搜查和拘禁劳动者的。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第九十七条</w:t>
      </w:r>
      <w:r>
        <w:rPr>
          <w:rFonts w:hint="eastAsia" w:ascii="宋体" w:hAnsi="宋体" w:cs="Arial"/>
          <w:kern w:val="0"/>
          <w:szCs w:val="32"/>
          <w:lang w:val="en-US" w:eastAsia="zh-CN"/>
        </w:rPr>
        <w:t>　由于用人单位的原因订立的无效合同，对劳动者造成损害的，应当承担赔偿责任。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第九十八条　</w:t>
      </w:r>
      <w:r>
        <w:rPr>
          <w:rFonts w:hint="eastAsia" w:ascii="宋体" w:hAnsi="宋体" w:cs="Arial"/>
          <w:kern w:val="0"/>
          <w:szCs w:val="32"/>
          <w:lang w:val="en-US" w:eastAsia="zh-CN"/>
        </w:rPr>
        <w:t>用人单位违反本法规定的条件解除劳动合同或者故意拖延不订立劳动合同的，由劳动行政部门责令改正；对劳动者造成损害的，应当承担赔偿责任。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第九十九条　</w:t>
      </w:r>
      <w:r>
        <w:rPr>
          <w:rFonts w:hint="eastAsia" w:ascii="宋体" w:hAnsi="宋体" w:cs="Arial"/>
          <w:kern w:val="0"/>
          <w:szCs w:val="32"/>
          <w:lang w:val="en-US" w:eastAsia="zh-CN"/>
        </w:rPr>
        <w:t>用人单位招用尚未解除劳动合同的劳动者，对原用人单位造成经济损失的，该用人单位应当依法承担连带赔偿责任。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第一百条</w:t>
      </w:r>
      <w:r>
        <w:rPr>
          <w:rFonts w:hint="eastAsia" w:ascii="宋体" w:hAnsi="宋体" w:cs="Arial"/>
          <w:kern w:val="0"/>
          <w:szCs w:val="32"/>
          <w:lang w:val="en-US" w:eastAsia="zh-CN"/>
        </w:rPr>
        <w:t>　用人单位无故不缴纳社会保险费的，由劳动行政部门责令其限期缴纳；逾期不缴的，可以加收滞纳金。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第一百零一条　</w:t>
      </w:r>
      <w:r>
        <w:rPr>
          <w:rFonts w:hint="eastAsia" w:ascii="宋体" w:hAnsi="宋体" w:cs="Arial"/>
          <w:kern w:val="0"/>
          <w:szCs w:val="32"/>
          <w:lang w:val="en-US" w:eastAsia="zh-CN"/>
        </w:rPr>
        <w:t>用人单位无理阻挠劳动行政部门、有关部门及其工作人员行使监督检查权，打击报复举报人员的，由劳动行政部门或者有关部门处以罚款；构成犯罪的，对责任人员依法追究刑事责任。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第一百零二条</w:t>
      </w:r>
      <w:r>
        <w:rPr>
          <w:rFonts w:hint="eastAsia" w:ascii="宋体" w:hAnsi="宋体" w:cs="Arial"/>
          <w:kern w:val="0"/>
          <w:szCs w:val="32"/>
          <w:lang w:val="en-US" w:eastAsia="zh-CN"/>
        </w:rPr>
        <w:t>　劳动者违反本法规定的条件解除劳动合同或者违反劳动合同中约定的保密事项，对用人单位造成经济损失的，应当依法承担赔偿责任。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第一百零三条</w:t>
      </w:r>
      <w:r>
        <w:rPr>
          <w:rFonts w:hint="eastAsia" w:ascii="宋体" w:hAnsi="宋体" w:cs="Arial"/>
          <w:kern w:val="0"/>
          <w:szCs w:val="32"/>
          <w:lang w:val="en-US" w:eastAsia="zh-CN"/>
        </w:rPr>
        <w:t>　劳动行政部门或者有关部门的工作人员滥用职权、玩忽职守、徇私舞弊，构成犯罪的，依法追究刑事责任；不构成犯罪的，给予行政处分。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第一百零四条</w:t>
      </w:r>
      <w:r>
        <w:rPr>
          <w:rFonts w:hint="eastAsia" w:ascii="宋体" w:hAnsi="宋体" w:cs="Arial"/>
          <w:kern w:val="0"/>
          <w:szCs w:val="32"/>
          <w:lang w:val="en-US" w:eastAsia="zh-CN"/>
        </w:rPr>
        <w:t>　国家工作人员和社会保险基金经办机构的工作人员挪用社会保险基金，构成犯罪的，依法追究刑事责任。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第一百零五条</w:t>
      </w:r>
      <w:r>
        <w:rPr>
          <w:rFonts w:hint="eastAsia" w:ascii="宋体" w:hAnsi="宋体" w:cs="Arial"/>
          <w:kern w:val="0"/>
          <w:szCs w:val="32"/>
          <w:lang w:val="en-US" w:eastAsia="zh-CN"/>
        </w:rPr>
        <w:t>　违反本法规定侵害劳动者合法权益，其他法律、行政法规已规定处罚的，依照该法律、行政法规的规定处罚。</w:t>
      </w:r>
    </w:p>
    <w:p>
      <w:pPr>
        <w:widowControl w:val="0"/>
        <w:wordWrap/>
        <w:overflowPunct w:val="0"/>
        <w:adjustRightInd/>
        <w:snapToGrid/>
        <w:spacing w:beforeAutospacing="0" w:afterAutospacing="0" w:line="560" w:lineRule="exact"/>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第十三章　附则</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第一百零六条　</w:t>
      </w:r>
      <w:r>
        <w:rPr>
          <w:rFonts w:hint="eastAsia" w:ascii="宋体" w:hAnsi="宋体" w:cs="Arial"/>
          <w:kern w:val="0"/>
          <w:szCs w:val="32"/>
          <w:lang w:val="en-US" w:eastAsia="zh-CN"/>
        </w:rPr>
        <w:t>省、自治区、直辖市人民政府根据本法和本地区的实际情况，规定劳动合同制度的实施步骤，报国务院备案。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第一百零七条</w:t>
      </w:r>
      <w:r>
        <w:rPr>
          <w:rFonts w:hint="eastAsia" w:ascii="宋体" w:hAnsi="宋体" w:cs="Arial"/>
          <w:kern w:val="0"/>
          <w:szCs w:val="32"/>
          <w:lang w:val="en-US" w:eastAsia="zh-CN"/>
        </w:rPr>
        <w:t>　本法自1995年1月1日起施行。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p>
    <w:p>
      <w:pPr>
        <w:widowControl w:val="0"/>
        <w:wordWrap/>
        <w:overflowPunct w:val="0"/>
        <w:spacing w:beforeAutospacing="0" w:afterAutospacing="0" w:line="560" w:lineRule="exact"/>
        <w:textAlignment w:val="auto"/>
        <w:rPr>
          <w:rFonts w:hint="eastAsia" w:ascii="宋体" w:hAnsi="宋体" w:eastAsia="宋体" w:cs="宋体"/>
          <w:kern w:val="0"/>
          <w:szCs w:val="32"/>
        </w:rPr>
      </w:pPr>
      <w:r>
        <w:rPr>
          <w:rFonts w:hint="eastAsia" w:ascii="宋体" w:hAnsi="宋体" w:eastAsia="宋体" w:cs="宋体"/>
          <w:kern w:val="0"/>
          <w:szCs w:val="32"/>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rPr>
      </w:pPr>
      <w:bookmarkStart w:id="214" w:name="_Toc32587"/>
      <w:r>
        <w:rPr>
          <w:rFonts w:hint="eastAsia" w:ascii="宋体" w:hAnsi="宋体" w:eastAsia="宋体" w:cs="宋体"/>
          <w:kern w:val="0"/>
          <w:sz w:val="44"/>
          <w:szCs w:val="44"/>
        </w:rPr>
        <w:t>中华人民共和国劳动合同法</w:t>
      </w:r>
      <w:bookmarkEnd w:id="214"/>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仿宋_GB2312"/>
          <w:kern w:val="0"/>
          <w:szCs w:val="32"/>
        </w:rPr>
      </w:pPr>
      <w:bookmarkStart w:id="215" w:name="_Hlk530854446"/>
      <w:r>
        <w:rPr>
          <w:rFonts w:hint="eastAsia" w:ascii="宋体" w:hAnsi="宋体" w:eastAsia="楷体_GB2312" w:cs="仿宋_GB2312"/>
          <w:kern w:val="0"/>
          <w:szCs w:val="32"/>
        </w:rPr>
        <w:t>（2007年6月29日第十届全国人民代表大会常务委员会第二十八次会议通过　根据2012年12月28日第十一届全国人民代表大会常务委员会第三十次会议《关于修改&lt;中华人民共和国劳动合同法&gt;的决定》修正）</w:t>
      </w:r>
      <w:bookmarkEnd w:id="215"/>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第一章　总则</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第二章　劳动合同的订立</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第三章　劳动合同的履行和变更</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第四章　劳动合同的解除和终止</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第五章　特别规定</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第一节　集体合同</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第二节　劳务派遣</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第三节　非全日制用工</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第六章　监督检查</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第七章　法律</w:t>
      </w:r>
      <w:r>
        <w:rPr>
          <w:rFonts w:hint="eastAsia" w:ascii="宋体" w:hAnsi="宋体" w:eastAsia="楷体_GB2312" w:cs="楷体_GB2312"/>
          <w:kern w:val="0"/>
          <w:szCs w:val="32"/>
          <w:lang w:val="en-US" w:eastAsia="zh-CN"/>
        </w:rPr>
        <w:t>责</w:t>
      </w:r>
      <w:r>
        <w:rPr>
          <w:rFonts w:hint="eastAsia" w:ascii="宋体" w:hAnsi="宋体" w:eastAsia="楷体_GB2312" w:cs="楷体_GB2312"/>
          <w:kern w:val="0"/>
          <w:szCs w:val="32"/>
        </w:rPr>
        <w:t>任</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第八章　附则</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第一条</w:t>
      </w:r>
      <w:r>
        <w:rPr>
          <w:rFonts w:hint="eastAsia" w:ascii="宋体" w:hAnsi="宋体" w:eastAsia="仿宋_GB2312" w:cs="仿宋_GB2312"/>
          <w:kern w:val="0"/>
          <w:szCs w:val="32"/>
        </w:rPr>
        <w:t>　为了完善劳动合同制度，明确劳动合同双方当事人的权利和义务，保护劳动者的合法权益，构建和发展和谐稳定的劳动关系，制定本法。</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第二条</w:t>
      </w:r>
      <w:r>
        <w:rPr>
          <w:rFonts w:hint="eastAsia" w:ascii="宋体" w:hAnsi="宋体" w:eastAsia="仿宋_GB2312" w:cs="仿宋_GB2312"/>
          <w:kern w:val="0"/>
          <w:szCs w:val="32"/>
        </w:rPr>
        <w:t>　中华人民共和国境内的企业、个体经济组织、民办非企业单位等组织（以下称用人单位）与劳动者建立劳动关系，订立、履行、变更、解除或者终止劳动合同，适用本法。</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国家机关、事业单位、社会团体和与其建立劳动关系的劳动者，订立、履行、变更、解除或者终止劳动合同，依照本法执行。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第三条</w:t>
      </w:r>
      <w:r>
        <w:rPr>
          <w:rFonts w:hint="eastAsia" w:ascii="宋体" w:hAnsi="宋体" w:eastAsia="仿宋_GB2312" w:cs="仿宋_GB2312"/>
          <w:kern w:val="0"/>
          <w:szCs w:val="32"/>
        </w:rPr>
        <w:t>　订立劳动合同，应当遵循合法、公平、平等自愿、协商一致、诚实信用的原则。</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依法订立的劳动合同具有约束力，用人单位与劳动者应当履行劳动合同约定的义务。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第四条</w:t>
      </w:r>
      <w:r>
        <w:rPr>
          <w:rFonts w:hint="eastAsia" w:ascii="宋体" w:hAnsi="宋体" w:eastAsia="仿宋_GB2312" w:cs="仿宋_GB2312"/>
          <w:kern w:val="0"/>
          <w:szCs w:val="32"/>
        </w:rPr>
        <w:t>　用人单位应当依法建立和完善劳动规章制度，保障劳动者享有劳动权利、履行劳动义务。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在规章制度和重大事项决定实施过程中，工会或者职工认为不适当的，有权向用人单位提出，通过协商予以修改完善。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用人单位应当将直接涉及劳动者切身利益的规章制度和重大事项决定公示，或者告知劳动者。</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第五条</w:t>
      </w:r>
      <w:r>
        <w:rPr>
          <w:rFonts w:hint="eastAsia" w:ascii="宋体" w:hAnsi="宋体" w:eastAsia="仿宋_GB2312" w:cs="仿宋_GB2312"/>
          <w:kern w:val="0"/>
          <w:szCs w:val="32"/>
        </w:rPr>
        <w:t>　县级以上人民政府劳动行政部门会同工会和企业方面代表，建立健全协调劳动关系三方机制，共同研究解决有关劳动关系的重大问题。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第六条</w:t>
      </w:r>
      <w:r>
        <w:rPr>
          <w:rFonts w:hint="eastAsia" w:ascii="宋体" w:hAnsi="宋体" w:eastAsia="仿宋_GB2312" w:cs="仿宋_GB2312"/>
          <w:kern w:val="0"/>
          <w:szCs w:val="32"/>
        </w:rPr>
        <w:t>　工会应当帮助、指导劳动者与用人单位依法订立和履行劳动合同，并与用人单位建立集体协商机制，维护劳动者的合法权益。</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第二章　劳动合同的订立</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第七条</w:t>
      </w:r>
      <w:r>
        <w:rPr>
          <w:rFonts w:hint="eastAsia" w:ascii="宋体" w:hAnsi="宋体" w:eastAsia="仿宋_GB2312" w:cs="仿宋_GB2312"/>
          <w:kern w:val="0"/>
          <w:szCs w:val="32"/>
        </w:rPr>
        <w:t>　用人单位自用工之日起即与劳动者建立劳动关系。用人单位应当建立职工名册备查。</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第八条</w:t>
      </w:r>
      <w:r>
        <w:rPr>
          <w:rFonts w:hint="eastAsia" w:ascii="宋体" w:hAnsi="宋体" w:eastAsia="仿宋_GB2312" w:cs="仿宋_GB2312"/>
          <w:kern w:val="0"/>
          <w:szCs w:val="32"/>
        </w:rPr>
        <w:t>　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第九条</w:t>
      </w:r>
      <w:r>
        <w:rPr>
          <w:rFonts w:hint="eastAsia" w:ascii="宋体" w:hAnsi="宋体" w:eastAsia="仿宋_GB2312" w:cs="仿宋_GB2312"/>
          <w:kern w:val="0"/>
          <w:szCs w:val="32"/>
        </w:rPr>
        <w:t>　用人单位招用劳动者，不得扣押劳动者的居民身份证和其他证件，不得要求劳动者提供担保或者以其他名义向劳动者收取财物。</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第十条</w:t>
      </w:r>
      <w:r>
        <w:rPr>
          <w:rFonts w:hint="eastAsia" w:ascii="宋体" w:hAnsi="宋体" w:eastAsia="仿宋_GB2312" w:cs="仿宋_GB2312"/>
          <w:kern w:val="0"/>
          <w:szCs w:val="32"/>
        </w:rPr>
        <w:t>　建立劳动关系，应当订立书面劳动合同。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已建立劳动关系，未同时订立书面劳动合同的，应当自用工之日起一个月内订立书面劳动合同。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用人单位与劳动者在用工前订立劳动合同的，劳动关系自用工之日起建立。</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第十一条</w:t>
      </w:r>
      <w:r>
        <w:rPr>
          <w:rFonts w:hint="eastAsia" w:ascii="宋体" w:hAnsi="宋体" w:eastAsia="仿宋_GB2312" w:cs="仿宋_GB2312"/>
          <w:kern w:val="0"/>
          <w:szCs w:val="32"/>
        </w:rPr>
        <w:t>　用人单位未在用工的同时订立书面劳动合同，与劳动者约定的劳动报酬不明确的，新招用的劳动者的劳动报酬按照集体合同规定的标准执行；没有集体合同或者集体合同未规定的，实行同工同酬。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第十二条</w:t>
      </w:r>
      <w:r>
        <w:rPr>
          <w:rFonts w:hint="eastAsia" w:ascii="宋体" w:hAnsi="宋体" w:eastAsia="仿宋_GB2312" w:cs="仿宋_GB2312"/>
          <w:kern w:val="0"/>
          <w:szCs w:val="32"/>
        </w:rPr>
        <w:t>　劳动合同分为固定期限劳动合同、无固定期限劳动合同和以完成一定工作任务为期限的劳动合同。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第十三条</w:t>
      </w:r>
      <w:r>
        <w:rPr>
          <w:rFonts w:hint="eastAsia" w:ascii="宋体" w:hAnsi="宋体" w:eastAsia="仿宋_GB2312" w:cs="仿宋_GB2312"/>
          <w:kern w:val="0"/>
          <w:szCs w:val="32"/>
        </w:rPr>
        <w:t>　固定期限劳动合同，是指用人单位与劳动者约定合同终止时间的劳动合同。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用人单位与劳动者协商一致，可以订立固定期限劳动合同。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第十四条</w:t>
      </w:r>
      <w:r>
        <w:rPr>
          <w:rFonts w:hint="eastAsia" w:ascii="宋体" w:hAnsi="宋体" w:eastAsia="仿宋_GB2312" w:cs="仿宋_GB2312"/>
          <w:kern w:val="0"/>
          <w:szCs w:val="32"/>
        </w:rPr>
        <w:t>　无固定期限劳动合同，是指用人单位与劳动者约定无确定终止时间的劳动合同。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用人单位与劳动者协商一致，可以订立无固定期限劳动合同。有下列情形之一，劳动者提出或者同意续订、订立劳动合同的，除劳动者提出订立固定期限劳动合同外，应当订立无固定期限劳动合同: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（一）劳动者在该用人单位连续工作满十年的；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（二）用人单位初次实行劳动合同制度或者国有企业改制重新订立劳动合同时，劳动者在该用人单位连续工作满十年且距法定退休年龄不足十年的；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（三）连续订立二次固定期限劳动合同，且劳动者没有本法第三十九条和第四十条第一项、第二项规定的情形，续订劳动合同的。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用人单位自用工之日起满一年不与劳动者订立书面劳动合同的，视为用人单位与劳动者已订立无固定期限劳动合同。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第十五条</w:t>
      </w:r>
      <w:r>
        <w:rPr>
          <w:rFonts w:hint="eastAsia" w:ascii="宋体" w:hAnsi="宋体" w:eastAsia="仿宋_GB2312" w:cs="仿宋_GB2312"/>
          <w:kern w:val="0"/>
          <w:szCs w:val="32"/>
        </w:rPr>
        <w:t>　以完成一定工作任务为期限的劳动合同，是指用人单位与劳动者约定以某项工作的完成为合同期限的劳动合同。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用人单位与劳动者协商一致，可以订立以完成一定工作任务为期限的劳动合同。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第十六条</w:t>
      </w:r>
      <w:r>
        <w:rPr>
          <w:rFonts w:hint="eastAsia" w:ascii="宋体" w:hAnsi="宋体" w:eastAsia="仿宋_GB2312" w:cs="仿宋_GB2312"/>
          <w:kern w:val="0"/>
          <w:szCs w:val="32"/>
        </w:rPr>
        <w:t>　劳动合同由用人单位与劳动者协商一致，并经用人单位与劳动者在劳动合同文本上签字或者盖章生效。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劳动合同文本由用人单位和劳动者各执一份。</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第十七条</w:t>
      </w:r>
      <w:r>
        <w:rPr>
          <w:rFonts w:hint="eastAsia" w:ascii="宋体" w:hAnsi="宋体" w:eastAsia="仿宋_GB2312" w:cs="仿宋_GB2312"/>
          <w:kern w:val="0"/>
          <w:szCs w:val="32"/>
        </w:rPr>
        <w:t>　劳动合同应当具备以下条款:</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（一）用人单位的名称、住所和法定代表人或者主要负责人；</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（二）劳动者的姓名、住址和居民身份证或者其他有效身份证件号码；</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（三）劳动合同期限；</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（四）工作内容和工作地点；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（五）工作时间和休息休假；</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（七）社会保险；</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（八）劳动保护、劳动条件和职业危害防护；</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（九）法律、法规规定应当纳入劳动合同的其他事项。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劳动合同除前款规定的必备条款外，用人单位与劳动者可以约定试用期、培训、保守秘密、补充保险和福利待遇等其他事项。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第十八条</w:t>
      </w:r>
      <w:r>
        <w:rPr>
          <w:rFonts w:hint="eastAsia" w:ascii="宋体" w:hAnsi="宋体" w:eastAsia="仿宋_GB2312" w:cs="仿宋_GB2312"/>
          <w:kern w:val="0"/>
          <w:szCs w:val="32"/>
        </w:rPr>
        <w:t>　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第十九条</w:t>
      </w:r>
      <w:r>
        <w:rPr>
          <w:rFonts w:hint="eastAsia" w:ascii="宋体" w:hAnsi="宋体" w:eastAsia="仿宋_GB2312" w:cs="仿宋_GB2312"/>
          <w:kern w:val="0"/>
          <w:szCs w:val="32"/>
        </w:rPr>
        <w:t>　劳动合同期限三个月以上不满一年的，试用期不得超过一个月；劳动合同期限一年以上不满三年的，试用期不得超过二个月；三年以上固定期限和无固定期限的劳动合同，试用期不得超过六个月。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同一用人单位与同一劳动者只能约定一次试用期。</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以完成一定工作任务为期限的劳动合同或者劳动合同期限不满三个月的，不得约定试用期。</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试用期包含在劳动合同期限内。劳动合同仅约定试用期的，试用期不成立，该期限为劳动合同期限。</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第二十条</w:t>
      </w:r>
      <w:r>
        <w:rPr>
          <w:rFonts w:hint="eastAsia" w:ascii="宋体" w:hAnsi="宋体" w:eastAsia="仿宋_GB2312" w:cs="仿宋_GB2312"/>
          <w:kern w:val="0"/>
          <w:szCs w:val="32"/>
        </w:rPr>
        <w:t>　劳动者在试用期的工资不得低于本单位相同岗位最低档工资或者劳动合同约定工资的百分之八十，并不得低于用人单位所在地的最低工资标准。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第二十一条</w:t>
      </w:r>
      <w:r>
        <w:rPr>
          <w:rFonts w:hint="eastAsia" w:ascii="宋体" w:hAnsi="宋体" w:eastAsia="仿宋_GB2312" w:cs="仿宋_GB2312"/>
          <w:kern w:val="0"/>
          <w:szCs w:val="32"/>
        </w:rPr>
        <w:t>　在试用期中，除劳动者有本法第三十九条和第四十条第一项、第二项规定的情形外，用人单位不得解除劳动合同。用人单位在试用期解除劳动合同的，应当向劳动者说明理由。</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第二十二条</w:t>
      </w:r>
      <w:r>
        <w:rPr>
          <w:rFonts w:hint="eastAsia" w:ascii="宋体" w:hAnsi="宋体" w:eastAsia="仿宋_GB2312" w:cs="仿宋_GB2312"/>
          <w:kern w:val="0"/>
          <w:szCs w:val="32"/>
        </w:rPr>
        <w:t>　用人单位为劳动者提供专项培训费用，对其进行专业技术培训的，可以与该劳动者订立协议，约定服务期。</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劳动者违反服务期约定的，应当按照约定向用人单位支付违约金。违约金的数额不得超过用人单位提供的培训费用。用人单位要求劳动者支付的违约金不得超过服务期尚未履行部分所应分摊的培训费用。</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用人单位与劳动者约定服务期的，不影响按照正常的工资调整机制提高劳动者在服务期期间的劳动报酬。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第二十三条</w:t>
      </w:r>
      <w:r>
        <w:rPr>
          <w:rFonts w:hint="eastAsia" w:ascii="宋体" w:hAnsi="宋体" w:eastAsia="仿宋_GB2312" w:cs="仿宋_GB2312"/>
          <w:kern w:val="0"/>
          <w:szCs w:val="32"/>
        </w:rPr>
        <w:t>　用人单位与劳动者可以在劳动合同中约定保守用人单位的商业秘密和与知识产权相关的保密事项。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第二十四条</w:t>
      </w:r>
      <w:r>
        <w:rPr>
          <w:rFonts w:hint="eastAsia" w:ascii="宋体" w:hAnsi="宋体" w:eastAsia="仿宋_GB2312" w:cs="仿宋_GB2312"/>
          <w:kern w:val="0"/>
          <w:szCs w:val="32"/>
        </w:rPr>
        <w:t>　竞业限制的人员限于用人单位的高级管理人员、高级技术人员和其他负有保密义务的人员。竞业限制的范围、地域、期限由用人单位与劳动者约定，竞业限制的约定不得违反法律、法规的规定。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在解除或者终止劳动合同后，前款规定的人员到与本单位生产或者经营同类产品、从事同类业务的有竞争关系的其他用人单位，或者自己开业生产或者经营同类产品、从事同类业务的竞业限制期限，不得超过二年。</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第二十五条</w:t>
      </w:r>
      <w:r>
        <w:rPr>
          <w:rFonts w:hint="eastAsia" w:ascii="宋体" w:hAnsi="宋体" w:eastAsia="仿宋_GB2312" w:cs="仿宋_GB2312"/>
          <w:kern w:val="0"/>
          <w:szCs w:val="32"/>
        </w:rPr>
        <w:t>　除本法第二十二条和第二十三条规定的情形外，用人单位不得与劳动者约定由劳动者承担违约金。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第二十六条</w:t>
      </w:r>
      <w:r>
        <w:rPr>
          <w:rFonts w:hint="eastAsia" w:ascii="宋体" w:hAnsi="宋体" w:eastAsia="仿宋_GB2312" w:cs="仿宋_GB2312"/>
          <w:kern w:val="0"/>
          <w:szCs w:val="32"/>
        </w:rPr>
        <w:t>　下列劳动合同无效或者部分无效: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（一）以欺诈、胁迫的手段或者乘人之危，使对方在违背真实意思的情况下订立或者变更劳动合同的；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（二）用人单位免除自己的法定责任、排除劳动者权利的；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（三）违反法律、行政法规强制性规定的。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对劳动合同的无效或者部分无效有争议的，由劳动争议仲裁机构或者人民法院确认。</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第二十七条</w:t>
      </w:r>
      <w:r>
        <w:rPr>
          <w:rFonts w:hint="eastAsia" w:ascii="宋体" w:hAnsi="宋体" w:eastAsia="仿宋_GB2312" w:cs="仿宋_GB2312"/>
          <w:kern w:val="0"/>
          <w:szCs w:val="32"/>
        </w:rPr>
        <w:t>　劳动合同部分无效，不影响其他部分效力的，其他部分仍然有效。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第二十八条</w:t>
      </w:r>
      <w:r>
        <w:rPr>
          <w:rFonts w:hint="eastAsia" w:ascii="宋体" w:hAnsi="宋体" w:eastAsia="仿宋_GB2312" w:cs="仿宋_GB2312"/>
          <w:kern w:val="0"/>
          <w:szCs w:val="32"/>
        </w:rPr>
        <w:t>　劳动合同被确认无效，劳动者已付出劳动的，用人单位应当向劳动者支付劳动报酬。劳动报酬的数额，参照本单位相同或者相近岗位劳动者的劳动报酬确定。</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第三章　劳动合同的履行和变更</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第二十九条</w:t>
      </w:r>
      <w:r>
        <w:rPr>
          <w:rFonts w:hint="eastAsia" w:ascii="宋体" w:hAnsi="宋体" w:eastAsia="仿宋_GB2312" w:cs="仿宋_GB2312"/>
          <w:kern w:val="0"/>
          <w:szCs w:val="32"/>
        </w:rPr>
        <w:t>　用人单位与劳动者应当按照劳动合同的约定，全面履行各自的义务。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第三十条</w:t>
      </w:r>
      <w:r>
        <w:rPr>
          <w:rFonts w:hint="eastAsia" w:ascii="宋体" w:hAnsi="宋体" w:eastAsia="仿宋_GB2312" w:cs="仿宋_GB2312"/>
          <w:kern w:val="0"/>
          <w:szCs w:val="32"/>
        </w:rPr>
        <w:t>　用人单位应当按照劳动合同约定和国家规定，向劳动者及时足额支付劳动报酬。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用人单位拖欠或者未足额支付劳动报酬的，劳动者可以依法向当地人民法院申请支付令，人民法院应当依法发出支付令。</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第三十一条</w:t>
      </w:r>
      <w:r>
        <w:rPr>
          <w:rFonts w:hint="eastAsia" w:ascii="宋体" w:hAnsi="宋体" w:eastAsia="仿宋_GB2312" w:cs="仿宋_GB2312"/>
          <w:kern w:val="0"/>
          <w:szCs w:val="32"/>
        </w:rPr>
        <w:t>　用人单位应当严格执行劳动定额标准，不得强迫或者变相强迫劳动者加班。用人单位安排加班的，应当按照国家有关规定向劳动者支付加班费。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第三十二条</w:t>
      </w:r>
      <w:r>
        <w:rPr>
          <w:rFonts w:hint="eastAsia" w:ascii="宋体" w:hAnsi="宋体" w:eastAsia="仿宋_GB2312" w:cs="仿宋_GB2312"/>
          <w:kern w:val="0"/>
          <w:szCs w:val="32"/>
        </w:rPr>
        <w:t>　劳动者拒绝用人单位管理人员违章指挥、强令冒险作业的，不视为违反劳动合同。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劳动者对危害生命安全和身体健康的劳动条件，有权对用人单位提出批评、检举和控告。</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第三十三条</w:t>
      </w:r>
      <w:r>
        <w:rPr>
          <w:rFonts w:hint="eastAsia" w:ascii="宋体" w:hAnsi="宋体" w:eastAsia="仿宋_GB2312" w:cs="仿宋_GB2312"/>
          <w:kern w:val="0"/>
          <w:szCs w:val="32"/>
        </w:rPr>
        <w:t>　用人单位变更名称、法定代表人、主要负责人或者投资人等事项，不影响劳动合同的履行。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第三十四条</w:t>
      </w:r>
      <w:r>
        <w:rPr>
          <w:rFonts w:hint="eastAsia" w:ascii="宋体" w:hAnsi="宋体" w:eastAsia="仿宋_GB2312" w:cs="仿宋_GB2312"/>
          <w:kern w:val="0"/>
          <w:szCs w:val="32"/>
        </w:rPr>
        <w:t>　用人单位发生合并或者分立等情况，原劳动合同继续有效，劳动合同由承继其权利和义务的用人单位继续履行。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第三十五条</w:t>
      </w:r>
      <w:r>
        <w:rPr>
          <w:rFonts w:hint="eastAsia" w:ascii="宋体" w:hAnsi="宋体" w:eastAsia="仿宋_GB2312" w:cs="仿宋_GB2312"/>
          <w:kern w:val="0"/>
          <w:szCs w:val="32"/>
        </w:rPr>
        <w:t>　用人单位与劳动者协商一致，可以变更劳动合同约定的内容。变更劳动合同，应当采用书面形式。</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变更后的劳动合同文本由用人单位和劳动者各执一份。</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第四章　劳动合同的解除和终止</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第三十六条</w:t>
      </w:r>
      <w:r>
        <w:rPr>
          <w:rFonts w:hint="eastAsia" w:ascii="宋体" w:hAnsi="宋体" w:eastAsia="仿宋_GB2312" w:cs="仿宋_GB2312"/>
          <w:kern w:val="0"/>
          <w:szCs w:val="32"/>
        </w:rPr>
        <w:t>　用人单位与劳动者协商一致，可以解除劳动合同。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第三十七条</w:t>
      </w:r>
      <w:r>
        <w:rPr>
          <w:rFonts w:hint="eastAsia" w:ascii="宋体" w:hAnsi="宋体" w:eastAsia="仿宋_GB2312" w:cs="仿宋_GB2312"/>
          <w:kern w:val="0"/>
          <w:szCs w:val="32"/>
        </w:rPr>
        <w:t>　劳动者提前三十日以书面形式通知用人单位，可以解除劳动合同。劳动者在试用期内提前三日通知用人单位，可以解除劳动合同。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第三十八条</w:t>
      </w:r>
      <w:r>
        <w:rPr>
          <w:rFonts w:hint="eastAsia" w:ascii="宋体" w:hAnsi="宋体" w:eastAsia="仿宋_GB2312" w:cs="仿宋_GB2312"/>
          <w:kern w:val="0"/>
          <w:szCs w:val="32"/>
        </w:rPr>
        <w:t>　用人单位有下列情形之一的，劳动者可以解除劳动合同: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（一）未按照劳动合同约定提供劳动保护或者劳动条件的；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（二）未及时足额支付劳动报酬的；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（三）未依法为劳动者缴纳社会保险费的；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（四）用人单位的规章制度违反法律、法规的规定，损害劳动者权益的；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（五）因本法第二十六条第一款规定的情形致使劳动合同无效的；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（六）法律、行政法规规定劳动者可以解除劳动合同的其他情形。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用人单位以暴力、威胁或者非法限制人身自由的手段强迫劳动者劳动的，或者用人单位违章指挥、强令冒险作业危及劳动者人身安全的，劳动者可以立即解除劳动合同，不需事先告知用人单位。</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第三十九条</w:t>
      </w:r>
      <w:r>
        <w:rPr>
          <w:rFonts w:hint="eastAsia" w:ascii="宋体" w:hAnsi="宋体" w:eastAsia="仿宋_GB2312" w:cs="仿宋_GB2312"/>
          <w:kern w:val="0"/>
          <w:szCs w:val="32"/>
        </w:rPr>
        <w:t>　劳动者有下列情形之一的，用人单位可以解除劳动合同: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（一）在试用期间被证明不符合录用条件的；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（二）严重违反用人单位的规章制度的；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（三）严重失职，营私舞弊，给用人单位造成重大损害的；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（四）劳动者同时与其他用人单位建立劳动关系，对完成本单位的工作任务造成严重影响，或者经用人单位提出，拒不改正的；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（五）因本法第二十六条第一款第一项规定的情形致使劳动合同无效的；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（六）被依法追究刑事责任的。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第四十条</w:t>
      </w:r>
      <w:r>
        <w:rPr>
          <w:rFonts w:hint="eastAsia" w:ascii="宋体" w:hAnsi="宋体" w:eastAsia="仿宋_GB2312" w:cs="仿宋_GB2312"/>
          <w:kern w:val="0"/>
          <w:szCs w:val="32"/>
        </w:rPr>
        <w:t>　有下列情形之一的，用人单位提前三十日以书面形式通知劳动者本人或者额外支付劳动者一个月工资后，可以解除劳动合同: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（一）劳动者患病或者非因工负伤，在规定的医疗期满后不能从事原工作，也不能从事由用人单位另行安排的工作的；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（二）劳动者不能胜任工作，经过培训或者调整工作岗位，仍不能胜任工作的；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（三）劳动合同订立时所依据的客观情况发生重大变化，致使劳动合同无法履行，经用人单位与劳动者协商，未能就变更劳动合同内容达成协议的。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第四十一条</w:t>
      </w:r>
      <w:r>
        <w:rPr>
          <w:rFonts w:hint="eastAsia" w:ascii="宋体" w:hAnsi="宋体" w:eastAsia="仿宋_GB2312" w:cs="仿宋_GB2312"/>
          <w:kern w:val="0"/>
          <w:szCs w:val="32"/>
        </w:rPr>
        <w:t>　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（一）依照企业破产法规定进行重整的；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（二）生产经营发生严重困难的；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（三）企业转产、重大技术革新或者经营方式调整，经变更劳动合同后，仍需裁减人员的；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（四）其他因劳动合同订立时所依据的客观经济情况发生重大变化，致使劳动合同无法履行的。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裁减人员时，应当优先留用下列人员: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（一）与本单位订立较长期限的固定期限劳动合同的；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（二）与本单位订立无固定期限劳动合同的；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（三）家庭无其他就业人员，有需要扶养的老人或者未成年人的。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用人单位依照本条第一款规定裁减人员，在六个月内重新招用人员的，应当通知被裁减的人员，并在同等条件下优先招用被裁减的人员。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第四十二条</w:t>
      </w:r>
      <w:r>
        <w:rPr>
          <w:rFonts w:hint="eastAsia" w:ascii="宋体" w:hAnsi="宋体" w:eastAsia="仿宋_GB2312" w:cs="仿宋_GB2312"/>
          <w:kern w:val="0"/>
          <w:szCs w:val="32"/>
        </w:rPr>
        <w:t>　劳动者有下列情形之一的，用人单位不得依照本法第四十条、第四十一条的规定解除劳动合同: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（一）从事接触职业病危害作业的劳动者未进行离岗前职业健康检查，或者疑似职业病病人在诊断或者医学观察期间的；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（二）在本单位患职业病或者因工负伤并被确认丧失或者部分丧失劳动能力的；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（三）患病或者非因工负伤，在规定的医疗期内的；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（四）女职工在孕期、产期、哺乳期的；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（五）在本单位连续工作满十五年，且距法定退休年龄不足五年的；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（六）法律、行政法规规定的其他情形。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第四十三条</w:t>
      </w:r>
      <w:r>
        <w:rPr>
          <w:rFonts w:hint="eastAsia" w:ascii="宋体" w:hAnsi="宋体" w:eastAsia="仿宋_GB2312" w:cs="仿宋_GB2312"/>
          <w:kern w:val="0"/>
          <w:szCs w:val="32"/>
        </w:rPr>
        <w:t>　用人单位单方解除劳动合同，应当事先将理由通知工会。用人单位违反法律、行政法规规定或者劳动合同约定的，工会有权要求用人单位纠正。用人单位应当研究工会的意见，并将处理结果书面通知工会。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第四十四条</w:t>
      </w:r>
      <w:r>
        <w:rPr>
          <w:rFonts w:hint="eastAsia" w:ascii="宋体" w:hAnsi="宋体" w:eastAsia="仿宋_GB2312" w:cs="仿宋_GB2312"/>
          <w:kern w:val="0"/>
          <w:szCs w:val="32"/>
        </w:rPr>
        <w:t>　有下列情形之一的，劳动合同终止: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（一）劳动合同期满的；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（二）劳动者开始依法享受基本养老保险待遇的；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（三）劳动者死亡，或者被人民法院宣告死亡或者宣告失踪的；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（四）用人单位被依法宣告破产的；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（五）用人单位被吊销营业执照、责令关闭、撤销或者用人单位决定提前解散的；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（六）法律、行政法规规定的其他情形。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第四十五条</w:t>
      </w:r>
      <w:r>
        <w:rPr>
          <w:rFonts w:hint="eastAsia" w:ascii="宋体" w:hAnsi="宋体" w:eastAsia="仿宋_GB2312" w:cs="仿宋_GB2312"/>
          <w:kern w:val="0"/>
          <w:szCs w:val="32"/>
        </w:rPr>
        <w:t>　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第四十六条</w:t>
      </w:r>
      <w:r>
        <w:rPr>
          <w:rFonts w:hint="eastAsia" w:ascii="宋体" w:hAnsi="宋体" w:eastAsia="仿宋_GB2312" w:cs="仿宋_GB2312"/>
          <w:kern w:val="0"/>
          <w:szCs w:val="32"/>
        </w:rPr>
        <w:t>　有下列情形之一的，用人单位应当向劳动者支付经济补偿:</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（一）劳动者依照本法第三十八条规定解除劳动合同的；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（二）用人单位依照本法第三十六条规定向劳动者提出解除劳动合同并与劳动者协商一致解除劳动合同的；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（三）用人单位依照本法第四十条规定解除劳动合同的；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（四）用人单位依照本法第四十一条第一款规定解除劳动合同的；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（五）除用人单位维持或者提高劳动合同约定条件续订劳动合同，劳动者不同意续订的情形外，依照本法第四十四条第一项规定终止固定期限劳动合同的；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（六）依照本法第四十四条第四项、第五项规定终止劳动合同的；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（七）法律、行政法规规定的其他情形。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第四十七条</w:t>
      </w:r>
      <w:r>
        <w:rPr>
          <w:rFonts w:hint="eastAsia" w:ascii="宋体" w:hAnsi="宋体" w:eastAsia="仿宋_GB2312" w:cs="仿宋_GB2312"/>
          <w:kern w:val="0"/>
          <w:szCs w:val="32"/>
        </w:rPr>
        <w:t>　经济补偿按劳动者在本单位工作的年限，每满一年支付一个月工资的标准向劳动者支付。六个月以上不满一年的，按一年计算；不满六个月的，向劳动者支付半个月工资的经济补偿。</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本条所称月工资是指劳动者在劳动合同解除或者终止前十二个月的平均工资。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第四十八条</w:t>
      </w:r>
      <w:r>
        <w:rPr>
          <w:rFonts w:hint="eastAsia" w:ascii="宋体" w:hAnsi="宋体" w:eastAsia="仿宋_GB2312" w:cs="仿宋_GB2312"/>
          <w:kern w:val="0"/>
          <w:szCs w:val="32"/>
        </w:rPr>
        <w:t>　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第四十九条</w:t>
      </w:r>
      <w:r>
        <w:rPr>
          <w:rFonts w:hint="eastAsia" w:ascii="宋体" w:hAnsi="宋体" w:eastAsia="仿宋_GB2312" w:cs="仿宋_GB2312"/>
          <w:kern w:val="0"/>
          <w:szCs w:val="32"/>
        </w:rPr>
        <w:t>　国家采取措施，建立健全劳动者社会保险关系跨地区转移接续制度。</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第五十条</w:t>
      </w:r>
      <w:r>
        <w:rPr>
          <w:rFonts w:hint="eastAsia" w:ascii="宋体" w:hAnsi="宋体" w:eastAsia="仿宋_GB2312" w:cs="仿宋_GB2312"/>
          <w:kern w:val="0"/>
          <w:szCs w:val="32"/>
        </w:rPr>
        <w:t>　用人单位应当在解除或者终止劳动合同时出具解除或者终止劳动合同的证明，并在十五日内为劳动者办理档案和社会保险关系转移手续。</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劳动者应当按照双方约定，办理工作交接。用人单位依照本法有关规定应当向劳动者支付经济补偿的，在办结工作交接时支付。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用人单位对已经解除或者终止的劳动合同的文本，至少保存二年备查。</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第五章　特别规定</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第一节　集体合同</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第五十一条</w:t>
      </w:r>
      <w:r>
        <w:rPr>
          <w:rFonts w:hint="eastAsia" w:ascii="宋体" w:hAnsi="宋体" w:eastAsia="仿宋_GB2312" w:cs="仿宋_GB2312"/>
          <w:kern w:val="0"/>
          <w:szCs w:val="32"/>
        </w:rPr>
        <w:t>　企业职工一方与用人单位通过平等协商，可以就劳动报酬、工作时间、休息休假、劳动安全卫生、保险福利等事项订立集体合同。集体合同草案应当提交职工代表大会或者全体职工讨论通过。</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集体合同由工会代表企业职工一方与用人单位订立；尚未建立工会的用人单位，由上级工会指导劳动者推举的代表与用人单位订立。</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第五十二条</w:t>
      </w:r>
      <w:r>
        <w:rPr>
          <w:rFonts w:hint="eastAsia" w:ascii="宋体" w:hAnsi="宋体" w:eastAsia="仿宋_GB2312" w:cs="仿宋_GB2312"/>
          <w:kern w:val="0"/>
          <w:szCs w:val="32"/>
        </w:rPr>
        <w:t>　企业职工一方与用人单位可以订立劳动安全卫生、女职工权益保护、工资调整机制等专项集体合同。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第五十三条</w:t>
      </w:r>
      <w:r>
        <w:rPr>
          <w:rFonts w:hint="eastAsia" w:ascii="宋体" w:hAnsi="宋体" w:eastAsia="仿宋_GB2312" w:cs="仿宋_GB2312"/>
          <w:kern w:val="0"/>
          <w:szCs w:val="32"/>
        </w:rPr>
        <w:t>　在县级以下区域内，建筑业、采矿业、餐饮服务业等行业可以由工会与企业方面代表订立行业性集体合同，或者订立区域性集体合同。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第五十四条</w:t>
      </w:r>
      <w:r>
        <w:rPr>
          <w:rFonts w:hint="eastAsia" w:ascii="宋体" w:hAnsi="宋体" w:eastAsia="仿宋_GB2312" w:cs="仿宋_GB2312"/>
          <w:kern w:val="0"/>
          <w:szCs w:val="32"/>
        </w:rPr>
        <w:t>　集体合同订立后，应当报送劳动行政部门；劳动行政部门自收到集体合同文本之日起十五日内未提出异议的，集体合同即行生效。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依法订立的集体合同对用人单位和劳动者具有约束力。行业性、区域性集体合同对当地本行业、本区域的用人单位和劳动者具有约束力。</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第五十五条</w:t>
      </w:r>
      <w:r>
        <w:rPr>
          <w:rFonts w:hint="eastAsia" w:ascii="宋体" w:hAnsi="宋体" w:eastAsia="仿宋_GB2312" w:cs="仿宋_GB2312"/>
          <w:kern w:val="0"/>
          <w:szCs w:val="32"/>
        </w:rPr>
        <w:t>　集体合同中劳动报酬和劳动条件等标准不得低于当地人民政府规定的最低标准；用人单位与劳动者订立的劳动合同中劳动报酬和劳动条件等标准不得低于集体合同规定的标准。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第五十六条</w:t>
      </w:r>
      <w:r>
        <w:rPr>
          <w:rFonts w:hint="eastAsia" w:ascii="宋体" w:hAnsi="宋体" w:eastAsia="仿宋_GB2312" w:cs="仿宋_GB2312"/>
          <w:kern w:val="0"/>
          <w:szCs w:val="32"/>
        </w:rPr>
        <w:t>　用人单位违反集体合同，侵犯职工劳动权益的，工会可以依法要求用人单位承担责任；因履行集体合同发生争议，经协商解决不成的，工会可以依法申请仲裁、提起诉讼。</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第二节　劳务派遣</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第五十七条</w:t>
      </w:r>
      <w:r>
        <w:rPr>
          <w:rFonts w:hint="eastAsia" w:ascii="宋体" w:hAnsi="宋体" w:eastAsia="仿宋_GB2312" w:cs="仿宋_GB2312"/>
          <w:kern w:val="0"/>
          <w:szCs w:val="32"/>
        </w:rPr>
        <w:t>　经营劳务派遣业务应当具备下列条件:</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（一）注册资本不得少于人民币二百万元；</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（二）有与开展业务相适应的固定的经营场所和设施；</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（三）有符合法律、行政法规规定的劳务派遣管理制度；</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（四）法律、行政法规规定的其他条件。</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经营劳务派遣业务，应当向劳动行政部门依法申请行政许可；经许可的，依法办理相应的公司登记。未经许可，任何单位和个人不得经营劳务派遣业务。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第五十八条</w:t>
      </w:r>
      <w:r>
        <w:rPr>
          <w:rFonts w:hint="eastAsia" w:ascii="宋体" w:hAnsi="宋体" w:eastAsia="仿宋_GB2312" w:cs="仿宋_GB2312"/>
          <w:kern w:val="0"/>
          <w:szCs w:val="32"/>
        </w:rPr>
        <w:t>　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劳务派遣单位应当与被派遣劳动者订立二年以上的固定期限劳动合同，按月支付劳动报酬；被派遣劳动者在无工作期间，劳务派遣单位应当按照所在地人民政府规定的最低工资标准，向其按月支付报酬。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第五十九条</w:t>
      </w:r>
      <w:r>
        <w:rPr>
          <w:rFonts w:hint="eastAsia" w:ascii="宋体" w:hAnsi="宋体" w:eastAsia="仿宋_GB2312" w:cs="仿宋_GB2312"/>
          <w:kern w:val="0"/>
          <w:szCs w:val="32"/>
        </w:rPr>
        <w:t>　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用工单位应当根据工作岗位的实际需要与劳务派遣单位确定派遣期限，不得将连续用工期限分割订立数个短期劳务派遣协议。</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第六十条</w:t>
      </w:r>
      <w:r>
        <w:rPr>
          <w:rFonts w:hint="eastAsia" w:ascii="宋体" w:hAnsi="宋体" w:eastAsia="仿宋_GB2312" w:cs="仿宋_GB2312"/>
          <w:kern w:val="0"/>
          <w:szCs w:val="32"/>
        </w:rPr>
        <w:t>　劳务派遣单位应当将劳务派遣协议的内容告知被派遣劳动者。</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劳务派遣单位不得克扣用工单位按照劳务派遣协议支付给被派遣劳动者的劳动报酬。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劳务派遣单位和用工单位不得向被派遣劳动者收取费用。</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第六十一条</w:t>
      </w:r>
      <w:r>
        <w:rPr>
          <w:rFonts w:hint="eastAsia" w:ascii="宋体" w:hAnsi="宋体" w:eastAsia="仿宋_GB2312" w:cs="仿宋_GB2312"/>
          <w:kern w:val="0"/>
          <w:szCs w:val="32"/>
        </w:rPr>
        <w:t>　劳务派遣单位跨地区派遣劳动者的，被派遣劳动者享有的劳动报酬和劳动条件，按照用工单位所在地的标准执行。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第六十二条</w:t>
      </w:r>
      <w:r>
        <w:rPr>
          <w:rFonts w:hint="eastAsia" w:ascii="宋体" w:hAnsi="宋体" w:eastAsia="仿宋_GB2312" w:cs="仿宋_GB2312"/>
          <w:kern w:val="0"/>
          <w:szCs w:val="32"/>
        </w:rPr>
        <w:t>　用工单位应当履行下列义务: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（一）执行国家劳动标准，提供相应的劳动条件和劳动保护；</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（二）告知被派遣劳动者的工作要求和劳动报酬；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（三）支付加班费、绩效奖金，提供与工作岗位相关的福利待遇；</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（四）对在岗被派遣劳动者进行工作岗位所必需的培训；</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（五）连续用工的，实行正常的工资调整机制。</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用工单位不得将被派遣劳动者再派遣到其他用人单位。</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第六十三条</w:t>
      </w:r>
      <w:r>
        <w:rPr>
          <w:rFonts w:hint="eastAsia" w:ascii="宋体" w:hAnsi="宋体" w:eastAsia="仿宋_GB2312" w:cs="仿宋_GB2312"/>
          <w:kern w:val="0"/>
          <w:szCs w:val="32"/>
        </w:rPr>
        <w:t>　被派遣劳动者享有与用工单位的劳动者同工同酬的权利。用工单位应当按照同工同酬原则，对被派遣劳动者与本单位同类岗位的劳动者实行相同的劳动报酬分配办法。用工单位无同类岗位劳动者的，参照用工单位所在地相同或者相近岗位劳动者的劳动报酬确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劳务派遣单位与被派遣劳动者订立的劳动合同和与用工单位订立的劳务派遣协议，载明或者约定的向被派遣劳动者支付的劳动报酬应当符合前款规定。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第六十四条</w:t>
      </w:r>
      <w:r>
        <w:rPr>
          <w:rFonts w:hint="eastAsia" w:ascii="宋体" w:hAnsi="宋体" w:eastAsia="仿宋_GB2312" w:cs="仿宋_GB2312"/>
          <w:kern w:val="0"/>
          <w:szCs w:val="32"/>
        </w:rPr>
        <w:t>　被派遣劳动者有权在劳务派遣单位或者用工单位依法参加或者组织工会，维护自身的合法权益。</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第六十五条</w:t>
      </w:r>
      <w:r>
        <w:rPr>
          <w:rFonts w:hint="eastAsia" w:ascii="宋体" w:hAnsi="宋体" w:eastAsia="仿宋_GB2312" w:cs="仿宋_GB2312"/>
          <w:kern w:val="0"/>
          <w:szCs w:val="32"/>
        </w:rPr>
        <w:t>　被派遣劳动者可以依照本法第三十六条、第三十八条的规定与劳务派遣单位解除劳动合同。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被派遣劳动者有本法第三十九条和第四十条第一项、第二项规定情形的，用工单位可以将劳动者退回劳务派遣单位，劳务派遣单位依照本法有关规定，可以与劳动者解除劳动合同。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第六十六条</w:t>
      </w:r>
      <w:r>
        <w:rPr>
          <w:rFonts w:hint="eastAsia" w:ascii="宋体" w:hAnsi="宋体" w:eastAsia="仿宋_GB2312" w:cs="仿宋_GB2312"/>
          <w:kern w:val="0"/>
          <w:szCs w:val="32"/>
        </w:rPr>
        <w:t>　劳动合同用工是我国的企业基本用工形式。劳务派遣用工是补充形式，只能在临时性、辅助性或者替代性的工作岗位上实施。</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前款规定的临时性工作岗位是指存续时间不超过六个月的岗位；辅助性工作岗位是指为主营业务岗位提供服务的非主营业务岗位；替代性工作岗位是指用工单位的劳动者因脱产学习、休假等原因无法工作的一定期间内，可以由其他劳动者替代工作的岗位。</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用工单位应当严格控制劳务派遣用工数量，不得超过其用工总量的一定比例，具体比例由国务院劳动行政部门规定。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第六十七条</w:t>
      </w:r>
      <w:r>
        <w:rPr>
          <w:rFonts w:hint="eastAsia" w:ascii="宋体" w:hAnsi="宋体" w:eastAsia="仿宋_GB2312" w:cs="仿宋_GB2312"/>
          <w:kern w:val="0"/>
          <w:szCs w:val="32"/>
        </w:rPr>
        <w:t>　用人单位不得设立劳务派遣单位向本单位或者所属单位派遣劳动者。</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第三节　非全日制用工</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第六十八条</w:t>
      </w:r>
      <w:r>
        <w:rPr>
          <w:rFonts w:hint="eastAsia" w:ascii="宋体" w:hAnsi="宋体" w:eastAsia="仿宋_GB2312" w:cs="仿宋_GB2312"/>
          <w:kern w:val="0"/>
          <w:szCs w:val="32"/>
        </w:rPr>
        <w:t>　非全日制用工，是指以小时计酬为主，劳动者在同一用人单位一般平均每日工作时间不超过四小时，每周工作时间累计不超过二十四小时的用工形式。</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第六十九条</w:t>
      </w:r>
      <w:r>
        <w:rPr>
          <w:rFonts w:hint="eastAsia" w:ascii="宋体" w:hAnsi="宋体" w:eastAsia="仿宋_GB2312" w:cs="仿宋_GB2312"/>
          <w:kern w:val="0"/>
          <w:szCs w:val="32"/>
        </w:rPr>
        <w:t>　非全日制用工双方当事人可以订立口头协议。</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从事非全日制用工的劳动者可以与一个或者一个以上用人单位订立劳动合同；但是，后订立的劳动合同不得影响先订立的劳动合同的履行。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第七十条</w:t>
      </w:r>
      <w:r>
        <w:rPr>
          <w:rFonts w:hint="eastAsia" w:ascii="宋体" w:hAnsi="宋体" w:eastAsia="仿宋_GB2312" w:cs="仿宋_GB2312"/>
          <w:kern w:val="0"/>
          <w:szCs w:val="32"/>
        </w:rPr>
        <w:t>　非全日制用工双方当事人不得约定试用期。</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第七十一条</w:t>
      </w:r>
      <w:r>
        <w:rPr>
          <w:rFonts w:hint="eastAsia" w:ascii="宋体" w:hAnsi="宋体" w:eastAsia="仿宋_GB2312" w:cs="仿宋_GB2312"/>
          <w:kern w:val="0"/>
          <w:szCs w:val="32"/>
        </w:rPr>
        <w:t>　非全日制用工双方当事人任何一方都可以随时通知对方终止用工。终止用工，用人单位不向劳动者支付经济补偿。</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第七十二条</w:t>
      </w:r>
      <w:r>
        <w:rPr>
          <w:rFonts w:hint="eastAsia" w:ascii="宋体" w:hAnsi="宋体" w:eastAsia="仿宋_GB2312" w:cs="仿宋_GB2312"/>
          <w:kern w:val="0"/>
          <w:szCs w:val="32"/>
        </w:rPr>
        <w:t>　非全日制用工小时计酬标准不得低于用人单位所在地人民政府规定的最低小时工资标准。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非全日制用工劳动报酬结算支付周期最长不得超过十五日。</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第六章　监督检查</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第七十三条</w:t>
      </w:r>
      <w:r>
        <w:rPr>
          <w:rFonts w:hint="eastAsia" w:ascii="宋体" w:hAnsi="宋体" w:eastAsia="仿宋_GB2312" w:cs="仿宋_GB2312"/>
          <w:kern w:val="0"/>
          <w:szCs w:val="32"/>
        </w:rPr>
        <w:t>　国务院劳动行政部门负责全国劳动合同制度实施的监督管理。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县级以上地方人民政府劳动行政部门负责本行政区域内劳动合同制度实施的监督管理。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县级以上各级人民政府劳动行政部门在劳动合同制度实施的监督管理工作中，应当听取工会、企业方面代表以及有关行业主管部门的意见。</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第七十四条</w:t>
      </w:r>
      <w:r>
        <w:rPr>
          <w:rFonts w:hint="eastAsia" w:ascii="宋体" w:hAnsi="宋体" w:eastAsia="仿宋_GB2312" w:cs="仿宋_GB2312"/>
          <w:kern w:val="0"/>
          <w:szCs w:val="32"/>
        </w:rPr>
        <w:t>　县级以上地方人民政府劳动行政部门依法对下列实施劳动合同制度的情况进行监督检查:</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（一）用人单位制定直接涉及劳动者切身利益的规章制度及其执行的情况；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（二）用人单位与劳动者订立和解除劳动合同的情况；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（三）劳务派遣单位和用工单位遵守劳务派遣有关规定的情况；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（四）用人单位遵守国家关于劳动者工作时间和休息休假规定的情况；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（五）用人单位支付劳动合同约定的劳动报酬和执行最低工资标准的情况；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（六）用人单位参加各项社会保险和缴纳社会保险费的情况；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（七）法律、法规规定的其他劳动监察事项。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第七十五条</w:t>
      </w:r>
      <w:r>
        <w:rPr>
          <w:rFonts w:hint="eastAsia" w:ascii="宋体" w:hAnsi="宋体" w:eastAsia="仿宋_GB2312" w:cs="仿宋_GB2312"/>
          <w:kern w:val="0"/>
          <w:szCs w:val="32"/>
        </w:rPr>
        <w:t>　县级以上地方人民政府劳动行政部门实施监督检查时，有权查阅与劳动合同、集体合同有关的材料，有权对劳动场所进行实地检查，用人单位和劳动者都应当如实提供有关情况和材料。</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劳动行政部门的工作人员进行监督检查，应当出示证件，依法行使职权，文明执法。</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第七十六条</w:t>
      </w:r>
      <w:r>
        <w:rPr>
          <w:rFonts w:hint="eastAsia" w:ascii="宋体" w:hAnsi="宋体" w:eastAsia="仿宋_GB2312" w:cs="仿宋_GB2312"/>
          <w:kern w:val="0"/>
          <w:szCs w:val="32"/>
        </w:rPr>
        <w:t>　县级以上人民政府建设、卫生、安全生产监督管理等有关主管部门在各自职责范围内，对用人单位执行劳动合同制度的情况进行监督管理。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第七十七条</w:t>
      </w:r>
      <w:r>
        <w:rPr>
          <w:rFonts w:hint="eastAsia" w:ascii="宋体" w:hAnsi="宋体" w:eastAsia="仿宋_GB2312" w:cs="仿宋_GB2312"/>
          <w:kern w:val="0"/>
          <w:szCs w:val="32"/>
        </w:rPr>
        <w:t>　劳动者合法权益受到侵害的，有权要求有关部门依法处理，或者依法申请仲裁、提起诉讼。</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第七十八条</w:t>
      </w:r>
      <w:r>
        <w:rPr>
          <w:rFonts w:hint="eastAsia" w:ascii="宋体" w:hAnsi="宋体" w:eastAsia="仿宋_GB2312" w:cs="仿宋_GB2312"/>
          <w:kern w:val="0"/>
          <w:szCs w:val="32"/>
        </w:rPr>
        <w:t>　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第七十九条</w:t>
      </w:r>
      <w:r>
        <w:rPr>
          <w:rFonts w:hint="eastAsia" w:ascii="宋体" w:hAnsi="宋体" w:eastAsia="仿宋_GB2312" w:cs="仿宋_GB2312"/>
          <w:kern w:val="0"/>
          <w:szCs w:val="32"/>
        </w:rPr>
        <w:t>　任何组织或者个人对违反本法的行为都有权举报，县级以上人民政府劳动行政部门应当及时核实、处理，并对举报有功人员给予奖励。</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第七章　法律责任</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第八十条</w:t>
      </w:r>
      <w:r>
        <w:rPr>
          <w:rFonts w:hint="eastAsia" w:ascii="宋体" w:hAnsi="宋体" w:eastAsia="仿宋_GB2312" w:cs="仿宋_GB2312"/>
          <w:kern w:val="0"/>
          <w:szCs w:val="32"/>
        </w:rPr>
        <w:t>　用人单位直接涉及劳动者切身利益的规章制度违反法律、法规规定的，由劳动行政部门责令改正，给予警告；给劳动者造成损害的，应当承担赔偿责任。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第八十一条</w:t>
      </w:r>
      <w:r>
        <w:rPr>
          <w:rFonts w:hint="eastAsia" w:ascii="宋体" w:hAnsi="宋体" w:eastAsia="仿宋_GB2312" w:cs="仿宋_GB2312"/>
          <w:kern w:val="0"/>
          <w:szCs w:val="32"/>
        </w:rPr>
        <w:t>　用人单位提供的劳动合同文本未载明本法规定的劳动合同必备条款或者用人单位未将劳动合同文本交付劳动者的，由劳动行政部门责令改正；给劳动者造成损害的，应当承担赔偿责任。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第八十二条</w:t>
      </w:r>
      <w:r>
        <w:rPr>
          <w:rFonts w:hint="eastAsia" w:ascii="宋体" w:hAnsi="宋体" w:eastAsia="仿宋_GB2312" w:cs="仿宋_GB2312"/>
          <w:kern w:val="0"/>
          <w:szCs w:val="32"/>
        </w:rPr>
        <w:t>　用人单位自用工之日起超过一个月不满一年未与劳动者订立书面劳动合同的，应当向劳动者每月支付二倍的工资。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用人单位违反本法规定不与劳动者订立无固定期限劳动合同的，自应当订立无固定期限劳动合同之日起向劳动者每月支付二倍的工资。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第八十三条</w:t>
      </w:r>
      <w:r>
        <w:rPr>
          <w:rFonts w:hint="eastAsia" w:ascii="宋体" w:hAnsi="宋体" w:eastAsia="仿宋_GB2312" w:cs="仿宋_GB2312"/>
          <w:kern w:val="0"/>
          <w:szCs w:val="32"/>
        </w:rPr>
        <w:t>　用人单位违反本法规定与劳动者约定试用期的，由劳动行政部门责令改正；违法约定的试用期已经履行的，由用人单位以劳动者试用期满月工资为标准，按已经履行的超过法定试用期的期间向劳动者支付赔偿金。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第八十四条</w:t>
      </w:r>
      <w:r>
        <w:rPr>
          <w:rFonts w:hint="eastAsia" w:ascii="宋体" w:hAnsi="宋体" w:eastAsia="仿宋_GB2312" w:cs="仿宋_GB2312"/>
          <w:kern w:val="0"/>
          <w:szCs w:val="32"/>
        </w:rPr>
        <w:t>　用人单位违反本法规定，扣押劳动者居民身份证等证件的，由劳动行政部门责令限期退还劳动者本人，并依照有关法律规定给予处罚。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用人单位违反本法规定，以担保或者其他名义向劳动者收取财物的，由劳动行政部门责令限期退还劳动者本人，并以每人五百元以上二千元以下的标准处以罚款；给劳动者造成损害的，应当承担赔偿责任。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劳动者依法解除或者终止劳动合同，用人单位扣押劳动者档案或者其他物品的，依照前款规定处罚。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第八十五条</w:t>
      </w:r>
      <w:r>
        <w:rPr>
          <w:rFonts w:hint="eastAsia" w:ascii="宋体" w:hAnsi="宋体" w:eastAsia="仿宋_GB2312" w:cs="仿宋_GB2312"/>
          <w:kern w:val="0"/>
          <w:szCs w:val="32"/>
        </w:rPr>
        <w:t>　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（一）未按照劳动合同的约定或者国家规定及时足额支付劳动者劳动报酬的；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（二）低于当地最低工资标准支付劳动者工资的；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（三）安排加班不支付加班费的；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（四）解除或者终止劳动合同，未依照本法规定向劳动者支付经济补偿的。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第八十六条</w:t>
      </w:r>
      <w:r>
        <w:rPr>
          <w:rFonts w:hint="eastAsia" w:ascii="宋体" w:hAnsi="宋体" w:eastAsia="仿宋_GB2312" w:cs="仿宋_GB2312"/>
          <w:kern w:val="0"/>
          <w:szCs w:val="32"/>
        </w:rPr>
        <w:t>　劳动合同依照本法第二十六条规定被确认无效，给对方造成损害的，有过错的一方应当承担赔偿责任。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第八十七条</w:t>
      </w:r>
      <w:r>
        <w:rPr>
          <w:rFonts w:hint="eastAsia" w:ascii="宋体" w:hAnsi="宋体" w:eastAsia="仿宋_GB2312" w:cs="仿宋_GB2312"/>
          <w:kern w:val="0"/>
          <w:szCs w:val="32"/>
        </w:rPr>
        <w:t>　用人单位违反本法规定解除或者终止劳动合同的，应当依照本法第四十七条规定的经济补偿标准的二倍向劳动者支付赔偿金。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第八十八条</w:t>
      </w:r>
      <w:r>
        <w:rPr>
          <w:rFonts w:hint="eastAsia" w:ascii="宋体" w:hAnsi="宋体" w:eastAsia="仿宋_GB2312" w:cs="仿宋_GB2312"/>
          <w:kern w:val="0"/>
          <w:szCs w:val="32"/>
        </w:rPr>
        <w:t>　用人单位有下列情形之一的，依法给予行政处罚；构成犯罪的，依法追究刑事责任；给劳动者造成损害的，应当承担赔偿责任: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（一）以暴力、威胁或者非法限制人身自由的手段强迫劳动的；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（二）违章指挥或者强令冒险作业危及劳动者人身安全的；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（三）侮辱、体罚、殴打、非法搜查或者拘禁劳动者的；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（四）劳动条件恶劣、环境污染严重，给劳动者身心健康造成严重损害的。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第八十九条</w:t>
      </w:r>
      <w:r>
        <w:rPr>
          <w:rFonts w:hint="eastAsia" w:ascii="宋体" w:hAnsi="宋体" w:eastAsia="仿宋_GB2312" w:cs="仿宋_GB2312"/>
          <w:kern w:val="0"/>
          <w:szCs w:val="32"/>
        </w:rPr>
        <w:t>　用人单位违反本法规定未向劳动者出具解除或者终止劳动合同的书面证明，由劳动行政部门责令改正；给劳动者造成损害的，应当承担赔偿责任。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第九十条　</w:t>
      </w:r>
      <w:r>
        <w:rPr>
          <w:rFonts w:hint="eastAsia" w:ascii="宋体" w:hAnsi="宋体" w:eastAsia="仿宋_GB2312" w:cs="仿宋_GB2312"/>
          <w:kern w:val="0"/>
          <w:szCs w:val="32"/>
        </w:rPr>
        <w:t>劳动者违反本法规定解除劳动合同，或者违反劳动合同中约定的保密义务或者竞业限制，给用人单位造成损失的，应当承担赔偿责任。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第九十一条</w:t>
      </w:r>
      <w:r>
        <w:rPr>
          <w:rFonts w:hint="eastAsia" w:ascii="宋体" w:hAnsi="宋体" w:eastAsia="仿宋_GB2312" w:cs="仿宋_GB2312"/>
          <w:kern w:val="0"/>
          <w:szCs w:val="32"/>
        </w:rPr>
        <w:t>　用人单位招用与其他用人单位尚未解除或者终止劳动合同的劳动者，给其他用人单位造成损失的，应当承担连带赔偿责任。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第九十二条</w:t>
      </w:r>
      <w:r>
        <w:rPr>
          <w:rFonts w:hint="eastAsia" w:ascii="宋体" w:hAnsi="宋体" w:eastAsia="仿宋_GB2312" w:cs="仿宋_GB2312"/>
          <w:kern w:val="0"/>
          <w:szCs w:val="32"/>
        </w:rPr>
        <w:t>　违反本法规定，未经许可，擅自经营劳务派遣业务的，由劳动行政部门责令停止违法行为，没收违法所得，并处违法所得一倍以上五倍以下的罚款；没有违法所得的，可以处五万元以下的罚款。</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用工单位违反本法有关劳务派遣规定的，由劳动行政部门责令限期改正；逾期不改正的，以每人五千元以上一万元以下的标准处以罚款，对劳务派遣单位，吊销其劳务派遣业务经营许可证。用工单位给被派遣劳动者造成损害的，劳务派遣单位与用工单位承担连带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第九十三条</w:t>
      </w:r>
      <w:r>
        <w:rPr>
          <w:rFonts w:hint="eastAsia" w:ascii="宋体" w:hAnsi="宋体" w:eastAsia="仿宋_GB2312" w:cs="仿宋_GB2312"/>
          <w:kern w:val="0"/>
          <w:szCs w:val="32"/>
        </w:rPr>
        <w:t>　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第九十四条</w:t>
      </w:r>
      <w:r>
        <w:rPr>
          <w:rFonts w:hint="eastAsia" w:ascii="宋体" w:hAnsi="宋体" w:eastAsia="仿宋_GB2312" w:cs="仿宋_GB2312"/>
          <w:kern w:val="0"/>
          <w:szCs w:val="32"/>
        </w:rPr>
        <w:t>　个人承包经营违反本法规定招用劳动者，给劳动者造成损害的，发包的组织与个人承包经营者承担连带赔偿责任。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第九十五条</w:t>
      </w:r>
      <w:r>
        <w:rPr>
          <w:rFonts w:hint="eastAsia" w:ascii="宋体" w:hAnsi="宋体" w:eastAsia="仿宋_GB2312" w:cs="仿宋_GB2312"/>
          <w:kern w:val="0"/>
          <w:szCs w:val="32"/>
        </w:rPr>
        <w:t>　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第八章　附则</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第九十六条</w:t>
      </w:r>
      <w:r>
        <w:rPr>
          <w:rFonts w:hint="eastAsia" w:ascii="宋体" w:hAnsi="宋体" w:eastAsia="仿宋_GB2312" w:cs="仿宋_GB2312"/>
          <w:kern w:val="0"/>
          <w:szCs w:val="32"/>
        </w:rPr>
        <w:t>　事业单位与实行聘用制的工作人员订立、履行、变更、解除或者终止劳动合同，法律、行政法规或者国务院另有规定的，依照其规定；未作规定的，依照本法有关规定执行。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第九十七条</w:t>
      </w:r>
      <w:r>
        <w:rPr>
          <w:rFonts w:hint="eastAsia" w:ascii="宋体" w:hAnsi="宋体" w:eastAsia="仿宋_GB2312" w:cs="仿宋_GB2312"/>
          <w:kern w:val="0"/>
          <w:szCs w:val="32"/>
        </w:rPr>
        <w:t>　本法施行前已依法订立且在本法施行之日存续的劳动合同，继续履行；本法第十四条第二款第三项规定连续订立固定期限劳动合同的次数，自本法施行后续订固定期限劳动合同时开始计算。</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本法施行前已建立劳动关系，尚未订立书面劳动合同的，应当自本法施行之日起一个月内订立。</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本法施行之日存续的劳动合同在本法施行后解除或者终止，依照本法第四十六条规定应当支付经济补偿的，经济补偿年限自本法施行之日起计算；本法施行前按照当时有关规定，用人单位应当向劳动者支付经济补偿的，按照当时有关规定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第九十八条</w:t>
      </w:r>
      <w:r>
        <w:rPr>
          <w:rFonts w:hint="eastAsia" w:ascii="宋体" w:hAnsi="宋体" w:eastAsia="仿宋_GB2312" w:cs="仿宋_GB2312"/>
          <w:kern w:val="0"/>
          <w:szCs w:val="32"/>
        </w:rPr>
        <w:t>　本法自2008年1月1日起施行。</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 w:val="32"/>
          <w:szCs w:val="32"/>
          <w:lang w:eastAsia="zh-CN"/>
        </w:rPr>
      </w:pP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ordWrap/>
        <w:spacing w:line="560" w:lineRule="exact"/>
        <w:jc w:val="center"/>
        <w:textAlignment w:val="auto"/>
        <w:outlineLvl w:val="0"/>
        <w:rPr>
          <w:rFonts w:hint="eastAsia" w:ascii="宋体" w:hAnsi="宋体" w:eastAsia="宋体" w:cs="宋体"/>
          <w:sz w:val="44"/>
          <w:szCs w:val="44"/>
        </w:rPr>
      </w:pPr>
      <w:bookmarkStart w:id="216" w:name="_Toc16789"/>
      <w:r>
        <w:rPr>
          <w:rFonts w:hint="eastAsia" w:ascii="宋体" w:hAnsi="宋体" w:eastAsia="宋体" w:cs="宋体"/>
          <w:sz w:val="44"/>
          <w:szCs w:val="44"/>
        </w:rPr>
        <w:t>中华人民共和国慈善法</w:t>
      </w:r>
      <w:bookmarkEnd w:id="216"/>
    </w:p>
    <w:p>
      <w:pPr>
        <w:wordWrap/>
        <w:spacing w:line="560" w:lineRule="exact"/>
        <w:textAlignment w:val="auto"/>
        <w:rPr>
          <w:rFonts w:hint="eastAsia"/>
        </w:rPr>
      </w:pPr>
    </w:p>
    <w:p>
      <w:pPr>
        <w:wordWrap/>
        <w:spacing w:line="560" w:lineRule="exact"/>
        <w:ind w:left="640" w:leftChars="200" w:right="525" w:rightChars="164" w:firstLine="0" w:firstLineChars="0"/>
        <w:textAlignment w:val="auto"/>
        <w:rPr>
          <w:rFonts w:hint="eastAsia" w:ascii="楷体" w:hAnsi="楷体" w:eastAsia="楷体" w:cs="楷体"/>
        </w:rPr>
      </w:pPr>
      <w:r>
        <w:rPr>
          <w:rFonts w:hint="eastAsia" w:ascii="楷体" w:hAnsi="楷体" w:eastAsia="楷体" w:cs="楷体"/>
        </w:rPr>
        <w:t>（2016年3月16日第十二届全国人民代表大会第四次会议通过）</w:t>
      </w:r>
    </w:p>
    <w:p>
      <w:pPr>
        <w:wordWrap/>
        <w:spacing w:line="560" w:lineRule="exact"/>
        <w:textAlignment w:val="auto"/>
        <w:rPr>
          <w:rFonts w:hint="eastAsia" w:ascii="楷体" w:hAnsi="楷体" w:eastAsia="楷体" w:cs="楷体"/>
        </w:rPr>
      </w:pPr>
      <w:r>
        <w:rPr>
          <w:rFonts w:hint="eastAsia" w:ascii="楷体" w:hAnsi="楷体" w:eastAsia="楷体" w:cs="楷体"/>
        </w:rPr>
        <w:t>　　</w:t>
      </w:r>
    </w:p>
    <w:p>
      <w:pPr>
        <w:wordWrap/>
        <w:spacing w:line="560" w:lineRule="exact"/>
        <w:jc w:val="center"/>
        <w:textAlignment w:val="auto"/>
        <w:rPr>
          <w:rFonts w:hint="eastAsia" w:ascii="楷体" w:hAnsi="楷体" w:eastAsia="楷体" w:cs="楷体"/>
        </w:rPr>
      </w:pPr>
      <w:r>
        <w:rPr>
          <w:rFonts w:hint="eastAsia" w:ascii="楷体" w:hAnsi="楷体" w:eastAsia="楷体" w:cs="楷体"/>
        </w:rPr>
        <w:t>目录</w:t>
      </w:r>
    </w:p>
    <w:p>
      <w:pPr>
        <w:wordWrap/>
        <w:spacing w:line="560" w:lineRule="exact"/>
        <w:textAlignment w:val="auto"/>
        <w:rPr>
          <w:rFonts w:hint="eastAsia" w:ascii="楷体" w:hAnsi="楷体" w:eastAsia="楷体" w:cs="楷体"/>
        </w:rPr>
      </w:pPr>
      <w:r>
        <w:rPr>
          <w:rFonts w:hint="eastAsia" w:ascii="楷体" w:hAnsi="楷体" w:eastAsia="楷体" w:cs="楷体"/>
        </w:rPr>
        <w:t>　 第一章　总则</w:t>
      </w:r>
    </w:p>
    <w:p>
      <w:pPr>
        <w:wordWrap/>
        <w:spacing w:line="560" w:lineRule="exact"/>
        <w:textAlignment w:val="auto"/>
        <w:rPr>
          <w:rFonts w:hint="eastAsia" w:ascii="楷体" w:hAnsi="楷体" w:eastAsia="楷体" w:cs="楷体"/>
        </w:rPr>
      </w:pPr>
      <w:r>
        <w:rPr>
          <w:rFonts w:hint="eastAsia" w:ascii="楷体" w:hAnsi="楷体" w:eastAsia="楷体" w:cs="楷体"/>
        </w:rPr>
        <w:t>　 第二章　慈善组织</w:t>
      </w:r>
    </w:p>
    <w:p>
      <w:pPr>
        <w:wordWrap/>
        <w:spacing w:line="560" w:lineRule="exact"/>
        <w:textAlignment w:val="auto"/>
        <w:rPr>
          <w:rFonts w:hint="eastAsia" w:ascii="楷体" w:hAnsi="楷体" w:eastAsia="楷体" w:cs="楷体"/>
        </w:rPr>
      </w:pPr>
      <w:r>
        <w:rPr>
          <w:rFonts w:hint="eastAsia" w:ascii="楷体" w:hAnsi="楷体" w:eastAsia="楷体" w:cs="楷体"/>
        </w:rPr>
        <w:t>　 第三章　慈善募捐</w:t>
      </w:r>
    </w:p>
    <w:p>
      <w:pPr>
        <w:wordWrap/>
        <w:spacing w:line="560" w:lineRule="exact"/>
        <w:textAlignment w:val="auto"/>
        <w:rPr>
          <w:rFonts w:hint="eastAsia" w:ascii="楷体" w:hAnsi="楷体" w:eastAsia="楷体" w:cs="楷体"/>
        </w:rPr>
      </w:pPr>
      <w:r>
        <w:rPr>
          <w:rFonts w:hint="eastAsia" w:ascii="楷体" w:hAnsi="楷体" w:eastAsia="楷体" w:cs="楷体"/>
        </w:rPr>
        <w:t>　 第四章　慈善捐赠</w:t>
      </w:r>
    </w:p>
    <w:p>
      <w:pPr>
        <w:wordWrap/>
        <w:spacing w:line="560" w:lineRule="exact"/>
        <w:textAlignment w:val="auto"/>
        <w:rPr>
          <w:rFonts w:hint="eastAsia" w:ascii="楷体" w:hAnsi="楷体" w:eastAsia="楷体" w:cs="楷体"/>
        </w:rPr>
      </w:pPr>
      <w:r>
        <w:rPr>
          <w:rFonts w:hint="eastAsia" w:ascii="楷体" w:hAnsi="楷体" w:eastAsia="楷体" w:cs="楷体"/>
        </w:rPr>
        <w:t>　 第五章　慈善信托</w:t>
      </w:r>
    </w:p>
    <w:p>
      <w:pPr>
        <w:wordWrap/>
        <w:spacing w:line="560" w:lineRule="exact"/>
        <w:textAlignment w:val="auto"/>
        <w:rPr>
          <w:rFonts w:hint="eastAsia" w:ascii="楷体" w:hAnsi="楷体" w:eastAsia="楷体" w:cs="楷体"/>
        </w:rPr>
      </w:pPr>
      <w:r>
        <w:rPr>
          <w:rFonts w:hint="eastAsia" w:ascii="楷体" w:hAnsi="楷体" w:eastAsia="楷体" w:cs="楷体"/>
        </w:rPr>
        <w:t>　 第六章　慈善财产</w:t>
      </w:r>
    </w:p>
    <w:p>
      <w:pPr>
        <w:wordWrap/>
        <w:spacing w:line="560" w:lineRule="exact"/>
        <w:textAlignment w:val="auto"/>
        <w:rPr>
          <w:rFonts w:hint="eastAsia" w:ascii="楷体" w:hAnsi="楷体" w:eastAsia="楷体" w:cs="楷体"/>
        </w:rPr>
      </w:pPr>
      <w:r>
        <w:rPr>
          <w:rFonts w:hint="eastAsia" w:ascii="楷体" w:hAnsi="楷体" w:eastAsia="楷体" w:cs="楷体"/>
        </w:rPr>
        <w:t>　 第七章　慈善服务</w:t>
      </w:r>
    </w:p>
    <w:p>
      <w:pPr>
        <w:wordWrap/>
        <w:spacing w:line="560" w:lineRule="exact"/>
        <w:textAlignment w:val="auto"/>
        <w:rPr>
          <w:rFonts w:hint="eastAsia" w:ascii="楷体" w:hAnsi="楷体" w:eastAsia="楷体" w:cs="楷体"/>
        </w:rPr>
      </w:pPr>
      <w:r>
        <w:rPr>
          <w:rFonts w:hint="eastAsia" w:ascii="楷体" w:hAnsi="楷体" w:eastAsia="楷体" w:cs="楷体"/>
        </w:rPr>
        <w:t>　 第八章　信息公开</w:t>
      </w:r>
    </w:p>
    <w:p>
      <w:pPr>
        <w:wordWrap/>
        <w:spacing w:line="560" w:lineRule="exact"/>
        <w:textAlignment w:val="auto"/>
        <w:rPr>
          <w:rFonts w:hint="eastAsia" w:ascii="楷体" w:hAnsi="楷体" w:eastAsia="楷体" w:cs="楷体"/>
        </w:rPr>
      </w:pPr>
      <w:r>
        <w:rPr>
          <w:rFonts w:hint="eastAsia" w:ascii="楷体" w:hAnsi="楷体" w:eastAsia="楷体" w:cs="楷体"/>
        </w:rPr>
        <w:t>　 第九章　促进措施</w:t>
      </w:r>
    </w:p>
    <w:p>
      <w:pPr>
        <w:wordWrap/>
        <w:spacing w:line="560" w:lineRule="exact"/>
        <w:textAlignment w:val="auto"/>
        <w:rPr>
          <w:rFonts w:hint="eastAsia" w:ascii="楷体" w:hAnsi="楷体" w:eastAsia="楷体" w:cs="楷体"/>
        </w:rPr>
      </w:pPr>
      <w:r>
        <w:rPr>
          <w:rFonts w:hint="eastAsia" w:ascii="楷体" w:hAnsi="楷体" w:eastAsia="楷体" w:cs="楷体"/>
        </w:rPr>
        <w:t>　 第十章　监督管理</w:t>
      </w:r>
    </w:p>
    <w:p>
      <w:pPr>
        <w:wordWrap/>
        <w:spacing w:line="560" w:lineRule="exact"/>
        <w:textAlignment w:val="auto"/>
        <w:rPr>
          <w:rFonts w:hint="eastAsia" w:ascii="楷体" w:hAnsi="楷体" w:eastAsia="楷体" w:cs="楷体"/>
        </w:rPr>
      </w:pPr>
      <w:r>
        <w:rPr>
          <w:rFonts w:hint="eastAsia" w:ascii="楷体" w:hAnsi="楷体" w:eastAsia="楷体" w:cs="楷体"/>
        </w:rPr>
        <w:t>　 第十一章　法律责任</w:t>
      </w:r>
    </w:p>
    <w:p>
      <w:pPr>
        <w:wordWrap/>
        <w:spacing w:line="560" w:lineRule="exact"/>
        <w:textAlignment w:val="auto"/>
        <w:rPr>
          <w:rFonts w:hint="eastAsia" w:ascii="楷体" w:hAnsi="楷体" w:eastAsia="楷体" w:cs="楷体"/>
        </w:rPr>
      </w:pPr>
      <w:r>
        <w:rPr>
          <w:rFonts w:hint="eastAsia" w:ascii="楷体" w:hAnsi="楷体" w:eastAsia="楷体" w:cs="楷体"/>
        </w:rPr>
        <w:t>　 第十二章　附则</w:t>
      </w:r>
    </w:p>
    <w:p>
      <w:pPr>
        <w:pStyle w:val="3"/>
        <w:rPr>
          <w:rFonts w:hint="eastAsia"/>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第一章　总则</w:t>
      </w:r>
    </w:p>
    <w:p>
      <w:pPr>
        <w:pStyle w:val="3"/>
        <w:rPr>
          <w:rFonts w:hint="eastAsia"/>
        </w:rPr>
      </w:pPr>
    </w:p>
    <w:p>
      <w:pPr>
        <w:wordWrap/>
        <w:spacing w:line="560" w:lineRule="exact"/>
        <w:textAlignment w:val="auto"/>
        <w:rPr>
          <w:rFonts w:hint="eastAsia"/>
        </w:rPr>
      </w:pPr>
      <w:r>
        <w:rPr>
          <w:rFonts w:hint="eastAsia"/>
        </w:rPr>
        <w:t>　　</w:t>
      </w:r>
      <w:r>
        <w:rPr>
          <w:rFonts w:hint="eastAsia" w:ascii="黑体" w:hAnsi="黑体" w:eastAsia="黑体" w:cs="黑体"/>
        </w:rPr>
        <w:t>第一条</w:t>
      </w:r>
      <w:r>
        <w:rPr>
          <w:rFonts w:hint="eastAsia"/>
        </w:rPr>
        <w:t>　为了发展慈善事业，弘扬慈善文化，规范慈善活动，保护慈善组织、捐赠人、志愿者、受益人等慈善活动参与者的合法权益，促进社会进步，共享发展成果，制定本法。</w:t>
      </w:r>
    </w:p>
    <w:p>
      <w:pPr>
        <w:wordWrap/>
        <w:spacing w:line="560" w:lineRule="exact"/>
        <w:textAlignment w:val="auto"/>
        <w:rPr>
          <w:rFonts w:hint="eastAsia"/>
        </w:rPr>
      </w:pPr>
      <w:r>
        <w:rPr>
          <w:rFonts w:hint="eastAsia"/>
        </w:rPr>
        <w:t>　　</w:t>
      </w:r>
      <w:r>
        <w:rPr>
          <w:rFonts w:hint="eastAsia" w:ascii="黑体" w:hAnsi="黑体" w:eastAsia="黑体" w:cs="黑体"/>
        </w:rPr>
        <w:t>第二条</w:t>
      </w:r>
      <w:r>
        <w:rPr>
          <w:rFonts w:hint="eastAsia"/>
        </w:rPr>
        <w:t>　自然人、法人和其他组织开展慈善活动以及与慈善有关的活动，适用本法。其他法律有特别规定的，依照其规定。</w:t>
      </w:r>
    </w:p>
    <w:p>
      <w:pPr>
        <w:wordWrap/>
        <w:spacing w:line="560" w:lineRule="exact"/>
        <w:textAlignment w:val="auto"/>
        <w:rPr>
          <w:rFonts w:hint="eastAsia"/>
        </w:rPr>
      </w:pPr>
      <w:r>
        <w:rPr>
          <w:rFonts w:hint="eastAsia"/>
        </w:rPr>
        <w:t>　　</w:t>
      </w:r>
      <w:r>
        <w:rPr>
          <w:rFonts w:hint="eastAsia" w:ascii="黑体" w:hAnsi="黑体" w:eastAsia="黑体" w:cs="黑体"/>
        </w:rPr>
        <w:t>第三条</w:t>
      </w:r>
      <w:r>
        <w:rPr>
          <w:rFonts w:hint="eastAsia"/>
        </w:rPr>
        <w:t>　本法所称慈善活动，是指自然人、法人和其他组织以捐赠财产或者提供服务等方式，自愿开展的下列公益活动：</w:t>
      </w:r>
    </w:p>
    <w:p>
      <w:pPr>
        <w:wordWrap/>
        <w:spacing w:line="560" w:lineRule="exact"/>
        <w:textAlignment w:val="auto"/>
        <w:rPr>
          <w:rFonts w:hint="eastAsia"/>
        </w:rPr>
      </w:pPr>
      <w:r>
        <w:rPr>
          <w:rFonts w:hint="eastAsia"/>
        </w:rPr>
        <w:t>　　（一）扶贫、济困；</w:t>
      </w:r>
    </w:p>
    <w:p>
      <w:pPr>
        <w:wordWrap/>
        <w:spacing w:line="560" w:lineRule="exact"/>
        <w:textAlignment w:val="auto"/>
        <w:rPr>
          <w:rFonts w:hint="eastAsia"/>
        </w:rPr>
      </w:pPr>
      <w:r>
        <w:rPr>
          <w:rFonts w:hint="eastAsia"/>
        </w:rPr>
        <w:t>　　（二）扶老、救孤、恤病、助残、优抚；</w:t>
      </w:r>
    </w:p>
    <w:p>
      <w:pPr>
        <w:wordWrap/>
        <w:spacing w:line="560" w:lineRule="exact"/>
        <w:textAlignment w:val="auto"/>
        <w:rPr>
          <w:rFonts w:hint="eastAsia"/>
        </w:rPr>
      </w:pPr>
      <w:r>
        <w:rPr>
          <w:rFonts w:hint="eastAsia"/>
        </w:rPr>
        <w:t>　　（三）救助自然灾害、事故灾难和公共卫生事件等突发事件造成的损害；</w:t>
      </w:r>
    </w:p>
    <w:p>
      <w:pPr>
        <w:wordWrap/>
        <w:spacing w:line="560" w:lineRule="exact"/>
        <w:textAlignment w:val="auto"/>
        <w:rPr>
          <w:rFonts w:hint="eastAsia"/>
        </w:rPr>
      </w:pPr>
      <w:r>
        <w:rPr>
          <w:rFonts w:hint="eastAsia"/>
        </w:rPr>
        <w:t>　　（四）促进教育、科学、文化、卫生、体育等事业的发展；</w:t>
      </w:r>
    </w:p>
    <w:p>
      <w:pPr>
        <w:wordWrap/>
        <w:spacing w:line="560" w:lineRule="exact"/>
        <w:textAlignment w:val="auto"/>
        <w:rPr>
          <w:rFonts w:hint="eastAsia"/>
        </w:rPr>
      </w:pPr>
      <w:r>
        <w:rPr>
          <w:rFonts w:hint="eastAsia"/>
        </w:rPr>
        <w:t>　　（五）防治污染和其他公害，保护和改善生态环境；</w:t>
      </w:r>
    </w:p>
    <w:p>
      <w:pPr>
        <w:wordWrap/>
        <w:spacing w:line="560" w:lineRule="exact"/>
        <w:textAlignment w:val="auto"/>
        <w:rPr>
          <w:rFonts w:hint="eastAsia"/>
        </w:rPr>
      </w:pPr>
      <w:r>
        <w:rPr>
          <w:rFonts w:hint="eastAsia"/>
        </w:rPr>
        <w:t>　　（六）符合本法规定的其他公益活动。</w:t>
      </w:r>
    </w:p>
    <w:p>
      <w:pPr>
        <w:wordWrap/>
        <w:spacing w:line="560" w:lineRule="exact"/>
        <w:textAlignment w:val="auto"/>
        <w:rPr>
          <w:rFonts w:hint="eastAsia"/>
        </w:rPr>
      </w:pPr>
      <w:r>
        <w:rPr>
          <w:rFonts w:hint="eastAsia"/>
        </w:rPr>
        <w:t>　　</w:t>
      </w:r>
      <w:r>
        <w:rPr>
          <w:rFonts w:hint="eastAsia" w:ascii="黑体" w:hAnsi="黑体" w:eastAsia="黑体" w:cs="黑体"/>
        </w:rPr>
        <w:t>第四条</w:t>
      </w:r>
      <w:r>
        <w:rPr>
          <w:rFonts w:hint="eastAsia"/>
        </w:rPr>
        <w:t>　开展慈善活动，应当遵循合法、自愿、诚信、非营利的原则，不得违背社会公德，不得危害国家安全、损害社会公共利益和他人合法权益。</w:t>
      </w:r>
    </w:p>
    <w:p>
      <w:pPr>
        <w:wordWrap/>
        <w:spacing w:line="560" w:lineRule="exact"/>
        <w:textAlignment w:val="auto"/>
        <w:rPr>
          <w:rFonts w:hint="eastAsia"/>
        </w:rPr>
      </w:pPr>
      <w:r>
        <w:rPr>
          <w:rFonts w:hint="eastAsia"/>
        </w:rPr>
        <w:t>　　</w:t>
      </w:r>
      <w:r>
        <w:rPr>
          <w:rFonts w:hint="eastAsia" w:ascii="黑体" w:hAnsi="黑体" w:eastAsia="黑体" w:cs="黑体"/>
        </w:rPr>
        <w:t>第五条</w:t>
      </w:r>
      <w:r>
        <w:rPr>
          <w:rFonts w:hint="eastAsia"/>
        </w:rPr>
        <w:t>　国家鼓励和支持自然人、法人和其他组织践行社会主义核心价值观，弘扬中华民族传统美德，依法开展慈善活动。</w:t>
      </w:r>
    </w:p>
    <w:p>
      <w:pPr>
        <w:wordWrap/>
        <w:spacing w:line="560" w:lineRule="exact"/>
        <w:textAlignment w:val="auto"/>
        <w:rPr>
          <w:rFonts w:hint="eastAsia"/>
        </w:rPr>
      </w:pPr>
      <w:r>
        <w:rPr>
          <w:rFonts w:hint="eastAsia"/>
        </w:rPr>
        <w:t>　　</w:t>
      </w:r>
      <w:r>
        <w:rPr>
          <w:rFonts w:hint="eastAsia" w:ascii="黑体" w:hAnsi="黑体" w:eastAsia="黑体" w:cs="黑体"/>
        </w:rPr>
        <w:t>第六条</w:t>
      </w:r>
      <w:r>
        <w:rPr>
          <w:rFonts w:hint="eastAsia"/>
        </w:rPr>
        <w:t>　国务院民政部门主管全国慈善工作，县级以上地方各级人民政府民政部门主管本行政区域内的慈善工作；县级以上人民政府有关部门依照本法和其他有关法律法规，在各自的职责范围内做好相关工作。</w:t>
      </w:r>
    </w:p>
    <w:p>
      <w:pPr>
        <w:wordWrap/>
        <w:spacing w:line="560" w:lineRule="exact"/>
        <w:textAlignment w:val="auto"/>
        <w:rPr>
          <w:rFonts w:hint="eastAsia"/>
        </w:rPr>
      </w:pPr>
      <w:r>
        <w:rPr>
          <w:rFonts w:hint="eastAsia"/>
        </w:rPr>
        <w:t>　　</w:t>
      </w:r>
      <w:r>
        <w:rPr>
          <w:rFonts w:hint="eastAsia" w:ascii="黑体" w:hAnsi="黑体" w:eastAsia="黑体" w:cs="黑体"/>
        </w:rPr>
        <w:t>第七条　</w:t>
      </w:r>
      <w:r>
        <w:rPr>
          <w:rFonts w:hint="eastAsia"/>
        </w:rPr>
        <w:t>每年9月5日为“中华慈善日”。</w:t>
      </w:r>
    </w:p>
    <w:p>
      <w:pPr>
        <w:wordWrap/>
        <w:spacing w:line="560" w:lineRule="exact"/>
        <w:jc w:val="center"/>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第二章　慈善组织</w:t>
      </w:r>
    </w:p>
    <w:p>
      <w:pPr>
        <w:pStyle w:val="3"/>
        <w:rPr>
          <w:rFonts w:hint="eastAsia"/>
        </w:rPr>
      </w:pPr>
    </w:p>
    <w:p>
      <w:pPr>
        <w:wordWrap/>
        <w:spacing w:line="560" w:lineRule="exact"/>
        <w:textAlignment w:val="auto"/>
        <w:rPr>
          <w:rFonts w:hint="eastAsia"/>
        </w:rPr>
      </w:pPr>
      <w:r>
        <w:rPr>
          <w:rFonts w:hint="eastAsia"/>
        </w:rPr>
        <w:t>　　</w:t>
      </w:r>
      <w:r>
        <w:rPr>
          <w:rFonts w:hint="eastAsia" w:ascii="黑体" w:hAnsi="黑体" w:eastAsia="黑体" w:cs="黑体"/>
        </w:rPr>
        <w:t>第八条</w:t>
      </w:r>
      <w:r>
        <w:rPr>
          <w:rFonts w:hint="eastAsia"/>
        </w:rPr>
        <w:t>　本法所称慈善组织，是指依法成立、符合本法规定，以面向社会开展慈善活动为宗旨的非营利性组织。</w:t>
      </w:r>
    </w:p>
    <w:p>
      <w:pPr>
        <w:wordWrap/>
        <w:spacing w:line="560" w:lineRule="exact"/>
        <w:textAlignment w:val="auto"/>
        <w:rPr>
          <w:rFonts w:hint="eastAsia"/>
        </w:rPr>
      </w:pPr>
      <w:r>
        <w:rPr>
          <w:rFonts w:hint="eastAsia"/>
        </w:rPr>
        <w:t>　　慈善组织可以采取基金会、社会团体、社会服务机构等组织形式。</w:t>
      </w:r>
    </w:p>
    <w:p>
      <w:pPr>
        <w:wordWrap/>
        <w:spacing w:line="560" w:lineRule="exact"/>
        <w:textAlignment w:val="auto"/>
        <w:rPr>
          <w:rFonts w:hint="eastAsia"/>
        </w:rPr>
      </w:pPr>
      <w:r>
        <w:rPr>
          <w:rFonts w:hint="eastAsia"/>
        </w:rPr>
        <w:t>　　</w:t>
      </w:r>
      <w:r>
        <w:rPr>
          <w:rFonts w:hint="eastAsia" w:ascii="黑体" w:hAnsi="黑体" w:eastAsia="黑体" w:cs="黑体"/>
        </w:rPr>
        <w:t>第九条</w:t>
      </w:r>
      <w:r>
        <w:rPr>
          <w:rFonts w:hint="eastAsia"/>
        </w:rPr>
        <w:t>　慈善组织应当符合下列条件：</w:t>
      </w:r>
    </w:p>
    <w:p>
      <w:pPr>
        <w:wordWrap/>
        <w:spacing w:line="560" w:lineRule="exact"/>
        <w:textAlignment w:val="auto"/>
        <w:rPr>
          <w:rFonts w:hint="eastAsia"/>
        </w:rPr>
      </w:pPr>
      <w:r>
        <w:rPr>
          <w:rFonts w:hint="eastAsia"/>
        </w:rPr>
        <w:t>　　（一）以开展慈善活动为宗旨；</w:t>
      </w:r>
    </w:p>
    <w:p>
      <w:pPr>
        <w:wordWrap/>
        <w:spacing w:line="560" w:lineRule="exact"/>
        <w:textAlignment w:val="auto"/>
        <w:rPr>
          <w:rFonts w:hint="eastAsia"/>
        </w:rPr>
      </w:pPr>
      <w:r>
        <w:rPr>
          <w:rFonts w:hint="eastAsia"/>
        </w:rPr>
        <w:t>　　（二）不以营利为目的；</w:t>
      </w:r>
    </w:p>
    <w:p>
      <w:pPr>
        <w:wordWrap/>
        <w:spacing w:line="560" w:lineRule="exact"/>
        <w:textAlignment w:val="auto"/>
        <w:rPr>
          <w:rFonts w:hint="eastAsia"/>
        </w:rPr>
      </w:pPr>
      <w:r>
        <w:rPr>
          <w:rFonts w:hint="eastAsia"/>
        </w:rPr>
        <w:t>　　（三）有自己的名称和住所；</w:t>
      </w:r>
    </w:p>
    <w:p>
      <w:pPr>
        <w:wordWrap/>
        <w:spacing w:line="560" w:lineRule="exact"/>
        <w:textAlignment w:val="auto"/>
        <w:rPr>
          <w:rFonts w:hint="eastAsia"/>
        </w:rPr>
      </w:pPr>
      <w:r>
        <w:rPr>
          <w:rFonts w:hint="eastAsia"/>
        </w:rPr>
        <w:t>　　（四）有组织章程；</w:t>
      </w:r>
    </w:p>
    <w:p>
      <w:pPr>
        <w:wordWrap/>
        <w:spacing w:line="560" w:lineRule="exact"/>
        <w:textAlignment w:val="auto"/>
        <w:rPr>
          <w:rFonts w:hint="eastAsia"/>
        </w:rPr>
      </w:pPr>
      <w:r>
        <w:rPr>
          <w:rFonts w:hint="eastAsia"/>
        </w:rPr>
        <w:t>　　（五）有必要的财产；</w:t>
      </w:r>
    </w:p>
    <w:p>
      <w:pPr>
        <w:wordWrap/>
        <w:spacing w:line="560" w:lineRule="exact"/>
        <w:textAlignment w:val="auto"/>
        <w:rPr>
          <w:rFonts w:hint="eastAsia"/>
        </w:rPr>
      </w:pPr>
      <w:r>
        <w:rPr>
          <w:rFonts w:hint="eastAsia"/>
        </w:rPr>
        <w:t>　　（六）有符合条件的组织机构和负责人；</w:t>
      </w:r>
    </w:p>
    <w:p>
      <w:pPr>
        <w:wordWrap/>
        <w:spacing w:line="560" w:lineRule="exact"/>
        <w:textAlignment w:val="auto"/>
        <w:rPr>
          <w:rFonts w:hint="eastAsia"/>
        </w:rPr>
      </w:pPr>
      <w:r>
        <w:rPr>
          <w:rFonts w:hint="eastAsia"/>
        </w:rPr>
        <w:t>　　（七）法律、行政法规规定的其他条件。</w:t>
      </w:r>
    </w:p>
    <w:p>
      <w:pPr>
        <w:wordWrap/>
        <w:spacing w:line="560" w:lineRule="exact"/>
        <w:textAlignment w:val="auto"/>
        <w:rPr>
          <w:rFonts w:hint="eastAsia"/>
        </w:rPr>
      </w:pPr>
      <w:r>
        <w:rPr>
          <w:rFonts w:hint="eastAsia"/>
        </w:rPr>
        <w:t>　　</w:t>
      </w:r>
      <w:r>
        <w:rPr>
          <w:rFonts w:hint="eastAsia" w:ascii="黑体" w:hAnsi="黑体" w:eastAsia="黑体" w:cs="黑体"/>
        </w:rPr>
        <w:t>第十条</w:t>
      </w:r>
      <w:r>
        <w:rPr>
          <w:rFonts w:hint="eastAsia"/>
        </w:rPr>
        <w:t>　设立慈善组织，应当向县级以上人民政府民政部门申请登记，民政部门应当自受理申请之日起三十日内作出决定。符合本法规定条件的，准予登记并向社会公告；不符合本法规定条件的，不予登记并书面说明理由。</w:t>
      </w:r>
    </w:p>
    <w:p>
      <w:pPr>
        <w:wordWrap/>
        <w:spacing w:line="560" w:lineRule="exact"/>
        <w:textAlignment w:val="auto"/>
        <w:rPr>
          <w:rFonts w:hint="eastAsia"/>
        </w:rPr>
      </w:pPr>
      <w:r>
        <w:rPr>
          <w:rFonts w:hint="eastAsia"/>
        </w:rPr>
        <w:t>　　本法公布前已经设立的基金会、社会团体、社会服务机构等非营利性组织，可以向其登记的民政部门申请认定为慈善组织，民政部门应当自受理申请之日起二十日内作出决定。符合慈善组织条件的，予以认定并向社会公告；不符合慈善组织条件的，不予认定并书面说明理由。</w:t>
      </w:r>
    </w:p>
    <w:p>
      <w:pPr>
        <w:wordWrap/>
        <w:spacing w:line="560" w:lineRule="exact"/>
        <w:textAlignment w:val="auto"/>
        <w:rPr>
          <w:rFonts w:hint="eastAsia"/>
        </w:rPr>
      </w:pPr>
      <w:r>
        <w:rPr>
          <w:rFonts w:hint="eastAsia"/>
        </w:rPr>
        <w:t>　　有特殊情况需要延长登记或者认定期限的，报经国务院民政部门批准，可以适当延长，但延长的期限不得超过六十日。</w:t>
      </w:r>
    </w:p>
    <w:p>
      <w:pPr>
        <w:wordWrap/>
        <w:spacing w:line="560" w:lineRule="exact"/>
        <w:textAlignment w:val="auto"/>
        <w:rPr>
          <w:rFonts w:hint="eastAsia"/>
        </w:rPr>
      </w:pPr>
      <w:r>
        <w:rPr>
          <w:rFonts w:hint="eastAsia"/>
        </w:rPr>
        <w:t>　　</w:t>
      </w:r>
      <w:r>
        <w:rPr>
          <w:rFonts w:hint="eastAsia" w:ascii="黑体" w:hAnsi="黑体" w:eastAsia="黑体" w:cs="黑体"/>
        </w:rPr>
        <w:t>第十一条</w:t>
      </w:r>
      <w:r>
        <w:rPr>
          <w:rFonts w:hint="eastAsia"/>
        </w:rPr>
        <w:t>　慈善组织的章程，应当符合法律法规的规定，并载明下列事项：</w:t>
      </w:r>
    </w:p>
    <w:p>
      <w:pPr>
        <w:wordWrap/>
        <w:spacing w:line="560" w:lineRule="exact"/>
        <w:textAlignment w:val="auto"/>
        <w:rPr>
          <w:rFonts w:hint="eastAsia"/>
        </w:rPr>
      </w:pPr>
      <w:r>
        <w:rPr>
          <w:rFonts w:hint="eastAsia"/>
        </w:rPr>
        <w:t>　　（一）名称和住所；</w:t>
      </w:r>
    </w:p>
    <w:p>
      <w:pPr>
        <w:wordWrap/>
        <w:spacing w:line="560" w:lineRule="exact"/>
        <w:textAlignment w:val="auto"/>
        <w:rPr>
          <w:rFonts w:hint="eastAsia"/>
        </w:rPr>
      </w:pPr>
      <w:r>
        <w:rPr>
          <w:rFonts w:hint="eastAsia"/>
        </w:rPr>
        <w:t>　　（二）组织形式；</w:t>
      </w:r>
    </w:p>
    <w:p>
      <w:pPr>
        <w:wordWrap/>
        <w:spacing w:line="560" w:lineRule="exact"/>
        <w:textAlignment w:val="auto"/>
        <w:rPr>
          <w:rFonts w:hint="eastAsia"/>
        </w:rPr>
      </w:pPr>
      <w:r>
        <w:rPr>
          <w:rFonts w:hint="eastAsia"/>
        </w:rPr>
        <w:t>　　（三）宗旨和活动范围；</w:t>
      </w:r>
    </w:p>
    <w:p>
      <w:pPr>
        <w:wordWrap/>
        <w:spacing w:line="560" w:lineRule="exact"/>
        <w:textAlignment w:val="auto"/>
        <w:rPr>
          <w:rFonts w:hint="eastAsia"/>
        </w:rPr>
      </w:pPr>
      <w:r>
        <w:rPr>
          <w:rFonts w:hint="eastAsia"/>
        </w:rPr>
        <w:t>　　（四）财产来源及构成；</w:t>
      </w:r>
    </w:p>
    <w:p>
      <w:pPr>
        <w:wordWrap/>
        <w:spacing w:line="560" w:lineRule="exact"/>
        <w:textAlignment w:val="auto"/>
        <w:rPr>
          <w:rFonts w:hint="eastAsia"/>
        </w:rPr>
      </w:pPr>
      <w:r>
        <w:rPr>
          <w:rFonts w:hint="eastAsia"/>
        </w:rPr>
        <w:t>　　（五）决策、执行机构的组成及职责；</w:t>
      </w:r>
    </w:p>
    <w:p>
      <w:pPr>
        <w:wordWrap/>
        <w:spacing w:line="560" w:lineRule="exact"/>
        <w:textAlignment w:val="auto"/>
        <w:rPr>
          <w:rFonts w:hint="eastAsia"/>
        </w:rPr>
      </w:pPr>
      <w:r>
        <w:rPr>
          <w:rFonts w:hint="eastAsia"/>
        </w:rPr>
        <w:t>　　（六）内部监督机制；</w:t>
      </w:r>
    </w:p>
    <w:p>
      <w:pPr>
        <w:wordWrap/>
        <w:spacing w:line="560" w:lineRule="exact"/>
        <w:textAlignment w:val="auto"/>
        <w:rPr>
          <w:rFonts w:hint="eastAsia"/>
        </w:rPr>
      </w:pPr>
      <w:r>
        <w:rPr>
          <w:rFonts w:hint="eastAsia"/>
        </w:rPr>
        <w:t>　　（七）财产管理使用制度；</w:t>
      </w:r>
    </w:p>
    <w:p>
      <w:pPr>
        <w:wordWrap/>
        <w:spacing w:line="560" w:lineRule="exact"/>
        <w:textAlignment w:val="auto"/>
        <w:rPr>
          <w:rFonts w:hint="eastAsia"/>
        </w:rPr>
      </w:pPr>
      <w:r>
        <w:rPr>
          <w:rFonts w:hint="eastAsia"/>
        </w:rPr>
        <w:t>　　（八）项目管理制度；</w:t>
      </w:r>
    </w:p>
    <w:p>
      <w:pPr>
        <w:wordWrap/>
        <w:spacing w:line="560" w:lineRule="exact"/>
        <w:textAlignment w:val="auto"/>
        <w:rPr>
          <w:rFonts w:hint="eastAsia"/>
        </w:rPr>
      </w:pPr>
      <w:r>
        <w:rPr>
          <w:rFonts w:hint="eastAsia"/>
        </w:rPr>
        <w:t>　　（九）终止情形及终止后的清算办法；</w:t>
      </w:r>
    </w:p>
    <w:p>
      <w:pPr>
        <w:wordWrap/>
        <w:spacing w:line="560" w:lineRule="exact"/>
        <w:textAlignment w:val="auto"/>
        <w:rPr>
          <w:rFonts w:hint="eastAsia"/>
        </w:rPr>
      </w:pPr>
      <w:r>
        <w:rPr>
          <w:rFonts w:hint="eastAsia"/>
        </w:rPr>
        <w:t>　　（十）其他重要事项。</w:t>
      </w:r>
    </w:p>
    <w:p>
      <w:pPr>
        <w:wordWrap/>
        <w:spacing w:line="560" w:lineRule="exact"/>
        <w:textAlignment w:val="auto"/>
        <w:rPr>
          <w:rFonts w:hint="eastAsia"/>
        </w:rPr>
      </w:pPr>
      <w:r>
        <w:rPr>
          <w:rFonts w:hint="eastAsia"/>
        </w:rPr>
        <w:t>　　</w:t>
      </w:r>
      <w:r>
        <w:rPr>
          <w:rFonts w:hint="eastAsia" w:ascii="黑体" w:hAnsi="黑体" w:eastAsia="黑体" w:cs="黑体"/>
        </w:rPr>
        <w:t>第十二条</w:t>
      </w:r>
      <w:r>
        <w:rPr>
          <w:rFonts w:hint="eastAsia"/>
        </w:rPr>
        <w:t>　慈善组织应当根据法律法规以及章程的规定，建立健全内部治理结构，明确决策、执行、监督等方面的职责权限，开展慈善活动。</w:t>
      </w:r>
    </w:p>
    <w:p>
      <w:pPr>
        <w:wordWrap/>
        <w:spacing w:line="560" w:lineRule="exact"/>
        <w:textAlignment w:val="auto"/>
        <w:rPr>
          <w:rFonts w:hint="eastAsia"/>
        </w:rPr>
      </w:pPr>
      <w:r>
        <w:rPr>
          <w:rFonts w:hint="eastAsia"/>
        </w:rPr>
        <w:t>　　慈善组织应当执行国家统一的会计制度，依法进行会计核算，建立健全会计监督制度，并接受政府有关部门的监督管理。</w:t>
      </w:r>
    </w:p>
    <w:p>
      <w:pPr>
        <w:wordWrap/>
        <w:spacing w:line="560" w:lineRule="exact"/>
        <w:textAlignment w:val="auto"/>
        <w:rPr>
          <w:rFonts w:hint="eastAsia"/>
        </w:rPr>
      </w:pPr>
      <w:r>
        <w:rPr>
          <w:rFonts w:hint="eastAsia"/>
        </w:rPr>
        <w:t>　　</w:t>
      </w:r>
      <w:r>
        <w:rPr>
          <w:rFonts w:hint="eastAsia" w:ascii="黑体" w:hAnsi="黑体" w:eastAsia="黑体" w:cs="黑体"/>
        </w:rPr>
        <w:t>第十三条</w:t>
      </w:r>
      <w:r>
        <w:rPr>
          <w:rFonts w:hint="eastAsia"/>
        </w:rPr>
        <w:t>　慈善组织应当每年向其登记的民政部门报送年度工作报告和财务会计报告。报告应当包括年度开展募捐和接受捐赠情况、慈善财产的管理使用情况、慈善项目实施情况以及慈善组织工作人员的工资福利情况。</w:t>
      </w:r>
    </w:p>
    <w:p>
      <w:pPr>
        <w:wordWrap/>
        <w:spacing w:line="560" w:lineRule="exact"/>
        <w:textAlignment w:val="auto"/>
        <w:rPr>
          <w:rFonts w:hint="eastAsia"/>
        </w:rPr>
      </w:pPr>
      <w:r>
        <w:rPr>
          <w:rFonts w:hint="eastAsia"/>
        </w:rPr>
        <w:t>　　</w:t>
      </w:r>
      <w:r>
        <w:rPr>
          <w:rFonts w:hint="eastAsia" w:ascii="黑体" w:hAnsi="黑体" w:eastAsia="黑体" w:cs="黑体"/>
        </w:rPr>
        <w:t>第十四条</w:t>
      </w:r>
      <w:r>
        <w:rPr>
          <w:rFonts w:hint="eastAsia"/>
        </w:rPr>
        <w:t>　慈善组织的发起人、主要捐赠人以及管理人员，不得利用其关联关系损害慈善组织、受益人的利益和社会公共利益。</w:t>
      </w:r>
    </w:p>
    <w:p>
      <w:pPr>
        <w:wordWrap/>
        <w:spacing w:line="560" w:lineRule="exact"/>
        <w:textAlignment w:val="auto"/>
        <w:rPr>
          <w:rFonts w:hint="eastAsia"/>
        </w:rPr>
      </w:pPr>
      <w:r>
        <w:rPr>
          <w:rFonts w:hint="eastAsia"/>
        </w:rPr>
        <w:t>　　慈善组织的发起人、主要捐赠人以及管理人员与慈善组织发生交易行为的，不得参与慈善组织有关该交易行为的决策，有关交易情况应当向社会公开。</w:t>
      </w:r>
    </w:p>
    <w:p>
      <w:pPr>
        <w:wordWrap/>
        <w:spacing w:line="560" w:lineRule="exact"/>
        <w:textAlignment w:val="auto"/>
        <w:rPr>
          <w:rFonts w:hint="eastAsia"/>
        </w:rPr>
      </w:pPr>
      <w:r>
        <w:rPr>
          <w:rFonts w:hint="eastAsia"/>
        </w:rPr>
        <w:t>　　</w:t>
      </w:r>
      <w:r>
        <w:rPr>
          <w:rFonts w:hint="eastAsia" w:ascii="黑体" w:hAnsi="黑体" w:eastAsia="黑体" w:cs="黑体"/>
        </w:rPr>
        <w:t>第十五条</w:t>
      </w:r>
      <w:r>
        <w:rPr>
          <w:rFonts w:hint="eastAsia"/>
        </w:rPr>
        <w:t>　慈善组织不得从事、资助危害国家安全和社会公共利益的活动，不得接受附加违反法律法规和违背社会公德条件的捐赠，不得对受益人附加违反法律法规和违背社会公德的条件。</w:t>
      </w:r>
    </w:p>
    <w:p>
      <w:pPr>
        <w:wordWrap/>
        <w:spacing w:line="560" w:lineRule="exact"/>
        <w:textAlignment w:val="auto"/>
        <w:rPr>
          <w:rFonts w:hint="eastAsia"/>
        </w:rPr>
      </w:pPr>
      <w:r>
        <w:rPr>
          <w:rFonts w:hint="eastAsia"/>
        </w:rPr>
        <w:t>　</w:t>
      </w:r>
      <w:r>
        <w:rPr>
          <w:rFonts w:hint="eastAsia" w:ascii="黑体" w:hAnsi="黑体" w:eastAsia="黑体" w:cs="黑体"/>
        </w:rPr>
        <w:t>　第十六条</w:t>
      </w:r>
      <w:r>
        <w:rPr>
          <w:rFonts w:hint="eastAsia"/>
        </w:rPr>
        <w:t>　有下列情形之一的，不得担任慈善组织的负责人：</w:t>
      </w:r>
    </w:p>
    <w:p>
      <w:pPr>
        <w:wordWrap/>
        <w:spacing w:line="560" w:lineRule="exact"/>
        <w:textAlignment w:val="auto"/>
        <w:rPr>
          <w:rFonts w:hint="eastAsia"/>
        </w:rPr>
      </w:pPr>
      <w:r>
        <w:rPr>
          <w:rFonts w:hint="eastAsia"/>
        </w:rPr>
        <w:t>　　（一）无民事行为能力或者限制民事行为能力的；</w:t>
      </w:r>
    </w:p>
    <w:p>
      <w:pPr>
        <w:wordWrap/>
        <w:spacing w:line="560" w:lineRule="exact"/>
        <w:textAlignment w:val="auto"/>
        <w:rPr>
          <w:rFonts w:hint="eastAsia"/>
        </w:rPr>
      </w:pPr>
      <w:r>
        <w:rPr>
          <w:rFonts w:hint="eastAsia"/>
        </w:rPr>
        <w:t>　　（二）因故意犯罪被判处刑罚，自刑罚执行完毕之日起未逾五年的；</w:t>
      </w:r>
    </w:p>
    <w:p>
      <w:pPr>
        <w:wordWrap/>
        <w:spacing w:line="560" w:lineRule="exact"/>
        <w:textAlignment w:val="auto"/>
        <w:rPr>
          <w:rFonts w:hint="eastAsia"/>
        </w:rPr>
      </w:pPr>
      <w:r>
        <w:rPr>
          <w:rFonts w:hint="eastAsia"/>
        </w:rPr>
        <w:t>　　（三）在被吊销登记证书或者被取缔的组织担任负责人，自该组织被吊销登记证书或者被取缔之日起未逾五年的；</w:t>
      </w:r>
    </w:p>
    <w:p>
      <w:pPr>
        <w:wordWrap/>
        <w:spacing w:line="560" w:lineRule="exact"/>
        <w:textAlignment w:val="auto"/>
        <w:rPr>
          <w:rFonts w:hint="eastAsia"/>
        </w:rPr>
      </w:pPr>
      <w:r>
        <w:rPr>
          <w:rFonts w:hint="eastAsia"/>
        </w:rPr>
        <w:t>　　（四）法律、行政法规规定的其他情形。</w:t>
      </w:r>
    </w:p>
    <w:p>
      <w:pPr>
        <w:wordWrap/>
        <w:spacing w:line="560" w:lineRule="exact"/>
        <w:textAlignment w:val="auto"/>
        <w:rPr>
          <w:rFonts w:hint="eastAsia"/>
        </w:rPr>
      </w:pPr>
      <w:r>
        <w:rPr>
          <w:rFonts w:hint="eastAsia"/>
        </w:rPr>
        <w:t>　　</w:t>
      </w:r>
      <w:r>
        <w:rPr>
          <w:rFonts w:hint="eastAsia" w:ascii="黑体" w:hAnsi="黑体" w:eastAsia="黑体" w:cs="黑体"/>
        </w:rPr>
        <w:t>第十七条</w:t>
      </w:r>
      <w:r>
        <w:rPr>
          <w:rFonts w:hint="eastAsia"/>
        </w:rPr>
        <w:t>　慈善组织有下列情形之一的，应当终止：</w:t>
      </w:r>
    </w:p>
    <w:p>
      <w:pPr>
        <w:wordWrap/>
        <w:spacing w:line="560" w:lineRule="exact"/>
        <w:textAlignment w:val="auto"/>
        <w:rPr>
          <w:rFonts w:hint="eastAsia"/>
        </w:rPr>
      </w:pPr>
      <w:r>
        <w:rPr>
          <w:rFonts w:hint="eastAsia"/>
        </w:rPr>
        <w:t>　　（一）出现章程规定的终止情形的；</w:t>
      </w:r>
    </w:p>
    <w:p>
      <w:pPr>
        <w:wordWrap/>
        <w:spacing w:line="560" w:lineRule="exact"/>
        <w:textAlignment w:val="auto"/>
        <w:rPr>
          <w:rFonts w:hint="eastAsia"/>
        </w:rPr>
      </w:pPr>
      <w:r>
        <w:rPr>
          <w:rFonts w:hint="eastAsia"/>
        </w:rPr>
        <w:t>　　（二）因分立、合并需要终止的；</w:t>
      </w:r>
    </w:p>
    <w:p>
      <w:pPr>
        <w:wordWrap/>
        <w:spacing w:line="560" w:lineRule="exact"/>
        <w:textAlignment w:val="auto"/>
        <w:rPr>
          <w:rFonts w:hint="eastAsia"/>
        </w:rPr>
      </w:pPr>
      <w:r>
        <w:rPr>
          <w:rFonts w:hint="eastAsia"/>
        </w:rPr>
        <w:t>　　（三）连续二年未从事慈善活动的；</w:t>
      </w:r>
    </w:p>
    <w:p>
      <w:pPr>
        <w:wordWrap/>
        <w:spacing w:line="560" w:lineRule="exact"/>
        <w:textAlignment w:val="auto"/>
        <w:rPr>
          <w:rFonts w:hint="eastAsia"/>
        </w:rPr>
      </w:pPr>
      <w:r>
        <w:rPr>
          <w:rFonts w:hint="eastAsia"/>
        </w:rPr>
        <w:t>　　（四）依法被撤销登记或者吊销登记证书的；</w:t>
      </w:r>
    </w:p>
    <w:p>
      <w:pPr>
        <w:wordWrap/>
        <w:spacing w:line="560" w:lineRule="exact"/>
        <w:textAlignment w:val="auto"/>
        <w:rPr>
          <w:rFonts w:hint="eastAsia"/>
        </w:rPr>
      </w:pPr>
      <w:r>
        <w:rPr>
          <w:rFonts w:hint="eastAsia"/>
        </w:rPr>
        <w:t>　　（五）法律、行政法规规定应当终止的其他情形。</w:t>
      </w:r>
    </w:p>
    <w:p>
      <w:pPr>
        <w:wordWrap/>
        <w:spacing w:line="560" w:lineRule="exact"/>
        <w:textAlignment w:val="auto"/>
        <w:rPr>
          <w:rFonts w:hint="eastAsia"/>
        </w:rPr>
      </w:pPr>
      <w:r>
        <w:rPr>
          <w:rFonts w:hint="eastAsia"/>
        </w:rPr>
        <w:t>　</w:t>
      </w:r>
      <w:r>
        <w:rPr>
          <w:rFonts w:hint="eastAsia" w:ascii="黑体" w:hAnsi="黑体" w:eastAsia="黑体" w:cs="黑体"/>
        </w:rPr>
        <w:t>　第十八条</w:t>
      </w:r>
      <w:r>
        <w:rPr>
          <w:rFonts w:hint="eastAsia"/>
        </w:rPr>
        <w:t>　慈善组织终止，应当进行清算。</w:t>
      </w:r>
    </w:p>
    <w:p>
      <w:pPr>
        <w:wordWrap/>
        <w:spacing w:line="560" w:lineRule="exact"/>
        <w:textAlignment w:val="auto"/>
        <w:rPr>
          <w:rFonts w:hint="eastAsia"/>
        </w:rPr>
      </w:pPr>
      <w:r>
        <w:rPr>
          <w:rFonts w:hint="eastAsia"/>
        </w:rPr>
        <w:t>　　慈善组织的决策机构应当在本法第十七条规定的终止情形出现之日起三十日内成立清算组进行清算，并向社会公告。不成立清算组或者清算组不履行职责的，民政部门可以申请人民法院指定有关人员组成清算组进行清算。</w:t>
      </w:r>
    </w:p>
    <w:p>
      <w:pPr>
        <w:wordWrap/>
        <w:spacing w:line="560" w:lineRule="exact"/>
        <w:textAlignment w:val="auto"/>
        <w:rPr>
          <w:rFonts w:hint="eastAsia"/>
        </w:rPr>
      </w:pPr>
      <w:r>
        <w:rPr>
          <w:rFonts w:hint="eastAsia"/>
        </w:rPr>
        <w:t>　　慈善组织清算后的剩余财产，应当按照慈善组织章程的规定转给宗旨相同或者相近的慈善组织；章程未规定的，由民政部门主持转给宗旨相同或者相近的慈善组织，并向社会公告。</w:t>
      </w:r>
    </w:p>
    <w:p>
      <w:pPr>
        <w:wordWrap/>
        <w:spacing w:line="560" w:lineRule="exact"/>
        <w:textAlignment w:val="auto"/>
        <w:rPr>
          <w:rFonts w:hint="eastAsia"/>
        </w:rPr>
      </w:pPr>
      <w:r>
        <w:rPr>
          <w:rFonts w:hint="eastAsia"/>
        </w:rPr>
        <w:t>　　慈善组织清算结束后，应当向其登记的民政部门办理注销登记，并由民政部门向社会公告。</w:t>
      </w:r>
    </w:p>
    <w:p>
      <w:pPr>
        <w:wordWrap/>
        <w:spacing w:line="560" w:lineRule="exact"/>
        <w:textAlignment w:val="auto"/>
        <w:rPr>
          <w:rFonts w:hint="eastAsia"/>
        </w:rPr>
      </w:pPr>
      <w:r>
        <w:rPr>
          <w:rFonts w:hint="eastAsia"/>
        </w:rPr>
        <w:t>　　</w:t>
      </w:r>
      <w:r>
        <w:rPr>
          <w:rFonts w:hint="eastAsia" w:ascii="黑体" w:hAnsi="黑体" w:eastAsia="黑体" w:cs="黑体"/>
        </w:rPr>
        <w:t>第十九条</w:t>
      </w:r>
      <w:r>
        <w:rPr>
          <w:rFonts w:hint="eastAsia"/>
        </w:rPr>
        <w:t>　慈善组织依法成立行业组织。</w:t>
      </w:r>
    </w:p>
    <w:p>
      <w:pPr>
        <w:wordWrap/>
        <w:spacing w:line="560" w:lineRule="exact"/>
        <w:textAlignment w:val="auto"/>
        <w:rPr>
          <w:rFonts w:hint="eastAsia"/>
        </w:rPr>
      </w:pPr>
      <w:r>
        <w:rPr>
          <w:rFonts w:hint="eastAsia"/>
        </w:rPr>
        <w:t>　　慈善行业组织应当反映行业诉求，推动行业交流，提高慈善行业公信力，促进慈善事业发展。</w:t>
      </w:r>
    </w:p>
    <w:p>
      <w:pPr>
        <w:wordWrap/>
        <w:spacing w:line="560" w:lineRule="exact"/>
        <w:ind w:firstLine="640"/>
        <w:textAlignment w:val="auto"/>
        <w:rPr>
          <w:rFonts w:hint="eastAsia"/>
        </w:rPr>
      </w:pPr>
      <w:r>
        <w:rPr>
          <w:rFonts w:hint="eastAsia" w:ascii="黑体" w:hAnsi="黑体" w:eastAsia="黑体" w:cs="黑体"/>
        </w:rPr>
        <w:t>第二十条</w:t>
      </w:r>
      <w:r>
        <w:rPr>
          <w:rFonts w:hint="eastAsia"/>
        </w:rPr>
        <w:t>　慈善组织的组织形式、登记管理的具体办法由国务院制定。</w:t>
      </w:r>
    </w:p>
    <w:p>
      <w:pPr>
        <w:pStyle w:val="3"/>
        <w:ind w:firstLine="640"/>
        <w:rPr>
          <w:rFonts w:hint="eastAsia"/>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第三章　慈善募捐</w:t>
      </w:r>
    </w:p>
    <w:p>
      <w:pPr>
        <w:pStyle w:val="3"/>
        <w:rPr>
          <w:rFonts w:hint="eastAsia"/>
        </w:rPr>
      </w:pPr>
    </w:p>
    <w:p>
      <w:pPr>
        <w:wordWrap/>
        <w:spacing w:line="560" w:lineRule="exact"/>
        <w:textAlignment w:val="auto"/>
        <w:rPr>
          <w:rFonts w:hint="eastAsia"/>
        </w:rPr>
      </w:pPr>
      <w:r>
        <w:rPr>
          <w:rFonts w:hint="eastAsia" w:ascii="黑体" w:hAnsi="黑体" w:eastAsia="黑体" w:cs="黑体"/>
        </w:rPr>
        <w:t>　　第二十一条</w:t>
      </w:r>
      <w:r>
        <w:rPr>
          <w:rFonts w:hint="eastAsia"/>
        </w:rPr>
        <w:t>　本法所称慈善募捐，是指慈善组织基于慈善宗旨募集财产的活动。</w:t>
      </w:r>
    </w:p>
    <w:p>
      <w:pPr>
        <w:wordWrap/>
        <w:spacing w:line="560" w:lineRule="exact"/>
        <w:textAlignment w:val="auto"/>
        <w:rPr>
          <w:rFonts w:hint="eastAsia"/>
        </w:rPr>
      </w:pPr>
      <w:r>
        <w:rPr>
          <w:rFonts w:hint="eastAsia"/>
        </w:rPr>
        <w:t>　　慈善募捐，包括面向社会公众的公开募捐和面向特定对象的定向募捐。</w:t>
      </w:r>
    </w:p>
    <w:p>
      <w:pPr>
        <w:wordWrap/>
        <w:spacing w:line="560" w:lineRule="exact"/>
        <w:textAlignment w:val="auto"/>
        <w:rPr>
          <w:rFonts w:hint="eastAsia"/>
        </w:rPr>
      </w:pPr>
      <w:r>
        <w:rPr>
          <w:rFonts w:hint="eastAsia"/>
        </w:rPr>
        <w:t>　　</w:t>
      </w:r>
      <w:r>
        <w:rPr>
          <w:rFonts w:hint="eastAsia" w:ascii="黑体" w:hAnsi="黑体" w:eastAsia="黑体" w:cs="黑体"/>
        </w:rPr>
        <w:t>第二十二条</w:t>
      </w:r>
      <w:r>
        <w:rPr>
          <w:rFonts w:hint="eastAsia"/>
        </w:rPr>
        <w:t>　慈善组织开展公开募捐，应当取得公开募捐资格。依法登记满二年的慈善组织，可以向其登记的民政部门申请公开募捐资格。民政部门应当自受理申请之日起二十日内作出决定。慈善组织符合内部治理结构健全、运作规范的条件的，发给公开募捐资格证书；不符合条件的，不发给公开募捐资格证书并书面说明理由。</w:t>
      </w:r>
    </w:p>
    <w:p>
      <w:pPr>
        <w:wordWrap/>
        <w:spacing w:line="560" w:lineRule="exact"/>
        <w:textAlignment w:val="auto"/>
        <w:rPr>
          <w:rFonts w:hint="eastAsia"/>
        </w:rPr>
      </w:pPr>
      <w:r>
        <w:rPr>
          <w:rFonts w:hint="eastAsia"/>
        </w:rPr>
        <w:t>　　法律、行政法规规定自登记之日起可以公开募捐的基金会和社会团体，由民政部门直接发给公开募捐资格证书。</w:t>
      </w:r>
    </w:p>
    <w:p>
      <w:pPr>
        <w:wordWrap/>
        <w:spacing w:line="560" w:lineRule="exact"/>
        <w:textAlignment w:val="auto"/>
        <w:rPr>
          <w:rFonts w:hint="eastAsia"/>
        </w:rPr>
      </w:pPr>
      <w:r>
        <w:rPr>
          <w:rFonts w:hint="eastAsia"/>
        </w:rPr>
        <w:t>　　</w:t>
      </w:r>
      <w:r>
        <w:rPr>
          <w:rFonts w:hint="eastAsia" w:ascii="黑体" w:hAnsi="黑体" w:eastAsia="黑体" w:cs="黑体"/>
        </w:rPr>
        <w:t>第二十三条</w:t>
      </w:r>
      <w:r>
        <w:rPr>
          <w:rFonts w:hint="eastAsia"/>
        </w:rPr>
        <w:t>　开展公开募捐，可以采取下列方式：</w:t>
      </w:r>
    </w:p>
    <w:p>
      <w:pPr>
        <w:wordWrap/>
        <w:spacing w:line="560" w:lineRule="exact"/>
        <w:textAlignment w:val="auto"/>
        <w:rPr>
          <w:rFonts w:hint="eastAsia"/>
        </w:rPr>
      </w:pPr>
      <w:r>
        <w:rPr>
          <w:rFonts w:hint="eastAsia"/>
        </w:rPr>
        <w:t>　　（一）在公共场所设置募捐箱；</w:t>
      </w:r>
    </w:p>
    <w:p>
      <w:pPr>
        <w:wordWrap/>
        <w:spacing w:line="560" w:lineRule="exact"/>
        <w:textAlignment w:val="auto"/>
        <w:rPr>
          <w:rFonts w:hint="eastAsia"/>
        </w:rPr>
      </w:pPr>
      <w:r>
        <w:rPr>
          <w:rFonts w:hint="eastAsia"/>
        </w:rPr>
        <w:t>　　（二）举办面向社会公众的义演、义赛、义卖、义展、义拍、慈善晚会等；</w:t>
      </w:r>
    </w:p>
    <w:p>
      <w:pPr>
        <w:wordWrap/>
        <w:spacing w:line="560" w:lineRule="exact"/>
        <w:textAlignment w:val="auto"/>
        <w:rPr>
          <w:rFonts w:hint="eastAsia"/>
        </w:rPr>
      </w:pPr>
      <w:r>
        <w:rPr>
          <w:rFonts w:hint="eastAsia"/>
        </w:rPr>
        <w:t>　　（三）通过广播、电视、报刊、互联网等媒体发布募捐信息；</w:t>
      </w:r>
    </w:p>
    <w:p>
      <w:pPr>
        <w:wordWrap/>
        <w:spacing w:line="560" w:lineRule="exact"/>
        <w:textAlignment w:val="auto"/>
        <w:rPr>
          <w:rFonts w:hint="eastAsia"/>
        </w:rPr>
      </w:pPr>
      <w:r>
        <w:rPr>
          <w:rFonts w:hint="eastAsia"/>
        </w:rPr>
        <w:t>　　（四）其他公开募捐方式。</w:t>
      </w:r>
    </w:p>
    <w:p>
      <w:pPr>
        <w:wordWrap/>
        <w:spacing w:line="560" w:lineRule="exact"/>
        <w:textAlignment w:val="auto"/>
        <w:rPr>
          <w:rFonts w:hint="eastAsia"/>
        </w:rPr>
      </w:pPr>
      <w:r>
        <w:rPr>
          <w:rFonts w:hint="eastAsia"/>
        </w:rPr>
        <w:t>　　慈善组织采取前款第一项、第二项规定的方式开展公开募捐的，应当在其登记的民政部门管辖区域内进行，确有必要在其登记的民政部门管辖区域外进行的，应当报其开展募捐活动所在地的县级以上人民政府民政部门备案。捐赠人的捐赠行为不受地域限制。</w:t>
      </w:r>
    </w:p>
    <w:p>
      <w:pPr>
        <w:wordWrap/>
        <w:spacing w:line="560" w:lineRule="exact"/>
        <w:textAlignment w:val="auto"/>
        <w:rPr>
          <w:rFonts w:hint="eastAsia"/>
        </w:rPr>
      </w:pPr>
      <w:r>
        <w:rPr>
          <w:rFonts w:hint="eastAsia"/>
        </w:rPr>
        <w:t>　　慈善组织通过互联网开展公开募捐的，应当在国务院民政部门统一或者指定的慈善信息平台发布募捐信息，并可以同时在其网站发布募捐信息。</w:t>
      </w:r>
    </w:p>
    <w:p>
      <w:pPr>
        <w:wordWrap/>
        <w:spacing w:line="560" w:lineRule="exact"/>
        <w:textAlignment w:val="auto"/>
        <w:rPr>
          <w:rFonts w:hint="eastAsia"/>
        </w:rPr>
      </w:pPr>
      <w:r>
        <w:rPr>
          <w:rFonts w:hint="eastAsia"/>
        </w:rPr>
        <w:t>　</w:t>
      </w:r>
      <w:r>
        <w:rPr>
          <w:rFonts w:hint="eastAsia" w:ascii="黑体" w:hAnsi="黑体" w:eastAsia="黑体" w:cs="黑体"/>
        </w:rPr>
        <w:t>　第二十四条</w:t>
      </w:r>
      <w:r>
        <w:rPr>
          <w:rFonts w:hint="eastAsia"/>
        </w:rPr>
        <w:t>　开展公开募捐，应当制定募捐方案。募捐方案包括募捐目的、起止时间和地域、活动负责人姓名和办公地址、接受捐赠方式、银行账户、受益人、募得款物用途、募捐成本、剩余财产的处理等。</w:t>
      </w:r>
    </w:p>
    <w:p>
      <w:pPr>
        <w:wordWrap/>
        <w:spacing w:line="560" w:lineRule="exact"/>
        <w:textAlignment w:val="auto"/>
        <w:rPr>
          <w:rFonts w:hint="eastAsia"/>
        </w:rPr>
      </w:pPr>
      <w:r>
        <w:rPr>
          <w:rFonts w:hint="eastAsia"/>
        </w:rPr>
        <w:t>　　募捐方案应当在开展募捐活动前报慈善组织登记的民政部门备案。</w:t>
      </w:r>
    </w:p>
    <w:p>
      <w:pPr>
        <w:wordWrap/>
        <w:spacing w:line="560" w:lineRule="exact"/>
        <w:textAlignment w:val="auto"/>
        <w:rPr>
          <w:rFonts w:hint="eastAsia"/>
        </w:rPr>
      </w:pPr>
      <w:r>
        <w:rPr>
          <w:rFonts w:hint="eastAsia"/>
        </w:rPr>
        <w:t>　</w:t>
      </w:r>
      <w:r>
        <w:rPr>
          <w:rFonts w:hint="eastAsia" w:ascii="黑体" w:hAnsi="黑体" w:eastAsia="黑体" w:cs="黑体"/>
        </w:rPr>
        <w:t>　第二十五条</w:t>
      </w:r>
      <w:r>
        <w:rPr>
          <w:rFonts w:hint="eastAsia"/>
        </w:rPr>
        <w:t>　开展公开募捐，应当在募捐活动现场或者募捐活动载体的显著位置，公布募捐组织名称、公开募捐资格证书、募捐方案、联系方式、募捐信息查询方法等。</w:t>
      </w:r>
    </w:p>
    <w:p>
      <w:pPr>
        <w:wordWrap/>
        <w:spacing w:line="560" w:lineRule="exact"/>
        <w:textAlignment w:val="auto"/>
        <w:rPr>
          <w:rFonts w:hint="eastAsia"/>
        </w:rPr>
      </w:pPr>
      <w:r>
        <w:rPr>
          <w:rFonts w:hint="eastAsia"/>
        </w:rPr>
        <w:t>　　</w:t>
      </w:r>
      <w:r>
        <w:rPr>
          <w:rFonts w:hint="eastAsia" w:ascii="黑体" w:hAnsi="黑体" w:eastAsia="黑体" w:cs="黑体"/>
        </w:rPr>
        <w:t>第二十六条</w:t>
      </w:r>
      <w:r>
        <w:rPr>
          <w:rFonts w:hint="eastAsia"/>
        </w:rPr>
        <w:t>　不具有公开募捐资格的组织或者个人基于慈善目的，可以与具有公开募捐资格的慈善组织合作，由该慈善组织开展公开募捐并管理募得款物。</w:t>
      </w:r>
    </w:p>
    <w:p>
      <w:pPr>
        <w:wordWrap/>
        <w:spacing w:line="560" w:lineRule="exact"/>
        <w:textAlignment w:val="auto"/>
        <w:rPr>
          <w:rFonts w:hint="eastAsia"/>
        </w:rPr>
      </w:pPr>
      <w:r>
        <w:rPr>
          <w:rFonts w:hint="eastAsia"/>
        </w:rPr>
        <w:t>　　</w:t>
      </w:r>
      <w:r>
        <w:rPr>
          <w:rFonts w:hint="eastAsia" w:ascii="黑体" w:hAnsi="黑体" w:eastAsia="黑体" w:cs="黑体"/>
        </w:rPr>
        <w:t>第二十七条</w:t>
      </w:r>
      <w:r>
        <w:rPr>
          <w:rFonts w:hint="eastAsia"/>
        </w:rPr>
        <w:t>　广播、电视、报刊以及网络服务提供者、电信运营商，应当对利用其平台开展公开募捐的慈善组织的登记证书、公开募捐资格证书进行验证。</w:t>
      </w:r>
    </w:p>
    <w:p>
      <w:pPr>
        <w:wordWrap/>
        <w:spacing w:line="560" w:lineRule="exact"/>
        <w:textAlignment w:val="auto"/>
        <w:rPr>
          <w:rFonts w:hint="eastAsia"/>
        </w:rPr>
      </w:pPr>
      <w:r>
        <w:rPr>
          <w:rFonts w:hint="eastAsia"/>
        </w:rPr>
        <w:t>　　</w:t>
      </w:r>
      <w:r>
        <w:rPr>
          <w:rFonts w:hint="eastAsia" w:ascii="黑体" w:hAnsi="黑体" w:eastAsia="黑体" w:cs="黑体"/>
        </w:rPr>
        <w:t>第二十八条</w:t>
      </w:r>
      <w:r>
        <w:rPr>
          <w:rFonts w:hint="eastAsia"/>
        </w:rPr>
        <w:t>　慈善组织自登记之日起可以开展定向募捐。</w:t>
      </w:r>
    </w:p>
    <w:p>
      <w:pPr>
        <w:wordWrap/>
        <w:spacing w:line="560" w:lineRule="exact"/>
        <w:textAlignment w:val="auto"/>
        <w:rPr>
          <w:rFonts w:hint="eastAsia"/>
        </w:rPr>
      </w:pPr>
      <w:r>
        <w:rPr>
          <w:rFonts w:hint="eastAsia"/>
        </w:rPr>
        <w:t>　　慈善组织开展定向募捐，应当在发起人、理事会成员和会员等特定对象的范围内进行，并向募捐对象说明募捐目的、募得款物用途等事项。</w:t>
      </w:r>
    </w:p>
    <w:p>
      <w:pPr>
        <w:wordWrap/>
        <w:spacing w:line="560" w:lineRule="exact"/>
        <w:textAlignment w:val="auto"/>
        <w:rPr>
          <w:rFonts w:hint="eastAsia"/>
        </w:rPr>
      </w:pPr>
      <w:r>
        <w:rPr>
          <w:rFonts w:hint="eastAsia"/>
        </w:rPr>
        <w:t>　　</w:t>
      </w:r>
      <w:r>
        <w:rPr>
          <w:rFonts w:hint="eastAsia" w:ascii="黑体" w:hAnsi="黑体" w:eastAsia="黑体" w:cs="黑体"/>
        </w:rPr>
        <w:t>第二十九条</w:t>
      </w:r>
      <w:r>
        <w:rPr>
          <w:rFonts w:hint="eastAsia"/>
        </w:rPr>
        <w:t>　开展定向募捐，不得采取或者变相采取本法第二十三条规定的方式。</w:t>
      </w:r>
    </w:p>
    <w:p>
      <w:pPr>
        <w:wordWrap/>
        <w:spacing w:line="560" w:lineRule="exact"/>
        <w:textAlignment w:val="auto"/>
        <w:rPr>
          <w:rFonts w:hint="eastAsia"/>
        </w:rPr>
      </w:pPr>
      <w:r>
        <w:rPr>
          <w:rFonts w:hint="eastAsia"/>
        </w:rPr>
        <w:t>　　</w:t>
      </w:r>
      <w:r>
        <w:rPr>
          <w:rFonts w:hint="eastAsia" w:ascii="黑体" w:hAnsi="黑体" w:eastAsia="黑体" w:cs="黑体"/>
        </w:rPr>
        <w:t>第三十条</w:t>
      </w:r>
      <w:r>
        <w:rPr>
          <w:rFonts w:hint="eastAsia"/>
        </w:rPr>
        <w:t>　发生重大自然灾害、事故灾难和公共卫生事件等突发事件，需要迅速开展救助时，有关人民政府应当建立协调机制，提供需求信息，及时有序引导开展募捐和救助活动。</w:t>
      </w:r>
    </w:p>
    <w:p>
      <w:pPr>
        <w:wordWrap/>
        <w:spacing w:line="560" w:lineRule="exact"/>
        <w:textAlignment w:val="auto"/>
        <w:rPr>
          <w:rFonts w:hint="eastAsia"/>
        </w:rPr>
      </w:pPr>
      <w:r>
        <w:rPr>
          <w:rFonts w:hint="eastAsia"/>
        </w:rPr>
        <w:t>　　</w:t>
      </w:r>
      <w:r>
        <w:rPr>
          <w:rFonts w:hint="eastAsia" w:ascii="黑体" w:hAnsi="黑体" w:eastAsia="黑体" w:cs="黑体"/>
        </w:rPr>
        <w:t>第三十一条</w:t>
      </w:r>
      <w:r>
        <w:rPr>
          <w:rFonts w:hint="eastAsia"/>
        </w:rPr>
        <w:t>　开展募捐活动，应当尊重和维护募捐对象的合法权益，保障募捐对象的知情权，不得通过虚构事实等方式欺骗、诱导募捐对象实施捐赠。</w:t>
      </w:r>
    </w:p>
    <w:p>
      <w:pPr>
        <w:wordWrap/>
        <w:spacing w:line="560" w:lineRule="exact"/>
        <w:textAlignment w:val="auto"/>
        <w:rPr>
          <w:rFonts w:hint="eastAsia"/>
        </w:rPr>
      </w:pPr>
      <w:r>
        <w:rPr>
          <w:rFonts w:hint="eastAsia"/>
        </w:rPr>
        <w:t>　　</w:t>
      </w:r>
      <w:r>
        <w:rPr>
          <w:rFonts w:hint="eastAsia" w:ascii="黑体" w:hAnsi="黑体" w:eastAsia="黑体" w:cs="黑体"/>
        </w:rPr>
        <w:t>第三十二条</w:t>
      </w:r>
      <w:r>
        <w:rPr>
          <w:rFonts w:hint="eastAsia"/>
        </w:rPr>
        <w:t>　开展募捐活动，不得摊派或者变相摊派，不得妨碍公共秩序、企业生产经营和居民生活。</w:t>
      </w:r>
    </w:p>
    <w:p>
      <w:pPr>
        <w:wordWrap/>
        <w:spacing w:line="560" w:lineRule="exact"/>
        <w:textAlignment w:val="auto"/>
        <w:rPr>
          <w:rFonts w:hint="eastAsia"/>
        </w:rPr>
      </w:pPr>
      <w:r>
        <w:rPr>
          <w:rFonts w:hint="eastAsia"/>
        </w:rPr>
        <w:t>　　</w:t>
      </w:r>
      <w:r>
        <w:rPr>
          <w:rFonts w:hint="eastAsia" w:ascii="黑体" w:hAnsi="黑体" w:eastAsia="黑体" w:cs="黑体"/>
        </w:rPr>
        <w:t>第三十三条</w:t>
      </w:r>
      <w:r>
        <w:rPr>
          <w:rFonts w:hint="eastAsia"/>
        </w:rPr>
        <w:t>　禁止任何组织或者个人假借慈善名义或者假冒慈善组织开展募捐活动，骗取财产。</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第四章　慈善捐赠</w:t>
      </w:r>
    </w:p>
    <w:p>
      <w:pPr>
        <w:pStyle w:val="3"/>
        <w:rPr>
          <w:rFonts w:hint="eastAsia"/>
        </w:rPr>
      </w:pPr>
    </w:p>
    <w:p>
      <w:pPr>
        <w:wordWrap/>
        <w:spacing w:line="560" w:lineRule="exact"/>
        <w:textAlignment w:val="auto"/>
        <w:rPr>
          <w:rFonts w:hint="eastAsia"/>
        </w:rPr>
      </w:pPr>
      <w:r>
        <w:rPr>
          <w:rFonts w:hint="eastAsia" w:ascii="黑体" w:hAnsi="黑体" w:eastAsia="黑体" w:cs="黑体"/>
        </w:rPr>
        <w:t>　　第三十四条</w:t>
      </w:r>
      <w:r>
        <w:rPr>
          <w:rFonts w:hint="eastAsia"/>
        </w:rPr>
        <w:t>　本法所称慈善捐赠，是指自然人、法人和其他组织基于慈善目的，自愿、无偿赠与财产的活动。</w:t>
      </w:r>
    </w:p>
    <w:p>
      <w:pPr>
        <w:wordWrap/>
        <w:spacing w:line="560" w:lineRule="exact"/>
        <w:textAlignment w:val="auto"/>
        <w:rPr>
          <w:rFonts w:hint="eastAsia"/>
        </w:rPr>
      </w:pPr>
      <w:r>
        <w:rPr>
          <w:rFonts w:hint="eastAsia"/>
        </w:rPr>
        <w:t>　　</w:t>
      </w:r>
      <w:r>
        <w:rPr>
          <w:rFonts w:hint="eastAsia" w:ascii="黑体" w:hAnsi="黑体" w:eastAsia="黑体" w:cs="黑体"/>
        </w:rPr>
        <w:t>第三十五条</w:t>
      </w:r>
      <w:r>
        <w:rPr>
          <w:rFonts w:hint="eastAsia"/>
        </w:rPr>
        <w:t>　捐赠人可以通过慈善组织捐赠，也可以直接向受益人捐赠。</w:t>
      </w:r>
    </w:p>
    <w:p>
      <w:pPr>
        <w:wordWrap/>
        <w:spacing w:line="560" w:lineRule="exact"/>
        <w:textAlignment w:val="auto"/>
        <w:rPr>
          <w:rFonts w:hint="eastAsia"/>
        </w:rPr>
      </w:pPr>
      <w:r>
        <w:rPr>
          <w:rFonts w:hint="eastAsia"/>
        </w:rPr>
        <w:t>　　</w:t>
      </w:r>
      <w:r>
        <w:rPr>
          <w:rFonts w:hint="eastAsia" w:ascii="黑体" w:hAnsi="黑体" w:eastAsia="黑体" w:cs="黑体"/>
        </w:rPr>
        <w:t>第三十六条</w:t>
      </w:r>
      <w:r>
        <w:rPr>
          <w:rFonts w:hint="eastAsia"/>
        </w:rPr>
        <w:t>　捐赠人捐赠的财产应当是其有权处分的合法财产。捐赠财产包括货币、实物、房屋、有价证券、股权、知识产权等有形和无形财产。</w:t>
      </w:r>
    </w:p>
    <w:p>
      <w:pPr>
        <w:wordWrap/>
        <w:spacing w:line="560" w:lineRule="exact"/>
        <w:textAlignment w:val="auto"/>
        <w:rPr>
          <w:rFonts w:hint="eastAsia"/>
        </w:rPr>
      </w:pPr>
      <w:r>
        <w:rPr>
          <w:rFonts w:hint="eastAsia"/>
        </w:rPr>
        <w:t>　　捐赠人捐赠的实物应当具有使用价值，符合安全、卫生、环保等标准。</w:t>
      </w:r>
    </w:p>
    <w:p>
      <w:pPr>
        <w:wordWrap/>
        <w:spacing w:line="560" w:lineRule="exact"/>
        <w:textAlignment w:val="auto"/>
        <w:rPr>
          <w:rFonts w:hint="eastAsia"/>
        </w:rPr>
      </w:pPr>
      <w:r>
        <w:rPr>
          <w:rFonts w:hint="eastAsia"/>
        </w:rPr>
        <w:t>　　捐赠人捐赠本企业产品的，应当依法承担产品质量责任和义务。</w:t>
      </w:r>
    </w:p>
    <w:p>
      <w:pPr>
        <w:wordWrap/>
        <w:spacing w:line="560" w:lineRule="exact"/>
        <w:textAlignment w:val="auto"/>
        <w:rPr>
          <w:rFonts w:hint="eastAsia"/>
        </w:rPr>
      </w:pPr>
      <w:r>
        <w:rPr>
          <w:rFonts w:hint="eastAsia"/>
        </w:rPr>
        <w:t>　　</w:t>
      </w:r>
      <w:r>
        <w:rPr>
          <w:rFonts w:hint="eastAsia" w:ascii="黑体" w:hAnsi="黑体" w:eastAsia="黑体" w:cs="黑体"/>
        </w:rPr>
        <w:t>第三十七条</w:t>
      </w:r>
      <w:r>
        <w:rPr>
          <w:rFonts w:hint="eastAsia"/>
        </w:rPr>
        <w:t>　自然人、法人和其他组织开展演出、比赛、销售、拍卖等经营性活动，承诺将全部或者部分所得用于慈善目的的，应当在举办活动前与慈善组织或者其他接受捐赠的人签订捐赠协议，活动结束后按照捐赠协议履行捐赠义务，并将捐赠情况向社会公开。</w:t>
      </w:r>
    </w:p>
    <w:p>
      <w:pPr>
        <w:wordWrap/>
        <w:spacing w:line="560" w:lineRule="exact"/>
        <w:textAlignment w:val="auto"/>
        <w:rPr>
          <w:rFonts w:hint="eastAsia"/>
        </w:rPr>
      </w:pPr>
      <w:r>
        <w:rPr>
          <w:rFonts w:hint="eastAsia"/>
        </w:rPr>
        <w:t>　　</w:t>
      </w:r>
      <w:r>
        <w:rPr>
          <w:rFonts w:hint="eastAsia" w:ascii="黑体" w:hAnsi="黑体" w:eastAsia="黑体" w:cs="黑体"/>
        </w:rPr>
        <w:t>第三十八条</w:t>
      </w:r>
      <w:r>
        <w:rPr>
          <w:rFonts w:hint="eastAsia"/>
        </w:rPr>
        <w:t>　慈善组织接受捐赠，应当向捐赠人开具由财政部门统一监（印）制的捐赠票据。捐赠票据应当载明捐赠人、捐赠财产的种类及数量、慈善组织名称和经办人姓名、票据日期等。捐赠人匿名或者放弃接受捐赠票据的，慈善组织应当做好相关记录。</w:t>
      </w:r>
    </w:p>
    <w:p>
      <w:pPr>
        <w:wordWrap/>
        <w:spacing w:line="560" w:lineRule="exact"/>
        <w:textAlignment w:val="auto"/>
        <w:rPr>
          <w:rFonts w:hint="eastAsia"/>
        </w:rPr>
      </w:pPr>
      <w:r>
        <w:rPr>
          <w:rFonts w:hint="eastAsia"/>
        </w:rPr>
        <w:t>　　</w:t>
      </w:r>
      <w:r>
        <w:rPr>
          <w:rFonts w:hint="eastAsia" w:ascii="黑体" w:hAnsi="黑体" w:eastAsia="黑体" w:cs="黑体"/>
        </w:rPr>
        <w:t>第三十九条</w:t>
      </w:r>
      <w:r>
        <w:rPr>
          <w:rFonts w:hint="eastAsia"/>
        </w:rPr>
        <w:t>　慈善组织接受捐赠，捐赠人要求签订书面捐赠协议的，慈善组织应当与捐赠人签订书面捐赠协议。</w:t>
      </w:r>
    </w:p>
    <w:p>
      <w:pPr>
        <w:wordWrap/>
        <w:spacing w:line="560" w:lineRule="exact"/>
        <w:textAlignment w:val="auto"/>
        <w:rPr>
          <w:rFonts w:hint="eastAsia"/>
        </w:rPr>
      </w:pPr>
      <w:r>
        <w:rPr>
          <w:rFonts w:hint="eastAsia"/>
        </w:rPr>
        <w:t>　　书面捐赠协议包括捐赠人和慈善组织名称，捐赠财产的种类、数量、质量、用途、交付时间等内容。</w:t>
      </w:r>
    </w:p>
    <w:p>
      <w:pPr>
        <w:wordWrap/>
        <w:spacing w:line="560" w:lineRule="exact"/>
        <w:textAlignment w:val="auto"/>
        <w:rPr>
          <w:rFonts w:hint="eastAsia"/>
        </w:rPr>
      </w:pPr>
      <w:r>
        <w:rPr>
          <w:rFonts w:hint="eastAsia"/>
        </w:rPr>
        <w:t>　　</w:t>
      </w:r>
      <w:r>
        <w:rPr>
          <w:rFonts w:hint="eastAsia" w:ascii="黑体" w:hAnsi="黑体" w:eastAsia="黑体" w:cs="黑体"/>
        </w:rPr>
        <w:t>第四十条</w:t>
      </w:r>
      <w:r>
        <w:rPr>
          <w:rFonts w:hint="eastAsia"/>
        </w:rPr>
        <w:t>　捐赠人与慈善组织约定捐赠财产的用途和受益人时，不得指定捐赠人的利害关系人作为受益人。</w:t>
      </w:r>
    </w:p>
    <w:p>
      <w:pPr>
        <w:wordWrap/>
        <w:spacing w:line="560" w:lineRule="exact"/>
        <w:textAlignment w:val="auto"/>
        <w:rPr>
          <w:rFonts w:hint="eastAsia"/>
        </w:rPr>
      </w:pPr>
      <w:r>
        <w:rPr>
          <w:rFonts w:hint="eastAsia"/>
        </w:rPr>
        <w:t>　　任何组织和个人不得利用慈善捐赠违反法律规定宣传烟草制品，不得利用慈善捐赠以任何方式宣传法律禁止宣传的产品和事项。</w:t>
      </w:r>
    </w:p>
    <w:p>
      <w:pPr>
        <w:wordWrap/>
        <w:spacing w:line="560" w:lineRule="exact"/>
        <w:textAlignment w:val="auto"/>
        <w:rPr>
          <w:rFonts w:hint="eastAsia"/>
        </w:rPr>
      </w:pPr>
      <w:r>
        <w:rPr>
          <w:rFonts w:hint="eastAsia"/>
        </w:rPr>
        <w:t>　　</w:t>
      </w:r>
      <w:r>
        <w:rPr>
          <w:rFonts w:hint="eastAsia" w:ascii="黑体" w:hAnsi="黑体" w:eastAsia="黑体" w:cs="黑体"/>
        </w:rPr>
        <w:t>第四十一条</w:t>
      </w:r>
      <w:r>
        <w:rPr>
          <w:rFonts w:hint="eastAsia"/>
        </w:rPr>
        <w:t>　捐赠人应当按照捐赠协议履行捐赠义务。捐赠人违反捐赠协议逾期未交付捐赠财产，有下列情形之一的，慈善组织或者其他接受捐赠的人可以要求交付；捐赠人拒不交付的，慈善组织和其他接受捐赠的人可以依法向人民法院申请支付令或者提起诉讼：</w:t>
      </w:r>
    </w:p>
    <w:p>
      <w:pPr>
        <w:wordWrap/>
        <w:spacing w:line="560" w:lineRule="exact"/>
        <w:textAlignment w:val="auto"/>
        <w:rPr>
          <w:rFonts w:hint="eastAsia"/>
        </w:rPr>
      </w:pPr>
      <w:r>
        <w:rPr>
          <w:rFonts w:hint="eastAsia"/>
        </w:rPr>
        <w:t>　　（一）捐赠人通过广播、电视、报刊、互联网等媒体公开承诺捐赠的；</w:t>
      </w:r>
    </w:p>
    <w:p>
      <w:pPr>
        <w:wordWrap/>
        <w:spacing w:line="560" w:lineRule="exact"/>
        <w:textAlignment w:val="auto"/>
        <w:rPr>
          <w:rFonts w:hint="eastAsia"/>
        </w:rPr>
      </w:pPr>
      <w:r>
        <w:rPr>
          <w:rFonts w:hint="eastAsia"/>
        </w:rPr>
        <w:t>　　（二）捐赠财产用于本法第三条第一项至第三项规定的慈善活动，并签订书面捐赠协议的。</w:t>
      </w:r>
    </w:p>
    <w:p>
      <w:pPr>
        <w:wordWrap/>
        <w:spacing w:line="560" w:lineRule="exact"/>
        <w:textAlignment w:val="auto"/>
        <w:rPr>
          <w:rFonts w:hint="eastAsia"/>
        </w:rPr>
      </w:pPr>
      <w:r>
        <w:rPr>
          <w:rFonts w:hint="eastAsia"/>
        </w:rPr>
        <w:t>　　捐赠人公开承诺捐赠或者签订书面捐赠协议后经济状况显著恶化，严重影响其生产经营或者家庭生活的，经向公开承诺捐赠地或者书面捐赠协议签订地的民政部门报告并向社会公开说明情况后，可以不再履行捐赠义务。</w:t>
      </w:r>
    </w:p>
    <w:p>
      <w:pPr>
        <w:wordWrap/>
        <w:spacing w:line="560" w:lineRule="exact"/>
        <w:textAlignment w:val="auto"/>
        <w:rPr>
          <w:rFonts w:hint="eastAsia"/>
        </w:rPr>
      </w:pPr>
      <w:r>
        <w:rPr>
          <w:rFonts w:hint="eastAsia"/>
        </w:rPr>
        <w:t>　　</w:t>
      </w:r>
      <w:r>
        <w:rPr>
          <w:rFonts w:hint="eastAsia" w:ascii="黑体" w:hAnsi="黑体" w:eastAsia="黑体" w:cs="黑体"/>
        </w:rPr>
        <w:t>第四十二条</w:t>
      </w:r>
      <w:r>
        <w:rPr>
          <w:rFonts w:hint="eastAsia"/>
        </w:rPr>
        <w:t>　捐赠人有权查询、复制其捐赠财产管理使用的有关资料，慈善组织应当及时主动向捐赠人反馈有关情况。</w:t>
      </w:r>
    </w:p>
    <w:p>
      <w:pPr>
        <w:wordWrap/>
        <w:spacing w:line="560" w:lineRule="exact"/>
        <w:textAlignment w:val="auto"/>
        <w:rPr>
          <w:rFonts w:hint="eastAsia"/>
        </w:rPr>
      </w:pPr>
      <w:r>
        <w:rPr>
          <w:rFonts w:hint="eastAsia"/>
        </w:rPr>
        <w:t>　　慈善组织违反捐赠协议约定的用途，滥用捐赠财产的，捐赠人有权要求其改正；拒不改正的，捐赠人可以向民政部门投诉、举报或者向人民法院提起诉讼。</w:t>
      </w:r>
    </w:p>
    <w:p>
      <w:pPr>
        <w:wordWrap/>
        <w:spacing w:line="560" w:lineRule="exact"/>
        <w:textAlignment w:val="auto"/>
        <w:rPr>
          <w:rFonts w:hint="eastAsia"/>
        </w:rPr>
      </w:pPr>
      <w:r>
        <w:rPr>
          <w:rFonts w:hint="eastAsia"/>
        </w:rPr>
        <w:t>　　</w:t>
      </w:r>
      <w:r>
        <w:rPr>
          <w:rFonts w:hint="eastAsia" w:ascii="黑体" w:hAnsi="黑体" w:eastAsia="黑体" w:cs="黑体"/>
        </w:rPr>
        <w:t>第四十三条</w:t>
      </w:r>
      <w:r>
        <w:rPr>
          <w:rFonts w:hint="eastAsia"/>
        </w:rPr>
        <w:t>　国有企业实施慈善捐赠应当遵守有关国有资产管理的规定，履行批准和备案程序。</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第五章　慈善信托</w:t>
      </w:r>
    </w:p>
    <w:p>
      <w:pPr>
        <w:pStyle w:val="3"/>
        <w:rPr>
          <w:rFonts w:hint="eastAsia"/>
        </w:rPr>
      </w:pPr>
    </w:p>
    <w:p>
      <w:pPr>
        <w:wordWrap/>
        <w:spacing w:line="560" w:lineRule="exact"/>
        <w:textAlignment w:val="auto"/>
        <w:rPr>
          <w:rFonts w:hint="eastAsia"/>
        </w:rPr>
      </w:pPr>
      <w:r>
        <w:rPr>
          <w:rFonts w:hint="eastAsia" w:ascii="黑体" w:hAnsi="黑体" w:eastAsia="黑体" w:cs="黑体"/>
        </w:rPr>
        <w:t>　　第四十四条</w:t>
      </w:r>
      <w:r>
        <w:rPr>
          <w:rFonts w:hint="eastAsia"/>
        </w:rPr>
        <w:t>　本法所称慈善信托属于公益信托，是指委托人基于慈善目的，依法将其财产委托给受托人，由受托人按照委托人意愿以受托人名义进行管理和处分，开展慈善活动的行为。</w:t>
      </w:r>
    </w:p>
    <w:p>
      <w:pPr>
        <w:wordWrap/>
        <w:spacing w:line="560" w:lineRule="exact"/>
        <w:textAlignment w:val="auto"/>
        <w:rPr>
          <w:rFonts w:hint="eastAsia"/>
        </w:rPr>
      </w:pPr>
      <w:r>
        <w:rPr>
          <w:rFonts w:hint="eastAsia"/>
        </w:rPr>
        <w:t>　　</w:t>
      </w:r>
      <w:r>
        <w:rPr>
          <w:rFonts w:hint="eastAsia" w:ascii="黑体" w:hAnsi="黑体" w:eastAsia="黑体" w:cs="黑体"/>
        </w:rPr>
        <w:t>第四十五条</w:t>
      </w:r>
      <w:r>
        <w:rPr>
          <w:rFonts w:hint="eastAsia"/>
        </w:rPr>
        <w:t>　设立慈善信托、确定受托人和监察人，应当采取书面形式。受托人应当在慈善信托文件签订之日起七日内，将相关文件向受托人所在地县级以上人民政府民政部门备案。</w:t>
      </w:r>
    </w:p>
    <w:p>
      <w:pPr>
        <w:wordWrap/>
        <w:spacing w:line="560" w:lineRule="exact"/>
        <w:textAlignment w:val="auto"/>
        <w:rPr>
          <w:rFonts w:hint="eastAsia"/>
        </w:rPr>
      </w:pPr>
      <w:r>
        <w:rPr>
          <w:rFonts w:hint="eastAsia"/>
        </w:rPr>
        <w:t>　　未按照前款规定将相关文件报民政部门备案的，不享受税收优惠。</w:t>
      </w:r>
    </w:p>
    <w:p>
      <w:pPr>
        <w:wordWrap/>
        <w:spacing w:line="560" w:lineRule="exact"/>
        <w:textAlignment w:val="auto"/>
        <w:rPr>
          <w:rFonts w:hint="eastAsia"/>
        </w:rPr>
      </w:pPr>
      <w:r>
        <w:rPr>
          <w:rFonts w:hint="eastAsia"/>
        </w:rPr>
        <w:t>　</w:t>
      </w:r>
      <w:r>
        <w:rPr>
          <w:rFonts w:hint="eastAsia" w:ascii="黑体" w:hAnsi="黑体" w:eastAsia="黑体" w:cs="黑体"/>
        </w:rPr>
        <w:t>　第四十六条　</w:t>
      </w:r>
      <w:r>
        <w:rPr>
          <w:rFonts w:hint="eastAsia"/>
        </w:rPr>
        <w:t>慈善信托的受托人，可以由委托人确定其信赖的慈善组织或者信托公司担任。</w:t>
      </w:r>
    </w:p>
    <w:p>
      <w:pPr>
        <w:wordWrap/>
        <w:spacing w:line="560" w:lineRule="exact"/>
        <w:textAlignment w:val="auto"/>
        <w:rPr>
          <w:rFonts w:hint="eastAsia"/>
        </w:rPr>
      </w:pPr>
      <w:r>
        <w:rPr>
          <w:rFonts w:hint="eastAsia"/>
        </w:rPr>
        <w:t>　　</w:t>
      </w:r>
      <w:r>
        <w:rPr>
          <w:rFonts w:hint="eastAsia" w:ascii="黑体" w:hAnsi="黑体" w:eastAsia="黑体" w:cs="黑体"/>
        </w:rPr>
        <w:t>第四十七条</w:t>
      </w:r>
      <w:r>
        <w:rPr>
          <w:rFonts w:hint="eastAsia"/>
        </w:rPr>
        <w:t>　慈善信托的受托人违反信托义务或者难以履行职责的，委托人可以变更受托人。变更后的受托人应当自变更之日起七日内，将变更情况报原备案的民政部门重新备案。</w:t>
      </w:r>
    </w:p>
    <w:p>
      <w:pPr>
        <w:wordWrap/>
        <w:spacing w:line="560" w:lineRule="exact"/>
        <w:textAlignment w:val="auto"/>
        <w:rPr>
          <w:rFonts w:hint="eastAsia"/>
        </w:rPr>
      </w:pPr>
      <w:r>
        <w:rPr>
          <w:rFonts w:hint="eastAsia"/>
        </w:rPr>
        <w:t>　　</w:t>
      </w:r>
      <w:r>
        <w:rPr>
          <w:rFonts w:hint="eastAsia" w:ascii="黑体" w:hAnsi="黑体" w:eastAsia="黑体" w:cs="黑体"/>
        </w:rPr>
        <w:t>第四十八条</w:t>
      </w:r>
      <w:r>
        <w:rPr>
          <w:rFonts w:hint="eastAsia"/>
        </w:rPr>
        <w:t>　慈善信托的受托人管理和处分信托财产，应当按照信托目的，恪尽职守，履行诚信、谨慎管理的义务。</w:t>
      </w:r>
    </w:p>
    <w:p>
      <w:pPr>
        <w:wordWrap/>
        <w:spacing w:line="560" w:lineRule="exact"/>
        <w:textAlignment w:val="auto"/>
        <w:rPr>
          <w:rFonts w:hint="eastAsia"/>
        </w:rPr>
      </w:pPr>
      <w:r>
        <w:rPr>
          <w:rFonts w:hint="eastAsia"/>
        </w:rPr>
        <w:t>　　慈善信托的受托人应当根据信托文件和委托人的要求，及时向委托人报告信托事务处理情况、信托财产管理使用情况。慈善信托的受托人应当每年至少一次将信托事务处理情况及财务状况向其备案的民政部门报告，并向社会公开。</w:t>
      </w:r>
    </w:p>
    <w:p>
      <w:pPr>
        <w:wordWrap/>
        <w:spacing w:line="560" w:lineRule="exact"/>
        <w:textAlignment w:val="auto"/>
        <w:rPr>
          <w:rFonts w:hint="eastAsia"/>
        </w:rPr>
      </w:pPr>
      <w:r>
        <w:rPr>
          <w:rFonts w:hint="eastAsia"/>
        </w:rPr>
        <w:t>　　</w:t>
      </w:r>
      <w:r>
        <w:rPr>
          <w:rFonts w:hint="eastAsia" w:ascii="黑体" w:hAnsi="黑体" w:eastAsia="黑体" w:cs="黑体"/>
        </w:rPr>
        <w:t>第四十九条</w:t>
      </w:r>
      <w:r>
        <w:rPr>
          <w:rFonts w:hint="eastAsia"/>
        </w:rPr>
        <w:t>　慈善信托的委托人根据需要，可以确定信托监察人。</w:t>
      </w:r>
    </w:p>
    <w:p>
      <w:pPr>
        <w:wordWrap/>
        <w:spacing w:line="560" w:lineRule="exact"/>
        <w:textAlignment w:val="auto"/>
        <w:rPr>
          <w:rFonts w:hint="eastAsia"/>
        </w:rPr>
      </w:pPr>
      <w:r>
        <w:rPr>
          <w:rFonts w:hint="eastAsia"/>
        </w:rPr>
        <w:t>　　信托监察人对受托人的行为进行监督，依法维护委托人和受益人的权益。信托监察人发现受托人违反信托义务或者难以履行职责的，应当向委托人报告，并有权以自己的名义向人民法院提起诉讼。</w:t>
      </w:r>
    </w:p>
    <w:p>
      <w:pPr>
        <w:wordWrap/>
        <w:spacing w:line="560" w:lineRule="exact"/>
        <w:textAlignment w:val="auto"/>
        <w:rPr>
          <w:rFonts w:hint="eastAsia"/>
        </w:rPr>
      </w:pPr>
      <w:r>
        <w:rPr>
          <w:rFonts w:hint="eastAsia"/>
        </w:rPr>
        <w:t>　　</w:t>
      </w:r>
      <w:r>
        <w:rPr>
          <w:rFonts w:hint="eastAsia" w:ascii="黑体" w:hAnsi="黑体" w:eastAsia="黑体" w:cs="黑体"/>
        </w:rPr>
        <w:t>第五十条　</w:t>
      </w:r>
      <w:r>
        <w:rPr>
          <w:rFonts w:hint="eastAsia"/>
        </w:rPr>
        <w:t>慈善信托的设立、信托财产的管理、信托当事人、信托的终止和清算等事项，本章未规定的，适用本法其他有关规定；本法未规定的，适用《中华人民共和国信托法》的有关规定。</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第六章　慈善财产</w:t>
      </w:r>
    </w:p>
    <w:p>
      <w:pPr>
        <w:pStyle w:val="3"/>
        <w:rPr>
          <w:rFonts w:hint="eastAsia"/>
        </w:rPr>
      </w:pPr>
    </w:p>
    <w:p>
      <w:pPr>
        <w:wordWrap/>
        <w:spacing w:line="560" w:lineRule="exact"/>
        <w:textAlignment w:val="auto"/>
        <w:rPr>
          <w:rFonts w:hint="eastAsia"/>
        </w:rPr>
      </w:pPr>
      <w:r>
        <w:rPr>
          <w:rFonts w:hint="eastAsia" w:ascii="黑体" w:hAnsi="黑体" w:eastAsia="黑体" w:cs="黑体"/>
        </w:rPr>
        <w:t>　　第五十一条</w:t>
      </w:r>
      <w:r>
        <w:rPr>
          <w:rFonts w:hint="eastAsia"/>
        </w:rPr>
        <w:t>　慈善组织的财产包括：</w:t>
      </w:r>
    </w:p>
    <w:p>
      <w:pPr>
        <w:wordWrap/>
        <w:spacing w:line="560" w:lineRule="exact"/>
        <w:textAlignment w:val="auto"/>
        <w:rPr>
          <w:rFonts w:hint="eastAsia"/>
        </w:rPr>
      </w:pPr>
      <w:r>
        <w:rPr>
          <w:rFonts w:hint="eastAsia"/>
        </w:rPr>
        <w:t>　　（一）发起人捐赠、资助的创始财产；</w:t>
      </w:r>
    </w:p>
    <w:p>
      <w:pPr>
        <w:wordWrap/>
        <w:spacing w:line="560" w:lineRule="exact"/>
        <w:textAlignment w:val="auto"/>
        <w:rPr>
          <w:rFonts w:hint="eastAsia"/>
        </w:rPr>
      </w:pPr>
      <w:r>
        <w:rPr>
          <w:rFonts w:hint="eastAsia"/>
        </w:rPr>
        <w:t>　　（二）募集的财产；</w:t>
      </w:r>
    </w:p>
    <w:p>
      <w:pPr>
        <w:wordWrap/>
        <w:spacing w:line="560" w:lineRule="exact"/>
        <w:textAlignment w:val="auto"/>
        <w:rPr>
          <w:rFonts w:hint="eastAsia"/>
        </w:rPr>
      </w:pPr>
      <w:r>
        <w:rPr>
          <w:rFonts w:hint="eastAsia"/>
        </w:rPr>
        <w:t>　　（三）其他合法财产。</w:t>
      </w:r>
    </w:p>
    <w:p>
      <w:pPr>
        <w:wordWrap/>
        <w:spacing w:line="560" w:lineRule="exact"/>
        <w:textAlignment w:val="auto"/>
        <w:rPr>
          <w:rFonts w:hint="eastAsia"/>
        </w:rPr>
      </w:pPr>
      <w:r>
        <w:rPr>
          <w:rFonts w:hint="eastAsia"/>
        </w:rPr>
        <w:t>　　</w:t>
      </w:r>
      <w:r>
        <w:rPr>
          <w:rFonts w:hint="eastAsia" w:ascii="黑体" w:hAnsi="黑体" w:eastAsia="黑体" w:cs="黑体"/>
        </w:rPr>
        <w:t>第五十二条</w:t>
      </w:r>
      <w:r>
        <w:rPr>
          <w:rFonts w:hint="eastAsia"/>
        </w:rPr>
        <w:t>　慈善组织的财产应当根据章程和捐赠协议的规定全部用于慈善目的，不得在发起人、捐赠人以及慈善组织成员中分配。</w:t>
      </w:r>
    </w:p>
    <w:p>
      <w:pPr>
        <w:wordWrap/>
        <w:spacing w:line="560" w:lineRule="exact"/>
        <w:textAlignment w:val="auto"/>
        <w:rPr>
          <w:rFonts w:hint="eastAsia"/>
        </w:rPr>
      </w:pPr>
      <w:r>
        <w:rPr>
          <w:rFonts w:hint="eastAsia"/>
        </w:rPr>
        <w:t>　　任何组织和个人不得私分、挪用、截留或者侵占慈善财产。</w:t>
      </w:r>
    </w:p>
    <w:p>
      <w:pPr>
        <w:wordWrap/>
        <w:spacing w:line="560" w:lineRule="exact"/>
        <w:textAlignment w:val="auto"/>
        <w:rPr>
          <w:rFonts w:hint="eastAsia"/>
        </w:rPr>
      </w:pPr>
      <w:r>
        <w:rPr>
          <w:rFonts w:hint="eastAsia"/>
        </w:rPr>
        <w:t>　</w:t>
      </w:r>
      <w:r>
        <w:rPr>
          <w:rFonts w:hint="eastAsia" w:ascii="黑体" w:hAnsi="黑体" w:eastAsia="黑体" w:cs="黑体"/>
        </w:rPr>
        <w:t>　第五十三条</w:t>
      </w:r>
      <w:r>
        <w:rPr>
          <w:rFonts w:hint="eastAsia"/>
        </w:rPr>
        <w:t>　慈善组织对募集的财产，应当登记造册，严格管理，专款专用。</w:t>
      </w:r>
    </w:p>
    <w:p>
      <w:pPr>
        <w:wordWrap/>
        <w:spacing w:line="560" w:lineRule="exact"/>
        <w:textAlignment w:val="auto"/>
        <w:rPr>
          <w:rFonts w:hint="eastAsia"/>
        </w:rPr>
      </w:pPr>
      <w:r>
        <w:rPr>
          <w:rFonts w:hint="eastAsia"/>
        </w:rPr>
        <w:t>　　捐赠人捐赠的实物不易储存、运输或者难以直接用于慈善目的的，慈善组织可以依法拍卖或者变卖，所得收入扣除必要费用后，应当全部用于慈善目的。</w:t>
      </w:r>
    </w:p>
    <w:p>
      <w:pPr>
        <w:wordWrap/>
        <w:spacing w:line="560" w:lineRule="exact"/>
        <w:textAlignment w:val="auto"/>
        <w:rPr>
          <w:rFonts w:hint="eastAsia"/>
        </w:rPr>
      </w:pPr>
      <w:r>
        <w:rPr>
          <w:rFonts w:hint="eastAsia"/>
        </w:rPr>
        <w:t>　　</w:t>
      </w:r>
      <w:r>
        <w:rPr>
          <w:rFonts w:hint="eastAsia" w:ascii="黑体" w:hAnsi="黑体" w:eastAsia="黑体" w:cs="黑体"/>
        </w:rPr>
        <w:t>第五十四条</w:t>
      </w:r>
      <w:r>
        <w:rPr>
          <w:rFonts w:hint="eastAsia"/>
        </w:rPr>
        <w:t>　慈善组织为实现财产保值、增值进行投资的，应当遵循合法、安全、有效的原则，投资取得的收益应当全部用于慈善目的。慈善组织的重大投资方案应当经决策机构组成人员三分之二以上同意。政府资助的财产和捐赠协议约定不得投资的财产，不得用于投资。慈善组织的负责人和工作人员不得在慈善组织投资的企业兼职或者领取报酬。</w:t>
      </w:r>
    </w:p>
    <w:p>
      <w:pPr>
        <w:wordWrap/>
        <w:spacing w:line="560" w:lineRule="exact"/>
        <w:textAlignment w:val="auto"/>
        <w:rPr>
          <w:rFonts w:hint="eastAsia"/>
        </w:rPr>
      </w:pPr>
      <w:r>
        <w:rPr>
          <w:rFonts w:hint="eastAsia"/>
        </w:rPr>
        <w:t>　　前款规定事项的具体办法，由国务院民政部门制定。</w:t>
      </w:r>
    </w:p>
    <w:p>
      <w:pPr>
        <w:wordWrap/>
        <w:spacing w:line="560" w:lineRule="exact"/>
        <w:textAlignment w:val="auto"/>
        <w:rPr>
          <w:rFonts w:hint="eastAsia"/>
        </w:rPr>
      </w:pPr>
      <w:r>
        <w:rPr>
          <w:rFonts w:hint="eastAsia"/>
        </w:rPr>
        <w:t>　　</w:t>
      </w:r>
      <w:r>
        <w:rPr>
          <w:rFonts w:hint="eastAsia" w:ascii="黑体" w:hAnsi="黑体" w:eastAsia="黑体" w:cs="黑体"/>
        </w:rPr>
        <w:t>第五十五条</w:t>
      </w:r>
      <w:r>
        <w:rPr>
          <w:rFonts w:hint="eastAsia"/>
        </w:rPr>
        <w:t>　慈善组织开展慈善活动，应当依照法律法规和章程的规定，按照募捐方案或者捐赠协议使用捐赠财产。慈善组织确需变更募捐方案规定的捐赠财产用途的，应当报民政部门备案；确需变更捐赠协议约定的捐赠财产用途的，应当征得捐赠人同意。</w:t>
      </w:r>
    </w:p>
    <w:p>
      <w:pPr>
        <w:wordWrap/>
        <w:spacing w:line="560" w:lineRule="exact"/>
        <w:textAlignment w:val="auto"/>
        <w:rPr>
          <w:rFonts w:hint="eastAsia"/>
        </w:rPr>
      </w:pPr>
      <w:r>
        <w:rPr>
          <w:rFonts w:hint="eastAsia"/>
        </w:rPr>
        <w:t>　　</w:t>
      </w:r>
      <w:r>
        <w:rPr>
          <w:rFonts w:hint="eastAsia" w:ascii="黑体" w:hAnsi="黑体" w:eastAsia="黑体" w:cs="黑体"/>
        </w:rPr>
        <w:t>第五十六条　</w:t>
      </w:r>
      <w:r>
        <w:rPr>
          <w:rFonts w:hint="eastAsia"/>
        </w:rPr>
        <w:t>慈善组织应当合理设计慈善项目，优化实施流程，降低运行成本，提高慈善财产使用效益。</w:t>
      </w:r>
    </w:p>
    <w:p>
      <w:pPr>
        <w:wordWrap/>
        <w:spacing w:line="560" w:lineRule="exact"/>
        <w:textAlignment w:val="auto"/>
        <w:rPr>
          <w:rFonts w:hint="eastAsia"/>
        </w:rPr>
      </w:pPr>
      <w:r>
        <w:rPr>
          <w:rFonts w:hint="eastAsia"/>
        </w:rPr>
        <w:t>　　慈善组织应当建立项目管理制度，对项目实施情况进行跟踪监督。</w:t>
      </w:r>
    </w:p>
    <w:p>
      <w:pPr>
        <w:wordWrap/>
        <w:spacing w:line="560" w:lineRule="exact"/>
        <w:textAlignment w:val="auto"/>
        <w:rPr>
          <w:rFonts w:hint="eastAsia"/>
        </w:rPr>
      </w:pPr>
      <w:r>
        <w:rPr>
          <w:rFonts w:hint="eastAsia"/>
        </w:rPr>
        <w:t>　</w:t>
      </w:r>
      <w:r>
        <w:rPr>
          <w:rFonts w:hint="eastAsia" w:ascii="黑体" w:hAnsi="黑体" w:eastAsia="黑体" w:cs="黑体"/>
        </w:rPr>
        <w:t>　第五十七条</w:t>
      </w:r>
      <w:r>
        <w:rPr>
          <w:rFonts w:hint="eastAsia"/>
        </w:rPr>
        <w:t>　慈善项目终止后捐赠财产有剩余的，按照募捐方案或者捐赠协议处理；募捐方案未规定或者捐赠协议未约定的，慈善组织应当将剩余财产用于目的相同或者相近的其他慈善项目，并向社会公开。</w:t>
      </w:r>
    </w:p>
    <w:p>
      <w:pPr>
        <w:wordWrap/>
        <w:spacing w:line="560" w:lineRule="exact"/>
        <w:textAlignment w:val="auto"/>
        <w:rPr>
          <w:rFonts w:hint="eastAsia"/>
        </w:rPr>
      </w:pPr>
      <w:r>
        <w:rPr>
          <w:rFonts w:hint="eastAsia"/>
        </w:rPr>
        <w:t>　</w:t>
      </w:r>
      <w:r>
        <w:rPr>
          <w:rFonts w:hint="eastAsia" w:ascii="黑体" w:hAnsi="黑体" w:eastAsia="黑体" w:cs="黑体"/>
        </w:rPr>
        <w:t>　第五十八条</w:t>
      </w:r>
      <w:r>
        <w:rPr>
          <w:rFonts w:hint="eastAsia"/>
        </w:rPr>
        <w:t>　慈善组织确定慈善受益人，应当坚持公开、公平、公正的原则，不得指定慈善组织管理人员的利害关系人作为受益人。</w:t>
      </w:r>
    </w:p>
    <w:p>
      <w:pPr>
        <w:wordWrap/>
        <w:spacing w:line="560" w:lineRule="exact"/>
        <w:textAlignment w:val="auto"/>
        <w:rPr>
          <w:rFonts w:hint="eastAsia"/>
        </w:rPr>
      </w:pPr>
      <w:r>
        <w:rPr>
          <w:rFonts w:hint="eastAsia"/>
        </w:rPr>
        <w:t>　　</w:t>
      </w:r>
      <w:r>
        <w:rPr>
          <w:rFonts w:hint="eastAsia" w:ascii="黑体" w:hAnsi="黑体" w:eastAsia="黑体" w:cs="黑体"/>
        </w:rPr>
        <w:t>第五十九条</w:t>
      </w:r>
      <w:r>
        <w:rPr>
          <w:rFonts w:hint="eastAsia"/>
        </w:rPr>
        <w:t>　慈善组织根据需要可以与受益人签订协议，明确双方权利义务，约定慈善财产的用途、数额和使用方式等内容。</w:t>
      </w:r>
    </w:p>
    <w:p>
      <w:pPr>
        <w:wordWrap/>
        <w:spacing w:line="560" w:lineRule="exact"/>
        <w:textAlignment w:val="auto"/>
        <w:rPr>
          <w:rFonts w:hint="eastAsia"/>
        </w:rPr>
      </w:pPr>
      <w:r>
        <w:rPr>
          <w:rFonts w:hint="eastAsia"/>
        </w:rPr>
        <w:t>　　受益人应当珍惜慈善资助，按照协议使用慈善财产。受益人未按照协议使用慈善财产或者有其他严重违反协议情形的，慈善组织有权要求其改正；受益人拒不改正的，慈善组织有权解除协议并要求受益人返还财产。</w:t>
      </w:r>
    </w:p>
    <w:p>
      <w:pPr>
        <w:wordWrap/>
        <w:spacing w:line="560" w:lineRule="exact"/>
        <w:textAlignment w:val="auto"/>
        <w:rPr>
          <w:rFonts w:hint="eastAsia"/>
        </w:rPr>
      </w:pPr>
      <w:r>
        <w:rPr>
          <w:rFonts w:hint="eastAsia"/>
        </w:rPr>
        <w:t>　　</w:t>
      </w:r>
      <w:r>
        <w:rPr>
          <w:rFonts w:hint="eastAsia" w:ascii="黑体" w:hAnsi="黑体" w:eastAsia="黑体" w:cs="黑体"/>
        </w:rPr>
        <w:t>第六十条</w:t>
      </w:r>
      <w:r>
        <w:rPr>
          <w:rFonts w:hint="eastAsia"/>
        </w:rPr>
        <w:t>　慈善组织应当积极开展慈善活动，充分、高效运用慈善财产，并遵循管理费用最必要原则，厉行节约，减少不必要的开支。慈善组织中具有公开募捐资格的基金会开展慈善活动的年度支出，不得低于上一年总收入的百分之七十或者前三年收入平均数额的百分之七十；年度管理费用不得超过当年总支出的百分之十，特殊情况下，年度管理费用难以符合前述规定的，应当报告其登记的民政部门并向社会公开说明情况。</w:t>
      </w:r>
    </w:p>
    <w:p>
      <w:pPr>
        <w:wordWrap/>
        <w:spacing w:line="560" w:lineRule="exact"/>
        <w:textAlignment w:val="auto"/>
        <w:rPr>
          <w:rFonts w:hint="eastAsia"/>
        </w:rPr>
      </w:pPr>
      <w:r>
        <w:rPr>
          <w:rFonts w:hint="eastAsia"/>
        </w:rPr>
        <w:t>　　具有公开募捐资格的基金会以外的慈善组织开展慈善活动的年度支出和管理费用的标准，由国务院民政部门会同国务院财政、税务等部门依照前款规定的原则制定。</w:t>
      </w:r>
    </w:p>
    <w:p>
      <w:pPr>
        <w:wordWrap/>
        <w:spacing w:line="560" w:lineRule="exact"/>
        <w:textAlignment w:val="auto"/>
        <w:rPr>
          <w:rFonts w:hint="eastAsia"/>
        </w:rPr>
      </w:pPr>
      <w:r>
        <w:rPr>
          <w:rFonts w:hint="eastAsia"/>
        </w:rPr>
        <w:t>　　捐赠协议对单项捐赠财产的慈善活动支出和管理费用有约定的，按照其约定。</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第七章　慈善服务</w:t>
      </w:r>
    </w:p>
    <w:p>
      <w:pPr>
        <w:pStyle w:val="3"/>
        <w:rPr>
          <w:rFonts w:hint="eastAsia"/>
        </w:rPr>
      </w:pPr>
    </w:p>
    <w:p>
      <w:pPr>
        <w:wordWrap/>
        <w:spacing w:line="560" w:lineRule="exact"/>
        <w:textAlignment w:val="auto"/>
        <w:rPr>
          <w:rFonts w:hint="eastAsia"/>
        </w:rPr>
      </w:pPr>
      <w:r>
        <w:rPr>
          <w:rFonts w:hint="eastAsia" w:ascii="黑体" w:hAnsi="黑体" w:eastAsia="黑体" w:cs="黑体"/>
        </w:rPr>
        <w:t>　　第六十一条</w:t>
      </w:r>
      <w:r>
        <w:rPr>
          <w:rFonts w:hint="eastAsia"/>
        </w:rPr>
        <w:t>　本法所称慈善服务，是指慈善组织和其他组织以及个人基于慈善目的，向社会或者他人提供的志愿无偿服务以及其他非营利服务。</w:t>
      </w:r>
    </w:p>
    <w:p>
      <w:pPr>
        <w:wordWrap/>
        <w:spacing w:line="560" w:lineRule="exact"/>
        <w:textAlignment w:val="auto"/>
        <w:rPr>
          <w:rFonts w:hint="eastAsia"/>
        </w:rPr>
      </w:pPr>
      <w:r>
        <w:rPr>
          <w:rFonts w:hint="eastAsia"/>
        </w:rPr>
        <w:t>　　慈善组织开展慈善服务，可以自己提供或者招募志愿者提供，也可以委托有服务专长的其他组织提供。</w:t>
      </w:r>
    </w:p>
    <w:p>
      <w:pPr>
        <w:wordWrap/>
        <w:spacing w:line="560" w:lineRule="exact"/>
        <w:textAlignment w:val="auto"/>
        <w:rPr>
          <w:rFonts w:hint="eastAsia"/>
        </w:rPr>
      </w:pPr>
      <w:r>
        <w:rPr>
          <w:rFonts w:hint="eastAsia"/>
        </w:rPr>
        <w:t>　</w:t>
      </w:r>
      <w:r>
        <w:rPr>
          <w:rFonts w:hint="eastAsia" w:ascii="黑体" w:hAnsi="黑体" w:eastAsia="黑体" w:cs="黑体"/>
        </w:rPr>
        <w:t>　第六十二条</w:t>
      </w:r>
      <w:r>
        <w:rPr>
          <w:rFonts w:hint="eastAsia"/>
        </w:rPr>
        <w:t>　开展慈善服务，应当尊重受益人、志愿者的人格尊严，不得侵害受益人、志愿者的隐私。</w:t>
      </w:r>
    </w:p>
    <w:p>
      <w:pPr>
        <w:wordWrap/>
        <w:spacing w:line="560" w:lineRule="exact"/>
        <w:textAlignment w:val="auto"/>
        <w:rPr>
          <w:rFonts w:hint="eastAsia"/>
        </w:rPr>
      </w:pPr>
      <w:r>
        <w:rPr>
          <w:rFonts w:hint="eastAsia"/>
        </w:rPr>
        <w:t>　　</w:t>
      </w:r>
      <w:r>
        <w:rPr>
          <w:rFonts w:hint="eastAsia" w:ascii="黑体" w:hAnsi="黑体" w:eastAsia="黑体" w:cs="黑体"/>
        </w:rPr>
        <w:t>第六十三条</w:t>
      </w:r>
      <w:r>
        <w:rPr>
          <w:rFonts w:hint="eastAsia"/>
        </w:rPr>
        <w:t>　开展医疗康复、教育培训等慈善服务，需要专门技能的，应当执行国家或者行业组织制定的标准和规程。</w:t>
      </w:r>
    </w:p>
    <w:p>
      <w:pPr>
        <w:wordWrap/>
        <w:spacing w:line="560" w:lineRule="exact"/>
        <w:textAlignment w:val="auto"/>
        <w:rPr>
          <w:rFonts w:hint="eastAsia"/>
        </w:rPr>
      </w:pPr>
      <w:r>
        <w:rPr>
          <w:rFonts w:hint="eastAsia"/>
        </w:rPr>
        <w:t>　　慈善组织招募志愿者参与慈善服务，需要专门技能的，应当对志愿者开展相关培训。</w:t>
      </w:r>
    </w:p>
    <w:p>
      <w:pPr>
        <w:wordWrap/>
        <w:spacing w:line="560" w:lineRule="exact"/>
        <w:textAlignment w:val="auto"/>
        <w:rPr>
          <w:rFonts w:hint="eastAsia"/>
        </w:rPr>
      </w:pPr>
      <w:r>
        <w:rPr>
          <w:rFonts w:hint="eastAsia"/>
        </w:rPr>
        <w:t>　　</w:t>
      </w:r>
      <w:r>
        <w:rPr>
          <w:rFonts w:hint="eastAsia" w:ascii="黑体" w:hAnsi="黑体" w:eastAsia="黑体" w:cs="黑体"/>
        </w:rPr>
        <w:t>第六十四条　</w:t>
      </w:r>
      <w:r>
        <w:rPr>
          <w:rFonts w:hint="eastAsia"/>
        </w:rPr>
        <w:t>慈善组织招募志愿者参与慈善服务，应当公示与慈善服务有关的全部信息，告知服务过程中可能发生的风险。</w:t>
      </w:r>
    </w:p>
    <w:p>
      <w:pPr>
        <w:wordWrap/>
        <w:spacing w:line="560" w:lineRule="exact"/>
        <w:textAlignment w:val="auto"/>
        <w:rPr>
          <w:rFonts w:hint="eastAsia"/>
        </w:rPr>
      </w:pPr>
      <w:r>
        <w:rPr>
          <w:rFonts w:hint="eastAsia"/>
        </w:rPr>
        <w:t>　　慈善组织根据需要可以与志愿者签订协议，明确双方权利义务，约定服务的内容、方式和时间等。</w:t>
      </w:r>
    </w:p>
    <w:p>
      <w:pPr>
        <w:wordWrap/>
        <w:spacing w:line="560" w:lineRule="exact"/>
        <w:textAlignment w:val="auto"/>
        <w:rPr>
          <w:rFonts w:hint="eastAsia"/>
        </w:rPr>
      </w:pPr>
      <w:r>
        <w:rPr>
          <w:rFonts w:hint="eastAsia"/>
        </w:rPr>
        <w:t>　　</w:t>
      </w:r>
      <w:r>
        <w:rPr>
          <w:rFonts w:hint="eastAsia" w:ascii="黑体" w:hAnsi="黑体" w:eastAsia="黑体" w:cs="黑体"/>
        </w:rPr>
        <w:t>第六十五条</w:t>
      </w:r>
      <w:r>
        <w:rPr>
          <w:rFonts w:hint="eastAsia"/>
        </w:rPr>
        <w:t>　慈善组织应当对志愿者实名登记，记录志愿者的服务时间、内容、评价等信息。根据志愿者的要求，慈善组织应当无偿、如实出具志愿服务记录证明。</w:t>
      </w:r>
    </w:p>
    <w:p>
      <w:pPr>
        <w:wordWrap/>
        <w:spacing w:line="560" w:lineRule="exact"/>
        <w:textAlignment w:val="auto"/>
        <w:rPr>
          <w:rFonts w:hint="eastAsia"/>
        </w:rPr>
      </w:pPr>
      <w:r>
        <w:rPr>
          <w:rFonts w:hint="eastAsia"/>
        </w:rPr>
        <w:t>　　</w:t>
      </w:r>
      <w:r>
        <w:rPr>
          <w:rFonts w:hint="eastAsia" w:ascii="黑体" w:hAnsi="黑体" w:eastAsia="黑体" w:cs="黑体"/>
        </w:rPr>
        <w:t>第六十六条</w:t>
      </w:r>
      <w:r>
        <w:rPr>
          <w:rFonts w:hint="eastAsia"/>
        </w:rPr>
        <w:t>　慈善组织安排志愿者参与慈善服务，应当与志愿者的年龄、文化程度、技能和身体状况相适应。</w:t>
      </w:r>
    </w:p>
    <w:p>
      <w:pPr>
        <w:wordWrap/>
        <w:spacing w:line="560" w:lineRule="exact"/>
        <w:textAlignment w:val="auto"/>
        <w:rPr>
          <w:rFonts w:hint="eastAsia"/>
        </w:rPr>
      </w:pPr>
      <w:r>
        <w:rPr>
          <w:rFonts w:hint="eastAsia"/>
        </w:rPr>
        <w:t>　　</w:t>
      </w:r>
      <w:r>
        <w:rPr>
          <w:rFonts w:hint="eastAsia" w:ascii="黑体" w:hAnsi="黑体" w:eastAsia="黑体" w:cs="黑体"/>
        </w:rPr>
        <w:t>第六十七条</w:t>
      </w:r>
      <w:r>
        <w:rPr>
          <w:rFonts w:hint="eastAsia"/>
        </w:rPr>
        <w:t>　志愿者接受慈善组织安排参与慈善服务的，应当服从管理，接受必要的培训。</w:t>
      </w:r>
    </w:p>
    <w:p>
      <w:pPr>
        <w:wordWrap/>
        <w:spacing w:line="560" w:lineRule="exact"/>
        <w:textAlignment w:val="auto"/>
        <w:rPr>
          <w:rFonts w:hint="eastAsia"/>
        </w:rPr>
      </w:pPr>
      <w:r>
        <w:rPr>
          <w:rFonts w:hint="eastAsia" w:ascii="黑体" w:hAnsi="黑体" w:eastAsia="黑体" w:cs="黑体"/>
        </w:rPr>
        <w:t>　　第六十八条</w:t>
      </w:r>
      <w:r>
        <w:rPr>
          <w:rFonts w:hint="eastAsia"/>
        </w:rPr>
        <w:t>　慈善组织应当为志愿者参与慈善服务提供必要条件，保障志愿者的合法权益。</w:t>
      </w:r>
    </w:p>
    <w:p>
      <w:pPr>
        <w:wordWrap/>
        <w:spacing w:line="560" w:lineRule="exact"/>
        <w:textAlignment w:val="auto"/>
        <w:rPr>
          <w:rFonts w:hint="eastAsia"/>
        </w:rPr>
      </w:pPr>
      <w:r>
        <w:rPr>
          <w:rFonts w:hint="eastAsia"/>
        </w:rPr>
        <w:t>　　慈善组织安排志愿者参与可能发生人身危险的慈善服务前，应当为志愿者购买相应的人身意外伤害保险。</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第八章　信息公开</w:t>
      </w:r>
    </w:p>
    <w:p>
      <w:pPr>
        <w:pStyle w:val="3"/>
        <w:rPr>
          <w:rFonts w:hint="eastAsia"/>
        </w:rPr>
      </w:pPr>
    </w:p>
    <w:p>
      <w:pPr>
        <w:wordWrap/>
        <w:spacing w:line="560" w:lineRule="exact"/>
        <w:textAlignment w:val="auto"/>
        <w:rPr>
          <w:rFonts w:hint="eastAsia"/>
        </w:rPr>
      </w:pPr>
      <w:r>
        <w:rPr>
          <w:rFonts w:hint="eastAsia" w:ascii="黑体" w:hAnsi="黑体" w:eastAsia="黑体" w:cs="黑体"/>
        </w:rPr>
        <w:t>　　第六十九条</w:t>
      </w:r>
      <w:r>
        <w:rPr>
          <w:rFonts w:hint="eastAsia"/>
        </w:rPr>
        <w:t>　县级以上人民政府建立健全慈善信息统计和发布制度。</w:t>
      </w:r>
    </w:p>
    <w:p>
      <w:pPr>
        <w:wordWrap/>
        <w:spacing w:line="560" w:lineRule="exact"/>
        <w:textAlignment w:val="auto"/>
        <w:rPr>
          <w:rFonts w:hint="eastAsia"/>
        </w:rPr>
      </w:pPr>
      <w:r>
        <w:rPr>
          <w:rFonts w:hint="eastAsia"/>
        </w:rPr>
        <w:t>　　县级以上人民政府民政部门应当在统一的信息平台，及时向社会公开慈善信息，并免费提供慈善信息发布服务。</w:t>
      </w:r>
    </w:p>
    <w:p>
      <w:pPr>
        <w:wordWrap/>
        <w:spacing w:line="560" w:lineRule="exact"/>
        <w:textAlignment w:val="auto"/>
        <w:rPr>
          <w:rFonts w:hint="eastAsia"/>
        </w:rPr>
      </w:pPr>
      <w:r>
        <w:rPr>
          <w:rFonts w:hint="eastAsia"/>
        </w:rPr>
        <w:t>　　慈善组织和慈善信托的受托人应当在前款规定的平台发布慈善信息，并对信息的真实性负责。</w:t>
      </w:r>
    </w:p>
    <w:p>
      <w:pPr>
        <w:wordWrap/>
        <w:spacing w:line="560" w:lineRule="exact"/>
        <w:textAlignment w:val="auto"/>
        <w:rPr>
          <w:rFonts w:hint="eastAsia"/>
        </w:rPr>
      </w:pPr>
      <w:r>
        <w:rPr>
          <w:rFonts w:hint="eastAsia"/>
        </w:rPr>
        <w:t>　　</w:t>
      </w:r>
      <w:r>
        <w:rPr>
          <w:rFonts w:hint="eastAsia" w:ascii="黑体" w:hAnsi="黑体" w:eastAsia="黑体" w:cs="黑体"/>
        </w:rPr>
        <w:t>第七十条</w:t>
      </w:r>
      <w:r>
        <w:rPr>
          <w:rFonts w:hint="eastAsia"/>
        </w:rPr>
        <w:t>　县级以上人民政府民政部门和其他有关部门应当及时向社会公开下列慈善信息：</w:t>
      </w:r>
    </w:p>
    <w:p>
      <w:pPr>
        <w:wordWrap/>
        <w:spacing w:line="560" w:lineRule="exact"/>
        <w:textAlignment w:val="auto"/>
        <w:rPr>
          <w:rFonts w:hint="eastAsia"/>
        </w:rPr>
      </w:pPr>
      <w:r>
        <w:rPr>
          <w:rFonts w:hint="eastAsia"/>
        </w:rPr>
        <w:t>　　（一）慈善组织登记事项；</w:t>
      </w:r>
    </w:p>
    <w:p>
      <w:pPr>
        <w:wordWrap/>
        <w:spacing w:line="560" w:lineRule="exact"/>
        <w:textAlignment w:val="auto"/>
        <w:rPr>
          <w:rFonts w:hint="eastAsia"/>
        </w:rPr>
      </w:pPr>
      <w:r>
        <w:rPr>
          <w:rFonts w:hint="eastAsia"/>
        </w:rPr>
        <w:t>　　（二）慈善信托备案事项；</w:t>
      </w:r>
    </w:p>
    <w:p>
      <w:pPr>
        <w:wordWrap/>
        <w:spacing w:line="560" w:lineRule="exact"/>
        <w:textAlignment w:val="auto"/>
        <w:rPr>
          <w:rFonts w:hint="eastAsia"/>
        </w:rPr>
      </w:pPr>
      <w:r>
        <w:rPr>
          <w:rFonts w:hint="eastAsia"/>
        </w:rPr>
        <w:t>　　（三）具有公开募捐资格的慈善组织名单；</w:t>
      </w:r>
    </w:p>
    <w:p>
      <w:pPr>
        <w:wordWrap/>
        <w:spacing w:line="560" w:lineRule="exact"/>
        <w:textAlignment w:val="auto"/>
        <w:rPr>
          <w:rFonts w:hint="eastAsia"/>
        </w:rPr>
      </w:pPr>
      <w:r>
        <w:rPr>
          <w:rFonts w:hint="eastAsia"/>
        </w:rPr>
        <w:t>　　（四）具有出具公益性捐赠税前扣除票据资格的慈善组织名单；</w:t>
      </w:r>
    </w:p>
    <w:p>
      <w:pPr>
        <w:wordWrap/>
        <w:spacing w:line="560" w:lineRule="exact"/>
        <w:textAlignment w:val="auto"/>
        <w:rPr>
          <w:rFonts w:hint="eastAsia"/>
        </w:rPr>
      </w:pPr>
      <w:r>
        <w:rPr>
          <w:rFonts w:hint="eastAsia"/>
        </w:rPr>
        <w:t>　　（五）对慈善活动的税收优惠、资助补贴等促进措施；</w:t>
      </w:r>
    </w:p>
    <w:p>
      <w:pPr>
        <w:wordWrap/>
        <w:spacing w:line="560" w:lineRule="exact"/>
        <w:textAlignment w:val="auto"/>
        <w:rPr>
          <w:rFonts w:hint="eastAsia"/>
        </w:rPr>
      </w:pPr>
      <w:r>
        <w:rPr>
          <w:rFonts w:hint="eastAsia"/>
        </w:rPr>
        <w:t>　　（六）向慈善组织购买服务的信息；</w:t>
      </w:r>
    </w:p>
    <w:p>
      <w:pPr>
        <w:wordWrap/>
        <w:spacing w:line="560" w:lineRule="exact"/>
        <w:textAlignment w:val="auto"/>
        <w:rPr>
          <w:rFonts w:hint="eastAsia"/>
        </w:rPr>
      </w:pPr>
      <w:r>
        <w:rPr>
          <w:rFonts w:hint="eastAsia"/>
        </w:rPr>
        <w:t>　　（七）对慈善组织、慈善信托开展检查、评估的结果；</w:t>
      </w:r>
    </w:p>
    <w:p>
      <w:pPr>
        <w:wordWrap/>
        <w:spacing w:line="560" w:lineRule="exact"/>
        <w:textAlignment w:val="auto"/>
        <w:rPr>
          <w:rFonts w:hint="eastAsia"/>
        </w:rPr>
      </w:pPr>
      <w:r>
        <w:rPr>
          <w:rFonts w:hint="eastAsia"/>
        </w:rPr>
        <w:t>　　（八）对慈善组织和其他组织以及个人的表彰、处罚结果；</w:t>
      </w:r>
    </w:p>
    <w:p>
      <w:pPr>
        <w:wordWrap/>
        <w:spacing w:line="560" w:lineRule="exact"/>
        <w:textAlignment w:val="auto"/>
        <w:rPr>
          <w:rFonts w:hint="eastAsia"/>
        </w:rPr>
      </w:pPr>
      <w:r>
        <w:rPr>
          <w:rFonts w:hint="eastAsia"/>
        </w:rPr>
        <w:t>　　（九）法律法规规定应当公开的其他信息。</w:t>
      </w:r>
    </w:p>
    <w:p>
      <w:pPr>
        <w:wordWrap/>
        <w:spacing w:line="560" w:lineRule="exact"/>
        <w:textAlignment w:val="auto"/>
        <w:rPr>
          <w:rFonts w:hint="eastAsia"/>
        </w:rPr>
      </w:pPr>
      <w:r>
        <w:rPr>
          <w:rFonts w:hint="eastAsia"/>
        </w:rPr>
        <w:t>　　</w:t>
      </w:r>
      <w:r>
        <w:rPr>
          <w:rFonts w:hint="eastAsia" w:ascii="黑体" w:hAnsi="黑体" w:eastAsia="黑体" w:cs="黑体"/>
        </w:rPr>
        <w:t>第七十一条</w:t>
      </w:r>
      <w:r>
        <w:rPr>
          <w:rFonts w:hint="eastAsia"/>
        </w:rPr>
        <w:t>　慈善组织、慈善信托的受托人应当依法履行信息公开义务。信息公开应当真实、完整、及时。</w:t>
      </w:r>
    </w:p>
    <w:p>
      <w:pPr>
        <w:wordWrap/>
        <w:spacing w:line="560" w:lineRule="exact"/>
        <w:textAlignment w:val="auto"/>
        <w:rPr>
          <w:rFonts w:hint="eastAsia"/>
        </w:rPr>
      </w:pPr>
      <w:r>
        <w:rPr>
          <w:rFonts w:hint="eastAsia"/>
        </w:rPr>
        <w:t>　　</w:t>
      </w:r>
      <w:r>
        <w:rPr>
          <w:rFonts w:hint="eastAsia" w:ascii="黑体" w:hAnsi="黑体" w:eastAsia="黑体" w:cs="黑体"/>
        </w:rPr>
        <w:t>第七十二条</w:t>
      </w:r>
      <w:r>
        <w:rPr>
          <w:rFonts w:hint="eastAsia"/>
        </w:rPr>
        <w:t>　慈善组织应当向社会公开组织章程和决策、执行、监督机构成员信息以及国务院民政部门要求公开的其他信息。上述信息有重大变更的，慈善组织应当及时向社会公开。</w:t>
      </w:r>
    </w:p>
    <w:p>
      <w:pPr>
        <w:wordWrap/>
        <w:spacing w:line="560" w:lineRule="exact"/>
        <w:textAlignment w:val="auto"/>
        <w:rPr>
          <w:rFonts w:hint="eastAsia"/>
        </w:rPr>
      </w:pPr>
      <w:r>
        <w:rPr>
          <w:rFonts w:hint="eastAsia"/>
        </w:rPr>
        <w:t>　　慈善组织应当每年向社会公开其年度工作报告和财务会计报告。具有公开募捐资格的慈善组织的财务会计报告须经审计。</w:t>
      </w:r>
    </w:p>
    <w:p>
      <w:pPr>
        <w:wordWrap/>
        <w:spacing w:line="560" w:lineRule="exact"/>
        <w:textAlignment w:val="auto"/>
        <w:rPr>
          <w:rFonts w:hint="eastAsia"/>
        </w:rPr>
      </w:pPr>
      <w:r>
        <w:rPr>
          <w:rFonts w:hint="eastAsia" w:ascii="黑体" w:hAnsi="黑体" w:eastAsia="黑体" w:cs="黑体"/>
        </w:rPr>
        <w:t>　　第七十三条</w:t>
      </w:r>
      <w:r>
        <w:rPr>
          <w:rFonts w:hint="eastAsia"/>
        </w:rPr>
        <w:t>　具有公开募捐资格的慈善组织应当定期向社会公开其募捐情况和慈善项目实施情况。</w:t>
      </w:r>
    </w:p>
    <w:p>
      <w:pPr>
        <w:wordWrap/>
        <w:spacing w:line="560" w:lineRule="exact"/>
        <w:textAlignment w:val="auto"/>
        <w:rPr>
          <w:rFonts w:hint="eastAsia"/>
        </w:rPr>
      </w:pPr>
      <w:r>
        <w:rPr>
          <w:rFonts w:hint="eastAsia"/>
        </w:rPr>
        <w:t>　　公开募捐周期超过六个月的，至少每三个月公开一次募捐情况，公开募捐活动结束后三个月内应当全面公开募捐情况。</w:t>
      </w:r>
    </w:p>
    <w:p>
      <w:pPr>
        <w:wordWrap/>
        <w:spacing w:line="560" w:lineRule="exact"/>
        <w:textAlignment w:val="auto"/>
        <w:rPr>
          <w:rFonts w:hint="eastAsia"/>
        </w:rPr>
      </w:pPr>
      <w:r>
        <w:rPr>
          <w:rFonts w:hint="eastAsia"/>
        </w:rPr>
        <w:t>　　慈善项目实施周期超过六个月的，至少每三个月公开一次项目实施情况，项目结束后三个月内应当全面公开项目实施情况和募得款物使用情况。</w:t>
      </w:r>
    </w:p>
    <w:p>
      <w:pPr>
        <w:wordWrap/>
        <w:spacing w:line="560" w:lineRule="exact"/>
        <w:textAlignment w:val="auto"/>
        <w:rPr>
          <w:rFonts w:hint="eastAsia"/>
        </w:rPr>
      </w:pPr>
      <w:r>
        <w:rPr>
          <w:rFonts w:hint="eastAsia"/>
        </w:rPr>
        <w:t>　　</w:t>
      </w:r>
      <w:r>
        <w:rPr>
          <w:rFonts w:hint="eastAsia" w:ascii="黑体" w:hAnsi="黑体" w:eastAsia="黑体" w:cs="黑体"/>
        </w:rPr>
        <w:t>第七十四条</w:t>
      </w:r>
      <w:r>
        <w:rPr>
          <w:rFonts w:hint="eastAsia"/>
        </w:rPr>
        <w:t>　慈善组织开展定向募捐的，应当及时向捐赠人告知募捐情况、募得款物的管理使用情况。</w:t>
      </w:r>
    </w:p>
    <w:p>
      <w:pPr>
        <w:wordWrap/>
        <w:spacing w:line="560" w:lineRule="exact"/>
        <w:textAlignment w:val="auto"/>
        <w:rPr>
          <w:rFonts w:hint="eastAsia"/>
        </w:rPr>
      </w:pPr>
      <w:r>
        <w:rPr>
          <w:rFonts w:hint="eastAsia"/>
        </w:rPr>
        <w:t>　　</w:t>
      </w:r>
      <w:r>
        <w:rPr>
          <w:rFonts w:hint="eastAsia" w:ascii="黑体" w:hAnsi="黑体" w:eastAsia="黑体" w:cs="黑体"/>
        </w:rPr>
        <w:t>第七十五条</w:t>
      </w:r>
      <w:r>
        <w:rPr>
          <w:rFonts w:hint="eastAsia"/>
        </w:rPr>
        <w:t>　慈善组织、慈善信托的受托人应当向受益人告知其资助标准、工作流程和工作规范等信息。</w:t>
      </w:r>
    </w:p>
    <w:p>
      <w:pPr>
        <w:wordWrap/>
        <w:spacing w:line="560" w:lineRule="exact"/>
        <w:textAlignment w:val="auto"/>
        <w:rPr>
          <w:rFonts w:hint="eastAsia"/>
        </w:rPr>
      </w:pPr>
      <w:r>
        <w:rPr>
          <w:rFonts w:hint="eastAsia"/>
        </w:rPr>
        <w:t>　　</w:t>
      </w:r>
      <w:r>
        <w:rPr>
          <w:rFonts w:hint="eastAsia" w:ascii="黑体" w:hAnsi="黑体" w:eastAsia="黑体" w:cs="黑体"/>
        </w:rPr>
        <w:t>第七十六条</w:t>
      </w:r>
      <w:r>
        <w:rPr>
          <w:rFonts w:hint="eastAsia"/>
        </w:rPr>
        <w:t>　涉及国家秘密、商业秘密、个人隐私的信息以及捐赠人、慈善信托的委托人不同意公开的姓名、名称、住所、通讯方式等信息，不得公开。</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第九章　促进措施</w:t>
      </w:r>
    </w:p>
    <w:p>
      <w:pPr>
        <w:pStyle w:val="3"/>
        <w:rPr>
          <w:rFonts w:hint="eastAsia"/>
        </w:rPr>
      </w:pPr>
    </w:p>
    <w:p>
      <w:pPr>
        <w:wordWrap/>
        <w:spacing w:line="560" w:lineRule="exact"/>
        <w:textAlignment w:val="auto"/>
        <w:rPr>
          <w:rFonts w:hint="eastAsia"/>
        </w:rPr>
      </w:pPr>
      <w:r>
        <w:rPr>
          <w:rFonts w:hint="eastAsia" w:ascii="黑体" w:hAnsi="黑体" w:eastAsia="黑体" w:cs="黑体"/>
        </w:rPr>
        <w:t>　　第七十七条</w:t>
      </w:r>
      <w:r>
        <w:rPr>
          <w:rFonts w:hint="eastAsia"/>
        </w:rPr>
        <w:t>　县级以上人民政府应当根据经济社会发展情况，制定促进慈善事业发展的政策和措施。</w:t>
      </w:r>
    </w:p>
    <w:p>
      <w:pPr>
        <w:wordWrap/>
        <w:spacing w:line="560" w:lineRule="exact"/>
        <w:textAlignment w:val="auto"/>
        <w:rPr>
          <w:rFonts w:hint="eastAsia"/>
        </w:rPr>
      </w:pPr>
      <w:r>
        <w:rPr>
          <w:rFonts w:hint="eastAsia"/>
        </w:rPr>
        <w:t>　　县级以上人民政府有关部门应当在各自职责范围内，向慈善组织、慈善信托受托人等提供慈善需求信息，为慈善活动提供指导和帮助。</w:t>
      </w:r>
    </w:p>
    <w:p>
      <w:pPr>
        <w:wordWrap/>
        <w:spacing w:line="560" w:lineRule="exact"/>
        <w:textAlignment w:val="auto"/>
        <w:rPr>
          <w:rFonts w:hint="eastAsia"/>
        </w:rPr>
      </w:pPr>
      <w:r>
        <w:rPr>
          <w:rFonts w:hint="eastAsia"/>
        </w:rPr>
        <w:t>　　</w:t>
      </w:r>
      <w:r>
        <w:rPr>
          <w:rFonts w:hint="eastAsia" w:ascii="黑体" w:hAnsi="黑体" w:eastAsia="黑体" w:cs="黑体"/>
        </w:rPr>
        <w:t>第七十八条</w:t>
      </w:r>
      <w:r>
        <w:rPr>
          <w:rFonts w:hint="eastAsia"/>
        </w:rPr>
        <w:t>　县级以上人民政府民政部门应当建立与其他部门之间的慈善信息共享机制。</w:t>
      </w:r>
    </w:p>
    <w:p>
      <w:pPr>
        <w:wordWrap/>
        <w:spacing w:line="560" w:lineRule="exact"/>
        <w:textAlignment w:val="auto"/>
        <w:rPr>
          <w:rFonts w:hint="eastAsia"/>
        </w:rPr>
      </w:pPr>
      <w:r>
        <w:rPr>
          <w:rFonts w:hint="eastAsia"/>
        </w:rPr>
        <w:t>　</w:t>
      </w:r>
      <w:r>
        <w:rPr>
          <w:rFonts w:hint="eastAsia" w:ascii="黑体" w:hAnsi="黑体" w:eastAsia="黑体" w:cs="黑体"/>
        </w:rPr>
        <w:t>　第七十九条</w:t>
      </w:r>
      <w:r>
        <w:rPr>
          <w:rFonts w:hint="eastAsia"/>
        </w:rPr>
        <w:t>　慈善组织及其取得的收入依法享受税收优惠。</w:t>
      </w:r>
    </w:p>
    <w:p>
      <w:pPr>
        <w:wordWrap/>
        <w:spacing w:line="560" w:lineRule="exact"/>
        <w:textAlignment w:val="auto"/>
        <w:rPr>
          <w:rFonts w:hint="eastAsia"/>
        </w:rPr>
      </w:pPr>
      <w:r>
        <w:rPr>
          <w:rFonts w:hint="eastAsia"/>
        </w:rPr>
        <w:t>　</w:t>
      </w:r>
      <w:r>
        <w:rPr>
          <w:rFonts w:hint="eastAsia" w:ascii="黑体" w:hAnsi="黑体" w:eastAsia="黑体" w:cs="黑体"/>
        </w:rPr>
        <w:t>　第八十条</w:t>
      </w:r>
      <w:r>
        <w:rPr>
          <w:rFonts w:hint="eastAsia"/>
        </w:rPr>
        <w:t>　自然人、法人和其他组织捐赠财产用于慈善活动的，依法享受税收优惠。企业慈善捐赠支出超过法律规定的准予在计算企业所得税应纳税所得额时当年扣除的部分，允许结转以后三年内在计算应纳税所得额时扣除。</w:t>
      </w:r>
    </w:p>
    <w:p>
      <w:pPr>
        <w:wordWrap/>
        <w:spacing w:line="560" w:lineRule="exact"/>
        <w:textAlignment w:val="auto"/>
        <w:rPr>
          <w:rFonts w:hint="eastAsia"/>
        </w:rPr>
      </w:pPr>
      <w:r>
        <w:rPr>
          <w:rFonts w:hint="eastAsia"/>
        </w:rPr>
        <w:t>　　境外捐赠用于慈善活动的物资，依法减征或者免征进口关税和进口环节增值税。</w:t>
      </w:r>
    </w:p>
    <w:p>
      <w:pPr>
        <w:wordWrap/>
        <w:spacing w:line="560" w:lineRule="exact"/>
        <w:textAlignment w:val="auto"/>
        <w:rPr>
          <w:rFonts w:hint="eastAsia"/>
        </w:rPr>
      </w:pPr>
      <w:r>
        <w:rPr>
          <w:rFonts w:hint="eastAsia"/>
        </w:rPr>
        <w:t>　</w:t>
      </w:r>
      <w:r>
        <w:rPr>
          <w:rFonts w:hint="eastAsia" w:ascii="黑体" w:hAnsi="黑体" w:eastAsia="黑体" w:cs="黑体"/>
        </w:rPr>
        <w:t>　第八十一条</w:t>
      </w:r>
      <w:r>
        <w:rPr>
          <w:rFonts w:hint="eastAsia"/>
        </w:rPr>
        <w:t>　受益人接受慈善捐赠，依法享受税收优惠。</w:t>
      </w:r>
    </w:p>
    <w:p>
      <w:pPr>
        <w:wordWrap/>
        <w:spacing w:line="560" w:lineRule="exact"/>
        <w:textAlignment w:val="auto"/>
        <w:rPr>
          <w:rFonts w:hint="eastAsia"/>
        </w:rPr>
      </w:pPr>
      <w:r>
        <w:rPr>
          <w:rFonts w:hint="eastAsia"/>
        </w:rPr>
        <w:t>　　</w:t>
      </w:r>
      <w:r>
        <w:rPr>
          <w:rFonts w:hint="eastAsia" w:ascii="黑体" w:hAnsi="黑体" w:eastAsia="黑体" w:cs="黑体"/>
        </w:rPr>
        <w:t>第八十二条</w:t>
      </w:r>
      <w:r>
        <w:rPr>
          <w:rFonts w:hint="eastAsia"/>
        </w:rPr>
        <w:t>　慈善组织、捐赠人、受益人依法享受税收优惠的，有关部门应当及时办理相关手续。</w:t>
      </w:r>
    </w:p>
    <w:p>
      <w:pPr>
        <w:wordWrap/>
        <w:spacing w:line="560" w:lineRule="exact"/>
        <w:textAlignment w:val="auto"/>
        <w:rPr>
          <w:rFonts w:hint="eastAsia"/>
        </w:rPr>
      </w:pPr>
      <w:r>
        <w:rPr>
          <w:rFonts w:hint="eastAsia"/>
        </w:rPr>
        <w:t>　　</w:t>
      </w:r>
      <w:r>
        <w:rPr>
          <w:rFonts w:hint="eastAsia" w:ascii="黑体" w:hAnsi="黑体" w:eastAsia="黑体" w:cs="黑体"/>
        </w:rPr>
        <w:t>第八十三条</w:t>
      </w:r>
      <w:r>
        <w:rPr>
          <w:rFonts w:hint="eastAsia"/>
        </w:rPr>
        <w:t>　捐赠人向慈善组织捐赠实物、有价证券、股权和知识产权的，依法免征权利转让的相关行政事业性费用。</w:t>
      </w:r>
    </w:p>
    <w:p>
      <w:pPr>
        <w:wordWrap/>
        <w:spacing w:line="560" w:lineRule="exact"/>
        <w:textAlignment w:val="auto"/>
        <w:rPr>
          <w:rFonts w:hint="eastAsia"/>
        </w:rPr>
      </w:pPr>
      <w:r>
        <w:rPr>
          <w:rFonts w:hint="eastAsia"/>
        </w:rPr>
        <w:t>　　</w:t>
      </w:r>
      <w:r>
        <w:rPr>
          <w:rFonts w:hint="eastAsia" w:ascii="黑体" w:hAnsi="黑体" w:eastAsia="黑体" w:cs="黑体"/>
        </w:rPr>
        <w:t>第八十四条</w:t>
      </w:r>
      <w:r>
        <w:rPr>
          <w:rFonts w:hint="eastAsia"/>
        </w:rPr>
        <w:t>　国家对开展扶贫济困的慈善活动，实行特殊的优惠政策。</w:t>
      </w:r>
    </w:p>
    <w:p>
      <w:pPr>
        <w:wordWrap/>
        <w:spacing w:line="560" w:lineRule="exact"/>
        <w:textAlignment w:val="auto"/>
        <w:rPr>
          <w:rFonts w:hint="eastAsia"/>
        </w:rPr>
      </w:pPr>
      <w:r>
        <w:rPr>
          <w:rFonts w:hint="eastAsia"/>
        </w:rPr>
        <w:t>　　</w:t>
      </w:r>
      <w:r>
        <w:rPr>
          <w:rFonts w:hint="eastAsia" w:ascii="黑体" w:hAnsi="黑体" w:eastAsia="黑体" w:cs="黑体"/>
        </w:rPr>
        <w:t>第八十五条</w:t>
      </w:r>
      <w:r>
        <w:rPr>
          <w:rFonts w:hint="eastAsia"/>
        </w:rPr>
        <w:t>　慈善组织开展本法第三条第一项、第二项规定的慈善活动需要慈善服务设施用地的，可以依法申请使用国有划拨土地或者农村集体建设用地。慈善服务设施用地非经法定程序不得改变用途。</w:t>
      </w:r>
    </w:p>
    <w:p>
      <w:pPr>
        <w:wordWrap/>
        <w:spacing w:line="560" w:lineRule="exact"/>
        <w:textAlignment w:val="auto"/>
        <w:rPr>
          <w:rFonts w:hint="eastAsia"/>
        </w:rPr>
      </w:pPr>
      <w:r>
        <w:rPr>
          <w:rFonts w:hint="eastAsia"/>
        </w:rPr>
        <w:t>　　</w:t>
      </w:r>
      <w:r>
        <w:rPr>
          <w:rFonts w:hint="eastAsia" w:ascii="黑体" w:hAnsi="黑体" w:eastAsia="黑体" w:cs="黑体"/>
        </w:rPr>
        <w:t>第八十六条</w:t>
      </w:r>
      <w:r>
        <w:rPr>
          <w:rFonts w:hint="eastAsia"/>
        </w:rPr>
        <w:t>　国家为慈善事业提供金融政策支持，鼓励金融机构为慈善组织、慈善信托提供融资和结算等金融服务。</w:t>
      </w:r>
    </w:p>
    <w:p>
      <w:pPr>
        <w:wordWrap/>
        <w:spacing w:line="560" w:lineRule="exact"/>
        <w:textAlignment w:val="auto"/>
        <w:rPr>
          <w:rFonts w:hint="eastAsia"/>
        </w:rPr>
      </w:pPr>
      <w:r>
        <w:rPr>
          <w:rFonts w:hint="eastAsia"/>
        </w:rPr>
        <w:t>　　</w:t>
      </w:r>
      <w:r>
        <w:rPr>
          <w:rFonts w:hint="eastAsia" w:ascii="黑体" w:hAnsi="黑体" w:eastAsia="黑体" w:cs="黑体"/>
        </w:rPr>
        <w:t>第八十七条</w:t>
      </w:r>
      <w:r>
        <w:rPr>
          <w:rFonts w:hint="eastAsia"/>
        </w:rPr>
        <w:t>　各级人民政府及其有关部门可以依法通过购买服务等方式，支持符合条件的慈善组织向社会提供服务，并依照有关政府采购的法律法规向社会公开相关情况。</w:t>
      </w:r>
    </w:p>
    <w:p>
      <w:pPr>
        <w:wordWrap/>
        <w:spacing w:line="560" w:lineRule="exact"/>
        <w:textAlignment w:val="auto"/>
        <w:rPr>
          <w:rFonts w:hint="eastAsia"/>
        </w:rPr>
      </w:pPr>
      <w:r>
        <w:rPr>
          <w:rFonts w:hint="eastAsia"/>
        </w:rPr>
        <w:t>　　</w:t>
      </w:r>
      <w:r>
        <w:rPr>
          <w:rFonts w:hint="eastAsia" w:ascii="黑体" w:hAnsi="黑体" w:eastAsia="黑体" w:cs="黑体"/>
        </w:rPr>
        <w:t>第八十八条</w:t>
      </w:r>
      <w:r>
        <w:rPr>
          <w:rFonts w:hint="eastAsia"/>
        </w:rPr>
        <w:t>　国家采取措施弘扬慈善文化，培育公民慈善意识。</w:t>
      </w:r>
    </w:p>
    <w:p>
      <w:pPr>
        <w:wordWrap/>
        <w:spacing w:line="560" w:lineRule="exact"/>
        <w:textAlignment w:val="auto"/>
        <w:rPr>
          <w:rFonts w:hint="eastAsia"/>
        </w:rPr>
      </w:pPr>
      <w:r>
        <w:rPr>
          <w:rFonts w:hint="eastAsia"/>
        </w:rPr>
        <w:t>　　学校等教育机构应当将慈善文化纳入教育教学内容。国家鼓励高等学校培养慈善专业人才，支持高等学校和科研机构开展慈善理论研究。</w:t>
      </w:r>
    </w:p>
    <w:p>
      <w:pPr>
        <w:wordWrap/>
        <w:spacing w:line="560" w:lineRule="exact"/>
        <w:textAlignment w:val="auto"/>
        <w:rPr>
          <w:rFonts w:hint="eastAsia"/>
        </w:rPr>
      </w:pPr>
      <w:r>
        <w:rPr>
          <w:rFonts w:hint="eastAsia"/>
        </w:rPr>
        <w:t>　　广播、电视、报刊、互联网等媒体应当积极开展慈善公益宣传活动，普及慈善知识，传播慈善文化。</w:t>
      </w:r>
    </w:p>
    <w:p>
      <w:pPr>
        <w:wordWrap/>
        <w:spacing w:line="560" w:lineRule="exact"/>
        <w:textAlignment w:val="auto"/>
        <w:rPr>
          <w:rFonts w:hint="eastAsia"/>
        </w:rPr>
      </w:pPr>
      <w:r>
        <w:rPr>
          <w:rFonts w:hint="eastAsia"/>
        </w:rPr>
        <w:t>　</w:t>
      </w:r>
      <w:r>
        <w:rPr>
          <w:rFonts w:hint="eastAsia" w:ascii="黑体" w:hAnsi="黑体" w:eastAsia="黑体" w:cs="黑体"/>
        </w:rPr>
        <w:t>　第八十九条</w:t>
      </w:r>
      <w:r>
        <w:rPr>
          <w:rFonts w:hint="eastAsia"/>
        </w:rPr>
        <w:t>　国家鼓励企业事业单位和其他组织为开展慈善活动提供场所和其他便利条件。</w:t>
      </w:r>
    </w:p>
    <w:p>
      <w:pPr>
        <w:wordWrap/>
        <w:spacing w:line="560" w:lineRule="exact"/>
        <w:textAlignment w:val="auto"/>
        <w:rPr>
          <w:rFonts w:hint="eastAsia"/>
        </w:rPr>
      </w:pPr>
      <w:r>
        <w:rPr>
          <w:rFonts w:hint="eastAsia"/>
        </w:rPr>
        <w:t>　　</w:t>
      </w:r>
      <w:r>
        <w:rPr>
          <w:rFonts w:hint="eastAsia" w:ascii="黑体" w:hAnsi="黑体" w:eastAsia="黑体" w:cs="黑体"/>
        </w:rPr>
        <w:t>第九十条</w:t>
      </w:r>
      <w:r>
        <w:rPr>
          <w:rFonts w:hint="eastAsia"/>
        </w:rPr>
        <w:t>　经受益人同意，捐赠人对其捐赠的慈善项目可以冠名纪念，法律法规规定需要批准的，从其规定。</w:t>
      </w:r>
    </w:p>
    <w:p>
      <w:pPr>
        <w:wordWrap/>
        <w:spacing w:line="560" w:lineRule="exact"/>
        <w:textAlignment w:val="auto"/>
        <w:rPr>
          <w:rFonts w:hint="eastAsia"/>
        </w:rPr>
      </w:pPr>
      <w:r>
        <w:rPr>
          <w:rFonts w:hint="eastAsia"/>
        </w:rPr>
        <w:t>　</w:t>
      </w:r>
      <w:r>
        <w:rPr>
          <w:rFonts w:hint="eastAsia" w:ascii="黑体" w:hAnsi="黑体" w:eastAsia="黑体" w:cs="黑体"/>
        </w:rPr>
        <w:t>　第九十一条　</w:t>
      </w:r>
      <w:r>
        <w:rPr>
          <w:rFonts w:hint="eastAsia"/>
        </w:rPr>
        <w:t>国家建立慈善表彰制度，对在慈善事业发展中做出突出贡献的自然人、法人和其他组织，由县级以上人民政府或者有关部门予以表彰。</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第十章　监督管理</w:t>
      </w:r>
    </w:p>
    <w:p>
      <w:pPr>
        <w:pStyle w:val="3"/>
        <w:rPr>
          <w:rFonts w:hint="eastAsia"/>
        </w:rPr>
      </w:pPr>
    </w:p>
    <w:p>
      <w:pPr>
        <w:wordWrap/>
        <w:spacing w:line="560" w:lineRule="exact"/>
        <w:textAlignment w:val="auto"/>
        <w:rPr>
          <w:rFonts w:hint="eastAsia"/>
        </w:rPr>
      </w:pPr>
      <w:r>
        <w:rPr>
          <w:rFonts w:hint="eastAsia" w:ascii="黑体" w:hAnsi="黑体" w:eastAsia="黑体" w:cs="黑体"/>
        </w:rPr>
        <w:t>　　第九十二条</w:t>
      </w:r>
      <w:r>
        <w:rPr>
          <w:rFonts w:hint="eastAsia"/>
        </w:rPr>
        <w:t>　县级以上人民政府民政部门应当依法履行职责，对慈善活动进行监督检查，对慈善行业组织进行指导。</w:t>
      </w:r>
    </w:p>
    <w:p>
      <w:pPr>
        <w:wordWrap/>
        <w:spacing w:line="560" w:lineRule="exact"/>
        <w:textAlignment w:val="auto"/>
        <w:rPr>
          <w:rFonts w:hint="eastAsia"/>
        </w:rPr>
      </w:pPr>
      <w:r>
        <w:rPr>
          <w:rFonts w:hint="eastAsia"/>
        </w:rPr>
        <w:t>　　</w:t>
      </w:r>
      <w:r>
        <w:rPr>
          <w:rFonts w:hint="eastAsia" w:ascii="黑体" w:hAnsi="黑体" w:eastAsia="黑体" w:cs="黑体"/>
        </w:rPr>
        <w:t>第九十三条</w:t>
      </w:r>
      <w:r>
        <w:rPr>
          <w:rFonts w:hint="eastAsia"/>
        </w:rPr>
        <w:t>　县级以上人民政府民政部门对涉嫌违反本法规定的慈善组织，有权采取下列措施：</w:t>
      </w:r>
    </w:p>
    <w:p>
      <w:pPr>
        <w:wordWrap/>
        <w:spacing w:line="560" w:lineRule="exact"/>
        <w:textAlignment w:val="auto"/>
        <w:rPr>
          <w:rFonts w:hint="eastAsia"/>
        </w:rPr>
      </w:pPr>
      <w:r>
        <w:rPr>
          <w:rFonts w:hint="eastAsia"/>
        </w:rPr>
        <w:t>　　（一）对慈善组织的住所和慈善活动发生地进行现场检查；</w:t>
      </w:r>
    </w:p>
    <w:p>
      <w:pPr>
        <w:wordWrap/>
        <w:spacing w:line="560" w:lineRule="exact"/>
        <w:textAlignment w:val="auto"/>
        <w:rPr>
          <w:rFonts w:hint="eastAsia"/>
        </w:rPr>
      </w:pPr>
      <w:r>
        <w:rPr>
          <w:rFonts w:hint="eastAsia"/>
        </w:rPr>
        <w:t>　　（二）要求慈善组织作出说明，查阅、复制有关资料；</w:t>
      </w:r>
    </w:p>
    <w:p>
      <w:pPr>
        <w:wordWrap/>
        <w:spacing w:line="560" w:lineRule="exact"/>
        <w:textAlignment w:val="auto"/>
        <w:rPr>
          <w:rFonts w:hint="eastAsia"/>
        </w:rPr>
      </w:pPr>
      <w:r>
        <w:rPr>
          <w:rFonts w:hint="eastAsia"/>
        </w:rPr>
        <w:t>　　（三）向与慈善活动有关的单位和个人调查与监督管理有关的情况；</w:t>
      </w:r>
    </w:p>
    <w:p>
      <w:pPr>
        <w:wordWrap/>
        <w:spacing w:line="560" w:lineRule="exact"/>
        <w:textAlignment w:val="auto"/>
        <w:rPr>
          <w:rFonts w:hint="eastAsia"/>
        </w:rPr>
      </w:pPr>
      <w:r>
        <w:rPr>
          <w:rFonts w:hint="eastAsia"/>
        </w:rPr>
        <w:t>　　（四）经本级人民政府批准，可以查询慈善组织的金融账户；</w:t>
      </w:r>
    </w:p>
    <w:p>
      <w:pPr>
        <w:wordWrap/>
        <w:spacing w:line="560" w:lineRule="exact"/>
        <w:textAlignment w:val="auto"/>
        <w:rPr>
          <w:rFonts w:hint="eastAsia"/>
        </w:rPr>
      </w:pPr>
      <w:r>
        <w:rPr>
          <w:rFonts w:hint="eastAsia"/>
        </w:rPr>
        <w:t>　　（五）法律、行政法规规定的其他措施。</w:t>
      </w:r>
    </w:p>
    <w:p>
      <w:pPr>
        <w:wordWrap/>
        <w:spacing w:line="560" w:lineRule="exact"/>
        <w:textAlignment w:val="auto"/>
        <w:rPr>
          <w:rFonts w:hint="eastAsia"/>
        </w:rPr>
      </w:pPr>
      <w:r>
        <w:rPr>
          <w:rFonts w:hint="eastAsia"/>
        </w:rPr>
        <w:t>　　</w:t>
      </w:r>
      <w:r>
        <w:rPr>
          <w:rFonts w:hint="eastAsia" w:ascii="黑体" w:hAnsi="黑体" w:eastAsia="黑体" w:cs="黑体"/>
        </w:rPr>
        <w:t>第九十四条</w:t>
      </w:r>
      <w:r>
        <w:rPr>
          <w:rFonts w:hint="eastAsia"/>
        </w:rPr>
        <w:t>　县级以上人民政府民政部门对慈善组织、有关单位和个人进行检查或者调查时，检查人员或者调查人员不得少于二人，并应当出示合法证件和检查、调查通知书。</w:t>
      </w:r>
    </w:p>
    <w:p>
      <w:pPr>
        <w:wordWrap/>
        <w:spacing w:line="560" w:lineRule="exact"/>
        <w:textAlignment w:val="auto"/>
        <w:rPr>
          <w:rFonts w:hint="eastAsia"/>
        </w:rPr>
      </w:pPr>
      <w:r>
        <w:rPr>
          <w:rFonts w:hint="eastAsia"/>
        </w:rPr>
        <w:t>　　</w:t>
      </w:r>
      <w:r>
        <w:rPr>
          <w:rFonts w:hint="eastAsia" w:ascii="黑体" w:hAnsi="黑体" w:eastAsia="黑体" w:cs="黑体"/>
        </w:rPr>
        <w:t>第九十五条</w:t>
      </w:r>
      <w:r>
        <w:rPr>
          <w:rFonts w:hint="eastAsia"/>
        </w:rPr>
        <w:t>　县级以上人民政府民政部门应当建立慈善组织及其负责人信用记录制度，并向社会公布。</w:t>
      </w:r>
    </w:p>
    <w:p>
      <w:pPr>
        <w:wordWrap/>
        <w:spacing w:line="560" w:lineRule="exact"/>
        <w:textAlignment w:val="auto"/>
        <w:rPr>
          <w:rFonts w:hint="eastAsia"/>
        </w:rPr>
      </w:pPr>
      <w:r>
        <w:rPr>
          <w:rFonts w:hint="eastAsia"/>
        </w:rPr>
        <w:t>　　民政部门应当建立慈善组织评估制度，鼓励和支持第三方机构对慈善组织进行评估，并向社会公布评估结果。</w:t>
      </w:r>
    </w:p>
    <w:p>
      <w:pPr>
        <w:wordWrap/>
        <w:spacing w:line="560" w:lineRule="exact"/>
        <w:textAlignment w:val="auto"/>
        <w:rPr>
          <w:rFonts w:hint="eastAsia"/>
        </w:rPr>
      </w:pPr>
      <w:r>
        <w:rPr>
          <w:rFonts w:hint="eastAsia"/>
        </w:rPr>
        <w:t>　　</w:t>
      </w:r>
      <w:r>
        <w:rPr>
          <w:rFonts w:hint="eastAsia" w:ascii="黑体" w:hAnsi="黑体" w:eastAsia="黑体" w:cs="黑体"/>
        </w:rPr>
        <w:t>第九十六条</w:t>
      </w:r>
      <w:r>
        <w:rPr>
          <w:rFonts w:hint="eastAsia"/>
        </w:rPr>
        <w:t>　慈善行业组织应当建立健全行业规范，加强行业自律。</w:t>
      </w:r>
    </w:p>
    <w:p>
      <w:pPr>
        <w:wordWrap/>
        <w:spacing w:line="560" w:lineRule="exact"/>
        <w:textAlignment w:val="auto"/>
        <w:rPr>
          <w:rFonts w:hint="eastAsia"/>
        </w:rPr>
      </w:pPr>
      <w:r>
        <w:rPr>
          <w:rFonts w:hint="eastAsia"/>
        </w:rPr>
        <w:t>　</w:t>
      </w:r>
      <w:r>
        <w:rPr>
          <w:rFonts w:hint="eastAsia" w:ascii="黑体" w:hAnsi="黑体" w:eastAsia="黑体" w:cs="黑体"/>
        </w:rPr>
        <w:t>　第九十七条</w:t>
      </w:r>
      <w:r>
        <w:rPr>
          <w:rFonts w:hint="eastAsia"/>
        </w:rPr>
        <w:t>　任何单位和个人发现慈善组织、慈善信托有违法行为的，可以向民政部门、其他有关部门或者慈善行业组织投诉、举报。民政部门、其他有关部门或者慈善行业组织接到投诉、举报后，应当及时调查处理。</w:t>
      </w:r>
    </w:p>
    <w:p>
      <w:pPr>
        <w:wordWrap/>
        <w:spacing w:line="560" w:lineRule="exact"/>
        <w:textAlignment w:val="auto"/>
        <w:rPr>
          <w:rFonts w:hint="eastAsia"/>
        </w:rPr>
      </w:pPr>
      <w:r>
        <w:rPr>
          <w:rFonts w:hint="eastAsia"/>
        </w:rPr>
        <w:t>　　国家鼓励公众、媒体对慈善活动进行监督，对假借慈善名义或者假冒慈善组织骗取财产以及慈善组织、慈善信托的违法违规行为予以曝光，发挥舆论和社会监督作用。</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第十一章　法律责任</w:t>
      </w:r>
    </w:p>
    <w:p>
      <w:pPr>
        <w:pStyle w:val="3"/>
        <w:rPr>
          <w:rFonts w:hint="eastAsia"/>
        </w:rPr>
      </w:pPr>
    </w:p>
    <w:p>
      <w:pPr>
        <w:wordWrap/>
        <w:spacing w:line="560" w:lineRule="exact"/>
        <w:textAlignment w:val="auto"/>
        <w:rPr>
          <w:rFonts w:hint="eastAsia"/>
        </w:rPr>
      </w:pPr>
      <w:r>
        <w:rPr>
          <w:rFonts w:hint="eastAsia" w:ascii="黑体" w:hAnsi="黑体" w:eastAsia="黑体" w:cs="黑体"/>
        </w:rPr>
        <w:t>　　第九十八条</w:t>
      </w:r>
      <w:r>
        <w:rPr>
          <w:rFonts w:hint="eastAsia"/>
        </w:rPr>
        <w:t>　慈善组织有下列情形之一的，由民政部门责令限期改正；逾期不改正的，吊销登记证书并予以公告：</w:t>
      </w:r>
    </w:p>
    <w:p>
      <w:pPr>
        <w:wordWrap/>
        <w:spacing w:line="560" w:lineRule="exact"/>
        <w:textAlignment w:val="auto"/>
        <w:rPr>
          <w:rFonts w:hint="eastAsia"/>
        </w:rPr>
      </w:pPr>
      <w:r>
        <w:rPr>
          <w:rFonts w:hint="eastAsia"/>
        </w:rPr>
        <w:t>　　（一）未按照慈善宗旨开展活动的；</w:t>
      </w:r>
    </w:p>
    <w:p>
      <w:pPr>
        <w:wordWrap/>
        <w:spacing w:line="560" w:lineRule="exact"/>
        <w:textAlignment w:val="auto"/>
        <w:rPr>
          <w:rFonts w:hint="eastAsia"/>
        </w:rPr>
      </w:pPr>
      <w:r>
        <w:rPr>
          <w:rFonts w:hint="eastAsia"/>
        </w:rPr>
        <w:t>　　（二）私分、挪用、截留或者侵占慈善财产的；</w:t>
      </w:r>
    </w:p>
    <w:p>
      <w:pPr>
        <w:wordWrap/>
        <w:spacing w:line="560" w:lineRule="exact"/>
        <w:textAlignment w:val="auto"/>
        <w:rPr>
          <w:rFonts w:hint="eastAsia"/>
        </w:rPr>
      </w:pPr>
      <w:r>
        <w:rPr>
          <w:rFonts w:hint="eastAsia"/>
        </w:rPr>
        <w:t>　　（三）接受附加违反法律法规或者违背社会公德条件的捐赠，或者对受益人附加违反法律法规或者违背社会公德的条件的。</w:t>
      </w:r>
    </w:p>
    <w:p>
      <w:pPr>
        <w:wordWrap/>
        <w:spacing w:line="560" w:lineRule="exact"/>
        <w:textAlignment w:val="auto"/>
        <w:rPr>
          <w:rFonts w:hint="eastAsia"/>
        </w:rPr>
      </w:pPr>
      <w:r>
        <w:rPr>
          <w:rFonts w:hint="eastAsia"/>
        </w:rPr>
        <w:t>　　</w:t>
      </w:r>
      <w:r>
        <w:rPr>
          <w:rFonts w:hint="eastAsia" w:ascii="黑体" w:hAnsi="黑体" w:eastAsia="黑体" w:cs="黑体"/>
        </w:rPr>
        <w:t>第九十九条</w:t>
      </w:r>
      <w:r>
        <w:rPr>
          <w:rFonts w:hint="eastAsia"/>
        </w:rPr>
        <w:t>　慈善组织有下列情形之一的，由民政部门予以警告、责令限期改正；逾期不改正的，责令限期停止活动并进行整改：</w:t>
      </w:r>
    </w:p>
    <w:p>
      <w:pPr>
        <w:wordWrap/>
        <w:spacing w:line="560" w:lineRule="exact"/>
        <w:textAlignment w:val="auto"/>
        <w:rPr>
          <w:rFonts w:hint="eastAsia"/>
        </w:rPr>
      </w:pPr>
      <w:r>
        <w:rPr>
          <w:rFonts w:hint="eastAsia"/>
        </w:rPr>
        <w:t>　　（一）违反本法第十四条规定造成慈善财产损失的；</w:t>
      </w:r>
    </w:p>
    <w:p>
      <w:pPr>
        <w:wordWrap/>
        <w:spacing w:line="560" w:lineRule="exact"/>
        <w:textAlignment w:val="auto"/>
        <w:rPr>
          <w:rFonts w:hint="eastAsia"/>
        </w:rPr>
      </w:pPr>
      <w:r>
        <w:rPr>
          <w:rFonts w:hint="eastAsia"/>
        </w:rPr>
        <w:t>　　（二）将不得用于投资的财产用于投资的；</w:t>
      </w:r>
    </w:p>
    <w:p>
      <w:pPr>
        <w:wordWrap/>
        <w:spacing w:line="560" w:lineRule="exact"/>
        <w:textAlignment w:val="auto"/>
        <w:rPr>
          <w:rFonts w:hint="eastAsia"/>
        </w:rPr>
      </w:pPr>
      <w:r>
        <w:rPr>
          <w:rFonts w:hint="eastAsia"/>
        </w:rPr>
        <w:t>　　（三）擅自改变捐赠财产用途的；</w:t>
      </w:r>
    </w:p>
    <w:p>
      <w:pPr>
        <w:wordWrap/>
        <w:spacing w:line="560" w:lineRule="exact"/>
        <w:textAlignment w:val="auto"/>
        <w:rPr>
          <w:rFonts w:hint="eastAsia"/>
        </w:rPr>
      </w:pPr>
      <w:r>
        <w:rPr>
          <w:rFonts w:hint="eastAsia"/>
        </w:rPr>
        <w:t>　　（四）开展慈善活动的年度支出或者管理费用的标准违反本法第六十条规定的；</w:t>
      </w:r>
    </w:p>
    <w:p>
      <w:pPr>
        <w:wordWrap/>
        <w:spacing w:line="560" w:lineRule="exact"/>
        <w:textAlignment w:val="auto"/>
        <w:rPr>
          <w:rFonts w:hint="eastAsia"/>
        </w:rPr>
      </w:pPr>
      <w:r>
        <w:rPr>
          <w:rFonts w:hint="eastAsia"/>
        </w:rPr>
        <w:t>　　（五）未依法履行信息公开义务的；</w:t>
      </w:r>
    </w:p>
    <w:p>
      <w:pPr>
        <w:wordWrap/>
        <w:spacing w:line="560" w:lineRule="exact"/>
        <w:textAlignment w:val="auto"/>
        <w:rPr>
          <w:rFonts w:hint="eastAsia"/>
        </w:rPr>
      </w:pPr>
      <w:r>
        <w:rPr>
          <w:rFonts w:hint="eastAsia"/>
        </w:rPr>
        <w:t>　　（六）未依法报送年度工作报告、财务会计报告或者报备募捐方案的；</w:t>
      </w:r>
    </w:p>
    <w:p>
      <w:pPr>
        <w:wordWrap/>
        <w:spacing w:line="560" w:lineRule="exact"/>
        <w:textAlignment w:val="auto"/>
        <w:rPr>
          <w:rFonts w:hint="eastAsia"/>
        </w:rPr>
      </w:pPr>
      <w:r>
        <w:rPr>
          <w:rFonts w:hint="eastAsia"/>
        </w:rPr>
        <w:t>　　（七）泄露捐赠人、志愿者、受益人个人隐私以及捐赠人、慈善信托的委托人不同意公开的姓名、名称、住所、通讯方式等信息的。</w:t>
      </w:r>
    </w:p>
    <w:p>
      <w:pPr>
        <w:wordWrap/>
        <w:spacing w:line="560" w:lineRule="exact"/>
        <w:textAlignment w:val="auto"/>
        <w:rPr>
          <w:rFonts w:hint="eastAsia"/>
        </w:rPr>
      </w:pPr>
      <w:r>
        <w:rPr>
          <w:rFonts w:hint="eastAsia"/>
        </w:rPr>
        <w:t>　　慈善组织违反本法规定泄露国家秘密、商业秘密的，依照有关法律的规定予以处罚。</w:t>
      </w:r>
    </w:p>
    <w:p>
      <w:pPr>
        <w:wordWrap/>
        <w:spacing w:line="560" w:lineRule="exact"/>
        <w:textAlignment w:val="auto"/>
        <w:rPr>
          <w:rFonts w:hint="eastAsia"/>
        </w:rPr>
      </w:pPr>
      <w:r>
        <w:rPr>
          <w:rFonts w:hint="eastAsia"/>
        </w:rPr>
        <w:t>　　慈善组织有前两款规定的情形，经依法处理后一年内再出现前款规定的情形，或者有其他情节严重情形的，由民政部门吊销登记证书并予以公告。</w:t>
      </w:r>
    </w:p>
    <w:p>
      <w:pPr>
        <w:wordWrap/>
        <w:spacing w:line="560" w:lineRule="exact"/>
        <w:textAlignment w:val="auto"/>
        <w:rPr>
          <w:rFonts w:hint="eastAsia"/>
        </w:rPr>
      </w:pPr>
      <w:r>
        <w:rPr>
          <w:rFonts w:hint="eastAsia"/>
        </w:rPr>
        <w:t>　　</w:t>
      </w:r>
      <w:r>
        <w:rPr>
          <w:rFonts w:hint="eastAsia" w:ascii="黑体" w:hAnsi="黑体" w:eastAsia="黑体" w:cs="黑体"/>
        </w:rPr>
        <w:t>第一百条</w:t>
      </w:r>
      <w:r>
        <w:rPr>
          <w:rFonts w:hint="eastAsia"/>
        </w:rPr>
        <w:t>　慈善组织有本法第九十八条、第九十九条规定的情形，有违法所得的，由民政部门予以没收；对直接负责的主管人员和其他直接责任人员处二万元以上二十万元以下罚款。</w:t>
      </w:r>
    </w:p>
    <w:p>
      <w:pPr>
        <w:wordWrap/>
        <w:spacing w:line="560" w:lineRule="exact"/>
        <w:textAlignment w:val="auto"/>
        <w:rPr>
          <w:rFonts w:hint="eastAsia"/>
        </w:rPr>
      </w:pPr>
      <w:r>
        <w:rPr>
          <w:rFonts w:hint="eastAsia"/>
        </w:rPr>
        <w:t>　</w:t>
      </w:r>
      <w:r>
        <w:rPr>
          <w:rFonts w:hint="eastAsia" w:ascii="黑体" w:hAnsi="黑体" w:eastAsia="黑体" w:cs="黑体"/>
        </w:rPr>
        <w:t>　第一百零一条</w:t>
      </w:r>
      <w:r>
        <w:rPr>
          <w:rFonts w:hint="eastAsia"/>
        </w:rPr>
        <w:t>　开展募捐活动有下列情形之一的，由民政部门予以警告、责令停止募捐活动；对违法募集的财产，责令退还捐赠人；难以退还的，由民政部门予以收缴，转给其他慈善组织用于慈善目的；对有关组织或者个人处二万元以上二十万元以下罚款：</w:t>
      </w:r>
    </w:p>
    <w:p>
      <w:pPr>
        <w:wordWrap/>
        <w:spacing w:line="560" w:lineRule="exact"/>
        <w:textAlignment w:val="auto"/>
        <w:rPr>
          <w:rFonts w:hint="eastAsia"/>
        </w:rPr>
      </w:pPr>
      <w:r>
        <w:rPr>
          <w:rFonts w:hint="eastAsia"/>
        </w:rPr>
        <w:t>　　（一）不具有公开募捐资格的组织或者个人开展公开募捐的；</w:t>
      </w:r>
    </w:p>
    <w:p>
      <w:pPr>
        <w:wordWrap/>
        <w:spacing w:line="560" w:lineRule="exact"/>
        <w:textAlignment w:val="auto"/>
        <w:rPr>
          <w:rFonts w:hint="eastAsia"/>
        </w:rPr>
      </w:pPr>
      <w:r>
        <w:rPr>
          <w:rFonts w:hint="eastAsia"/>
        </w:rPr>
        <w:t>　　（二）通过虚构事实等方式欺骗、诱导募捐对象实施捐赠的；</w:t>
      </w:r>
    </w:p>
    <w:p>
      <w:pPr>
        <w:wordWrap/>
        <w:spacing w:line="560" w:lineRule="exact"/>
        <w:textAlignment w:val="auto"/>
        <w:rPr>
          <w:rFonts w:hint="eastAsia"/>
        </w:rPr>
      </w:pPr>
      <w:r>
        <w:rPr>
          <w:rFonts w:hint="eastAsia"/>
        </w:rPr>
        <w:t>　　（三）向单位或者个人摊派或者变相摊派的；</w:t>
      </w:r>
    </w:p>
    <w:p>
      <w:pPr>
        <w:wordWrap/>
        <w:spacing w:line="560" w:lineRule="exact"/>
        <w:textAlignment w:val="auto"/>
        <w:rPr>
          <w:rFonts w:hint="eastAsia"/>
        </w:rPr>
      </w:pPr>
      <w:r>
        <w:rPr>
          <w:rFonts w:hint="eastAsia"/>
        </w:rPr>
        <w:t>　　（四）妨碍公共秩序、企业生产经营或者居民生活的。</w:t>
      </w:r>
    </w:p>
    <w:p>
      <w:pPr>
        <w:wordWrap/>
        <w:spacing w:line="560" w:lineRule="exact"/>
        <w:textAlignment w:val="auto"/>
        <w:rPr>
          <w:rFonts w:hint="eastAsia"/>
        </w:rPr>
      </w:pPr>
      <w:r>
        <w:rPr>
          <w:rFonts w:hint="eastAsia"/>
        </w:rPr>
        <w:t>　　广播、电视、报刊以及网络服务提供者、电信运营商未履行本法第二十七条规定的验证义务的，由其主管部门予以警告，责令限期改正；逾期不改正的，予以通报批评。</w:t>
      </w:r>
    </w:p>
    <w:p>
      <w:pPr>
        <w:wordWrap/>
        <w:spacing w:line="560" w:lineRule="exact"/>
        <w:textAlignment w:val="auto"/>
        <w:rPr>
          <w:rFonts w:hint="eastAsia"/>
        </w:rPr>
      </w:pPr>
      <w:r>
        <w:rPr>
          <w:rFonts w:hint="eastAsia"/>
        </w:rPr>
        <w:t>　　</w:t>
      </w:r>
      <w:r>
        <w:rPr>
          <w:rFonts w:hint="eastAsia" w:ascii="黑体" w:hAnsi="黑体" w:eastAsia="黑体" w:cs="黑体"/>
        </w:rPr>
        <w:t>第一百零二条</w:t>
      </w:r>
      <w:r>
        <w:rPr>
          <w:rFonts w:hint="eastAsia"/>
        </w:rPr>
        <w:t>　慈善组织不依法向捐赠人开具捐赠票据、不依法向志愿者出具志愿服务记录证明或者不及时主动向捐赠人反馈有关情况的，由民政部门予以警告，责令限期改正；逾期不改正的，责令限期停止活动。</w:t>
      </w:r>
    </w:p>
    <w:p>
      <w:pPr>
        <w:wordWrap/>
        <w:spacing w:line="560" w:lineRule="exact"/>
        <w:textAlignment w:val="auto"/>
        <w:rPr>
          <w:rFonts w:hint="eastAsia"/>
        </w:rPr>
      </w:pPr>
      <w:r>
        <w:rPr>
          <w:rFonts w:hint="eastAsia"/>
        </w:rPr>
        <w:t>　　</w:t>
      </w:r>
      <w:r>
        <w:rPr>
          <w:rFonts w:hint="eastAsia" w:ascii="黑体" w:hAnsi="黑体" w:eastAsia="黑体" w:cs="黑体"/>
        </w:rPr>
        <w:t>第一百零三条</w:t>
      </w:r>
      <w:r>
        <w:rPr>
          <w:rFonts w:hint="eastAsia"/>
        </w:rPr>
        <w:t>　慈善组织弄虚作假骗取税收优惠的，由税务机关依法查处；情节严重的，由民政部门吊销登记证书并予以公告。</w:t>
      </w:r>
    </w:p>
    <w:p>
      <w:pPr>
        <w:wordWrap/>
        <w:spacing w:line="560" w:lineRule="exact"/>
        <w:textAlignment w:val="auto"/>
        <w:rPr>
          <w:rFonts w:hint="eastAsia"/>
        </w:rPr>
      </w:pPr>
      <w:r>
        <w:rPr>
          <w:rFonts w:hint="eastAsia"/>
        </w:rPr>
        <w:t>　</w:t>
      </w:r>
      <w:r>
        <w:rPr>
          <w:rFonts w:hint="eastAsia" w:ascii="黑体" w:hAnsi="黑体" w:eastAsia="黑体" w:cs="黑体"/>
        </w:rPr>
        <w:t>　第一百零四条</w:t>
      </w:r>
      <w:r>
        <w:rPr>
          <w:rFonts w:hint="eastAsia"/>
        </w:rPr>
        <w:t>　慈善组织从事、资助危害国家安全或者社会公共利益活动的，由有关机关依法查处，由民政部门吊销登记证书并予以公告。</w:t>
      </w:r>
    </w:p>
    <w:p>
      <w:pPr>
        <w:wordWrap/>
        <w:spacing w:line="560" w:lineRule="exact"/>
        <w:textAlignment w:val="auto"/>
        <w:rPr>
          <w:rFonts w:hint="eastAsia"/>
        </w:rPr>
      </w:pPr>
      <w:r>
        <w:rPr>
          <w:rFonts w:hint="eastAsia"/>
        </w:rPr>
        <w:t>　　</w:t>
      </w:r>
      <w:r>
        <w:rPr>
          <w:rFonts w:hint="eastAsia" w:ascii="黑体" w:hAnsi="黑体" w:eastAsia="黑体" w:cs="黑体"/>
        </w:rPr>
        <w:t>第一百零五条</w:t>
      </w:r>
      <w:r>
        <w:rPr>
          <w:rFonts w:hint="eastAsia"/>
        </w:rPr>
        <w:t>　慈善信托的受托人有下列情形之一的，由民政部门予以警告，责令限期改正；有违法所得的，由民政部门予以没收；对直接负责的主管人员和其他直接责任人员处二万元以上二十万元以下罚款：</w:t>
      </w:r>
    </w:p>
    <w:p>
      <w:pPr>
        <w:wordWrap/>
        <w:spacing w:line="560" w:lineRule="exact"/>
        <w:textAlignment w:val="auto"/>
        <w:rPr>
          <w:rFonts w:hint="eastAsia"/>
        </w:rPr>
      </w:pPr>
      <w:r>
        <w:rPr>
          <w:rFonts w:hint="eastAsia"/>
        </w:rPr>
        <w:t>　　（一）将信托财产及其收益用于非慈善目的的；</w:t>
      </w:r>
    </w:p>
    <w:p>
      <w:pPr>
        <w:wordWrap/>
        <w:spacing w:line="560" w:lineRule="exact"/>
        <w:textAlignment w:val="auto"/>
        <w:rPr>
          <w:rFonts w:hint="eastAsia"/>
        </w:rPr>
      </w:pPr>
      <w:r>
        <w:rPr>
          <w:rFonts w:hint="eastAsia"/>
        </w:rPr>
        <w:t>　　（二）未按照规定将信托事务处理情况及财务状况向民政部门报告或者向社会公开的。</w:t>
      </w:r>
    </w:p>
    <w:p>
      <w:pPr>
        <w:wordWrap/>
        <w:spacing w:line="560" w:lineRule="exact"/>
        <w:textAlignment w:val="auto"/>
        <w:rPr>
          <w:rFonts w:hint="eastAsia"/>
        </w:rPr>
      </w:pPr>
      <w:r>
        <w:rPr>
          <w:rFonts w:hint="eastAsia"/>
        </w:rPr>
        <w:t>　　</w:t>
      </w:r>
      <w:r>
        <w:rPr>
          <w:rFonts w:hint="eastAsia" w:ascii="黑体" w:hAnsi="黑体" w:eastAsia="黑体" w:cs="黑体"/>
        </w:rPr>
        <w:t>第一百零六条</w:t>
      </w:r>
      <w:r>
        <w:rPr>
          <w:rFonts w:hint="eastAsia"/>
        </w:rPr>
        <w:t>　慈善服务过程中，因慈善组织或者志愿者过错造成受益人、第三人损害的，慈善组织依法承担赔偿责任；损害是由志愿者故意或者重大过失造成的，慈善组织可以向其追偿。</w:t>
      </w:r>
    </w:p>
    <w:p>
      <w:pPr>
        <w:wordWrap/>
        <w:spacing w:line="560" w:lineRule="exact"/>
        <w:textAlignment w:val="auto"/>
        <w:rPr>
          <w:rFonts w:hint="eastAsia"/>
        </w:rPr>
      </w:pPr>
      <w:r>
        <w:rPr>
          <w:rFonts w:hint="eastAsia"/>
        </w:rPr>
        <w:t>　　志愿者在参与慈善服务过程中，因慈善组织过错受到损害的，慈善组织依法承担赔偿责任；损害是由不可抗力造成的，慈善组织应当给予适当补偿。</w:t>
      </w:r>
    </w:p>
    <w:p>
      <w:pPr>
        <w:wordWrap/>
        <w:spacing w:line="560" w:lineRule="exact"/>
        <w:textAlignment w:val="auto"/>
        <w:rPr>
          <w:rFonts w:hint="eastAsia"/>
        </w:rPr>
      </w:pPr>
      <w:r>
        <w:rPr>
          <w:rFonts w:hint="eastAsia" w:ascii="黑体" w:hAnsi="黑体" w:eastAsia="黑体" w:cs="黑体"/>
        </w:rPr>
        <w:t>　　第一百零七条</w:t>
      </w:r>
      <w:r>
        <w:rPr>
          <w:rFonts w:hint="eastAsia"/>
        </w:rPr>
        <w:t>　自然人、法人或者其他组织假借慈善名义或者假冒慈善组织骗取财产的，由公安机关依法查处。</w:t>
      </w:r>
    </w:p>
    <w:p>
      <w:pPr>
        <w:wordWrap/>
        <w:spacing w:line="560" w:lineRule="exact"/>
        <w:textAlignment w:val="auto"/>
        <w:rPr>
          <w:rFonts w:hint="eastAsia"/>
        </w:rPr>
      </w:pPr>
      <w:r>
        <w:rPr>
          <w:rFonts w:hint="eastAsia"/>
        </w:rPr>
        <w:t>　　</w:t>
      </w:r>
      <w:r>
        <w:rPr>
          <w:rFonts w:hint="eastAsia" w:ascii="黑体" w:hAnsi="黑体" w:eastAsia="黑体" w:cs="黑体"/>
        </w:rPr>
        <w:t>第一百零八条</w:t>
      </w:r>
      <w:r>
        <w:rPr>
          <w:rFonts w:hint="eastAsia"/>
        </w:rPr>
        <w:t>　县级以上人民政府民政部门和其他有关部门及其工作人员有下列情形之一的，由上级机关或者监察机关责令改正；依法应当给予处分的，由任免机关或者监察机关对直接负责的主管人员和其他直接责任人员给予处分：</w:t>
      </w:r>
    </w:p>
    <w:p>
      <w:pPr>
        <w:wordWrap/>
        <w:spacing w:line="560" w:lineRule="exact"/>
        <w:textAlignment w:val="auto"/>
        <w:rPr>
          <w:rFonts w:hint="eastAsia"/>
        </w:rPr>
      </w:pPr>
      <w:r>
        <w:rPr>
          <w:rFonts w:hint="eastAsia"/>
        </w:rPr>
        <w:t>　　（一）未依法履行信息公开义务的；</w:t>
      </w:r>
    </w:p>
    <w:p>
      <w:pPr>
        <w:wordWrap/>
        <w:spacing w:line="560" w:lineRule="exact"/>
        <w:textAlignment w:val="auto"/>
        <w:rPr>
          <w:rFonts w:hint="eastAsia"/>
        </w:rPr>
      </w:pPr>
      <w:r>
        <w:rPr>
          <w:rFonts w:hint="eastAsia"/>
        </w:rPr>
        <w:t>　　（二）摊派或者变相摊派捐赠任务，强行指定志愿者、慈善组织提供服务的；</w:t>
      </w:r>
    </w:p>
    <w:p>
      <w:pPr>
        <w:wordWrap/>
        <w:spacing w:line="560" w:lineRule="exact"/>
        <w:textAlignment w:val="auto"/>
        <w:rPr>
          <w:rFonts w:hint="eastAsia"/>
        </w:rPr>
      </w:pPr>
      <w:r>
        <w:rPr>
          <w:rFonts w:hint="eastAsia"/>
        </w:rPr>
        <w:t>　　（三）未依法履行监督管理职责的；</w:t>
      </w:r>
    </w:p>
    <w:p>
      <w:pPr>
        <w:wordWrap/>
        <w:spacing w:line="560" w:lineRule="exact"/>
        <w:textAlignment w:val="auto"/>
        <w:rPr>
          <w:rFonts w:hint="eastAsia"/>
        </w:rPr>
      </w:pPr>
      <w:r>
        <w:rPr>
          <w:rFonts w:hint="eastAsia"/>
        </w:rPr>
        <w:t>　　（四）违法实施行政强制措施和行政处罚的；</w:t>
      </w:r>
    </w:p>
    <w:p>
      <w:pPr>
        <w:wordWrap/>
        <w:spacing w:line="560" w:lineRule="exact"/>
        <w:textAlignment w:val="auto"/>
        <w:rPr>
          <w:rFonts w:hint="eastAsia"/>
        </w:rPr>
      </w:pPr>
      <w:r>
        <w:rPr>
          <w:rFonts w:hint="eastAsia"/>
        </w:rPr>
        <w:t>　　（五）私分、挪用、截留或者侵占慈善财产的；</w:t>
      </w:r>
    </w:p>
    <w:p>
      <w:pPr>
        <w:wordWrap/>
        <w:spacing w:line="560" w:lineRule="exact"/>
        <w:textAlignment w:val="auto"/>
        <w:rPr>
          <w:rFonts w:hint="eastAsia"/>
        </w:rPr>
      </w:pPr>
      <w:r>
        <w:rPr>
          <w:rFonts w:hint="eastAsia"/>
        </w:rPr>
        <w:t>　　（六）其他滥用职权、玩忽职守、徇私舞弊的行为。</w:t>
      </w:r>
    </w:p>
    <w:p>
      <w:pPr>
        <w:wordWrap/>
        <w:spacing w:line="560" w:lineRule="exact"/>
        <w:textAlignment w:val="auto"/>
        <w:rPr>
          <w:rFonts w:hint="eastAsia"/>
        </w:rPr>
      </w:pPr>
      <w:r>
        <w:rPr>
          <w:rFonts w:hint="eastAsia"/>
        </w:rPr>
        <w:t>　　</w:t>
      </w:r>
      <w:r>
        <w:rPr>
          <w:rFonts w:hint="eastAsia" w:ascii="黑体" w:hAnsi="黑体" w:eastAsia="黑体" w:cs="黑体"/>
        </w:rPr>
        <w:t>第一百零九条</w:t>
      </w:r>
      <w:r>
        <w:rPr>
          <w:rFonts w:hint="eastAsia"/>
        </w:rPr>
        <w:t>　违反本法规定，构成违反治安管理行为的，由公安机关依法给予治安管理处罚；构成犯罪的，依法追究刑事责任。</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第十二章　附则</w:t>
      </w:r>
    </w:p>
    <w:p>
      <w:pPr>
        <w:pStyle w:val="3"/>
        <w:rPr>
          <w:rFonts w:hint="eastAsia"/>
        </w:rPr>
      </w:pPr>
    </w:p>
    <w:p>
      <w:pPr>
        <w:wordWrap/>
        <w:spacing w:line="560" w:lineRule="exact"/>
        <w:textAlignment w:val="auto"/>
        <w:rPr>
          <w:rFonts w:hint="eastAsia"/>
        </w:rPr>
      </w:pPr>
      <w:r>
        <w:rPr>
          <w:rFonts w:hint="eastAsia"/>
        </w:rPr>
        <w:t>　</w:t>
      </w:r>
      <w:r>
        <w:rPr>
          <w:rFonts w:hint="eastAsia" w:ascii="黑体" w:hAnsi="黑体" w:eastAsia="黑体" w:cs="黑体"/>
        </w:rPr>
        <w:t>　第一百一十条　</w:t>
      </w:r>
      <w:r>
        <w:rPr>
          <w:rFonts w:hint="eastAsia"/>
        </w:rPr>
        <w:t>城乡社区组织、单位可以在本社区、单位内部开展群众性互助互济活动。</w:t>
      </w:r>
    </w:p>
    <w:p>
      <w:pPr>
        <w:wordWrap/>
        <w:spacing w:line="560" w:lineRule="exact"/>
        <w:textAlignment w:val="auto"/>
        <w:rPr>
          <w:rFonts w:hint="eastAsia"/>
        </w:rPr>
      </w:pPr>
      <w:r>
        <w:rPr>
          <w:rFonts w:hint="eastAsia"/>
        </w:rPr>
        <w:t>　</w:t>
      </w:r>
      <w:r>
        <w:rPr>
          <w:rFonts w:hint="eastAsia" w:ascii="黑体" w:hAnsi="黑体" w:eastAsia="黑体" w:cs="黑体"/>
        </w:rPr>
        <w:t>　第一百一十一条</w:t>
      </w:r>
      <w:r>
        <w:rPr>
          <w:rFonts w:hint="eastAsia"/>
        </w:rPr>
        <w:t>　慈善组织以外的其他组织可以开展力所能及的慈善活动。</w:t>
      </w:r>
    </w:p>
    <w:p>
      <w:pPr>
        <w:wordWrap/>
        <w:spacing w:line="560" w:lineRule="exact"/>
        <w:textAlignment w:val="auto"/>
        <w:rPr>
          <w:rFonts w:hint="eastAsia"/>
        </w:rPr>
      </w:pPr>
      <w:r>
        <w:rPr>
          <w:rFonts w:hint="eastAsia" w:ascii="黑体" w:hAnsi="黑体" w:eastAsia="黑体" w:cs="黑体"/>
        </w:rPr>
        <w:t>　　第一百一十二条</w:t>
      </w:r>
      <w:r>
        <w:rPr>
          <w:rFonts w:hint="eastAsia"/>
        </w:rPr>
        <w:t>　本法自2016年9月1日起施行。</w:t>
      </w:r>
    </w:p>
    <w:p>
      <w:pPr>
        <w:wordWrap/>
        <w:spacing w:line="560" w:lineRule="exact"/>
        <w:jc w:val="center"/>
        <w:textAlignment w:val="auto"/>
        <w:outlineLvl w:val="0"/>
        <w:rPr>
          <w:rFonts w:hint="eastAsia" w:ascii="Times New Roman" w:hAnsi="Times New Roman" w:eastAsia="宋体" w:cs="宋体"/>
          <w:sz w:val="44"/>
          <w:szCs w:val="44"/>
        </w:rPr>
      </w:pPr>
    </w:p>
    <w:p>
      <w:pPr>
        <w:wordWrap/>
        <w:spacing w:line="560" w:lineRule="exact"/>
        <w:textAlignment w:val="auto"/>
        <w:rPr>
          <w:rFonts w:hint="eastAsia" w:ascii="Times New Roman" w:hAnsi="Times New Roman" w:eastAsia="宋体" w:cs="宋体"/>
          <w:sz w:val="44"/>
          <w:szCs w:val="44"/>
        </w:rPr>
      </w:pPr>
      <w:r>
        <w:rPr>
          <w:rFonts w:hint="eastAsia" w:ascii="Times New Roman" w:hAnsi="Times New Roman" w:eastAsia="宋体" w:cs="宋体"/>
          <w:sz w:val="44"/>
          <w:szCs w:val="44"/>
        </w:rPr>
        <w:br w:type="page"/>
      </w:r>
    </w:p>
    <w:p>
      <w:pPr>
        <w:wordWrap/>
        <w:spacing w:line="560" w:lineRule="exact"/>
        <w:jc w:val="center"/>
        <w:textAlignment w:val="auto"/>
        <w:outlineLvl w:val="0"/>
        <w:rPr>
          <w:rFonts w:hint="eastAsia" w:ascii="宋体" w:hAnsi="宋体" w:eastAsia="宋体" w:cs="宋体"/>
          <w:sz w:val="44"/>
          <w:szCs w:val="44"/>
        </w:rPr>
      </w:pPr>
      <w:bookmarkStart w:id="217" w:name="_Toc12828"/>
      <w:r>
        <w:rPr>
          <w:rFonts w:hint="eastAsia" w:ascii="宋体" w:hAnsi="宋体" w:eastAsia="宋体" w:cs="宋体"/>
          <w:sz w:val="44"/>
          <w:szCs w:val="44"/>
        </w:rPr>
        <w:t>中华人民共和国红十字会法</w:t>
      </w:r>
      <w:bookmarkEnd w:id="217"/>
    </w:p>
    <w:p>
      <w:pPr>
        <w:wordWrap/>
        <w:spacing w:line="560" w:lineRule="exact"/>
        <w:textAlignment w:val="auto"/>
        <w:rPr>
          <w:rFonts w:hint="eastAsia" w:ascii="楷体" w:hAnsi="楷体" w:eastAsia="楷体" w:cs="楷体"/>
        </w:rPr>
      </w:pPr>
    </w:p>
    <w:p>
      <w:pPr>
        <w:wordWrap/>
        <w:spacing w:line="560" w:lineRule="exact"/>
        <w:ind w:left="640" w:leftChars="200" w:right="525" w:rightChars="164" w:firstLine="0" w:firstLineChars="0"/>
        <w:textAlignment w:val="auto"/>
        <w:rPr>
          <w:rFonts w:hint="eastAsia" w:ascii="楷体" w:hAnsi="楷体" w:eastAsia="楷体" w:cs="楷体"/>
        </w:rPr>
      </w:pPr>
      <w:r>
        <w:rPr>
          <w:rFonts w:hint="eastAsia" w:ascii="楷体" w:hAnsi="楷体" w:eastAsia="楷体" w:cs="楷体"/>
        </w:rPr>
        <w:t>（1993年10月31日第八届全国人民代表大会常务委员会第四次会议通过 根据2009年8月27日第十一届全国人民代表大会常务委员会第十次会议《关于修改部分法律的决定》修正</w:t>
      </w:r>
      <w:r>
        <w:rPr>
          <w:rFonts w:hint="eastAsia" w:ascii="楷体" w:hAnsi="楷体" w:eastAsia="楷体" w:cs="楷体"/>
          <w:lang w:val="en-US" w:eastAsia="zh-CN"/>
        </w:rPr>
        <w:t xml:space="preserve">  </w:t>
      </w:r>
      <w:r>
        <w:rPr>
          <w:rFonts w:hint="eastAsia" w:ascii="楷体" w:hAnsi="楷体" w:eastAsia="楷体" w:cs="楷体"/>
        </w:rPr>
        <w:t>2017年2月24日第十二届全国人民代表大会常务委员会第二十六次会议修订）</w:t>
      </w:r>
    </w:p>
    <w:p>
      <w:pPr>
        <w:pStyle w:val="3"/>
        <w:rPr>
          <w:rFonts w:hint="eastAsia" w:ascii="楷体" w:hAnsi="楷体" w:eastAsia="楷体" w:cs="楷体"/>
        </w:rPr>
      </w:pPr>
    </w:p>
    <w:p>
      <w:pPr>
        <w:wordWrap/>
        <w:spacing w:line="560" w:lineRule="exact"/>
        <w:jc w:val="center"/>
        <w:textAlignment w:val="auto"/>
        <w:rPr>
          <w:rFonts w:hint="eastAsia" w:ascii="楷体" w:hAnsi="楷体" w:eastAsia="楷体" w:cs="楷体"/>
        </w:rPr>
      </w:pPr>
      <w:r>
        <w:rPr>
          <w:rFonts w:hint="eastAsia" w:ascii="楷体" w:hAnsi="楷体" w:eastAsia="楷体" w:cs="楷体"/>
        </w:rPr>
        <w:t>目 录</w:t>
      </w:r>
    </w:p>
    <w:p>
      <w:pPr>
        <w:wordWrap/>
        <w:spacing w:line="560" w:lineRule="exact"/>
        <w:textAlignment w:val="auto"/>
        <w:rPr>
          <w:rFonts w:hint="eastAsia" w:ascii="楷体" w:hAnsi="楷体" w:eastAsia="楷体" w:cs="楷体"/>
        </w:rPr>
      </w:pPr>
      <w:r>
        <w:rPr>
          <w:rFonts w:hint="eastAsia" w:ascii="楷体" w:hAnsi="楷体" w:eastAsia="楷体" w:cs="楷体"/>
        </w:rPr>
        <w:t>　　第一章　总 则</w:t>
      </w:r>
    </w:p>
    <w:p>
      <w:pPr>
        <w:wordWrap/>
        <w:spacing w:line="560" w:lineRule="exact"/>
        <w:textAlignment w:val="auto"/>
        <w:rPr>
          <w:rFonts w:hint="eastAsia" w:ascii="楷体" w:hAnsi="楷体" w:eastAsia="楷体" w:cs="楷体"/>
        </w:rPr>
      </w:pPr>
      <w:r>
        <w:rPr>
          <w:rFonts w:hint="eastAsia" w:ascii="楷体" w:hAnsi="楷体" w:eastAsia="楷体" w:cs="楷体"/>
        </w:rPr>
        <w:t>　　第二章　组 织</w:t>
      </w:r>
    </w:p>
    <w:p>
      <w:pPr>
        <w:wordWrap/>
        <w:spacing w:line="560" w:lineRule="exact"/>
        <w:textAlignment w:val="auto"/>
        <w:rPr>
          <w:rFonts w:hint="eastAsia" w:ascii="楷体" w:hAnsi="楷体" w:eastAsia="楷体" w:cs="楷体"/>
        </w:rPr>
      </w:pPr>
      <w:r>
        <w:rPr>
          <w:rFonts w:hint="eastAsia" w:ascii="楷体" w:hAnsi="楷体" w:eastAsia="楷体" w:cs="楷体"/>
        </w:rPr>
        <w:t>　　第三章　职 责</w:t>
      </w:r>
    </w:p>
    <w:p>
      <w:pPr>
        <w:wordWrap/>
        <w:spacing w:line="560" w:lineRule="exact"/>
        <w:textAlignment w:val="auto"/>
        <w:rPr>
          <w:rFonts w:hint="eastAsia" w:ascii="楷体" w:hAnsi="楷体" w:eastAsia="楷体" w:cs="楷体"/>
        </w:rPr>
      </w:pPr>
      <w:r>
        <w:rPr>
          <w:rFonts w:hint="eastAsia" w:ascii="楷体" w:hAnsi="楷体" w:eastAsia="楷体" w:cs="楷体"/>
        </w:rPr>
        <w:t>　　第四章　标志与名称</w:t>
      </w:r>
    </w:p>
    <w:p>
      <w:pPr>
        <w:wordWrap/>
        <w:spacing w:line="560" w:lineRule="exact"/>
        <w:textAlignment w:val="auto"/>
        <w:rPr>
          <w:rFonts w:hint="eastAsia" w:ascii="楷体" w:hAnsi="楷体" w:eastAsia="楷体" w:cs="楷体"/>
        </w:rPr>
      </w:pPr>
      <w:r>
        <w:rPr>
          <w:rFonts w:hint="eastAsia" w:ascii="楷体" w:hAnsi="楷体" w:eastAsia="楷体" w:cs="楷体"/>
        </w:rPr>
        <w:t>　　第五章　财产与监管</w:t>
      </w:r>
    </w:p>
    <w:p>
      <w:pPr>
        <w:wordWrap/>
        <w:spacing w:line="560" w:lineRule="exact"/>
        <w:textAlignment w:val="auto"/>
        <w:rPr>
          <w:rFonts w:hint="eastAsia" w:ascii="楷体" w:hAnsi="楷体" w:eastAsia="楷体" w:cs="楷体"/>
        </w:rPr>
      </w:pPr>
      <w:r>
        <w:rPr>
          <w:rFonts w:hint="eastAsia" w:ascii="楷体" w:hAnsi="楷体" w:eastAsia="楷体" w:cs="楷体"/>
        </w:rPr>
        <w:t>　　第六章　法律责任</w:t>
      </w:r>
    </w:p>
    <w:p>
      <w:pPr>
        <w:wordWrap/>
        <w:spacing w:line="560" w:lineRule="exact"/>
        <w:ind w:firstLine="640"/>
        <w:textAlignment w:val="auto"/>
        <w:rPr>
          <w:rFonts w:hint="eastAsia" w:ascii="楷体" w:hAnsi="楷体" w:eastAsia="楷体" w:cs="楷体"/>
        </w:rPr>
      </w:pPr>
      <w:r>
        <w:rPr>
          <w:rFonts w:hint="eastAsia" w:ascii="楷体" w:hAnsi="楷体" w:eastAsia="楷体" w:cs="楷体"/>
        </w:rPr>
        <w:t>第七章　附 则</w:t>
      </w:r>
    </w:p>
    <w:p>
      <w:pPr>
        <w:pStyle w:val="3"/>
        <w:ind w:firstLine="640"/>
        <w:rPr>
          <w:rFonts w:hint="eastAsia"/>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第一章　总则</w:t>
      </w:r>
    </w:p>
    <w:p>
      <w:pPr>
        <w:pStyle w:val="3"/>
        <w:rPr>
          <w:rFonts w:hint="eastAsia"/>
        </w:rPr>
      </w:pP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第一条</w:t>
      </w:r>
      <w:r>
        <w:rPr>
          <w:rFonts w:hint="eastAsia"/>
        </w:rPr>
        <w:t>　为了保护人的生命和健康，维护人的尊严，发扬人道主义精神，促进和平进步事业，保障和规范红十字会依法履行职责，制定本法。</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第二条</w:t>
      </w:r>
      <w:r>
        <w:rPr>
          <w:rFonts w:hint="eastAsia"/>
        </w:rPr>
        <w:t>　中国红十字会是中华人民共和国统一的红十字组织，是从事人道主义工作的社会救助团体。</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第三条</w:t>
      </w:r>
      <w:r>
        <w:rPr>
          <w:rFonts w:hint="eastAsia"/>
        </w:rPr>
        <w:t>　中华人民共和国公民，不分民族、种族、性别、职业、宗教信仰、教育程度，承认中国红十字会章程并缴纳会费的，可以自愿参加中国红十字会。</w:t>
      </w:r>
    </w:p>
    <w:p>
      <w:pPr>
        <w:wordWrap/>
        <w:spacing w:line="560" w:lineRule="exact"/>
        <w:textAlignment w:val="auto"/>
        <w:rPr>
          <w:rFonts w:hint="eastAsia"/>
        </w:rPr>
      </w:pPr>
      <w:r>
        <w:rPr>
          <w:rFonts w:hint="eastAsia"/>
        </w:rPr>
        <w:t>　　企业、事业单位及有关团体通过申请可以成为红十字会的团体会员。</w:t>
      </w:r>
    </w:p>
    <w:p>
      <w:pPr>
        <w:wordWrap/>
        <w:spacing w:line="560" w:lineRule="exact"/>
        <w:textAlignment w:val="auto"/>
        <w:rPr>
          <w:rFonts w:hint="eastAsia"/>
        </w:rPr>
      </w:pPr>
      <w:r>
        <w:rPr>
          <w:rFonts w:hint="eastAsia"/>
        </w:rPr>
        <w:t>　　国家鼓励自然人、法人以及其他组织参与红十字志愿服务。</w:t>
      </w:r>
    </w:p>
    <w:p>
      <w:pPr>
        <w:wordWrap/>
        <w:spacing w:line="560" w:lineRule="exact"/>
        <w:textAlignment w:val="auto"/>
        <w:rPr>
          <w:rFonts w:hint="eastAsia"/>
        </w:rPr>
      </w:pPr>
      <w:r>
        <w:rPr>
          <w:rFonts w:hint="eastAsia"/>
        </w:rPr>
        <w:t>　　国家支持在学校开展红十字青少年工作。</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第四条</w:t>
      </w:r>
      <w:r>
        <w:rPr>
          <w:rFonts w:hint="eastAsia"/>
        </w:rPr>
        <w:t>　中国红十字会应当遵守宪法和法律，遵循国际红十字和红新月运动确立的基本原则，依照中国批准或者加入的日内瓦公约及其附加议定书和中国红十字会章程，独立自主地开展工作。</w:t>
      </w:r>
    </w:p>
    <w:p>
      <w:pPr>
        <w:wordWrap/>
        <w:spacing w:line="560" w:lineRule="exact"/>
        <w:textAlignment w:val="auto"/>
        <w:rPr>
          <w:rFonts w:hint="eastAsia"/>
        </w:rPr>
      </w:pPr>
      <w:r>
        <w:rPr>
          <w:rFonts w:hint="eastAsia"/>
        </w:rPr>
        <w:t>　　中国红十字会全国会员代表大会依法制定或者修改中国红十字会章程，章程不得与宪法和法律相抵触。</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第五条</w:t>
      </w:r>
      <w:r>
        <w:rPr>
          <w:rFonts w:hint="eastAsia"/>
        </w:rPr>
        <w:t>　各级人民政府对红十字会给予支持和资助，保障红十字会依法履行职责，并对其活动进行监督。</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第六条</w:t>
      </w:r>
      <w:r>
        <w:rPr>
          <w:rFonts w:hint="eastAsia"/>
        </w:rPr>
        <w:t>　中国红十字会根据独立、平等、互相尊重的原则，发展同各国红十字会和红新月会的友好合作关系。</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第二章　组织</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第七条</w:t>
      </w:r>
      <w:r>
        <w:rPr>
          <w:rFonts w:hint="eastAsia"/>
        </w:rPr>
        <w:t>　全国建立中国红十字会总会。中国红十字会总会对外代表中国红十字会。</w:t>
      </w:r>
    </w:p>
    <w:p>
      <w:pPr>
        <w:wordWrap/>
        <w:spacing w:line="560" w:lineRule="exact"/>
        <w:textAlignment w:val="auto"/>
        <w:rPr>
          <w:rFonts w:hint="eastAsia"/>
        </w:rPr>
      </w:pPr>
      <w:r>
        <w:rPr>
          <w:rFonts w:hint="eastAsia"/>
        </w:rPr>
        <w:t>　　县级以上地方按行政区域建立地方各级红十字会，根据实际工作需要配备专职工作人员。</w:t>
      </w:r>
    </w:p>
    <w:p>
      <w:pPr>
        <w:wordWrap/>
        <w:spacing w:line="560" w:lineRule="exact"/>
        <w:textAlignment w:val="auto"/>
        <w:rPr>
          <w:rFonts w:hint="eastAsia"/>
        </w:rPr>
      </w:pPr>
      <w:r>
        <w:rPr>
          <w:rFonts w:hint="eastAsia"/>
        </w:rPr>
        <w:t>　　全国性行业根据需要可以建立行业红十字会。</w:t>
      </w:r>
    </w:p>
    <w:p>
      <w:pPr>
        <w:wordWrap/>
        <w:spacing w:line="560" w:lineRule="exact"/>
        <w:textAlignment w:val="auto"/>
        <w:rPr>
          <w:rFonts w:hint="eastAsia"/>
        </w:rPr>
      </w:pPr>
      <w:r>
        <w:rPr>
          <w:rFonts w:hint="eastAsia"/>
        </w:rPr>
        <w:t>　　上级红十字会指导下级红十字会工作。</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第八条</w:t>
      </w:r>
      <w:r>
        <w:rPr>
          <w:rFonts w:hint="eastAsia"/>
        </w:rPr>
        <w:t>　各级红十字会设立理事会、监事会。理事会、监事会由会员代表大会选举产生，向会员代表大会负责并报告工作，接受其监督。</w:t>
      </w:r>
    </w:p>
    <w:p>
      <w:pPr>
        <w:wordWrap/>
        <w:spacing w:line="560" w:lineRule="exact"/>
        <w:textAlignment w:val="auto"/>
        <w:rPr>
          <w:rFonts w:hint="eastAsia"/>
        </w:rPr>
      </w:pPr>
      <w:r>
        <w:rPr>
          <w:rFonts w:hint="eastAsia"/>
        </w:rPr>
        <w:t>　　理事会民主选举产生会长和副会长。理事会执行会员代表大会的决议。</w:t>
      </w:r>
    </w:p>
    <w:p>
      <w:pPr>
        <w:wordWrap/>
        <w:spacing w:line="560" w:lineRule="exact"/>
        <w:textAlignment w:val="auto"/>
        <w:rPr>
          <w:rFonts w:hint="eastAsia"/>
        </w:rPr>
      </w:pPr>
      <w:r>
        <w:rPr>
          <w:rFonts w:hint="eastAsia"/>
        </w:rPr>
        <w:t>　　执行委员会是理事会的常设执行机构，其人员组成由理事会决定，向理事会负责并报告工作。</w:t>
      </w:r>
    </w:p>
    <w:p>
      <w:pPr>
        <w:wordWrap/>
        <w:spacing w:line="560" w:lineRule="exact"/>
        <w:textAlignment w:val="auto"/>
        <w:rPr>
          <w:rFonts w:hint="eastAsia"/>
        </w:rPr>
      </w:pPr>
      <w:r>
        <w:rPr>
          <w:rFonts w:hint="eastAsia"/>
        </w:rPr>
        <w:t>　　监事会民主推选产生监事长和副监事长。理事会、执行委员会工作受监事会监督。</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第九条</w:t>
      </w:r>
      <w:r>
        <w:rPr>
          <w:rFonts w:hint="eastAsia"/>
        </w:rPr>
        <w:t>　中国红十字会总会可以设名誉会长和名誉副会长。名誉会长和名誉副会长由中国红十字会总会理事会聘请。</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第十条</w:t>
      </w:r>
      <w:r>
        <w:rPr>
          <w:rFonts w:hint="eastAsia"/>
        </w:rPr>
        <w:t>　中国红十字会总会具有社会团体法人资格；地方各级红十字会、行业红十字会依法取得社会团体法人资格。</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第三章　职责</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第十一条　</w:t>
      </w:r>
      <w:r>
        <w:rPr>
          <w:rFonts w:hint="eastAsia"/>
        </w:rPr>
        <w:t>红十字会履行下列职责：</w:t>
      </w:r>
    </w:p>
    <w:p>
      <w:pPr>
        <w:wordWrap/>
        <w:spacing w:line="560" w:lineRule="exact"/>
        <w:textAlignment w:val="auto"/>
        <w:rPr>
          <w:rFonts w:hint="eastAsia"/>
        </w:rPr>
      </w:pPr>
      <w:r>
        <w:rPr>
          <w:rFonts w:hint="eastAsia"/>
        </w:rPr>
        <w:t>　　（一）开展救援、救灾的相关工作，建立红十字应急救援体系。在战争、武装冲突和自然灾害、事故灾难、公共卫生事件等突发事件中，对伤病人员和其他受害者提供紧急救援和人道救助；</w:t>
      </w:r>
    </w:p>
    <w:p>
      <w:pPr>
        <w:wordWrap/>
        <w:spacing w:line="560" w:lineRule="exact"/>
        <w:textAlignment w:val="auto"/>
        <w:rPr>
          <w:rFonts w:hint="eastAsia"/>
        </w:rPr>
      </w:pPr>
      <w:r>
        <w:rPr>
          <w:rFonts w:hint="eastAsia"/>
        </w:rPr>
        <w:t>　　（二）开展应急救护培训，普及应急救护、防灾避险和卫生健康知识，组织志愿者参与现场救护；</w:t>
      </w:r>
    </w:p>
    <w:p>
      <w:pPr>
        <w:wordWrap/>
        <w:spacing w:line="560" w:lineRule="exact"/>
        <w:textAlignment w:val="auto"/>
        <w:rPr>
          <w:rFonts w:hint="eastAsia"/>
        </w:rPr>
      </w:pPr>
      <w:r>
        <w:rPr>
          <w:rFonts w:hint="eastAsia"/>
        </w:rPr>
        <w:t>　　（三）参与、推动无偿献血、遗体和人体器官捐献工作，参与开展造血干细胞捐献的相关工作；</w:t>
      </w:r>
    </w:p>
    <w:p>
      <w:pPr>
        <w:wordWrap/>
        <w:spacing w:line="560" w:lineRule="exact"/>
        <w:textAlignment w:val="auto"/>
        <w:rPr>
          <w:rFonts w:hint="eastAsia"/>
        </w:rPr>
      </w:pPr>
      <w:r>
        <w:rPr>
          <w:rFonts w:hint="eastAsia"/>
        </w:rPr>
        <w:t>　　（四）组织开展红十字志愿服务、红十字青少年工作；</w:t>
      </w:r>
    </w:p>
    <w:p>
      <w:pPr>
        <w:wordWrap/>
        <w:spacing w:line="560" w:lineRule="exact"/>
        <w:textAlignment w:val="auto"/>
        <w:rPr>
          <w:rFonts w:hint="eastAsia"/>
        </w:rPr>
      </w:pPr>
      <w:r>
        <w:rPr>
          <w:rFonts w:hint="eastAsia"/>
        </w:rPr>
        <w:t>　　（五）参加国际人道主义救援工作；</w:t>
      </w:r>
    </w:p>
    <w:p>
      <w:pPr>
        <w:wordWrap/>
        <w:spacing w:line="560" w:lineRule="exact"/>
        <w:textAlignment w:val="auto"/>
        <w:rPr>
          <w:rFonts w:hint="eastAsia"/>
        </w:rPr>
      </w:pPr>
      <w:r>
        <w:rPr>
          <w:rFonts w:hint="eastAsia"/>
        </w:rPr>
        <w:t>　　（六）宣传国际红十字和红新月运动的基本原则和日内瓦公约及其附加议定书；</w:t>
      </w:r>
    </w:p>
    <w:p>
      <w:pPr>
        <w:wordWrap/>
        <w:spacing w:line="560" w:lineRule="exact"/>
        <w:textAlignment w:val="auto"/>
        <w:rPr>
          <w:rFonts w:hint="eastAsia"/>
        </w:rPr>
      </w:pPr>
      <w:r>
        <w:rPr>
          <w:rFonts w:hint="eastAsia"/>
        </w:rPr>
        <w:t>　　（七）依照国际红十字和红新月运动的基本原则，完成人民政府委托事宜；</w:t>
      </w:r>
    </w:p>
    <w:p>
      <w:pPr>
        <w:wordWrap/>
        <w:spacing w:line="560" w:lineRule="exact"/>
        <w:textAlignment w:val="auto"/>
        <w:rPr>
          <w:rFonts w:hint="eastAsia"/>
        </w:rPr>
      </w:pPr>
      <w:r>
        <w:rPr>
          <w:rFonts w:hint="eastAsia"/>
        </w:rPr>
        <w:t>　　（八）依照日内瓦公约及其附加议定书的有关规定开展工作；</w:t>
      </w:r>
    </w:p>
    <w:p>
      <w:pPr>
        <w:wordWrap/>
        <w:spacing w:line="560" w:lineRule="exact"/>
        <w:textAlignment w:val="auto"/>
        <w:rPr>
          <w:rFonts w:hint="eastAsia"/>
        </w:rPr>
      </w:pPr>
      <w:r>
        <w:rPr>
          <w:rFonts w:hint="eastAsia"/>
        </w:rPr>
        <w:t>　　（九）协助人民政府开展与其职责相关的其他人道主义服务活动。</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第十二条　</w:t>
      </w:r>
      <w:r>
        <w:rPr>
          <w:rFonts w:hint="eastAsia"/>
        </w:rPr>
        <w:t>在战争、武装冲突和自然灾害、事故灾难、公共卫生事件等突发事件中，执行救援、救助任务并标有红十字标志的人员、物资和交通工具有优先通行的权利。</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第十三条</w:t>
      </w:r>
      <w:r>
        <w:rPr>
          <w:rFonts w:hint="eastAsia"/>
        </w:rPr>
        <w:t>　任何组织和个人不得阻碍红十字会工作人员依法履行救援、救助、救护职责。</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第四章　标志与名称</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第十四条</w:t>
      </w:r>
      <w:r>
        <w:rPr>
          <w:rFonts w:hint="eastAsia"/>
        </w:rPr>
        <w:t>　中国红十字会使用白底红十字标志。</w:t>
      </w:r>
    </w:p>
    <w:p>
      <w:pPr>
        <w:wordWrap/>
        <w:spacing w:line="560" w:lineRule="exact"/>
        <w:textAlignment w:val="auto"/>
        <w:rPr>
          <w:rFonts w:hint="eastAsia"/>
        </w:rPr>
      </w:pPr>
      <w:r>
        <w:rPr>
          <w:rFonts w:hint="eastAsia"/>
        </w:rPr>
        <w:t>　　红十字标志具有保护作用和标明作用。</w:t>
      </w:r>
    </w:p>
    <w:p>
      <w:pPr>
        <w:wordWrap/>
        <w:spacing w:line="560" w:lineRule="exact"/>
        <w:textAlignment w:val="auto"/>
        <w:rPr>
          <w:rFonts w:hint="eastAsia"/>
        </w:rPr>
      </w:pPr>
      <w:r>
        <w:rPr>
          <w:rFonts w:hint="eastAsia"/>
        </w:rPr>
        <w:t>　　红十字标志的保护使用，是标示在战争、武装冲突中必须受到尊重和保护的人员和设备、设施。其使用办法，依照日内瓦公约及其附加议定书的有关规定执行。</w:t>
      </w:r>
    </w:p>
    <w:p>
      <w:pPr>
        <w:wordWrap/>
        <w:spacing w:line="560" w:lineRule="exact"/>
        <w:textAlignment w:val="auto"/>
        <w:rPr>
          <w:rFonts w:hint="eastAsia"/>
        </w:rPr>
      </w:pPr>
      <w:r>
        <w:rPr>
          <w:rFonts w:hint="eastAsia"/>
        </w:rPr>
        <w:t>　　红十字标志的标明使用，是标示与红十字活动有关的人或者物。其使用办法，由国务院和中央军事委员会依据本法规定。</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第十五条</w:t>
      </w:r>
      <w:r>
        <w:rPr>
          <w:rFonts w:hint="eastAsia"/>
        </w:rPr>
        <w:t>　国家武装力量的医疗卫生机构使用红十字标志，应当符合日内瓦公约及其附加议定书的有关规定。</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第十六条</w:t>
      </w:r>
      <w:r>
        <w:rPr>
          <w:rFonts w:hint="eastAsia"/>
        </w:rPr>
        <w:t>　红十字标志和名称受法律保护。禁止利用红十字标志和名称牟利，禁止以任何形式冒用、滥用、篡改红十字标志和名称。</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第五章　财产与监管</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第十七条</w:t>
      </w:r>
      <w:r>
        <w:rPr>
          <w:rFonts w:hint="eastAsia"/>
        </w:rPr>
        <w:t>　红十字会财产的主要来源：</w:t>
      </w:r>
    </w:p>
    <w:p>
      <w:pPr>
        <w:wordWrap/>
        <w:spacing w:line="560" w:lineRule="exact"/>
        <w:textAlignment w:val="auto"/>
        <w:rPr>
          <w:rFonts w:hint="eastAsia"/>
        </w:rPr>
      </w:pPr>
      <w:r>
        <w:rPr>
          <w:rFonts w:hint="eastAsia"/>
        </w:rPr>
        <w:t>　　（一）红十字会会员缴纳的会费；</w:t>
      </w:r>
    </w:p>
    <w:p>
      <w:pPr>
        <w:wordWrap/>
        <w:spacing w:line="560" w:lineRule="exact"/>
        <w:textAlignment w:val="auto"/>
        <w:rPr>
          <w:rFonts w:hint="eastAsia"/>
        </w:rPr>
      </w:pPr>
      <w:r>
        <w:rPr>
          <w:rFonts w:hint="eastAsia"/>
        </w:rPr>
        <w:t>　　（二）境内外组织和个人捐赠的款物；</w:t>
      </w:r>
    </w:p>
    <w:p>
      <w:pPr>
        <w:wordWrap/>
        <w:spacing w:line="560" w:lineRule="exact"/>
        <w:textAlignment w:val="auto"/>
        <w:rPr>
          <w:rFonts w:hint="eastAsia"/>
        </w:rPr>
      </w:pPr>
      <w:r>
        <w:rPr>
          <w:rFonts w:hint="eastAsia"/>
        </w:rPr>
        <w:t>　　（三）动产和不动产的收入；</w:t>
      </w:r>
    </w:p>
    <w:p>
      <w:pPr>
        <w:wordWrap/>
        <w:spacing w:line="560" w:lineRule="exact"/>
        <w:textAlignment w:val="auto"/>
        <w:rPr>
          <w:rFonts w:hint="eastAsia"/>
        </w:rPr>
      </w:pPr>
      <w:r>
        <w:rPr>
          <w:rFonts w:hint="eastAsia"/>
        </w:rPr>
        <w:t>　　（四）人民政府的拨款；</w:t>
      </w:r>
    </w:p>
    <w:p>
      <w:pPr>
        <w:wordWrap/>
        <w:spacing w:line="560" w:lineRule="exact"/>
        <w:textAlignment w:val="auto"/>
        <w:rPr>
          <w:rFonts w:hint="eastAsia"/>
        </w:rPr>
      </w:pPr>
      <w:r>
        <w:rPr>
          <w:rFonts w:hint="eastAsia"/>
        </w:rPr>
        <w:t>　　（五）其他合法收入。</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第十八条</w:t>
      </w:r>
      <w:r>
        <w:rPr>
          <w:rFonts w:hint="eastAsia"/>
        </w:rPr>
        <w:t>　国家对红十字会兴办的与其宗旨相符的公益事业给予扶持。</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第十九条</w:t>
      </w:r>
      <w:r>
        <w:rPr>
          <w:rFonts w:hint="eastAsia"/>
        </w:rPr>
        <w:t>　红十字会可以依法进行募捐活动。募捐活动应当符合《中华人民共和国慈善法》的有关规定。</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第二十条　</w:t>
      </w:r>
      <w:r>
        <w:rPr>
          <w:rFonts w:hint="eastAsia"/>
        </w:rPr>
        <w:t>红十字会依法接受自然人、法人以及其他组织捐赠的款物，应当向捐赠人开具由财政部门统一监（印）制的公益事业捐赠票据。捐赠人匿名或者放弃接受捐赠票据的，红十字会应当做好相关记录。</w:t>
      </w:r>
    </w:p>
    <w:p>
      <w:pPr>
        <w:wordWrap/>
        <w:spacing w:line="560" w:lineRule="exact"/>
        <w:textAlignment w:val="auto"/>
        <w:rPr>
          <w:rFonts w:hint="eastAsia"/>
        </w:rPr>
      </w:pPr>
      <w:r>
        <w:rPr>
          <w:rFonts w:hint="eastAsia"/>
        </w:rPr>
        <w:t>　　捐赠人依法享受税收优惠。</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第二十一条</w:t>
      </w:r>
      <w:r>
        <w:rPr>
          <w:rFonts w:hint="eastAsia"/>
        </w:rPr>
        <w:t>　红十字会应当按照募捐方案、捐赠人意愿或者捐赠协议处分其接受的捐赠款物。</w:t>
      </w:r>
    </w:p>
    <w:p>
      <w:pPr>
        <w:wordWrap/>
        <w:spacing w:line="560" w:lineRule="exact"/>
        <w:textAlignment w:val="auto"/>
        <w:rPr>
          <w:rFonts w:hint="eastAsia"/>
        </w:rPr>
      </w:pPr>
      <w:r>
        <w:rPr>
          <w:rFonts w:hint="eastAsia"/>
        </w:rPr>
        <w:t>　　捐赠人有权查询、复制其捐赠财产管理使用的有关资料，红十字会应当及时主动向捐赠人反馈有关情况。</w:t>
      </w:r>
    </w:p>
    <w:p>
      <w:pPr>
        <w:wordWrap/>
        <w:spacing w:line="560" w:lineRule="exact"/>
        <w:textAlignment w:val="auto"/>
        <w:rPr>
          <w:rFonts w:hint="eastAsia"/>
        </w:rPr>
      </w:pPr>
      <w:r>
        <w:rPr>
          <w:rFonts w:hint="eastAsia"/>
        </w:rPr>
        <w:t>　　红十字会违反募捐方案、捐赠人意愿或者捐赠协议约定的用途，滥用捐赠财产的，捐赠人有权要求其改正；拒不改正的，捐赠人可以向人民政府民政部门投诉、举报或者向人民法院提起诉讼。</w:t>
      </w:r>
    </w:p>
    <w:p>
      <w:pPr>
        <w:wordWrap/>
        <w:spacing w:line="560" w:lineRule="exact"/>
        <w:textAlignment w:val="auto"/>
        <w:rPr>
          <w:rFonts w:hint="eastAsia"/>
        </w:rPr>
      </w:pPr>
      <w:r>
        <w:rPr>
          <w:rFonts w:hint="eastAsia" w:ascii="黑体" w:hAnsi="黑体" w:eastAsia="黑体" w:cs="黑体"/>
          <w:b w:val="0"/>
          <w:bCs w:val="0"/>
        </w:rPr>
        <w:t>　 第二十二条</w:t>
      </w:r>
      <w:r>
        <w:rPr>
          <w:rFonts w:hint="eastAsia"/>
        </w:rPr>
        <w:t>　红十字会应当建立财务管理、内部控制、审计公开和监督检查制度。</w:t>
      </w:r>
    </w:p>
    <w:p>
      <w:pPr>
        <w:wordWrap/>
        <w:spacing w:line="560" w:lineRule="exact"/>
        <w:textAlignment w:val="auto"/>
        <w:rPr>
          <w:rFonts w:hint="eastAsia"/>
        </w:rPr>
      </w:pPr>
      <w:r>
        <w:rPr>
          <w:rFonts w:hint="eastAsia"/>
        </w:rPr>
        <w:t>　　红十字会的财产使用应当与其宗旨相一致。</w:t>
      </w:r>
    </w:p>
    <w:p>
      <w:pPr>
        <w:wordWrap/>
        <w:spacing w:line="560" w:lineRule="exact"/>
        <w:textAlignment w:val="auto"/>
        <w:rPr>
          <w:rFonts w:hint="eastAsia"/>
        </w:rPr>
      </w:pPr>
      <w:r>
        <w:rPr>
          <w:rFonts w:hint="eastAsia"/>
        </w:rPr>
        <w:t>　　红十字会对接受的境外捐赠款物，应当建立专项审查监督制度。</w:t>
      </w:r>
    </w:p>
    <w:p>
      <w:pPr>
        <w:wordWrap/>
        <w:spacing w:line="560" w:lineRule="exact"/>
        <w:textAlignment w:val="auto"/>
        <w:rPr>
          <w:rFonts w:hint="eastAsia"/>
        </w:rPr>
      </w:pPr>
      <w:r>
        <w:rPr>
          <w:rFonts w:hint="eastAsia"/>
        </w:rPr>
        <w:t>　　红十字会应当及时聘请依法设立的独立第三方机构，对捐赠款物的收入和使用情况进行审计，将审计结果向红十字会理事会和监事会报告，并向社会公布。</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第二十三条</w:t>
      </w:r>
      <w:r>
        <w:rPr>
          <w:rFonts w:hint="eastAsia"/>
        </w:rPr>
        <w:t>　红十字会应当建立健全信息公开制度，规范信息发布，在统一的信息平台及时向社会公布捐赠款物的收入和使用情况，接受社会监督。</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第二十四条</w:t>
      </w:r>
      <w:r>
        <w:rPr>
          <w:rFonts w:hint="eastAsia"/>
        </w:rPr>
        <w:t>　红十字会财产的收入和使用情况依法接受人民政府审计等部门的监督。</w:t>
      </w:r>
    </w:p>
    <w:p>
      <w:pPr>
        <w:wordWrap/>
        <w:spacing w:line="560" w:lineRule="exact"/>
        <w:textAlignment w:val="auto"/>
        <w:rPr>
          <w:rFonts w:hint="eastAsia"/>
        </w:rPr>
      </w:pPr>
      <w:r>
        <w:rPr>
          <w:rFonts w:hint="eastAsia"/>
        </w:rPr>
        <w:t>　　红十字会接受社会捐赠及其使用情况，依法接受人民政府民政部门的监督。</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第二十五条</w:t>
      </w:r>
      <w:r>
        <w:rPr>
          <w:rFonts w:hint="eastAsia"/>
        </w:rPr>
        <w:t>　任何组织和个人不得私分、挪用、截留或者侵占红十字会的财产。</w:t>
      </w:r>
    </w:p>
    <w:p>
      <w:pPr>
        <w:wordWrap/>
        <w:spacing w:line="560" w:lineRule="exact"/>
        <w:jc w:val="center"/>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第六章　法律责任</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第二十六条</w:t>
      </w:r>
      <w:r>
        <w:rPr>
          <w:rFonts w:hint="eastAsia"/>
        </w:rPr>
        <w:t>　红十字会及其工作人员有下列情形之一的，由同级人民政府审计、民政等部门责令改正；情节严重的，对直接负责的主管人员和其他直接责任人员依法给予处分；造成损害的，依法承担民事责任；构成犯罪的，依法追究刑事责任：</w:t>
      </w:r>
    </w:p>
    <w:p>
      <w:pPr>
        <w:wordWrap/>
        <w:spacing w:line="560" w:lineRule="exact"/>
        <w:textAlignment w:val="auto"/>
        <w:rPr>
          <w:rFonts w:hint="eastAsia"/>
        </w:rPr>
      </w:pPr>
      <w:r>
        <w:rPr>
          <w:rFonts w:hint="eastAsia"/>
        </w:rPr>
        <w:t>　　（一）违背募捐方案、捐赠人意愿或者捐赠协议，擅自处分其接受的捐赠款物的；</w:t>
      </w:r>
    </w:p>
    <w:p>
      <w:pPr>
        <w:wordWrap/>
        <w:spacing w:line="560" w:lineRule="exact"/>
        <w:textAlignment w:val="auto"/>
        <w:rPr>
          <w:rFonts w:hint="eastAsia"/>
        </w:rPr>
      </w:pPr>
      <w:r>
        <w:rPr>
          <w:rFonts w:hint="eastAsia"/>
        </w:rPr>
        <w:t>　　（二）私分、挪用、截留或者侵占财产的；</w:t>
      </w:r>
    </w:p>
    <w:p>
      <w:pPr>
        <w:wordWrap/>
        <w:spacing w:line="560" w:lineRule="exact"/>
        <w:textAlignment w:val="auto"/>
        <w:rPr>
          <w:rFonts w:hint="eastAsia"/>
        </w:rPr>
      </w:pPr>
      <w:r>
        <w:rPr>
          <w:rFonts w:hint="eastAsia"/>
        </w:rPr>
        <w:t>　　（三）未依法向捐赠人反馈情况或者开具捐赠票据的；</w:t>
      </w:r>
    </w:p>
    <w:p>
      <w:pPr>
        <w:wordWrap/>
        <w:spacing w:line="560" w:lineRule="exact"/>
        <w:textAlignment w:val="auto"/>
        <w:rPr>
          <w:rFonts w:hint="eastAsia"/>
        </w:rPr>
      </w:pPr>
      <w:r>
        <w:rPr>
          <w:rFonts w:hint="eastAsia"/>
        </w:rPr>
        <w:t>　　（四）未依法对捐赠款物的收入和使用情况进行审计的；</w:t>
      </w:r>
    </w:p>
    <w:p>
      <w:pPr>
        <w:wordWrap/>
        <w:spacing w:line="560" w:lineRule="exact"/>
        <w:textAlignment w:val="auto"/>
        <w:rPr>
          <w:rFonts w:hint="eastAsia"/>
        </w:rPr>
      </w:pPr>
      <w:r>
        <w:rPr>
          <w:rFonts w:hint="eastAsia"/>
        </w:rPr>
        <w:t>　　（五）未依法公开信息的；</w:t>
      </w:r>
    </w:p>
    <w:p>
      <w:pPr>
        <w:wordWrap/>
        <w:spacing w:line="560" w:lineRule="exact"/>
        <w:textAlignment w:val="auto"/>
        <w:rPr>
          <w:rFonts w:hint="eastAsia"/>
        </w:rPr>
      </w:pPr>
      <w:r>
        <w:rPr>
          <w:rFonts w:hint="eastAsia"/>
        </w:rPr>
        <w:t>　　（六）法律、法规规定的其他情形。</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第二十七条</w:t>
      </w:r>
      <w:r>
        <w:rPr>
          <w:rFonts w:hint="eastAsia"/>
        </w:rPr>
        <w:t>　自然人、法人或者其他组织有下列情形之一，造成损害的，依法承担民事责任；构成违反治安管理行为的，依法给予治安管理处罚；构成犯罪的，依法追究刑事责任：</w:t>
      </w:r>
    </w:p>
    <w:p>
      <w:pPr>
        <w:wordWrap/>
        <w:spacing w:line="560" w:lineRule="exact"/>
        <w:textAlignment w:val="auto"/>
        <w:rPr>
          <w:rFonts w:hint="eastAsia"/>
        </w:rPr>
      </w:pPr>
      <w:r>
        <w:rPr>
          <w:rFonts w:hint="eastAsia"/>
        </w:rPr>
        <w:t>　　（一）冒用、滥用、篡改红十字标志和名称的；</w:t>
      </w:r>
    </w:p>
    <w:p>
      <w:pPr>
        <w:wordWrap/>
        <w:spacing w:line="560" w:lineRule="exact"/>
        <w:textAlignment w:val="auto"/>
        <w:rPr>
          <w:rFonts w:hint="eastAsia"/>
        </w:rPr>
      </w:pPr>
      <w:r>
        <w:rPr>
          <w:rFonts w:hint="eastAsia"/>
        </w:rPr>
        <w:t>　　（二）利用红十字标志和名称牟利的；</w:t>
      </w:r>
    </w:p>
    <w:p>
      <w:pPr>
        <w:wordWrap/>
        <w:spacing w:line="560" w:lineRule="exact"/>
        <w:textAlignment w:val="auto"/>
        <w:rPr>
          <w:rFonts w:hint="eastAsia"/>
        </w:rPr>
      </w:pPr>
      <w:r>
        <w:rPr>
          <w:rFonts w:hint="eastAsia"/>
        </w:rPr>
        <w:t>　　（三）制造、发布、传播虚假信息，损害红十字会名誉的；</w:t>
      </w:r>
    </w:p>
    <w:p>
      <w:pPr>
        <w:wordWrap/>
        <w:spacing w:line="560" w:lineRule="exact"/>
        <w:textAlignment w:val="auto"/>
        <w:rPr>
          <w:rFonts w:hint="eastAsia"/>
        </w:rPr>
      </w:pPr>
      <w:r>
        <w:rPr>
          <w:rFonts w:hint="eastAsia"/>
        </w:rPr>
        <w:t>　　（四）盗窃、损毁或者以其他方式侵害红十字会财产的；</w:t>
      </w:r>
    </w:p>
    <w:p>
      <w:pPr>
        <w:wordWrap/>
        <w:spacing w:line="560" w:lineRule="exact"/>
        <w:textAlignment w:val="auto"/>
        <w:rPr>
          <w:rFonts w:hint="eastAsia"/>
        </w:rPr>
      </w:pPr>
      <w:r>
        <w:rPr>
          <w:rFonts w:hint="eastAsia"/>
        </w:rPr>
        <w:t>　　（五）阻碍红十字会工作人员依法履行救援、救助、救护职责的；</w:t>
      </w:r>
    </w:p>
    <w:p>
      <w:pPr>
        <w:wordWrap/>
        <w:spacing w:line="560" w:lineRule="exact"/>
        <w:textAlignment w:val="auto"/>
        <w:rPr>
          <w:rFonts w:hint="eastAsia"/>
        </w:rPr>
      </w:pPr>
      <w:r>
        <w:rPr>
          <w:rFonts w:hint="eastAsia"/>
        </w:rPr>
        <w:t>　　（六）法律、法规规定的其他情形。</w:t>
      </w:r>
    </w:p>
    <w:p>
      <w:pPr>
        <w:wordWrap/>
        <w:spacing w:line="560" w:lineRule="exact"/>
        <w:textAlignment w:val="auto"/>
        <w:rPr>
          <w:rFonts w:hint="eastAsia"/>
        </w:rPr>
      </w:pPr>
      <w:r>
        <w:rPr>
          <w:rFonts w:hint="eastAsia"/>
        </w:rPr>
        <w:t>　　红十字会及其工作人员有前款第一项、第二项所列行为的，按照前款规定处罚。</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第二十八条</w:t>
      </w:r>
      <w:r>
        <w:rPr>
          <w:rFonts w:hint="eastAsia"/>
        </w:rPr>
        <w:t>　各级人民政府有关部门及其工作人员在实施监督管理中滥用职权、玩忽职守、徇私舞弊的，对直接负责的主管人员和其他直接责任人员依法给予处分；构成犯罪的，依法追究刑事责任。</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第七章　附 则</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第二十九条</w:t>
      </w:r>
      <w:r>
        <w:rPr>
          <w:rFonts w:hint="eastAsia"/>
        </w:rPr>
        <w:t>　本法所称“国际红十字和红新月运动确立的基本原则”，是指一九八六年十月日内瓦国际红十字大会第二十五次会议通过的“国际红十字和红新月运动章程”中确立的人道、公正、中立、独立、志愿服务、统一和普遍七项基本原则。</w:t>
      </w:r>
    </w:p>
    <w:p>
      <w:pPr>
        <w:wordWrap/>
        <w:spacing w:line="560" w:lineRule="exact"/>
        <w:textAlignment w:val="auto"/>
        <w:rPr>
          <w:rFonts w:hint="eastAsia"/>
        </w:rPr>
      </w:pPr>
      <w:r>
        <w:rPr>
          <w:rFonts w:hint="eastAsia"/>
        </w:rPr>
        <w:t>　　本法所称“日内瓦公约”，是指中国批准的于一九四九年八月十二日订立的日内瓦四公约，即：《改善战地武装部队伤者病者境遇之日内瓦公约》、《改善海上武装部队伤者病者及遇船难者境遇之日内瓦公约》、《关于战俘待遇之日内瓦公约》和《关于战时保护平民之日内瓦公约》。</w:t>
      </w:r>
    </w:p>
    <w:p>
      <w:pPr>
        <w:wordWrap/>
        <w:spacing w:line="560" w:lineRule="exact"/>
        <w:textAlignment w:val="auto"/>
        <w:rPr>
          <w:rFonts w:hint="eastAsia"/>
        </w:rPr>
      </w:pPr>
      <w:r>
        <w:rPr>
          <w:rFonts w:hint="eastAsia"/>
        </w:rPr>
        <w:t>　　本法所称日内瓦公约“附加议定书”，是指中国加入的于一九七七年六月八日订立的《一九四九年八月十二日日内瓦四公约关于保护国际性武装冲突受难者的附加议定书》和《一九四九年八月十二日日内瓦四公约关于保护非国际性武装冲突受难者的附加议定书》。</w:t>
      </w:r>
    </w:p>
    <w:p>
      <w:pPr>
        <w:wordWrap/>
        <w:spacing w:line="560" w:lineRule="exact"/>
        <w:textAlignment w:val="auto"/>
        <w:rPr>
          <w:rFonts w:hint="eastAsia" w:ascii="Times New Roman" w:hAnsi="Times New Roman" w:eastAsia="宋体" w:cs="宋体"/>
          <w:sz w:val="44"/>
          <w:szCs w:val="44"/>
        </w:rPr>
      </w:pPr>
      <w:r>
        <w:rPr>
          <w:rFonts w:hint="eastAsia"/>
        </w:rPr>
        <w:t xml:space="preserve">　 </w:t>
      </w:r>
      <w:r>
        <w:rPr>
          <w:rFonts w:hint="eastAsia" w:ascii="黑体" w:hAnsi="黑体" w:eastAsia="黑体" w:cs="黑体"/>
          <w:b w:val="0"/>
          <w:bCs w:val="0"/>
        </w:rPr>
        <w:t>第三十条</w:t>
      </w:r>
      <w:r>
        <w:rPr>
          <w:rFonts w:hint="eastAsia"/>
        </w:rPr>
        <w:t>　本法自2017年5月8日起施行。</w:t>
      </w:r>
    </w:p>
    <w:p>
      <w:pPr>
        <w:wordWrap/>
        <w:spacing w:line="560" w:lineRule="exact"/>
        <w:textAlignment w:val="auto"/>
        <w:rPr>
          <w:rFonts w:hint="eastAsia" w:ascii="Times New Roman" w:hAnsi="Times New Roman" w:eastAsia="宋体" w:cs="宋体"/>
          <w:sz w:val="44"/>
          <w:szCs w:val="44"/>
        </w:rPr>
      </w:pPr>
      <w:r>
        <w:rPr>
          <w:rFonts w:hint="eastAsia" w:ascii="Times New Roman" w:hAnsi="Times New Roman" w:eastAsia="宋体" w:cs="宋体"/>
          <w:sz w:val="44"/>
          <w:szCs w:val="44"/>
        </w:rPr>
        <w:br w:type="page"/>
      </w:r>
    </w:p>
    <w:p>
      <w:pPr>
        <w:pStyle w:val="4"/>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val="0"/>
          <w:kern w:val="2"/>
          <w:sz w:val="44"/>
          <w:szCs w:val="44"/>
          <w:lang w:val="en-US" w:eastAsia="zh-CN" w:bidi="ar-SA"/>
        </w:rPr>
      </w:pPr>
      <w:bookmarkStart w:id="218" w:name="_Toc3013"/>
      <w:r>
        <w:rPr>
          <w:rFonts w:hint="eastAsia" w:ascii="宋体" w:hAnsi="宋体" w:eastAsia="宋体" w:cs="宋体"/>
          <w:b w:val="0"/>
          <w:bCs w:val="0"/>
          <w:kern w:val="2"/>
          <w:sz w:val="44"/>
          <w:szCs w:val="44"/>
          <w:lang w:val="en-US" w:eastAsia="zh-CN" w:bidi="ar-SA"/>
        </w:rPr>
        <w:t>中华人民共和国公益事业捐赠法</w:t>
      </w:r>
      <w:bookmarkEnd w:id="218"/>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640" w:leftChars="200" w:right="525" w:rightChars="164" w:firstLine="0" w:firstLineChars="0"/>
        <w:jc w:val="both"/>
        <w:textAlignment w:val="auto"/>
        <w:outlineLvl w:val="9"/>
        <w:rPr>
          <w:rFonts w:hint="eastAsia" w:ascii="楷体" w:hAnsi="楷体" w:eastAsia="楷体" w:cs="楷体"/>
          <w:b w:val="0"/>
          <w:bCs w:val="0"/>
          <w:kern w:val="2"/>
          <w:sz w:val="32"/>
          <w:szCs w:val="32"/>
          <w:lang w:val="en-US" w:eastAsia="zh-CN" w:bidi="ar-SA"/>
        </w:rPr>
      </w:pP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640" w:leftChars="200" w:right="525" w:rightChars="164" w:firstLine="0" w:firstLineChars="0"/>
        <w:jc w:val="both"/>
        <w:textAlignment w:val="auto"/>
        <w:outlineLvl w:val="9"/>
        <w:rPr>
          <w:rFonts w:hint="default"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（1999年6月28日第九届全国人民代表大会常务委员会第十次会议通过  1999年6月28日中华人民共和国主席令第十九号公布  自1999年9月1日起施行）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640" w:leftChars="200" w:right="525" w:rightChars="164" w:firstLine="0" w:firstLineChars="0"/>
        <w:jc w:val="center"/>
        <w:textAlignment w:val="auto"/>
        <w:outlineLvl w:val="9"/>
        <w:rPr>
          <w:rFonts w:hint="default" w:ascii="楷体" w:hAnsi="楷体" w:eastAsia="楷体" w:cs="楷体"/>
          <w:b w:val="0"/>
          <w:bCs w:val="0"/>
          <w:kern w:val="2"/>
          <w:sz w:val="32"/>
          <w:szCs w:val="32"/>
          <w:lang w:val="en-US" w:eastAsia="zh-CN" w:bidi="ar-SA"/>
        </w:rPr>
      </w:pPr>
      <w:r>
        <w:rPr>
          <w:rFonts w:hint="default" w:ascii="楷体" w:hAnsi="楷体" w:eastAsia="楷体" w:cs="楷体"/>
          <w:b w:val="0"/>
          <w:bCs w:val="0"/>
          <w:kern w:val="2"/>
          <w:sz w:val="32"/>
          <w:szCs w:val="32"/>
          <w:lang w:val="en-US" w:eastAsia="zh-CN" w:bidi="ar-SA"/>
        </w:rPr>
        <w:t>目  录</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640" w:leftChars="200" w:right="525" w:rightChars="164" w:firstLine="0" w:firstLineChars="0"/>
        <w:jc w:val="both"/>
        <w:textAlignment w:val="auto"/>
        <w:outlineLvl w:val="9"/>
        <w:rPr>
          <w:rFonts w:hint="default" w:ascii="楷体" w:hAnsi="楷体" w:eastAsia="楷体" w:cs="楷体"/>
          <w:b w:val="0"/>
          <w:bCs w:val="0"/>
          <w:kern w:val="2"/>
          <w:sz w:val="32"/>
          <w:szCs w:val="32"/>
          <w:lang w:val="en-US" w:eastAsia="zh-CN" w:bidi="ar-SA"/>
        </w:rPr>
      </w:pPr>
      <w:r>
        <w:rPr>
          <w:rFonts w:hint="default" w:ascii="楷体" w:hAnsi="楷体" w:eastAsia="楷体" w:cs="楷体"/>
          <w:b w:val="0"/>
          <w:bCs w:val="0"/>
          <w:kern w:val="2"/>
          <w:sz w:val="32"/>
          <w:szCs w:val="32"/>
          <w:lang w:val="en-US" w:eastAsia="zh-CN" w:bidi="ar-SA"/>
        </w:rPr>
        <w:t>    第一章  总  则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第二章  捐赠和受赠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第三章  捐赠财产的使用和管理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第四章  优惠措施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第五章  法律责任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第六章  附  则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Times New Roman" w:hAnsi="Times New Roman" w:eastAsia="仿宋_GB2312" w:cs="Times New Roman"/>
          <w:b w:val="0"/>
          <w:bCs w:val="0"/>
          <w:kern w:val="2"/>
          <w:sz w:val="32"/>
          <w:szCs w:val="24"/>
          <w:lang w:val="en-US" w:eastAsia="zh-CN" w:bidi="ar-SA"/>
        </w:rPr>
      </w:pPr>
      <w:r>
        <w:rPr>
          <w:rFonts w:hint="default" w:ascii="楷体" w:hAnsi="楷体" w:eastAsia="楷体" w:cs="楷体"/>
          <w:b w:val="0"/>
          <w:bCs w:val="0"/>
          <w:kern w:val="2"/>
          <w:sz w:val="32"/>
          <w:szCs w:val="32"/>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eastAsia" w:ascii="黑体" w:hAnsi="黑体" w:eastAsia="黑体" w:cs="黑体"/>
          <w:b w:val="0"/>
          <w:bCs w:val="0"/>
          <w:kern w:val="2"/>
          <w:sz w:val="32"/>
          <w:szCs w:val="24"/>
          <w:lang w:val="en-US" w:eastAsia="zh-CN" w:bidi="ar-SA"/>
        </w:rPr>
        <w:t>第一章  总则</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Times New Roman" w:hAnsi="Times New Roman" w:eastAsia="仿宋_GB2312" w:cs="Times New Roman"/>
          <w:b w:val="0"/>
          <w:bCs w:val="0"/>
          <w:kern w:val="2"/>
          <w:sz w:val="32"/>
          <w:szCs w:val="24"/>
          <w:lang w:val="en-US" w:eastAsia="zh-CN" w:bidi="ar-SA"/>
        </w:rPr>
      </w:pP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eastAsia" w:ascii="黑体" w:hAnsi="黑体" w:eastAsia="黑体" w:cs="黑体"/>
          <w:b w:val="0"/>
          <w:bCs w:val="0"/>
          <w:kern w:val="2"/>
          <w:sz w:val="32"/>
          <w:szCs w:val="24"/>
          <w:lang w:val="en-US" w:eastAsia="zh-CN" w:bidi="ar-SA"/>
        </w:rPr>
        <w:t>第一条</w:t>
      </w:r>
      <w:r>
        <w:rPr>
          <w:rFonts w:hint="default" w:ascii="Times New Roman" w:hAnsi="Times New Roman" w:eastAsia="仿宋_GB2312" w:cs="Times New Roman"/>
          <w:b w:val="0"/>
          <w:bCs w:val="0"/>
          <w:kern w:val="2"/>
          <w:sz w:val="32"/>
          <w:szCs w:val="24"/>
          <w:lang w:val="en-US" w:eastAsia="zh-CN" w:bidi="ar-SA"/>
        </w:rPr>
        <w:t>  为了鼓励捐赠，规范捐赠和受赠行为，保护捐赠人、受赠人和受益人的合法权益，促进公益事业的发展，制定本法。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第二条</w:t>
      </w:r>
      <w:r>
        <w:rPr>
          <w:rFonts w:hint="default" w:ascii="Times New Roman" w:hAnsi="Times New Roman" w:eastAsia="仿宋_GB2312" w:cs="Times New Roman"/>
          <w:b w:val="0"/>
          <w:bCs w:val="0"/>
          <w:kern w:val="2"/>
          <w:sz w:val="32"/>
          <w:szCs w:val="24"/>
          <w:lang w:val="en-US" w:eastAsia="zh-CN" w:bidi="ar-SA"/>
        </w:rPr>
        <w:t>  自然人、法人或者其他组织自愿无偿向依法成立的公益性社会团体和公益性非营利的事业单位捐赠财产，用于公益事业的，适用本法。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第三条</w:t>
      </w:r>
      <w:r>
        <w:rPr>
          <w:rFonts w:hint="default" w:ascii="Times New Roman" w:hAnsi="Times New Roman" w:eastAsia="仿宋_GB2312" w:cs="Times New Roman"/>
          <w:b w:val="0"/>
          <w:bCs w:val="0"/>
          <w:kern w:val="2"/>
          <w:sz w:val="32"/>
          <w:szCs w:val="24"/>
          <w:lang w:val="en-US" w:eastAsia="zh-CN" w:bidi="ar-SA"/>
        </w:rPr>
        <w:t>  本法所称公益事业是指非营利的下列事项：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（一）救助灾害、救济贫困、扶助残疾人等困难的社会群体和个人的活动；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（二）教育、科学、文化、卫生、体育事业；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（三）环境保护、社会公共设施建设；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（四）促进社会发展和进步的其他社会公共和福利事业。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第四条</w:t>
      </w:r>
      <w:r>
        <w:rPr>
          <w:rFonts w:hint="default" w:ascii="Times New Roman" w:hAnsi="Times New Roman" w:eastAsia="仿宋_GB2312" w:cs="Times New Roman"/>
          <w:b w:val="0"/>
          <w:bCs w:val="0"/>
          <w:kern w:val="2"/>
          <w:sz w:val="32"/>
          <w:szCs w:val="24"/>
          <w:lang w:val="en-US" w:eastAsia="zh-CN" w:bidi="ar-SA"/>
        </w:rPr>
        <w:t>  捐赠应当是自愿和无偿的，禁止强行摊派或者变相摊派，不得以捐赠为名从事营利活动。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第五条</w:t>
      </w:r>
      <w:r>
        <w:rPr>
          <w:rFonts w:hint="default" w:ascii="Times New Roman" w:hAnsi="Times New Roman" w:eastAsia="仿宋_GB2312" w:cs="Times New Roman"/>
          <w:b w:val="0"/>
          <w:bCs w:val="0"/>
          <w:kern w:val="2"/>
          <w:sz w:val="32"/>
          <w:szCs w:val="24"/>
          <w:lang w:val="en-US" w:eastAsia="zh-CN" w:bidi="ar-SA"/>
        </w:rPr>
        <w:t>  捐赠财产的使用应当尊重捐赠人的意愿，符合公益目的，不得将捐赠财产挪作他用。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第六条</w:t>
      </w:r>
      <w:r>
        <w:rPr>
          <w:rFonts w:hint="default" w:ascii="Times New Roman" w:hAnsi="Times New Roman" w:eastAsia="仿宋_GB2312" w:cs="Times New Roman"/>
          <w:b w:val="0"/>
          <w:bCs w:val="0"/>
          <w:kern w:val="2"/>
          <w:sz w:val="32"/>
          <w:szCs w:val="24"/>
          <w:lang w:val="en-US" w:eastAsia="zh-CN" w:bidi="ar-SA"/>
        </w:rPr>
        <w:t>  捐赠应当遵守法律、法规，不得违背社会公德，不得损害公共利益和其他公民的合法权益。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第七条</w:t>
      </w:r>
      <w:r>
        <w:rPr>
          <w:rFonts w:hint="default" w:ascii="Times New Roman" w:hAnsi="Times New Roman" w:eastAsia="仿宋_GB2312" w:cs="Times New Roman"/>
          <w:b w:val="0"/>
          <w:bCs w:val="0"/>
          <w:kern w:val="2"/>
          <w:sz w:val="32"/>
          <w:szCs w:val="24"/>
          <w:lang w:val="en-US" w:eastAsia="zh-CN" w:bidi="ar-SA"/>
        </w:rPr>
        <w:t>  公益性社会团体受赠的财产及其增值为社会公共财产，受国家法律保护，任何单位和个人不得侵占、挪用和损毁。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第八条</w:t>
      </w:r>
      <w:r>
        <w:rPr>
          <w:rFonts w:hint="default" w:ascii="Times New Roman" w:hAnsi="Times New Roman" w:eastAsia="仿宋_GB2312" w:cs="Times New Roman"/>
          <w:b w:val="0"/>
          <w:bCs w:val="0"/>
          <w:kern w:val="2"/>
          <w:sz w:val="32"/>
          <w:szCs w:val="24"/>
          <w:lang w:val="en-US" w:eastAsia="zh-CN" w:bidi="ar-SA"/>
        </w:rPr>
        <w:t>  国家鼓励公益事业的发展，对公益性社会团体和公益性非营利的事业单位给予扶持和优待。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国家鼓励自然人、法人或者其他组织对公益事业进行捐赠。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对公益事业捐赠有突出贡献的自然人、法人或者其他组织，由人民政府或者有关部门予以表彰。对捐赠人进行公开表彰，应当事先征求捐赠人的意见。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第二章  捐赠和受赠</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Times New Roman" w:hAnsi="Times New Roman" w:eastAsia="仿宋_GB2312" w:cs="Times New Roman"/>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第九条</w:t>
      </w:r>
      <w:r>
        <w:rPr>
          <w:rFonts w:hint="default" w:ascii="Times New Roman" w:hAnsi="Times New Roman" w:eastAsia="仿宋_GB2312" w:cs="Times New Roman"/>
          <w:b w:val="0"/>
          <w:bCs w:val="0"/>
          <w:kern w:val="2"/>
          <w:sz w:val="32"/>
          <w:szCs w:val="24"/>
          <w:lang w:val="en-US" w:eastAsia="zh-CN" w:bidi="ar-SA"/>
        </w:rPr>
        <w:t>  自然人、法人或者其他组织可以选择符合其捐赠意愿的公益性社会团体和公益性非营利的事业单位进行捐赠。捐赠的财产应当是其有权处分的合法财产。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第十条</w:t>
      </w:r>
      <w:r>
        <w:rPr>
          <w:rFonts w:hint="default" w:ascii="Times New Roman" w:hAnsi="Times New Roman" w:eastAsia="仿宋_GB2312" w:cs="Times New Roman"/>
          <w:b w:val="0"/>
          <w:bCs w:val="0"/>
          <w:kern w:val="2"/>
          <w:sz w:val="32"/>
          <w:szCs w:val="24"/>
          <w:lang w:val="en-US" w:eastAsia="zh-CN" w:bidi="ar-SA"/>
        </w:rPr>
        <w:t>  公益性社会团体和公益性非营利的事业单位可以依照本法接受捐赠。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本法所称公益性社会团体是指依法成立的，以发展公益事业为宗旨的基金会、慈善组织等社会团体。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本法所称公益性非营利的事业单位是指依法成立的，从事公益事业的不以营利为目的的教育机构、科学研究机构、医疗卫生机构、社会公共文化机构、社会公共体育机构和社会福利机构等。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第十一条</w:t>
      </w:r>
      <w:r>
        <w:rPr>
          <w:rFonts w:hint="default" w:ascii="Times New Roman" w:hAnsi="Times New Roman" w:eastAsia="仿宋_GB2312" w:cs="Times New Roman"/>
          <w:b w:val="0"/>
          <w:bCs w:val="0"/>
          <w:kern w:val="2"/>
          <w:sz w:val="32"/>
          <w:szCs w:val="24"/>
          <w:lang w:val="en-US" w:eastAsia="zh-CN" w:bidi="ar-SA"/>
        </w:rPr>
        <w:t>  在发生自然灾害时或者境外捐赠人要求县级以上人民政府及其部门作为受赠人时，县级以上人民政府及其部门可以接受捐赠，并依照本法的有关规定对捐赠财产进行管理。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县级以上人民政府及其部门可以将受赠财产转交公益性社会团体或者公益性非营利的事业单位；也可以按照捐赠人的意愿分发或者兴办公益事业，但是不得以本机关为受益对象。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第十二条</w:t>
      </w:r>
      <w:r>
        <w:rPr>
          <w:rFonts w:hint="default" w:ascii="Times New Roman" w:hAnsi="Times New Roman" w:eastAsia="仿宋_GB2312" w:cs="Times New Roman"/>
          <w:b w:val="0"/>
          <w:bCs w:val="0"/>
          <w:kern w:val="2"/>
          <w:sz w:val="32"/>
          <w:szCs w:val="24"/>
          <w:lang w:val="en-US" w:eastAsia="zh-CN" w:bidi="ar-SA"/>
        </w:rPr>
        <w:t>  捐赠人可以与受赠人就捐赠财产的种类、质量、数量和用途等内容订立捐赠协议。捐赠人有权决定捐赠的数量、用途和方式。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捐赠人应当依法履行捐赠协议，按照捐赠协议约定的期限和方式将捐赠财产转移给受赠人。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第十三条</w:t>
      </w:r>
      <w:r>
        <w:rPr>
          <w:rFonts w:hint="default" w:ascii="Times New Roman" w:hAnsi="Times New Roman" w:eastAsia="仿宋_GB2312" w:cs="Times New Roman"/>
          <w:b w:val="0"/>
          <w:bCs w:val="0"/>
          <w:kern w:val="2"/>
          <w:sz w:val="32"/>
          <w:szCs w:val="24"/>
          <w:lang w:val="en-US" w:eastAsia="zh-CN" w:bidi="ar-SA"/>
        </w:rPr>
        <w:t>  捐赠人捐赠财产兴建公益事业工程项目，应当与受赠人订立捐赠协议，对工程项目的资金、建设、管理和使用作出约定。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捐赠的公益事业工程项目由受赠单位按照国家有关规定办理项目审批手续，并组织施工或者由受赠人和捐赠人共同组织施工。工程质量应当符合国家质量标准。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捐赠的公益事业工程项目竣工后，受赠单位应当将工程建设、建设资金的使用和工程质量验收情况向捐赠人通报。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第十四条</w:t>
      </w:r>
      <w:r>
        <w:rPr>
          <w:rFonts w:hint="default" w:ascii="Times New Roman" w:hAnsi="Times New Roman" w:eastAsia="仿宋_GB2312" w:cs="Times New Roman"/>
          <w:b w:val="0"/>
          <w:bCs w:val="0"/>
          <w:kern w:val="2"/>
          <w:sz w:val="32"/>
          <w:szCs w:val="24"/>
          <w:lang w:val="en-US" w:eastAsia="zh-CN" w:bidi="ar-SA"/>
        </w:rPr>
        <w:t>  捐赠人对于捐赠的公益事业工程项目可以留名纪念；捐赠人单独捐赠的工程项目或者主要由捐赠人出资兴建的工程项目，可以由捐赠人提出工程项目的名称，报县级以上人民政府批准。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第十五条</w:t>
      </w:r>
      <w:r>
        <w:rPr>
          <w:rFonts w:hint="default" w:ascii="Times New Roman" w:hAnsi="Times New Roman" w:eastAsia="仿宋_GB2312" w:cs="Times New Roman"/>
          <w:b w:val="0"/>
          <w:bCs w:val="0"/>
          <w:kern w:val="2"/>
          <w:sz w:val="32"/>
          <w:szCs w:val="24"/>
          <w:lang w:val="en-US" w:eastAsia="zh-CN" w:bidi="ar-SA"/>
        </w:rPr>
        <w:t>  境外捐赠人捐赠的财产，由受赠人按照国家有关规定办理入境手续；捐赠实行许可证管理的物品，由受赠人按照国家有关规定办理许可证申领手续，海关凭许可证验放、监管。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华侨向境内捐赠的，县级以上人民政府侨务部门可以协助办理有关入境手续，为捐赠人实施捐赠项目提供帮助。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第三章  捐赠财产的使用和管理</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黑体" w:hAnsi="黑体" w:eastAsia="黑体" w:cs="黑体"/>
          <w:b w:val="0"/>
          <w:bCs w:val="0"/>
          <w:kern w:val="2"/>
          <w:sz w:val="32"/>
          <w:szCs w:val="24"/>
          <w:lang w:val="en-US" w:eastAsia="zh-CN" w:bidi="ar-SA"/>
        </w:rPr>
      </w:pP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第十六条</w:t>
      </w:r>
      <w:r>
        <w:rPr>
          <w:rFonts w:hint="default" w:ascii="Times New Roman" w:hAnsi="Times New Roman" w:eastAsia="仿宋_GB2312" w:cs="Times New Roman"/>
          <w:b w:val="0"/>
          <w:bCs w:val="0"/>
          <w:kern w:val="2"/>
          <w:sz w:val="32"/>
          <w:szCs w:val="24"/>
          <w:lang w:val="en-US" w:eastAsia="zh-CN" w:bidi="ar-SA"/>
        </w:rPr>
        <w:t>  受赠人接受捐赠后，应当向捐赠人出具合法、有效的收据，将受赠财产登记造册，妥善保管。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第十七条</w:t>
      </w:r>
      <w:r>
        <w:rPr>
          <w:rFonts w:hint="default" w:ascii="Times New Roman" w:hAnsi="Times New Roman" w:eastAsia="仿宋_GB2312" w:cs="Times New Roman"/>
          <w:b w:val="0"/>
          <w:bCs w:val="0"/>
          <w:kern w:val="2"/>
          <w:sz w:val="32"/>
          <w:szCs w:val="24"/>
          <w:lang w:val="en-US" w:eastAsia="zh-CN" w:bidi="ar-SA"/>
        </w:rPr>
        <w:t>  公益性社会团体应当将受赠财产用于资助符合其宗旨的活动和事业。对于接受的救助灾害的捐赠财产，应当及时用于救助活动。基金会每年用于资助公益事业的资金数额，不得低于国家规定的比例。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公益性社会团体应当严格遵守国家的有关规定，按照合法、安全、有效的原则，积极实现捐赠财产的保值增值。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公益性非营利的事业单位应当将受赠财产用于发展本单位的公益事业，不得挪作他用。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对于不易储存、运输和超过实际需要的受赠财产，受赠人可以变卖，所取得的全部收入，应当用于捐赠目的。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第十八条</w:t>
      </w:r>
      <w:r>
        <w:rPr>
          <w:rFonts w:hint="default" w:ascii="Times New Roman" w:hAnsi="Times New Roman" w:eastAsia="仿宋_GB2312" w:cs="Times New Roman"/>
          <w:b w:val="0"/>
          <w:bCs w:val="0"/>
          <w:kern w:val="2"/>
          <w:sz w:val="32"/>
          <w:szCs w:val="24"/>
          <w:lang w:val="en-US" w:eastAsia="zh-CN" w:bidi="ar-SA"/>
        </w:rPr>
        <w:t>  受赠人与捐赠人订立了捐赠协议的，应当按照协议约定的用途使用捐赠财产，不得擅自改变捐赠财产的用途。如果确需改变用途的，应当征得捐赠人的同意。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第十九条</w:t>
      </w:r>
      <w:r>
        <w:rPr>
          <w:rFonts w:hint="default" w:ascii="Times New Roman" w:hAnsi="Times New Roman" w:eastAsia="仿宋_GB2312" w:cs="Times New Roman"/>
          <w:b w:val="0"/>
          <w:bCs w:val="0"/>
          <w:kern w:val="2"/>
          <w:sz w:val="32"/>
          <w:szCs w:val="24"/>
          <w:lang w:val="en-US" w:eastAsia="zh-CN" w:bidi="ar-SA"/>
        </w:rPr>
        <w:t>  受赠人应当依照国家有关规定，建立健全财务会计制度和受赠财产的使用制度，加强对受赠财产的管理。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第二十条</w:t>
      </w:r>
      <w:r>
        <w:rPr>
          <w:rFonts w:hint="default" w:ascii="Times New Roman" w:hAnsi="Times New Roman" w:eastAsia="仿宋_GB2312" w:cs="Times New Roman"/>
          <w:b w:val="0"/>
          <w:bCs w:val="0"/>
          <w:kern w:val="2"/>
          <w:sz w:val="32"/>
          <w:szCs w:val="24"/>
          <w:lang w:val="en-US" w:eastAsia="zh-CN" w:bidi="ar-SA"/>
        </w:rPr>
        <w:t>  受赠人每年度应当向政府有关部门报告受赠财产的使用、管理情况，接受监督。必要时，政府有关部门可以对其财务进行审计。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海关对减免关税的捐赠物品依法实施监督和管理。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县级以上人民政府侨务部门可以参与对华侨向境内捐赠财产使用与管理的监督。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第二十一条</w:t>
      </w:r>
      <w:r>
        <w:rPr>
          <w:rFonts w:hint="default" w:ascii="Times New Roman" w:hAnsi="Times New Roman" w:eastAsia="仿宋_GB2312" w:cs="Times New Roman"/>
          <w:b w:val="0"/>
          <w:bCs w:val="0"/>
          <w:kern w:val="2"/>
          <w:sz w:val="32"/>
          <w:szCs w:val="24"/>
          <w:lang w:val="en-US" w:eastAsia="zh-CN" w:bidi="ar-SA"/>
        </w:rPr>
        <w:t>  捐赠人有权向受赠人查询捐赠财产的使用、管理情况，并提出意见和建议。对于捐赠人的查询，受赠人应当如实答复。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第二十二条</w:t>
      </w:r>
      <w:r>
        <w:rPr>
          <w:rFonts w:hint="default" w:ascii="Times New Roman" w:hAnsi="Times New Roman" w:eastAsia="仿宋_GB2312" w:cs="Times New Roman"/>
          <w:b w:val="0"/>
          <w:bCs w:val="0"/>
          <w:kern w:val="2"/>
          <w:sz w:val="32"/>
          <w:szCs w:val="24"/>
          <w:lang w:val="en-US" w:eastAsia="zh-CN" w:bidi="ar-SA"/>
        </w:rPr>
        <w:t>  受赠人应当公开接受捐赠的情况和受赠财产的使用、管理情况，接受社会监督。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第二十三条</w:t>
      </w:r>
      <w:r>
        <w:rPr>
          <w:rFonts w:hint="default" w:ascii="Times New Roman" w:hAnsi="Times New Roman" w:eastAsia="仿宋_GB2312" w:cs="Times New Roman"/>
          <w:b w:val="0"/>
          <w:bCs w:val="0"/>
          <w:kern w:val="2"/>
          <w:sz w:val="32"/>
          <w:szCs w:val="24"/>
          <w:lang w:val="en-US" w:eastAsia="zh-CN" w:bidi="ar-SA"/>
        </w:rPr>
        <w:t>  公益性社会团体应当厉行节约，降低管理成本，工作人员的工资和办公费用从利息等收入中按照国家规定的标准开支。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黑体" w:hAnsi="黑体" w:eastAsia="黑体" w:cs="黑体"/>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第四章  优惠措施</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Times New Roman" w:hAnsi="Times New Roman" w:eastAsia="仿宋_GB2312" w:cs="Times New Roman"/>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第二十四条</w:t>
      </w:r>
      <w:r>
        <w:rPr>
          <w:rFonts w:hint="default" w:ascii="Times New Roman" w:hAnsi="Times New Roman" w:eastAsia="仿宋_GB2312" w:cs="Times New Roman"/>
          <w:b w:val="0"/>
          <w:bCs w:val="0"/>
          <w:kern w:val="2"/>
          <w:sz w:val="32"/>
          <w:szCs w:val="24"/>
          <w:lang w:val="en-US" w:eastAsia="zh-CN" w:bidi="ar-SA"/>
        </w:rPr>
        <w:t>  公司和其他企业依照本法的规定捐赠财产用于公益事业，依照法律、行政法规的规定享受企业所得税方面的优惠。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第二十五条</w:t>
      </w:r>
      <w:r>
        <w:rPr>
          <w:rFonts w:hint="default" w:ascii="Times New Roman" w:hAnsi="Times New Roman" w:eastAsia="仿宋_GB2312" w:cs="Times New Roman"/>
          <w:b w:val="0"/>
          <w:bCs w:val="0"/>
          <w:kern w:val="2"/>
          <w:sz w:val="32"/>
          <w:szCs w:val="24"/>
          <w:lang w:val="en-US" w:eastAsia="zh-CN" w:bidi="ar-SA"/>
        </w:rPr>
        <w:t>  自然人和个体工商户依照本法的规定捐赠财产用于公益事业，依照法律、行政法规的规定享受个人所得税方面的优惠。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第二十六条</w:t>
      </w:r>
      <w:r>
        <w:rPr>
          <w:rFonts w:hint="default" w:ascii="Times New Roman" w:hAnsi="Times New Roman" w:eastAsia="仿宋_GB2312" w:cs="Times New Roman"/>
          <w:b w:val="0"/>
          <w:bCs w:val="0"/>
          <w:kern w:val="2"/>
          <w:sz w:val="32"/>
          <w:szCs w:val="24"/>
          <w:lang w:val="en-US" w:eastAsia="zh-CN" w:bidi="ar-SA"/>
        </w:rPr>
        <w:t>  境外向公益性社会团体和公益性非营利的事业单位捐赠的用于公益事业的物资，依照法律、行政法规的规定减征或者免征进口关税和进口环节的增值税。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第二十七条</w:t>
      </w:r>
      <w:r>
        <w:rPr>
          <w:rFonts w:hint="default" w:ascii="Times New Roman" w:hAnsi="Times New Roman" w:eastAsia="仿宋_GB2312" w:cs="Times New Roman"/>
          <w:b w:val="0"/>
          <w:bCs w:val="0"/>
          <w:kern w:val="2"/>
          <w:sz w:val="32"/>
          <w:szCs w:val="24"/>
          <w:lang w:val="en-US" w:eastAsia="zh-CN" w:bidi="ar-SA"/>
        </w:rPr>
        <w:t>  对于捐赠的工程项目，当地人民政府应当给予支持和优惠。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第五章  法律责任</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黑体" w:hAnsi="黑体" w:eastAsia="黑体" w:cs="黑体"/>
          <w:b w:val="0"/>
          <w:bCs w:val="0"/>
          <w:kern w:val="2"/>
          <w:sz w:val="32"/>
          <w:szCs w:val="24"/>
          <w:lang w:val="en-US" w:eastAsia="zh-CN" w:bidi="ar-SA"/>
        </w:rPr>
      </w:pP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第二十八条</w:t>
      </w:r>
      <w:r>
        <w:rPr>
          <w:rFonts w:hint="default" w:ascii="Times New Roman" w:hAnsi="Times New Roman" w:eastAsia="仿宋_GB2312" w:cs="Times New Roman"/>
          <w:b w:val="0"/>
          <w:bCs w:val="0"/>
          <w:kern w:val="2"/>
          <w:sz w:val="32"/>
          <w:szCs w:val="24"/>
          <w:lang w:val="en-US" w:eastAsia="zh-CN" w:bidi="ar-SA"/>
        </w:rPr>
        <w:t>  受赠人未征得捐赠人的许可，擅自改变捐赠财产的性质、用途的，由县级以上人民政府有关部门责令改正，给予警告。拒不改正的，经征求捐赠人的意见，由县级以上人民政府将捐赠财产交由与其宗旨相同或者相似的公益性社会团体或者公益性非营利的事业单位管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第二十九条</w:t>
      </w:r>
      <w:r>
        <w:rPr>
          <w:rFonts w:hint="default" w:ascii="Times New Roman" w:hAnsi="Times New Roman" w:eastAsia="仿宋_GB2312" w:cs="Times New Roman"/>
          <w:b w:val="0"/>
          <w:bCs w:val="0"/>
          <w:kern w:val="2"/>
          <w:sz w:val="32"/>
          <w:szCs w:val="24"/>
          <w:lang w:val="en-US" w:eastAsia="zh-CN" w:bidi="ar-SA"/>
        </w:rPr>
        <w:t>  挪用、侵占或者贪污捐赠款物的，由县级以上人民政府有关部门责令退还所用、所得款物，并处以罚款；对直接责任人员，由所在单位依照有关规定予以处理；构成犯罪的，依法追究刑事责任。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依照前款追回、追缴的捐赠款物，应当用于原捐赠目的和用途。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第三十条</w:t>
      </w:r>
      <w:r>
        <w:rPr>
          <w:rFonts w:hint="default" w:ascii="Times New Roman" w:hAnsi="Times New Roman" w:eastAsia="仿宋_GB2312" w:cs="Times New Roman"/>
          <w:b w:val="0"/>
          <w:bCs w:val="0"/>
          <w:kern w:val="2"/>
          <w:sz w:val="32"/>
          <w:szCs w:val="24"/>
          <w:lang w:val="en-US" w:eastAsia="zh-CN" w:bidi="ar-SA"/>
        </w:rPr>
        <w:t>  在捐赠活动中，有下列行为之一的，依照法律、法规的有关规定予以处罚；构成犯罪的，依法追究刑事责任：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（一）逃汇、骗购外汇的；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（二）偷税、逃税的；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（三）进行走私活动的；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（四）未经海关许可并且未补缴应缴税额，擅自将减税、免税进口的捐赠物资在境内销售、转让或者移作他用的。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第三十一条</w:t>
      </w:r>
      <w:r>
        <w:rPr>
          <w:rFonts w:hint="default" w:ascii="Times New Roman" w:hAnsi="Times New Roman" w:eastAsia="仿宋_GB2312" w:cs="Times New Roman"/>
          <w:b w:val="0"/>
          <w:bCs w:val="0"/>
          <w:kern w:val="2"/>
          <w:sz w:val="32"/>
          <w:szCs w:val="24"/>
          <w:lang w:val="en-US" w:eastAsia="zh-CN" w:bidi="ar-SA"/>
        </w:rPr>
        <w:t>  受赠单位的工作人员，滥用职权，玩忽职守，徇私舞弊，致使捐赠财产造成重大损失的，由所在单位依照有关规定予以处理；构成犯罪的，依法追究刑事责任。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w:t>
      </w:r>
      <w:r>
        <w:rPr>
          <w:rFonts w:hint="default" w:ascii="黑体" w:hAnsi="黑体" w:eastAsia="黑体" w:cs="黑体"/>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第六章  附则</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eastAsia" w:ascii="Times New Roman" w:hAnsi="Times New Roman" w:eastAsia="宋体" w:cs="宋体"/>
          <w:sz w:val="44"/>
          <w:szCs w:val="44"/>
        </w:rPr>
      </w:pP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第三十二条</w:t>
      </w:r>
      <w:r>
        <w:rPr>
          <w:rFonts w:hint="default" w:ascii="Times New Roman" w:hAnsi="Times New Roman" w:eastAsia="仿宋_GB2312" w:cs="Times New Roman"/>
          <w:b w:val="0"/>
          <w:bCs w:val="0"/>
          <w:kern w:val="2"/>
          <w:sz w:val="32"/>
          <w:szCs w:val="24"/>
          <w:lang w:val="en-US" w:eastAsia="zh-CN" w:bidi="ar-SA"/>
        </w:rPr>
        <w:t>  本法自1999年9月1日起施行。</w:t>
      </w:r>
    </w:p>
    <w:p>
      <w:pPr>
        <w:wordWrap/>
        <w:adjustRightInd/>
        <w:snapToGrid/>
        <w:spacing w:line="560" w:lineRule="exact"/>
        <w:textAlignment w:val="auto"/>
        <w:rPr>
          <w:rFonts w:hint="eastAsia" w:ascii="Times New Roman" w:hAnsi="Times New Roman" w:eastAsia="宋体" w:cs="宋体"/>
          <w:sz w:val="44"/>
          <w:szCs w:val="44"/>
        </w:rPr>
      </w:pPr>
      <w:r>
        <w:rPr>
          <w:rFonts w:hint="eastAsia" w:ascii="Times New Roman" w:hAnsi="Times New Roman" w:eastAsia="宋体" w:cs="宋体"/>
          <w:sz w:val="44"/>
          <w:szCs w:val="44"/>
        </w:rPr>
        <w:br w:type="page"/>
      </w:r>
    </w:p>
    <w:p>
      <w:pPr>
        <w:rPr>
          <w:rFonts w:hint="eastAsia" w:ascii="宋体" w:hAnsi="宋体" w:eastAsia="宋体" w:cs="Arial"/>
          <w:kern w:val="0"/>
          <w:szCs w:val="32"/>
        </w:rPr>
      </w:pPr>
    </w:p>
    <w:p>
      <w:pPr>
        <w:rPr>
          <w:rFonts w:hint="eastAsia" w:ascii="宋体" w:hAnsi="宋体" w:eastAsia="宋体" w:cs="Arial"/>
          <w:kern w:val="0"/>
          <w:szCs w:val="32"/>
        </w:rPr>
      </w:pPr>
    </w:p>
    <w:p>
      <w:pPr>
        <w:jc w:val="center"/>
        <w:rPr>
          <w:rFonts w:ascii="宋体" w:hAnsi="宋体" w:eastAsia="宋体" w:cs="Arial"/>
          <w:bCs/>
          <w:sz w:val="44"/>
          <w:szCs w:val="44"/>
        </w:rPr>
      </w:pPr>
      <w:r>
        <w:rPr>
          <w:rFonts w:ascii="宋体" w:hAnsi="宋体" w:eastAsia="宋体" w:cs="Arial"/>
          <w:bCs/>
          <w:sz w:val="44"/>
          <w:szCs w:val="44"/>
        </w:rPr>
        <w:t>中华人民共和国刑法</w:t>
      </w:r>
    </w:p>
    <w:p>
      <w:pPr>
        <w:ind w:left="640" w:leftChars="200" w:right="640" w:rightChars="200"/>
        <w:rPr>
          <w:rFonts w:ascii="宋体" w:hAnsi="宋体" w:eastAsia="宋体" w:cs="Arial"/>
          <w:bCs/>
          <w:szCs w:val="32"/>
        </w:rPr>
      </w:pPr>
    </w:p>
    <w:p>
      <w:pPr>
        <w:ind w:left="640" w:leftChars="200" w:right="640" w:rightChars="200"/>
        <w:rPr>
          <w:rFonts w:hint="eastAsia" w:ascii="宋体" w:hAnsi="宋体" w:eastAsia="宋体" w:cs="Arial"/>
          <w:bCs/>
          <w:szCs w:val="32"/>
        </w:rPr>
      </w:pPr>
      <w:r>
        <w:rPr>
          <w:rFonts w:hint="eastAsia" w:ascii="楷体_GB2312" w:hAnsi="Arial" w:eastAsia="楷体_GB2312" w:cs="Arial"/>
          <w:szCs w:val="32"/>
        </w:rPr>
        <w:t>（</w:t>
      </w:r>
      <w:r>
        <w:rPr>
          <w:rFonts w:hint="default" w:ascii="Times New Roman" w:hAnsi="Times New Roman" w:eastAsia="楷体_GB2312" w:cs="Times New Roman"/>
          <w:szCs w:val="32"/>
        </w:rPr>
        <w:t>1979</w:t>
      </w:r>
      <w:r>
        <w:rPr>
          <w:rFonts w:hint="eastAsia" w:ascii="楷体_GB2312" w:hAnsi="Arial" w:eastAsia="楷体_GB2312" w:cs="Arial"/>
          <w:szCs w:val="32"/>
        </w:rPr>
        <w:t>年</w:t>
      </w:r>
      <w:r>
        <w:rPr>
          <w:rFonts w:hint="default" w:ascii="Times New Roman" w:hAnsi="Times New Roman" w:eastAsia="楷体_GB2312" w:cs="Times New Roman"/>
          <w:szCs w:val="32"/>
        </w:rPr>
        <w:t>7</w:t>
      </w:r>
      <w:r>
        <w:rPr>
          <w:rFonts w:hint="eastAsia" w:ascii="楷体_GB2312" w:hAnsi="Arial" w:eastAsia="楷体_GB2312" w:cs="Arial"/>
          <w:szCs w:val="32"/>
        </w:rPr>
        <w:t>月</w:t>
      </w:r>
      <w:r>
        <w:rPr>
          <w:rFonts w:hint="default" w:ascii="Times New Roman" w:hAnsi="Times New Roman" w:eastAsia="楷体_GB2312" w:cs="Times New Roman"/>
          <w:szCs w:val="32"/>
        </w:rPr>
        <w:t>1</w:t>
      </w:r>
      <w:r>
        <w:rPr>
          <w:rFonts w:hint="eastAsia" w:ascii="楷体_GB2312" w:hAnsi="Arial" w:eastAsia="楷体_GB2312" w:cs="Arial"/>
          <w:szCs w:val="32"/>
        </w:rPr>
        <w:t>日第五届全国人民代表大会第二次会议通过　</w:t>
      </w:r>
      <w:r>
        <w:rPr>
          <w:rFonts w:hint="default" w:ascii="Times New Roman" w:hAnsi="Times New Roman" w:eastAsia="楷体_GB2312" w:cs="Times New Roman"/>
          <w:szCs w:val="32"/>
        </w:rPr>
        <w:t>1997</w:t>
      </w:r>
      <w:r>
        <w:rPr>
          <w:rFonts w:hint="eastAsia" w:ascii="楷体_GB2312" w:hAnsi="Arial" w:eastAsia="楷体_GB2312" w:cs="Arial"/>
          <w:szCs w:val="32"/>
        </w:rPr>
        <w:t>年</w:t>
      </w:r>
      <w:r>
        <w:rPr>
          <w:rFonts w:hint="default" w:ascii="Times New Roman" w:hAnsi="Times New Roman" w:eastAsia="楷体_GB2312" w:cs="Times New Roman"/>
          <w:szCs w:val="32"/>
        </w:rPr>
        <w:t>3</w:t>
      </w:r>
      <w:r>
        <w:rPr>
          <w:rFonts w:hint="eastAsia" w:ascii="楷体_GB2312" w:hAnsi="Arial" w:eastAsia="楷体_GB2312" w:cs="Arial"/>
          <w:szCs w:val="32"/>
        </w:rPr>
        <w:t>月</w:t>
      </w:r>
      <w:r>
        <w:rPr>
          <w:rFonts w:hint="default" w:ascii="Times New Roman" w:hAnsi="Times New Roman" w:eastAsia="楷体_GB2312" w:cs="Times New Roman"/>
          <w:szCs w:val="32"/>
        </w:rPr>
        <w:t>14</w:t>
      </w:r>
      <w:r>
        <w:rPr>
          <w:rFonts w:hint="eastAsia" w:ascii="楷体_GB2312" w:hAnsi="Arial" w:eastAsia="楷体_GB2312" w:cs="Arial"/>
          <w:szCs w:val="32"/>
        </w:rPr>
        <w:t>日第八届全国人民代表大会第五次会议修订　根据</w:t>
      </w:r>
      <w:r>
        <w:rPr>
          <w:rFonts w:hint="default" w:ascii="Times New Roman" w:hAnsi="Times New Roman" w:eastAsia="楷体_GB2312" w:cs="Times New Roman"/>
          <w:szCs w:val="32"/>
        </w:rPr>
        <w:t>1998</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日第九届全国人民代表大会常务委员会第六次会议通过的《全国人民代表大会常务委员会关于惩治骗购外汇、逃汇和非法买卖外汇犯罪的决定》、</w:t>
      </w:r>
      <w:r>
        <w:rPr>
          <w:rFonts w:hint="default" w:ascii="Times New Roman" w:hAnsi="Times New Roman" w:eastAsia="楷体_GB2312" w:cs="Times New Roman"/>
          <w:szCs w:val="32"/>
        </w:rPr>
        <w:t>1999</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25</w:t>
      </w:r>
      <w:r>
        <w:rPr>
          <w:rFonts w:hint="eastAsia" w:ascii="楷体_GB2312" w:hAnsi="Arial" w:eastAsia="楷体_GB2312" w:cs="Arial"/>
          <w:szCs w:val="32"/>
        </w:rPr>
        <w:t>日第九届全国人民代表大会常务委员会第十三次会议通过的《中华人民共和国刑法修正案》、</w:t>
      </w:r>
      <w:r>
        <w:rPr>
          <w:rFonts w:hint="default" w:ascii="Times New Roman" w:hAnsi="Times New Roman" w:eastAsia="楷体_GB2312" w:cs="Times New Roman"/>
          <w:szCs w:val="32"/>
        </w:rPr>
        <w:t>2001</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31</w:t>
      </w:r>
      <w:r>
        <w:rPr>
          <w:rFonts w:hint="eastAsia" w:ascii="楷体_GB2312" w:hAnsi="Arial" w:eastAsia="楷体_GB2312" w:cs="Arial"/>
          <w:szCs w:val="32"/>
        </w:rPr>
        <w:t>日第九届全国人民代表大会常务委员会第二十三次会议通过的《中华人民共和国刑法修正案（二）》、</w:t>
      </w:r>
      <w:r>
        <w:rPr>
          <w:rFonts w:hint="default" w:ascii="Times New Roman" w:hAnsi="Times New Roman" w:eastAsia="楷体_GB2312" w:cs="Times New Roman"/>
          <w:szCs w:val="32"/>
        </w:rPr>
        <w:t>2001</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日第九届全国人民代表大会常务委员会第二十五次会议通过的《中华人民共和国刑法修正案（三）》、</w:t>
      </w:r>
      <w:r>
        <w:rPr>
          <w:rFonts w:hint="default" w:ascii="Times New Roman" w:hAnsi="Times New Roman" w:eastAsia="楷体_GB2312" w:cs="Times New Roman"/>
          <w:szCs w:val="32"/>
        </w:rPr>
        <w:t>2002</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28</w:t>
      </w:r>
      <w:r>
        <w:rPr>
          <w:rFonts w:hint="eastAsia" w:ascii="楷体_GB2312" w:hAnsi="Arial" w:eastAsia="楷体_GB2312" w:cs="Arial"/>
          <w:szCs w:val="32"/>
        </w:rPr>
        <w:t>日第九届全国人民代表大会常务委员会第三十一次会议通过的《中华人民共和国刑法修正案（四）》、</w:t>
      </w:r>
      <w:r>
        <w:rPr>
          <w:rFonts w:hint="default" w:ascii="Times New Roman" w:hAnsi="Times New Roman" w:eastAsia="楷体_GB2312" w:cs="Times New Roman"/>
          <w:szCs w:val="32"/>
        </w:rPr>
        <w:t>2005</w:t>
      </w:r>
      <w:r>
        <w:rPr>
          <w:rFonts w:hint="eastAsia" w:ascii="楷体_GB2312" w:hAnsi="Arial" w:eastAsia="楷体_GB2312" w:cs="Arial"/>
          <w:szCs w:val="32"/>
        </w:rPr>
        <w:t>年</w:t>
      </w:r>
      <w:r>
        <w:rPr>
          <w:rFonts w:hint="default" w:ascii="Times New Roman" w:hAnsi="Times New Roman" w:eastAsia="楷体_GB2312" w:cs="Times New Roman"/>
          <w:szCs w:val="32"/>
        </w:rPr>
        <w:t>2</w:t>
      </w:r>
      <w:r>
        <w:rPr>
          <w:rFonts w:hint="eastAsia" w:ascii="楷体_GB2312" w:hAnsi="Arial" w:eastAsia="楷体_GB2312" w:cs="Arial"/>
          <w:szCs w:val="32"/>
        </w:rPr>
        <w:t>月</w:t>
      </w:r>
      <w:r>
        <w:rPr>
          <w:rFonts w:hint="default" w:ascii="Times New Roman" w:hAnsi="Times New Roman" w:eastAsia="楷体_GB2312" w:cs="Times New Roman"/>
          <w:szCs w:val="32"/>
        </w:rPr>
        <w:t>28</w:t>
      </w:r>
      <w:r>
        <w:rPr>
          <w:rFonts w:hint="eastAsia" w:ascii="楷体_GB2312" w:hAnsi="Arial" w:eastAsia="楷体_GB2312" w:cs="Arial"/>
          <w:szCs w:val="32"/>
        </w:rPr>
        <w:t>日第十届全国人民代表大会常务委员会第十四次会议通过的《中华人民共和国刑法修正案（五）》、</w:t>
      </w:r>
      <w:r>
        <w:rPr>
          <w:rFonts w:hint="default" w:ascii="Times New Roman" w:hAnsi="Times New Roman" w:eastAsia="楷体_GB2312" w:cs="Times New Roman"/>
          <w:szCs w:val="32"/>
        </w:rPr>
        <w:t>2006</w:t>
      </w:r>
      <w:r>
        <w:rPr>
          <w:rFonts w:hint="eastAsia" w:ascii="楷体_GB2312" w:hAnsi="Arial" w:eastAsia="楷体_GB2312" w:cs="Arial"/>
          <w:szCs w:val="32"/>
        </w:rPr>
        <w:t>年</w:t>
      </w:r>
      <w:r>
        <w:rPr>
          <w:rFonts w:hint="default" w:ascii="Times New Roman" w:hAnsi="Times New Roman" w:eastAsia="楷体_GB2312" w:cs="Times New Roman"/>
          <w:szCs w:val="32"/>
        </w:rPr>
        <w:t>6</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日第十届全国人民代表大会常务委员会第二十二次会议通过的《中华人民共和国刑法修正案（六）》、</w:t>
      </w:r>
      <w:r>
        <w:rPr>
          <w:rFonts w:hint="default" w:ascii="Times New Roman" w:hAnsi="Times New Roman" w:eastAsia="楷体_GB2312" w:cs="Times New Roman"/>
          <w:szCs w:val="32"/>
        </w:rPr>
        <w:t>2009</w:t>
      </w:r>
      <w:r>
        <w:rPr>
          <w:rFonts w:hint="eastAsia" w:ascii="楷体_GB2312" w:hAnsi="Arial" w:eastAsia="楷体_GB2312" w:cs="Arial"/>
          <w:szCs w:val="32"/>
        </w:rPr>
        <w:t>年</w:t>
      </w:r>
      <w:r>
        <w:rPr>
          <w:rFonts w:hint="default" w:ascii="Times New Roman" w:hAnsi="Times New Roman" w:eastAsia="楷体_GB2312" w:cs="Times New Roman"/>
          <w:szCs w:val="32"/>
        </w:rPr>
        <w:t>2</w:t>
      </w:r>
      <w:r>
        <w:rPr>
          <w:rFonts w:hint="eastAsia" w:ascii="楷体_GB2312" w:hAnsi="Arial" w:eastAsia="楷体_GB2312" w:cs="Arial"/>
          <w:szCs w:val="32"/>
        </w:rPr>
        <w:t>月</w:t>
      </w:r>
      <w:r>
        <w:rPr>
          <w:rFonts w:hint="default" w:ascii="Times New Roman" w:hAnsi="Times New Roman" w:eastAsia="楷体_GB2312" w:cs="Times New Roman"/>
          <w:szCs w:val="32"/>
        </w:rPr>
        <w:t>28</w:t>
      </w:r>
      <w:r>
        <w:rPr>
          <w:rFonts w:hint="eastAsia" w:ascii="楷体_GB2312" w:hAnsi="Arial" w:eastAsia="楷体_GB2312" w:cs="Arial"/>
          <w:szCs w:val="32"/>
        </w:rPr>
        <w:t>日第十一届全国人民代表大会常务委员会第七次会议通过的《中华人民共和国刑法修正案（七）》、</w:t>
      </w:r>
      <w:r>
        <w:rPr>
          <w:rFonts w:hint="default" w:ascii="Times New Roman" w:hAnsi="Times New Roman" w:eastAsia="楷体_GB2312" w:cs="Times New Roman"/>
          <w:szCs w:val="32"/>
        </w:rPr>
        <w:t>2009</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27</w:t>
      </w:r>
      <w:r>
        <w:rPr>
          <w:rFonts w:hint="eastAsia" w:ascii="楷体_GB2312" w:hAnsi="Arial" w:eastAsia="楷体_GB2312" w:cs="Arial"/>
          <w:szCs w:val="32"/>
        </w:rPr>
        <w:t>日第十一届全国人民代表大会常务委员会第十次会议通过的《全国人民代表大会常务委员会关于修改部分法律的决定》、</w:t>
      </w:r>
      <w:r>
        <w:rPr>
          <w:rFonts w:hint="default" w:ascii="Times New Roman" w:hAnsi="Times New Roman" w:eastAsia="楷体_GB2312" w:cs="Times New Roman"/>
          <w:szCs w:val="32"/>
        </w:rPr>
        <w:t>2011</w:t>
      </w:r>
      <w:r>
        <w:rPr>
          <w:rFonts w:hint="eastAsia" w:ascii="楷体_GB2312" w:hAnsi="Arial" w:eastAsia="楷体_GB2312" w:cs="Arial"/>
          <w:szCs w:val="32"/>
        </w:rPr>
        <w:t>年</w:t>
      </w:r>
      <w:r>
        <w:rPr>
          <w:rFonts w:hint="default" w:ascii="Times New Roman" w:hAnsi="Times New Roman" w:eastAsia="楷体_GB2312" w:cs="Times New Roman"/>
          <w:szCs w:val="32"/>
        </w:rPr>
        <w:t>2</w:t>
      </w:r>
      <w:r>
        <w:rPr>
          <w:rFonts w:hint="eastAsia" w:ascii="楷体_GB2312" w:hAnsi="Arial" w:eastAsia="楷体_GB2312" w:cs="Arial"/>
          <w:szCs w:val="32"/>
        </w:rPr>
        <w:t>月</w:t>
      </w:r>
      <w:r>
        <w:rPr>
          <w:rFonts w:hint="default" w:ascii="Times New Roman" w:hAnsi="Times New Roman" w:eastAsia="楷体_GB2312" w:cs="Times New Roman"/>
          <w:szCs w:val="32"/>
        </w:rPr>
        <w:t>25</w:t>
      </w:r>
      <w:r>
        <w:rPr>
          <w:rFonts w:hint="eastAsia" w:ascii="楷体_GB2312" w:hAnsi="Arial" w:eastAsia="楷体_GB2312" w:cs="Arial"/>
          <w:szCs w:val="32"/>
        </w:rPr>
        <w:t>日第十一届全国人民代表大会常务委员会第十九次会议通过的《中华人民共和国刑法修正案（八）》、</w:t>
      </w:r>
      <w:r>
        <w:rPr>
          <w:rFonts w:hint="default" w:ascii="Times New Roman" w:hAnsi="Times New Roman" w:eastAsia="楷体_GB2312" w:cs="Times New Roman"/>
          <w:szCs w:val="32"/>
        </w:rPr>
        <w:t>2015</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日第十二届全国人民代表大会常务委员会第十六次会议通过的《中华人民共和国刑法修正案（九）》、</w:t>
      </w:r>
      <w:r>
        <w:rPr>
          <w:rFonts w:hint="default" w:ascii="Times New Roman" w:hAnsi="Times New Roman" w:eastAsia="楷体_GB2312" w:cs="Times New Roman"/>
          <w:szCs w:val="32"/>
        </w:rPr>
        <w:t>2017</w:t>
      </w:r>
      <w:r>
        <w:rPr>
          <w:rFonts w:hint="eastAsia" w:ascii="楷体_GB2312" w:hAnsi="Arial" w:eastAsia="楷体_GB2312" w:cs="Arial"/>
          <w:szCs w:val="32"/>
        </w:rPr>
        <w:t>年</w:t>
      </w:r>
      <w:r>
        <w:rPr>
          <w:rFonts w:hint="default" w:ascii="Times New Roman" w:hAnsi="Times New Roman" w:eastAsia="楷体_GB2312" w:cs="Times New Roman"/>
          <w:szCs w:val="32"/>
        </w:rPr>
        <w:t>11</w:t>
      </w:r>
      <w:r>
        <w:rPr>
          <w:rFonts w:hint="eastAsia" w:ascii="楷体_GB2312" w:hAnsi="Arial" w:eastAsia="楷体_GB2312" w:cs="Arial"/>
          <w:szCs w:val="32"/>
        </w:rPr>
        <w:t>月</w:t>
      </w:r>
      <w:r>
        <w:rPr>
          <w:rFonts w:hint="default" w:ascii="Times New Roman" w:hAnsi="Times New Roman" w:eastAsia="楷体_GB2312" w:cs="Times New Roman"/>
          <w:szCs w:val="32"/>
        </w:rPr>
        <w:t>4</w:t>
      </w:r>
      <w:r>
        <w:rPr>
          <w:rFonts w:hint="eastAsia" w:ascii="楷体_GB2312" w:hAnsi="Arial" w:eastAsia="楷体_GB2312" w:cs="Arial"/>
          <w:szCs w:val="32"/>
        </w:rPr>
        <w:t>日第十二届全国人民代表大会常务委员会第三十次会议通过的《中华人民共和国刑法修正案（十）》和</w:t>
      </w:r>
      <w:r>
        <w:rPr>
          <w:rFonts w:hint="default" w:ascii="Times New Roman" w:hAnsi="Times New Roman" w:eastAsia="楷体_GB2312" w:cs="Times New Roman"/>
          <w:szCs w:val="32"/>
        </w:rPr>
        <w:t>2020</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26</w:t>
      </w:r>
      <w:r>
        <w:rPr>
          <w:rFonts w:hint="eastAsia" w:ascii="楷体_GB2312" w:hAnsi="Arial" w:eastAsia="楷体_GB2312" w:cs="Arial"/>
          <w:szCs w:val="32"/>
        </w:rPr>
        <w:t>日第十三届全国人民代表大会常务委员会第二十四次会议通过的《中华人民共和国刑法修正案（十一）》修正）</w:t>
      </w:r>
      <w:r>
        <w:rPr>
          <w:rStyle w:val="28"/>
          <w:rFonts w:hint="eastAsia" w:ascii="楷体_GB2312" w:hAnsi="Arial" w:eastAsia="楷体_GB2312" w:cs="Arial"/>
          <w:szCs w:val="32"/>
        </w:rPr>
        <w:footnoteReference w:id="0"/>
      </w:r>
    </w:p>
    <w:p>
      <w:pPr>
        <w:spacing w:line="240" w:lineRule="auto"/>
        <w:ind w:firstLine="0"/>
        <w:jc w:val="both"/>
      </w:pPr>
    </w:p>
    <w:p>
      <w:pPr>
        <w:spacing w:line="240" w:lineRule="auto"/>
        <w:ind w:firstLine="0"/>
        <w:jc w:val="center"/>
      </w:pPr>
      <w:r>
        <w:rPr>
          <w:rFonts w:ascii="楷体_GB2312" w:hAnsi="楷体_GB2312" w:eastAsia="楷体_GB2312" w:cs="楷体_GB2312"/>
          <w:sz w:val="32"/>
        </w:rPr>
        <w:t>目　　录</w:t>
      </w:r>
    </w:p>
    <w:p>
      <w:pPr>
        <w:spacing w:line="240" w:lineRule="auto"/>
        <w:ind w:firstLine="640"/>
        <w:jc w:val="both"/>
      </w:pPr>
      <w:r>
        <w:rPr>
          <w:rFonts w:ascii="楷体_GB2312" w:hAnsi="楷体_GB2312" w:eastAsia="楷体_GB2312" w:cs="楷体_GB2312"/>
          <w:sz w:val="32"/>
        </w:rPr>
        <w:t>第一编　总则</w:t>
      </w:r>
    </w:p>
    <w:p>
      <w:pPr>
        <w:spacing w:line="240" w:lineRule="auto"/>
        <w:ind w:firstLine="1280" w:firstLineChars="400"/>
        <w:jc w:val="both"/>
      </w:pPr>
      <w:r>
        <w:rPr>
          <w:rFonts w:ascii="楷体_GB2312" w:hAnsi="楷体_GB2312" w:eastAsia="楷体_GB2312" w:cs="楷体_GB2312"/>
          <w:sz w:val="32"/>
        </w:rPr>
        <w:t>第一章　刑法的任务、基本原则和适用范围</w:t>
      </w:r>
    </w:p>
    <w:p>
      <w:pPr>
        <w:spacing w:line="240" w:lineRule="auto"/>
        <w:ind w:firstLine="1280" w:firstLineChars="400"/>
        <w:jc w:val="both"/>
      </w:pPr>
      <w:r>
        <w:rPr>
          <w:rFonts w:ascii="楷体_GB2312" w:hAnsi="楷体_GB2312" w:eastAsia="楷体_GB2312" w:cs="楷体_GB2312"/>
          <w:sz w:val="32"/>
        </w:rPr>
        <w:t>第二章　犯罪</w:t>
      </w:r>
    </w:p>
    <w:p>
      <w:pPr>
        <w:spacing w:line="240" w:lineRule="auto"/>
        <w:ind w:firstLine="1920" w:firstLineChars="600"/>
        <w:jc w:val="both"/>
      </w:pPr>
      <w:r>
        <w:rPr>
          <w:rFonts w:ascii="楷体_GB2312" w:hAnsi="楷体_GB2312" w:eastAsia="楷体_GB2312" w:cs="楷体_GB2312"/>
          <w:sz w:val="32"/>
        </w:rPr>
        <w:t>第一节　犯罪和刑事责任</w:t>
      </w:r>
    </w:p>
    <w:p>
      <w:pPr>
        <w:spacing w:line="240" w:lineRule="auto"/>
        <w:ind w:firstLine="1920" w:firstLineChars="600"/>
        <w:jc w:val="both"/>
      </w:pPr>
      <w:r>
        <w:rPr>
          <w:rFonts w:ascii="楷体_GB2312" w:hAnsi="楷体_GB2312" w:eastAsia="楷体_GB2312" w:cs="楷体_GB2312"/>
          <w:sz w:val="32"/>
        </w:rPr>
        <w:t>第二节　犯罪的预备、未遂和中止</w:t>
      </w:r>
    </w:p>
    <w:p>
      <w:pPr>
        <w:spacing w:line="240" w:lineRule="auto"/>
        <w:ind w:firstLine="1920" w:firstLineChars="600"/>
        <w:jc w:val="both"/>
      </w:pPr>
      <w:r>
        <w:rPr>
          <w:rFonts w:ascii="楷体_GB2312" w:hAnsi="楷体_GB2312" w:eastAsia="楷体_GB2312" w:cs="楷体_GB2312"/>
          <w:sz w:val="32"/>
        </w:rPr>
        <w:t>第三节　共同犯罪</w:t>
      </w:r>
    </w:p>
    <w:p>
      <w:pPr>
        <w:spacing w:line="240" w:lineRule="auto"/>
        <w:ind w:firstLine="1920" w:firstLineChars="600"/>
        <w:jc w:val="both"/>
      </w:pPr>
      <w:r>
        <w:rPr>
          <w:rFonts w:ascii="楷体_GB2312" w:hAnsi="楷体_GB2312" w:eastAsia="楷体_GB2312" w:cs="楷体_GB2312"/>
          <w:sz w:val="32"/>
        </w:rPr>
        <w:t>第四节　单位犯罪</w:t>
      </w:r>
    </w:p>
    <w:p>
      <w:pPr>
        <w:spacing w:line="240" w:lineRule="auto"/>
        <w:ind w:firstLine="1280" w:firstLineChars="400"/>
        <w:jc w:val="both"/>
      </w:pPr>
      <w:r>
        <w:rPr>
          <w:rFonts w:ascii="楷体_GB2312" w:hAnsi="楷体_GB2312" w:eastAsia="楷体_GB2312" w:cs="楷体_GB2312"/>
          <w:sz w:val="32"/>
        </w:rPr>
        <w:t>第三章　刑罚</w:t>
      </w:r>
    </w:p>
    <w:p>
      <w:pPr>
        <w:spacing w:line="240" w:lineRule="auto"/>
        <w:ind w:firstLine="1920" w:firstLineChars="600"/>
        <w:jc w:val="both"/>
      </w:pPr>
      <w:r>
        <w:rPr>
          <w:rFonts w:ascii="楷体_GB2312" w:hAnsi="楷体_GB2312" w:eastAsia="楷体_GB2312" w:cs="楷体_GB2312"/>
          <w:sz w:val="32"/>
        </w:rPr>
        <w:t>第一节　刑罚的种类</w:t>
      </w:r>
    </w:p>
    <w:p>
      <w:pPr>
        <w:spacing w:line="240" w:lineRule="auto"/>
        <w:ind w:firstLine="1920" w:firstLineChars="600"/>
        <w:jc w:val="both"/>
      </w:pPr>
      <w:r>
        <w:rPr>
          <w:rFonts w:ascii="楷体_GB2312" w:hAnsi="楷体_GB2312" w:eastAsia="楷体_GB2312" w:cs="楷体_GB2312"/>
          <w:sz w:val="32"/>
        </w:rPr>
        <w:t>第二节　管制</w:t>
      </w:r>
    </w:p>
    <w:p>
      <w:pPr>
        <w:spacing w:line="240" w:lineRule="auto"/>
        <w:ind w:firstLine="1920" w:firstLineChars="600"/>
        <w:jc w:val="both"/>
      </w:pPr>
      <w:r>
        <w:rPr>
          <w:rFonts w:ascii="楷体_GB2312" w:hAnsi="楷体_GB2312" w:eastAsia="楷体_GB2312" w:cs="楷体_GB2312"/>
          <w:sz w:val="32"/>
        </w:rPr>
        <w:t>第三节　拘役</w:t>
      </w:r>
    </w:p>
    <w:p>
      <w:pPr>
        <w:spacing w:line="240" w:lineRule="auto"/>
        <w:ind w:firstLine="1920" w:firstLineChars="600"/>
        <w:jc w:val="both"/>
      </w:pPr>
      <w:r>
        <w:rPr>
          <w:rFonts w:ascii="楷体_GB2312" w:hAnsi="楷体_GB2312" w:eastAsia="楷体_GB2312" w:cs="楷体_GB2312"/>
          <w:sz w:val="32"/>
        </w:rPr>
        <w:t>第四节　有期徒刑、无期徒刑</w:t>
      </w:r>
    </w:p>
    <w:p>
      <w:pPr>
        <w:spacing w:line="240" w:lineRule="auto"/>
        <w:ind w:firstLine="1920" w:firstLineChars="600"/>
        <w:jc w:val="both"/>
      </w:pPr>
      <w:r>
        <w:rPr>
          <w:rFonts w:ascii="楷体_GB2312" w:hAnsi="楷体_GB2312" w:eastAsia="楷体_GB2312" w:cs="楷体_GB2312"/>
          <w:sz w:val="32"/>
        </w:rPr>
        <w:t>第五节　死刑</w:t>
      </w:r>
    </w:p>
    <w:p>
      <w:pPr>
        <w:spacing w:line="240" w:lineRule="auto"/>
        <w:ind w:firstLine="1920" w:firstLineChars="600"/>
        <w:jc w:val="both"/>
      </w:pPr>
      <w:r>
        <w:rPr>
          <w:rFonts w:ascii="楷体_GB2312" w:hAnsi="楷体_GB2312" w:eastAsia="楷体_GB2312" w:cs="楷体_GB2312"/>
          <w:sz w:val="32"/>
        </w:rPr>
        <w:t>第六节　罚金</w:t>
      </w:r>
    </w:p>
    <w:p>
      <w:pPr>
        <w:spacing w:line="240" w:lineRule="auto"/>
        <w:ind w:firstLine="1920" w:firstLineChars="600"/>
        <w:jc w:val="both"/>
      </w:pPr>
      <w:r>
        <w:rPr>
          <w:rFonts w:ascii="楷体_GB2312" w:hAnsi="楷体_GB2312" w:eastAsia="楷体_GB2312" w:cs="楷体_GB2312"/>
          <w:sz w:val="32"/>
        </w:rPr>
        <w:t>第七节　剥夺政治权利</w:t>
      </w:r>
    </w:p>
    <w:p>
      <w:pPr>
        <w:spacing w:line="240" w:lineRule="auto"/>
        <w:ind w:firstLine="1920" w:firstLineChars="600"/>
        <w:jc w:val="both"/>
      </w:pPr>
      <w:r>
        <w:rPr>
          <w:rFonts w:ascii="楷体_GB2312" w:hAnsi="楷体_GB2312" w:eastAsia="楷体_GB2312" w:cs="楷体_GB2312"/>
          <w:sz w:val="32"/>
        </w:rPr>
        <w:t>第八节　没收财产</w:t>
      </w:r>
    </w:p>
    <w:p>
      <w:pPr>
        <w:spacing w:line="240" w:lineRule="auto"/>
        <w:ind w:firstLine="1280" w:firstLineChars="400"/>
        <w:jc w:val="both"/>
      </w:pPr>
      <w:r>
        <w:rPr>
          <w:rFonts w:ascii="楷体_GB2312" w:hAnsi="楷体_GB2312" w:eastAsia="楷体_GB2312" w:cs="楷体_GB2312"/>
          <w:sz w:val="32"/>
        </w:rPr>
        <w:t>第四章　刑罚的具体运用</w:t>
      </w:r>
    </w:p>
    <w:p>
      <w:pPr>
        <w:spacing w:line="240" w:lineRule="auto"/>
        <w:ind w:firstLine="1920" w:firstLineChars="600"/>
        <w:jc w:val="both"/>
      </w:pPr>
      <w:r>
        <w:rPr>
          <w:rFonts w:ascii="楷体_GB2312" w:hAnsi="楷体_GB2312" w:eastAsia="楷体_GB2312" w:cs="楷体_GB2312"/>
          <w:sz w:val="32"/>
        </w:rPr>
        <w:t>第一节　量刑</w:t>
      </w:r>
    </w:p>
    <w:p>
      <w:pPr>
        <w:spacing w:line="240" w:lineRule="auto"/>
        <w:ind w:firstLine="1920" w:firstLineChars="600"/>
        <w:jc w:val="both"/>
      </w:pPr>
      <w:r>
        <w:rPr>
          <w:rFonts w:ascii="楷体_GB2312" w:hAnsi="楷体_GB2312" w:eastAsia="楷体_GB2312" w:cs="楷体_GB2312"/>
          <w:sz w:val="32"/>
        </w:rPr>
        <w:t>第二节　累犯</w:t>
      </w:r>
    </w:p>
    <w:p>
      <w:pPr>
        <w:spacing w:line="240" w:lineRule="auto"/>
        <w:ind w:firstLine="1920" w:firstLineChars="600"/>
        <w:jc w:val="both"/>
      </w:pPr>
      <w:r>
        <w:rPr>
          <w:rFonts w:ascii="楷体_GB2312" w:hAnsi="楷体_GB2312" w:eastAsia="楷体_GB2312" w:cs="楷体_GB2312"/>
          <w:sz w:val="32"/>
        </w:rPr>
        <w:t>第三节　自首和立功</w:t>
      </w:r>
    </w:p>
    <w:p>
      <w:pPr>
        <w:spacing w:line="240" w:lineRule="auto"/>
        <w:ind w:firstLine="1920" w:firstLineChars="600"/>
        <w:jc w:val="both"/>
      </w:pPr>
      <w:r>
        <w:rPr>
          <w:rFonts w:ascii="楷体_GB2312" w:hAnsi="楷体_GB2312" w:eastAsia="楷体_GB2312" w:cs="楷体_GB2312"/>
          <w:sz w:val="32"/>
        </w:rPr>
        <w:t>第四节　数罪并罚</w:t>
      </w:r>
    </w:p>
    <w:p>
      <w:pPr>
        <w:spacing w:line="240" w:lineRule="auto"/>
        <w:ind w:firstLine="1920" w:firstLineChars="600"/>
        <w:jc w:val="both"/>
      </w:pPr>
      <w:r>
        <w:rPr>
          <w:rFonts w:ascii="楷体_GB2312" w:hAnsi="楷体_GB2312" w:eastAsia="楷体_GB2312" w:cs="楷体_GB2312"/>
          <w:sz w:val="32"/>
        </w:rPr>
        <w:t>第五节　缓刑</w:t>
      </w:r>
    </w:p>
    <w:p>
      <w:pPr>
        <w:spacing w:line="240" w:lineRule="auto"/>
        <w:ind w:firstLine="1920" w:firstLineChars="600"/>
        <w:jc w:val="both"/>
      </w:pPr>
      <w:r>
        <w:rPr>
          <w:rFonts w:ascii="楷体_GB2312" w:hAnsi="楷体_GB2312" w:eastAsia="楷体_GB2312" w:cs="楷体_GB2312"/>
          <w:sz w:val="32"/>
        </w:rPr>
        <w:t>第六节　减刑</w:t>
      </w:r>
    </w:p>
    <w:p>
      <w:pPr>
        <w:spacing w:line="240" w:lineRule="auto"/>
        <w:ind w:firstLine="1920" w:firstLineChars="600"/>
        <w:jc w:val="both"/>
      </w:pPr>
      <w:r>
        <w:rPr>
          <w:rFonts w:ascii="楷体_GB2312" w:hAnsi="楷体_GB2312" w:eastAsia="楷体_GB2312" w:cs="楷体_GB2312"/>
          <w:sz w:val="32"/>
        </w:rPr>
        <w:t>第七节　假释</w:t>
      </w:r>
    </w:p>
    <w:p>
      <w:pPr>
        <w:spacing w:line="240" w:lineRule="auto"/>
        <w:ind w:firstLine="1920" w:firstLineChars="600"/>
        <w:jc w:val="both"/>
      </w:pPr>
      <w:r>
        <w:rPr>
          <w:rFonts w:ascii="楷体_GB2312" w:hAnsi="楷体_GB2312" w:eastAsia="楷体_GB2312" w:cs="楷体_GB2312"/>
          <w:sz w:val="32"/>
        </w:rPr>
        <w:t>第八节　时效</w:t>
      </w:r>
    </w:p>
    <w:p>
      <w:pPr>
        <w:spacing w:line="240" w:lineRule="auto"/>
        <w:ind w:firstLine="1280" w:firstLineChars="400"/>
        <w:jc w:val="both"/>
      </w:pPr>
      <w:r>
        <w:rPr>
          <w:rFonts w:ascii="楷体_GB2312" w:hAnsi="楷体_GB2312" w:eastAsia="楷体_GB2312" w:cs="楷体_GB2312"/>
          <w:sz w:val="32"/>
        </w:rPr>
        <w:t>第五章　其他规定</w:t>
      </w:r>
    </w:p>
    <w:p>
      <w:pPr>
        <w:spacing w:line="240" w:lineRule="auto"/>
        <w:ind w:firstLine="640"/>
        <w:jc w:val="both"/>
      </w:pPr>
      <w:r>
        <w:rPr>
          <w:rFonts w:ascii="楷体_GB2312" w:hAnsi="楷体_GB2312" w:eastAsia="楷体_GB2312" w:cs="楷体_GB2312"/>
          <w:sz w:val="32"/>
        </w:rPr>
        <w:t>第二编　分则</w:t>
      </w:r>
    </w:p>
    <w:p>
      <w:pPr>
        <w:spacing w:line="240" w:lineRule="auto"/>
        <w:ind w:firstLine="1280" w:firstLineChars="400"/>
        <w:jc w:val="both"/>
      </w:pPr>
      <w:r>
        <w:rPr>
          <w:rFonts w:ascii="楷体_GB2312" w:hAnsi="楷体_GB2312" w:eastAsia="楷体_GB2312" w:cs="楷体_GB2312"/>
          <w:sz w:val="32"/>
        </w:rPr>
        <w:t>第一章　危害国家安全罪</w:t>
      </w:r>
    </w:p>
    <w:p>
      <w:pPr>
        <w:spacing w:line="240" w:lineRule="auto"/>
        <w:ind w:firstLine="1280" w:firstLineChars="400"/>
        <w:jc w:val="both"/>
      </w:pPr>
      <w:r>
        <w:rPr>
          <w:rFonts w:ascii="楷体_GB2312" w:hAnsi="楷体_GB2312" w:eastAsia="楷体_GB2312" w:cs="楷体_GB2312"/>
          <w:sz w:val="32"/>
        </w:rPr>
        <w:t>第二章　危害公共安全罪</w:t>
      </w:r>
    </w:p>
    <w:p>
      <w:pPr>
        <w:spacing w:line="240" w:lineRule="auto"/>
        <w:ind w:firstLine="1280" w:firstLineChars="400"/>
        <w:jc w:val="both"/>
      </w:pPr>
      <w:r>
        <w:rPr>
          <w:rFonts w:ascii="楷体_GB2312" w:hAnsi="楷体_GB2312" w:eastAsia="楷体_GB2312" w:cs="楷体_GB2312"/>
          <w:sz w:val="32"/>
        </w:rPr>
        <w:t>第三章　破坏社会主义市场经济秩序罪</w:t>
      </w:r>
    </w:p>
    <w:p>
      <w:pPr>
        <w:spacing w:line="240" w:lineRule="auto"/>
        <w:ind w:firstLine="1920" w:firstLineChars="600"/>
        <w:jc w:val="both"/>
      </w:pPr>
      <w:r>
        <w:rPr>
          <w:rFonts w:ascii="楷体_GB2312" w:hAnsi="楷体_GB2312" w:eastAsia="楷体_GB2312" w:cs="楷体_GB2312"/>
          <w:sz w:val="32"/>
        </w:rPr>
        <w:t>第一节　生产、销售伪劣商品罪</w:t>
      </w:r>
    </w:p>
    <w:p>
      <w:pPr>
        <w:spacing w:line="240" w:lineRule="auto"/>
        <w:ind w:firstLine="1920" w:firstLineChars="600"/>
        <w:jc w:val="both"/>
      </w:pPr>
      <w:r>
        <w:rPr>
          <w:rFonts w:ascii="楷体_GB2312" w:hAnsi="楷体_GB2312" w:eastAsia="楷体_GB2312" w:cs="楷体_GB2312"/>
          <w:sz w:val="32"/>
        </w:rPr>
        <w:t>第二节　走私罪</w:t>
      </w:r>
    </w:p>
    <w:p>
      <w:pPr>
        <w:spacing w:line="240" w:lineRule="auto"/>
        <w:ind w:firstLine="1920" w:firstLineChars="600"/>
        <w:jc w:val="both"/>
      </w:pPr>
      <w:r>
        <w:rPr>
          <w:rFonts w:ascii="楷体_GB2312" w:hAnsi="楷体_GB2312" w:eastAsia="楷体_GB2312" w:cs="楷体_GB2312"/>
          <w:sz w:val="32"/>
        </w:rPr>
        <w:t>第三节　妨害对公司、企业的管理秩序罪</w:t>
      </w:r>
    </w:p>
    <w:p>
      <w:pPr>
        <w:spacing w:line="240" w:lineRule="auto"/>
        <w:ind w:firstLine="1920" w:firstLineChars="600"/>
        <w:jc w:val="both"/>
      </w:pPr>
      <w:r>
        <w:rPr>
          <w:rFonts w:ascii="楷体_GB2312" w:hAnsi="楷体_GB2312" w:eastAsia="楷体_GB2312" w:cs="楷体_GB2312"/>
          <w:sz w:val="32"/>
        </w:rPr>
        <w:t>第四节　破坏金融管理秩序罪</w:t>
      </w:r>
    </w:p>
    <w:p>
      <w:pPr>
        <w:spacing w:line="240" w:lineRule="auto"/>
        <w:ind w:firstLine="1920" w:firstLineChars="600"/>
        <w:jc w:val="both"/>
      </w:pPr>
      <w:r>
        <w:rPr>
          <w:rFonts w:ascii="楷体_GB2312" w:hAnsi="楷体_GB2312" w:eastAsia="楷体_GB2312" w:cs="楷体_GB2312"/>
          <w:sz w:val="32"/>
        </w:rPr>
        <w:t>第五节　金融诈骗罪</w:t>
      </w:r>
    </w:p>
    <w:p>
      <w:pPr>
        <w:spacing w:line="240" w:lineRule="auto"/>
        <w:ind w:firstLine="1920" w:firstLineChars="600"/>
        <w:jc w:val="both"/>
      </w:pPr>
      <w:r>
        <w:rPr>
          <w:rFonts w:ascii="楷体_GB2312" w:hAnsi="楷体_GB2312" w:eastAsia="楷体_GB2312" w:cs="楷体_GB2312"/>
          <w:sz w:val="32"/>
        </w:rPr>
        <w:t>第六节　危害税收征管罪</w:t>
      </w:r>
    </w:p>
    <w:p>
      <w:pPr>
        <w:spacing w:line="240" w:lineRule="auto"/>
        <w:ind w:firstLine="1920" w:firstLineChars="600"/>
        <w:jc w:val="both"/>
      </w:pPr>
      <w:r>
        <w:rPr>
          <w:rFonts w:ascii="楷体_GB2312" w:hAnsi="楷体_GB2312" w:eastAsia="楷体_GB2312" w:cs="楷体_GB2312"/>
          <w:sz w:val="32"/>
        </w:rPr>
        <w:t>第七节　侵犯知识产权罪</w:t>
      </w:r>
    </w:p>
    <w:p>
      <w:pPr>
        <w:spacing w:line="240" w:lineRule="auto"/>
        <w:ind w:firstLine="1920" w:firstLineChars="600"/>
        <w:jc w:val="both"/>
      </w:pPr>
      <w:r>
        <w:rPr>
          <w:rFonts w:ascii="楷体_GB2312" w:hAnsi="楷体_GB2312" w:eastAsia="楷体_GB2312" w:cs="楷体_GB2312"/>
          <w:sz w:val="32"/>
        </w:rPr>
        <w:t>第八节　扰乱市场秩序罪</w:t>
      </w:r>
    </w:p>
    <w:p>
      <w:pPr>
        <w:spacing w:line="240" w:lineRule="auto"/>
        <w:ind w:firstLine="1280" w:firstLineChars="400"/>
        <w:jc w:val="both"/>
      </w:pPr>
      <w:r>
        <w:rPr>
          <w:rFonts w:ascii="楷体_GB2312" w:hAnsi="楷体_GB2312" w:eastAsia="楷体_GB2312" w:cs="楷体_GB2312"/>
          <w:sz w:val="32"/>
        </w:rPr>
        <w:t>第四章　侵犯公民人身权利、民主权利罪</w:t>
      </w:r>
    </w:p>
    <w:p>
      <w:pPr>
        <w:spacing w:line="240" w:lineRule="auto"/>
        <w:ind w:firstLine="1280" w:firstLineChars="400"/>
        <w:jc w:val="both"/>
      </w:pPr>
      <w:r>
        <w:rPr>
          <w:rFonts w:ascii="楷体_GB2312" w:hAnsi="楷体_GB2312" w:eastAsia="楷体_GB2312" w:cs="楷体_GB2312"/>
          <w:sz w:val="32"/>
        </w:rPr>
        <w:t>第五章　侵犯财产罪</w:t>
      </w:r>
    </w:p>
    <w:p>
      <w:pPr>
        <w:spacing w:line="240" w:lineRule="auto"/>
        <w:ind w:firstLine="1280" w:firstLineChars="400"/>
        <w:jc w:val="both"/>
      </w:pPr>
      <w:r>
        <w:rPr>
          <w:rFonts w:ascii="楷体_GB2312" w:hAnsi="楷体_GB2312" w:eastAsia="楷体_GB2312" w:cs="楷体_GB2312"/>
          <w:sz w:val="32"/>
        </w:rPr>
        <w:t>第六章　妨害社会管理秩序罪</w:t>
      </w:r>
    </w:p>
    <w:p>
      <w:pPr>
        <w:spacing w:line="240" w:lineRule="auto"/>
        <w:ind w:firstLine="1920" w:firstLineChars="600"/>
        <w:jc w:val="both"/>
      </w:pPr>
      <w:r>
        <w:rPr>
          <w:rFonts w:ascii="楷体_GB2312" w:hAnsi="楷体_GB2312" w:eastAsia="楷体_GB2312" w:cs="楷体_GB2312"/>
          <w:sz w:val="32"/>
        </w:rPr>
        <w:t>第一节　扰乱公共秩序罪</w:t>
      </w:r>
    </w:p>
    <w:p>
      <w:pPr>
        <w:spacing w:line="240" w:lineRule="auto"/>
        <w:ind w:firstLine="1920" w:firstLineChars="600"/>
        <w:jc w:val="both"/>
      </w:pPr>
      <w:r>
        <w:rPr>
          <w:rFonts w:ascii="楷体_GB2312" w:hAnsi="楷体_GB2312" w:eastAsia="楷体_GB2312" w:cs="楷体_GB2312"/>
          <w:sz w:val="32"/>
        </w:rPr>
        <w:t>第二节　妨害司法罪</w:t>
      </w:r>
    </w:p>
    <w:p>
      <w:pPr>
        <w:spacing w:line="240" w:lineRule="auto"/>
        <w:ind w:firstLine="1920" w:firstLineChars="600"/>
        <w:jc w:val="both"/>
      </w:pPr>
      <w:r>
        <w:rPr>
          <w:rFonts w:ascii="楷体_GB2312" w:hAnsi="楷体_GB2312" w:eastAsia="楷体_GB2312" w:cs="楷体_GB2312"/>
          <w:sz w:val="32"/>
        </w:rPr>
        <w:t>第三节　妨害国（边）境管理罪</w:t>
      </w:r>
    </w:p>
    <w:p>
      <w:pPr>
        <w:spacing w:line="240" w:lineRule="auto"/>
        <w:ind w:firstLine="1920" w:firstLineChars="600"/>
        <w:jc w:val="both"/>
      </w:pPr>
      <w:r>
        <w:rPr>
          <w:rFonts w:ascii="楷体_GB2312" w:hAnsi="楷体_GB2312" w:eastAsia="楷体_GB2312" w:cs="楷体_GB2312"/>
          <w:sz w:val="32"/>
        </w:rPr>
        <w:t>第四节　妨害文物管理罪</w:t>
      </w:r>
    </w:p>
    <w:p>
      <w:pPr>
        <w:spacing w:line="240" w:lineRule="auto"/>
        <w:ind w:firstLine="1920" w:firstLineChars="600"/>
        <w:jc w:val="both"/>
      </w:pPr>
      <w:r>
        <w:rPr>
          <w:rFonts w:ascii="楷体_GB2312" w:hAnsi="楷体_GB2312" w:eastAsia="楷体_GB2312" w:cs="楷体_GB2312"/>
          <w:sz w:val="32"/>
        </w:rPr>
        <w:t>第五节　危害公共卫生罪</w:t>
      </w:r>
    </w:p>
    <w:p>
      <w:pPr>
        <w:spacing w:line="240" w:lineRule="auto"/>
        <w:ind w:firstLine="1920" w:firstLineChars="600"/>
        <w:jc w:val="both"/>
      </w:pPr>
      <w:r>
        <w:rPr>
          <w:rFonts w:ascii="楷体_GB2312" w:hAnsi="楷体_GB2312" w:eastAsia="楷体_GB2312" w:cs="楷体_GB2312"/>
          <w:sz w:val="32"/>
        </w:rPr>
        <w:t>第六节　破坏环境资源保护罪</w:t>
      </w:r>
    </w:p>
    <w:p>
      <w:pPr>
        <w:spacing w:line="240" w:lineRule="auto"/>
        <w:ind w:firstLine="1920" w:firstLineChars="600"/>
        <w:jc w:val="both"/>
      </w:pPr>
      <w:r>
        <w:rPr>
          <w:rFonts w:ascii="楷体_GB2312" w:hAnsi="楷体_GB2312" w:eastAsia="楷体_GB2312" w:cs="楷体_GB2312"/>
          <w:sz w:val="32"/>
        </w:rPr>
        <w:t>第七节　走私、贩卖、运输、制造毒品罪</w:t>
      </w:r>
    </w:p>
    <w:p>
      <w:pPr>
        <w:spacing w:line="240" w:lineRule="auto"/>
        <w:ind w:firstLine="1920" w:firstLineChars="600"/>
        <w:jc w:val="both"/>
      </w:pPr>
      <w:r>
        <w:rPr>
          <w:rFonts w:ascii="楷体_GB2312" w:hAnsi="楷体_GB2312" w:eastAsia="楷体_GB2312" w:cs="楷体_GB2312"/>
          <w:sz w:val="32"/>
        </w:rPr>
        <w:t>第八节　组织、强迫、引诱、容留、介绍卖淫罪</w:t>
      </w:r>
    </w:p>
    <w:p>
      <w:pPr>
        <w:spacing w:line="240" w:lineRule="auto"/>
        <w:ind w:firstLine="1920" w:firstLineChars="600"/>
        <w:jc w:val="both"/>
      </w:pPr>
      <w:r>
        <w:rPr>
          <w:rFonts w:ascii="楷体_GB2312" w:hAnsi="楷体_GB2312" w:eastAsia="楷体_GB2312" w:cs="楷体_GB2312"/>
          <w:sz w:val="32"/>
        </w:rPr>
        <w:t>第九节　制作、贩卖、传播淫秽物品罪</w:t>
      </w:r>
    </w:p>
    <w:p>
      <w:pPr>
        <w:spacing w:line="240" w:lineRule="auto"/>
        <w:ind w:firstLine="1280" w:firstLineChars="400"/>
        <w:jc w:val="both"/>
      </w:pPr>
      <w:r>
        <w:rPr>
          <w:rFonts w:ascii="楷体_GB2312" w:hAnsi="楷体_GB2312" w:eastAsia="楷体_GB2312" w:cs="楷体_GB2312"/>
          <w:sz w:val="32"/>
        </w:rPr>
        <w:t>第七章　危害国防利益罪</w:t>
      </w:r>
    </w:p>
    <w:p>
      <w:pPr>
        <w:spacing w:line="240" w:lineRule="auto"/>
        <w:ind w:firstLine="1280" w:firstLineChars="400"/>
        <w:jc w:val="both"/>
      </w:pPr>
      <w:r>
        <w:rPr>
          <w:rFonts w:ascii="楷体_GB2312" w:hAnsi="楷体_GB2312" w:eastAsia="楷体_GB2312" w:cs="楷体_GB2312"/>
          <w:sz w:val="32"/>
        </w:rPr>
        <w:t>第八章　贪污贿赂罪</w:t>
      </w:r>
    </w:p>
    <w:p>
      <w:pPr>
        <w:spacing w:line="240" w:lineRule="auto"/>
        <w:ind w:firstLine="1280" w:firstLineChars="400"/>
        <w:jc w:val="both"/>
      </w:pPr>
      <w:r>
        <w:rPr>
          <w:rFonts w:ascii="楷体_GB2312" w:hAnsi="楷体_GB2312" w:eastAsia="楷体_GB2312" w:cs="楷体_GB2312"/>
          <w:sz w:val="32"/>
        </w:rPr>
        <w:t>第九章　渎职罪</w:t>
      </w:r>
    </w:p>
    <w:p>
      <w:pPr>
        <w:spacing w:line="240" w:lineRule="auto"/>
        <w:ind w:firstLine="1280" w:firstLineChars="400"/>
        <w:jc w:val="both"/>
      </w:pPr>
      <w:r>
        <w:rPr>
          <w:rFonts w:ascii="楷体_GB2312" w:hAnsi="楷体_GB2312" w:eastAsia="楷体_GB2312" w:cs="楷体_GB2312"/>
          <w:sz w:val="32"/>
        </w:rPr>
        <w:t>第十章　军人违反职责罪</w:t>
      </w:r>
    </w:p>
    <w:p>
      <w:pPr>
        <w:spacing w:line="240" w:lineRule="auto"/>
        <w:ind w:left="0" w:leftChars="0" w:firstLine="640" w:firstLineChars="0"/>
        <w:jc w:val="both"/>
      </w:pPr>
      <w:r>
        <w:rPr>
          <w:rFonts w:ascii="楷体_GB2312" w:hAnsi="楷体_GB2312" w:eastAsia="楷体_GB2312" w:cs="楷体_GB2312"/>
          <w:sz w:val="32"/>
        </w:rPr>
        <w:t>附则</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第一编　总则</w:t>
      </w:r>
    </w:p>
    <w:p>
      <w:pPr>
        <w:spacing w:line="240" w:lineRule="auto"/>
        <w:ind w:firstLine="0"/>
        <w:jc w:val="center"/>
      </w:pPr>
    </w:p>
    <w:p>
      <w:pPr>
        <w:spacing w:line="240" w:lineRule="auto"/>
        <w:ind w:firstLine="0"/>
        <w:jc w:val="center"/>
      </w:pPr>
      <w:r>
        <w:rPr>
          <w:rFonts w:ascii="黑体" w:hAnsi="黑体" w:eastAsia="黑体" w:cs="黑体"/>
          <w:sz w:val="32"/>
        </w:rPr>
        <w:t>第一章　刑法的任务、基本原则和适用范围</w:t>
      </w:r>
    </w:p>
    <w:p>
      <w:pPr>
        <w:spacing w:line="240" w:lineRule="auto"/>
        <w:ind w:firstLine="0"/>
        <w:jc w:val="center"/>
      </w:pPr>
    </w:p>
    <w:p>
      <w:pPr>
        <w:spacing w:line="240" w:lineRule="auto"/>
        <w:ind w:firstLine="640"/>
        <w:jc w:val="both"/>
      </w:pPr>
      <w:r>
        <w:rPr>
          <w:rFonts w:ascii="黑体" w:hAnsi="黑体" w:eastAsia="黑体" w:cs="黑体"/>
          <w:sz w:val="32"/>
        </w:rPr>
        <w:t>第一条</w:t>
      </w:r>
      <w:r>
        <w:rPr>
          <w:rFonts w:ascii="仿宋_GB2312" w:hAnsi="仿宋_GB2312" w:eastAsia="仿宋_GB2312" w:cs="仿宋_GB2312"/>
          <w:sz w:val="32"/>
        </w:rPr>
        <w:t>　为了惩罚犯罪，保护人民，根据宪法，结合我国同犯罪作斗争的具体经验及实际情况，制定本法。</w:t>
      </w:r>
    </w:p>
    <w:p>
      <w:pPr>
        <w:spacing w:line="240" w:lineRule="auto"/>
        <w:ind w:firstLine="640"/>
        <w:jc w:val="both"/>
      </w:pPr>
      <w:r>
        <w:rPr>
          <w:rFonts w:ascii="黑体" w:hAnsi="黑体" w:eastAsia="黑体" w:cs="黑体"/>
          <w:sz w:val="32"/>
        </w:rPr>
        <w:t>第二条</w:t>
      </w:r>
      <w:r>
        <w:rPr>
          <w:rFonts w:ascii="仿宋_GB2312" w:hAnsi="仿宋_GB2312" w:eastAsia="仿宋_GB2312" w:cs="仿宋_GB2312"/>
          <w:sz w:val="32"/>
        </w:rPr>
        <w:t>　中华人民共和国刑法的任务，是用刑罚同一切犯罪行为作斗争，以保卫国家安全，保卫人民民主专政的政权和社会主义制度，保护国有财产和劳动群众集体所有的财产，保护公民私人所有的财产，保护公民的人身权利、民主权利和其他权利，维护社会秩序、经济秩序，保障社会主义建设事业的顺利进行。</w:t>
      </w:r>
    </w:p>
    <w:p>
      <w:pPr>
        <w:spacing w:line="240" w:lineRule="auto"/>
        <w:ind w:firstLine="640"/>
        <w:jc w:val="both"/>
      </w:pPr>
      <w:r>
        <w:rPr>
          <w:rFonts w:ascii="黑体" w:hAnsi="黑体" w:eastAsia="黑体" w:cs="黑体"/>
          <w:sz w:val="32"/>
        </w:rPr>
        <w:t>第三条</w:t>
      </w:r>
      <w:r>
        <w:rPr>
          <w:rFonts w:ascii="仿宋_GB2312" w:hAnsi="仿宋_GB2312" w:eastAsia="仿宋_GB2312" w:cs="仿宋_GB2312"/>
          <w:sz w:val="32"/>
        </w:rPr>
        <w:t>　法律明文规定为犯罪行为的，依照法律定罪处刑；法律没有明文规定为犯罪行为的，不得定罪处刑。</w:t>
      </w:r>
    </w:p>
    <w:p>
      <w:pPr>
        <w:spacing w:line="240" w:lineRule="auto"/>
        <w:ind w:firstLine="640"/>
        <w:jc w:val="both"/>
      </w:pPr>
      <w:r>
        <w:rPr>
          <w:rFonts w:ascii="黑体" w:hAnsi="黑体" w:eastAsia="黑体" w:cs="黑体"/>
          <w:sz w:val="32"/>
        </w:rPr>
        <w:t>第四条</w:t>
      </w:r>
      <w:r>
        <w:rPr>
          <w:rFonts w:ascii="仿宋_GB2312" w:hAnsi="仿宋_GB2312" w:eastAsia="仿宋_GB2312" w:cs="仿宋_GB2312"/>
          <w:sz w:val="32"/>
        </w:rPr>
        <w:t>　对任何人犯罪，在适用法律上一律平等。不允许任何人有超越法律的特权。</w:t>
      </w:r>
    </w:p>
    <w:p>
      <w:pPr>
        <w:spacing w:line="240" w:lineRule="auto"/>
        <w:ind w:firstLine="640"/>
        <w:jc w:val="both"/>
      </w:pPr>
      <w:r>
        <w:rPr>
          <w:rFonts w:ascii="黑体" w:hAnsi="黑体" w:eastAsia="黑体" w:cs="黑体"/>
          <w:sz w:val="32"/>
        </w:rPr>
        <w:t>第五条</w:t>
      </w:r>
      <w:r>
        <w:rPr>
          <w:rFonts w:ascii="仿宋_GB2312" w:hAnsi="仿宋_GB2312" w:eastAsia="仿宋_GB2312" w:cs="仿宋_GB2312"/>
          <w:sz w:val="32"/>
        </w:rPr>
        <w:t>　刑罚的轻重，应当与犯罪分子所犯罪行和承担的刑事责任相适应。</w:t>
      </w:r>
    </w:p>
    <w:p>
      <w:pPr>
        <w:spacing w:line="240" w:lineRule="auto"/>
        <w:ind w:firstLine="640"/>
        <w:jc w:val="both"/>
      </w:pPr>
      <w:r>
        <w:rPr>
          <w:rFonts w:ascii="黑体" w:hAnsi="黑体" w:eastAsia="黑体" w:cs="黑体"/>
          <w:sz w:val="32"/>
        </w:rPr>
        <w:t>第六条</w:t>
      </w:r>
      <w:r>
        <w:rPr>
          <w:rFonts w:ascii="仿宋_GB2312" w:hAnsi="仿宋_GB2312" w:eastAsia="仿宋_GB2312" w:cs="仿宋_GB2312"/>
          <w:sz w:val="32"/>
        </w:rPr>
        <w:t>　凡在中华人民共和国领域内犯罪的，除法律有特别规定的以外，都适用本法。</w:t>
      </w:r>
    </w:p>
    <w:p>
      <w:pPr>
        <w:spacing w:line="240" w:lineRule="auto"/>
        <w:ind w:firstLine="640"/>
        <w:jc w:val="both"/>
      </w:pPr>
      <w:r>
        <w:rPr>
          <w:rFonts w:ascii="仿宋_GB2312" w:hAnsi="仿宋_GB2312" w:eastAsia="仿宋_GB2312" w:cs="仿宋_GB2312"/>
          <w:sz w:val="32"/>
        </w:rPr>
        <w:t>凡在中华人民共和国船舶或者航空器内犯罪的，也适用本法。</w:t>
      </w:r>
    </w:p>
    <w:p>
      <w:pPr>
        <w:spacing w:line="240" w:lineRule="auto"/>
        <w:ind w:firstLine="640"/>
        <w:jc w:val="both"/>
      </w:pPr>
      <w:r>
        <w:rPr>
          <w:rFonts w:ascii="仿宋_GB2312" w:hAnsi="仿宋_GB2312" w:eastAsia="仿宋_GB2312" w:cs="仿宋_GB2312"/>
          <w:sz w:val="32"/>
        </w:rPr>
        <w:t>犯罪的行为或者结果有一项发生在中华人民共和国领域内的，就认为是在中华人民共和国领域内犯罪。</w:t>
      </w:r>
    </w:p>
    <w:p>
      <w:pPr>
        <w:spacing w:line="240" w:lineRule="auto"/>
        <w:ind w:firstLine="640"/>
        <w:jc w:val="both"/>
      </w:pPr>
      <w:r>
        <w:rPr>
          <w:rFonts w:ascii="黑体" w:hAnsi="黑体" w:eastAsia="黑体" w:cs="黑体"/>
          <w:sz w:val="32"/>
        </w:rPr>
        <w:t>第七条</w:t>
      </w:r>
      <w:r>
        <w:rPr>
          <w:rFonts w:ascii="仿宋_GB2312" w:hAnsi="仿宋_GB2312" w:eastAsia="仿宋_GB2312" w:cs="仿宋_GB2312"/>
          <w:sz w:val="32"/>
        </w:rPr>
        <w:t>　中华人民共和国公民在中华人民共和国领域外犯本法规定之罪的，适用本法，但是按本法规定的最高刑为三年以下有期徒刑的，可以不予追究。</w:t>
      </w:r>
    </w:p>
    <w:p>
      <w:pPr>
        <w:spacing w:line="240" w:lineRule="auto"/>
        <w:ind w:firstLine="640"/>
        <w:jc w:val="both"/>
      </w:pPr>
      <w:r>
        <w:rPr>
          <w:rFonts w:ascii="仿宋_GB2312" w:hAnsi="仿宋_GB2312" w:eastAsia="仿宋_GB2312" w:cs="仿宋_GB2312"/>
          <w:sz w:val="32"/>
        </w:rPr>
        <w:t>中华人民共和国国家工作人员和军人在中华人民共和国领域外犯本法规定之罪的，适用本法。</w:t>
      </w:r>
    </w:p>
    <w:p>
      <w:pPr>
        <w:spacing w:line="240" w:lineRule="auto"/>
        <w:ind w:firstLine="640"/>
        <w:jc w:val="both"/>
      </w:pPr>
      <w:r>
        <w:rPr>
          <w:rFonts w:ascii="黑体" w:hAnsi="黑体" w:eastAsia="黑体" w:cs="黑体"/>
          <w:sz w:val="32"/>
        </w:rPr>
        <w:t>第八条</w:t>
      </w:r>
      <w:r>
        <w:rPr>
          <w:rFonts w:ascii="仿宋_GB2312" w:hAnsi="仿宋_GB2312" w:eastAsia="仿宋_GB2312" w:cs="仿宋_GB2312"/>
          <w:sz w:val="32"/>
        </w:rPr>
        <w:t>　外国人在中华人民共和国领域外对中华人民共和国国家或者公民犯罪，而按本法规定的最低刑为三年以上有期徒刑的，可以适用本法，但是按照犯罪地的法律不受处罚的除外。</w:t>
      </w:r>
    </w:p>
    <w:p>
      <w:pPr>
        <w:spacing w:line="240" w:lineRule="auto"/>
        <w:ind w:firstLine="640"/>
        <w:jc w:val="both"/>
      </w:pPr>
      <w:r>
        <w:rPr>
          <w:rFonts w:ascii="黑体" w:hAnsi="黑体" w:eastAsia="黑体" w:cs="黑体"/>
          <w:sz w:val="32"/>
        </w:rPr>
        <w:t>第九条</w:t>
      </w:r>
      <w:r>
        <w:rPr>
          <w:rFonts w:ascii="仿宋_GB2312" w:hAnsi="仿宋_GB2312" w:eastAsia="仿宋_GB2312" w:cs="仿宋_GB2312"/>
          <w:sz w:val="32"/>
        </w:rPr>
        <w:t>　对于中华人民共和国缔结或者参加的国际条约所规定的罪行，中华人民共和国在所承担条约义务的范围内行使刑事管辖权的，适用本法。</w:t>
      </w:r>
    </w:p>
    <w:p>
      <w:pPr>
        <w:spacing w:line="240" w:lineRule="auto"/>
        <w:ind w:firstLine="640"/>
        <w:jc w:val="both"/>
      </w:pPr>
      <w:r>
        <w:rPr>
          <w:rFonts w:ascii="黑体" w:hAnsi="黑体" w:eastAsia="黑体" w:cs="黑体"/>
          <w:sz w:val="32"/>
        </w:rPr>
        <w:t>第十条</w:t>
      </w:r>
      <w:r>
        <w:rPr>
          <w:rFonts w:ascii="仿宋_GB2312" w:hAnsi="仿宋_GB2312" w:eastAsia="仿宋_GB2312" w:cs="仿宋_GB2312"/>
          <w:sz w:val="32"/>
        </w:rPr>
        <w:t>　凡在中华人民共和国领域外犯罪，依照本法应当负刑事责任的，虽然经过外国审判，仍然可以依照本法追究，但是在外国已经受过刑罚处罚的，可以免除或者减轻处罚。</w:t>
      </w:r>
    </w:p>
    <w:p>
      <w:pPr>
        <w:spacing w:line="240" w:lineRule="auto"/>
        <w:ind w:firstLine="640"/>
        <w:jc w:val="both"/>
      </w:pPr>
      <w:r>
        <w:rPr>
          <w:rFonts w:ascii="黑体" w:hAnsi="黑体" w:eastAsia="黑体" w:cs="黑体"/>
          <w:sz w:val="32"/>
        </w:rPr>
        <w:t>第十一条</w:t>
      </w:r>
      <w:r>
        <w:rPr>
          <w:rFonts w:ascii="仿宋_GB2312" w:hAnsi="仿宋_GB2312" w:eastAsia="仿宋_GB2312" w:cs="仿宋_GB2312"/>
          <w:sz w:val="32"/>
        </w:rPr>
        <w:t>　享有外交特权和豁免权的外国人的刑事责任，通过外交途径解决。</w:t>
      </w:r>
    </w:p>
    <w:p>
      <w:pPr>
        <w:spacing w:line="240" w:lineRule="auto"/>
        <w:ind w:firstLine="640"/>
        <w:jc w:val="both"/>
      </w:pPr>
      <w:r>
        <w:rPr>
          <w:rFonts w:ascii="黑体" w:hAnsi="黑体" w:eastAsia="黑体" w:cs="黑体"/>
          <w:sz w:val="32"/>
        </w:rPr>
        <w:t>第十二条</w:t>
      </w:r>
      <w:r>
        <w:rPr>
          <w:rFonts w:ascii="仿宋_GB2312" w:hAnsi="仿宋_GB2312" w:eastAsia="仿宋_GB2312" w:cs="仿宋_GB2312"/>
          <w:sz w:val="32"/>
        </w:rPr>
        <w:t>　中华人民共和国成立以后本法施行以前的行为，如果当时的法律不认为是犯罪的，适用当时的法律；如果当时的法律认为是犯罪的，依照本法总则第四章第八节的规定应当追诉的，按照当时的法律追究刑事责任，但是如果本法不认为是犯罪或者处刑较轻的，适用本法。</w:t>
      </w:r>
    </w:p>
    <w:p>
      <w:pPr>
        <w:spacing w:line="240" w:lineRule="auto"/>
        <w:ind w:firstLine="640"/>
        <w:jc w:val="both"/>
      </w:pPr>
      <w:r>
        <w:rPr>
          <w:rFonts w:ascii="仿宋_GB2312" w:hAnsi="仿宋_GB2312" w:eastAsia="仿宋_GB2312" w:cs="仿宋_GB2312"/>
          <w:sz w:val="32"/>
        </w:rPr>
        <w:t>本法施行以前，依照当时的法律已经作出的生效判决，继续有效。</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第二章　犯罪</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犯罪和刑事责任</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第十三条</w:t>
      </w:r>
      <w:r>
        <w:rPr>
          <w:rFonts w:ascii="仿宋_GB2312" w:hAnsi="仿宋_GB2312" w:eastAsia="仿宋_GB2312" w:cs="仿宋_GB2312"/>
          <w:sz w:val="32"/>
        </w:rPr>
        <w:t>　一切危害国家主权、领土完整和安全，分裂国家、颠覆人民民主专政的政权和推翻社会主义制度，破坏社会秩序和经济秩序，侵犯国有财产或者劳动群众集体所有的财产，侵犯公民私人所有的财产，侵犯公民的人身权利、民主权利和其他权利，以及其他危害社会的行为，依照法律应当受刑罚处罚的，都是犯罪，但是情节显著轻微危害不大的，不认为是犯罪。</w:t>
      </w:r>
    </w:p>
    <w:p>
      <w:pPr>
        <w:spacing w:line="240" w:lineRule="auto"/>
        <w:ind w:firstLine="640"/>
        <w:jc w:val="both"/>
      </w:pPr>
      <w:r>
        <w:rPr>
          <w:rFonts w:ascii="黑体" w:hAnsi="黑体" w:eastAsia="黑体" w:cs="黑体"/>
          <w:sz w:val="32"/>
        </w:rPr>
        <w:t>第十四条</w:t>
      </w:r>
      <w:r>
        <w:rPr>
          <w:rFonts w:ascii="仿宋_GB2312" w:hAnsi="仿宋_GB2312" w:eastAsia="仿宋_GB2312" w:cs="仿宋_GB2312"/>
          <w:sz w:val="32"/>
        </w:rPr>
        <w:t>　明知自己的行为会发生危害社会的结果，并且希望或者放任这种结果发生，因而构成犯罪的，是故意犯罪。</w:t>
      </w:r>
    </w:p>
    <w:p>
      <w:pPr>
        <w:spacing w:line="240" w:lineRule="auto"/>
        <w:ind w:firstLine="640"/>
        <w:jc w:val="both"/>
      </w:pPr>
      <w:r>
        <w:rPr>
          <w:rFonts w:ascii="仿宋_GB2312" w:hAnsi="仿宋_GB2312" w:eastAsia="仿宋_GB2312" w:cs="仿宋_GB2312"/>
          <w:sz w:val="32"/>
        </w:rPr>
        <w:t>故意犯罪，应当负刑事责任。</w:t>
      </w:r>
    </w:p>
    <w:p>
      <w:pPr>
        <w:spacing w:line="240" w:lineRule="auto"/>
        <w:ind w:firstLine="640"/>
        <w:jc w:val="both"/>
      </w:pPr>
      <w:r>
        <w:rPr>
          <w:rFonts w:ascii="黑体" w:hAnsi="黑体" w:eastAsia="黑体" w:cs="黑体"/>
          <w:sz w:val="32"/>
        </w:rPr>
        <w:t>第十五条</w:t>
      </w:r>
      <w:r>
        <w:rPr>
          <w:rFonts w:ascii="仿宋_GB2312" w:hAnsi="仿宋_GB2312" w:eastAsia="仿宋_GB2312" w:cs="仿宋_GB2312"/>
          <w:sz w:val="32"/>
        </w:rPr>
        <w:t>　应当预见自己的行为可能发生危害社会的结果，因为疏忽大意而没有预见，或者已经预见而轻信能够避免，以致发生这种结果的，是过失犯罪。</w:t>
      </w:r>
    </w:p>
    <w:p>
      <w:pPr>
        <w:spacing w:line="240" w:lineRule="auto"/>
        <w:ind w:firstLine="640"/>
        <w:jc w:val="both"/>
      </w:pPr>
      <w:r>
        <w:rPr>
          <w:rFonts w:ascii="仿宋_GB2312" w:hAnsi="仿宋_GB2312" w:eastAsia="仿宋_GB2312" w:cs="仿宋_GB2312"/>
          <w:sz w:val="32"/>
        </w:rPr>
        <w:t>过失犯罪，法律有规定的才负刑事责任。</w:t>
      </w:r>
    </w:p>
    <w:p>
      <w:pPr>
        <w:spacing w:line="240" w:lineRule="auto"/>
        <w:ind w:firstLine="640"/>
        <w:jc w:val="both"/>
      </w:pPr>
      <w:r>
        <w:rPr>
          <w:rFonts w:ascii="黑体" w:hAnsi="黑体" w:eastAsia="黑体" w:cs="黑体"/>
          <w:sz w:val="32"/>
        </w:rPr>
        <w:t>第十六条</w:t>
      </w:r>
      <w:r>
        <w:rPr>
          <w:rFonts w:ascii="仿宋_GB2312" w:hAnsi="仿宋_GB2312" w:eastAsia="仿宋_GB2312" w:cs="仿宋_GB2312"/>
          <w:sz w:val="32"/>
        </w:rPr>
        <w:t>　行为在客观上虽然造成了损害结果，但是不是出于故意或者过失，而是由于不能抗拒或者不能预见的原因所引起的，不是犯罪。</w:t>
      </w:r>
    </w:p>
    <w:p>
      <w:pPr>
        <w:spacing w:line="240" w:lineRule="auto"/>
        <w:ind w:firstLine="640"/>
        <w:jc w:val="both"/>
      </w:pPr>
      <w:r>
        <w:rPr>
          <w:rFonts w:ascii="黑体" w:hAnsi="黑体" w:eastAsia="黑体" w:cs="黑体"/>
          <w:sz w:val="32"/>
        </w:rPr>
        <w:t>第十七条</w:t>
      </w:r>
      <w:r>
        <w:rPr>
          <w:rFonts w:ascii="仿宋_GB2312" w:hAnsi="仿宋_GB2312" w:eastAsia="仿宋_GB2312" w:cs="仿宋_GB2312"/>
          <w:sz w:val="32"/>
        </w:rPr>
        <w:t>　已满十六周岁的人犯罪，应当负刑事责任。</w:t>
      </w:r>
    </w:p>
    <w:p>
      <w:pPr>
        <w:spacing w:line="240" w:lineRule="auto"/>
        <w:ind w:firstLine="640"/>
        <w:jc w:val="both"/>
      </w:pPr>
      <w:r>
        <w:rPr>
          <w:rFonts w:ascii="仿宋_GB2312" w:hAnsi="仿宋_GB2312" w:eastAsia="仿宋_GB2312" w:cs="仿宋_GB2312"/>
          <w:sz w:val="32"/>
        </w:rPr>
        <w:t>已满十四周岁不满十六周岁的人，犯故意杀人、故意伤害致人重伤或者死亡、强奸、抢劫、贩卖毒品、放火、爆炸、投放危险物质罪的，应当负刑事责任。</w:t>
      </w:r>
    </w:p>
    <w:p>
      <w:pPr>
        <w:spacing w:line="240" w:lineRule="auto"/>
        <w:ind w:firstLine="640"/>
        <w:jc w:val="both"/>
      </w:pPr>
      <w:r>
        <w:rPr>
          <w:rFonts w:ascii="仿宋_GB2312" w:hAnsi="仿宋_GB2312" w:eastAsia="仿宋_GB2312" w:cs="仿宋_GB2312"/>
          <w:sz w:val="32"/>
        </w:rPr>
        <w:t>已满十二周岁不满十四周岁的人，犯故意杀人、故意伤害罪，致人死亡或者以特别残忍手段致人重伤造成严重残疾，情节恶劣，经最高人民检察院核准追诉的，应当负刑事责任。</w:t>
      </w:r>
    </w:p>
    <w:p>
      <w:pPr>
        <w:spacing w:line="240" w:lineRule="auto"/>
        <w:ind w:firstLine="640"/>
        <w:jc w:val="both"/>
      </w:pPr>
      <w:r>
        <w:rPr>
          <w:rFonts w:ascii="仿宋_GB2312" w:hAnsi="仿宋_GB2312" w:eastAsia="仿宋_GB2312" w:cs="仿宋_GB2312"/>
          <w:sz w:val="32"/>
        </w:rPr>
        <w:t>对依照前三款规定追究刑事责任的不满十八周岁的人，应当从轻或者减轻处罚。</w:t>
      </w:r>
    </w:p>
    <w:p>
      <w:pPr>
        <w:spacing w:line="240" w:lineRule="auto"/>
        <w:ind w:firstLine="640"/>
        <w:jc w:val="both"/>
      </w:pPr>
      <w:r>
        <w:rPr>
          <w:rFonts w:ascii="仿宋_GB2312" w:hAnsi="仿宋_GB2312" w:eastAsia="仿宋_GB2312" w:cs="仿宋_GB2312"/>
          <w:sz w:val="32"/>
        </w:rPr>
        <w:t>因不满十六周岁不予刑事处罚的，责令其父母或者其他监护人加以管教；在必要的时候，依法进行专门矫治教育。</w:t>
      </w:r>
    </w:p>
    <w:p>
      <w:pPr>
        <w:spacing w:line="240" w:lineRule="auto"/>
        <w:ind w:firstLine="640"/>
        <w:jc w:val="both"/>
      </w:pPr>
      <w:r>
        <w:rPr>
          <w:rFonts w:ascii="黑体" w:hAnsi="黑体" w:eastAsia="黑体" w:cs="黑体"/>
          <w:sz w:val="32"/>
        </w:rPr>
        <w:t>第十七</w:t>
      </w:r>
      <w:r>
        <w:rPr>
          <w:rFonts w:hint="eastAsia" w:ascii="黑体" w:hAnsi="黑体" w:eastAsia="黑体" w:cs="黑体"/>
          <w:sz w:val="32"/>
          <w:lang w:eastAsia="zh-CN"/>
        </w:rPr>
        <w:t>条之一　</w:t>
      </w:r>
      <w:r>
        <w:rPr>
          <w:rFonts w:ascii="仿宋_GB2312" w:hAnsi="仿宋_GB2312" w:eastAsia="仿宋_GB2312" w:cs="仿宋_GB2312"/>
          <w:sz w:val="32"/>
        </w:rPr>
        <w:t>已满七十五周岁的人故意犯罪的，可以从轻或者减轻处罚；过失犯罪的，应当从轻或者减轻处罚。</w:t>
      </w:r>
    </w:p>
    <w:p>
      <w:pPr>
        <w:spacing w:line="240" w:lineRule="auto"/>
        <w:ind w:firstLine="640"/>
        <w:jc w:val="both"/>
      </w:pPr>
      <w:r>
        <w:rPr>
          <w:rFonts w:ascii="黑体" w:hAnsi="黑体" w:eastAsia="黑体" w:cs="黑体"/>
          <w:sz w:val="32"/>
        </w:rPr>
        <w:t>第十八条</w:t>
      </w:r>
      <w:r>
        <w:rPr>
          <w:rFonts w:ascii="仿宋_GB2312" w:hAnsi="仿宋_GB2312" w:eastAsia="仿宋_GB2312" w:cs="仿宋_GB2312"/>
          <w:sz w:val="32"/>
        </w:rPr>
        <w:t>　精神病人在不能辨认或者不能控制自己行为的时候造成危害结果，经法定程序鉴定确认的，不负刑事责任，但是应当责令他的家属或者监护人严加看管和医疗；在必要的时候，由政府强制医疗。</w:t>
      </w:r>
    </w:p>
    <w:p>
      <w:pPr>
        <w:spacing w:line="240" w:lineRule="auto"/>
        <w:ind w:firstLine="640"/>
        <w:jc w:val="both"/>
      </w:pPr>
      <w:r>
        <w:rPr>
          <w:rFonts w:ascii="仿宋_GB2312" w:hAnsi="仿宋_GB2312" w:eastAsia="仿宋_GB2312" w:cs="仿宋_GB2312"/>
          <w:sz w:val="32"/>
        </w:rPr>
        <w:t>间歇性的精神病人在精神正常的时候犯罪，应当负刑事责任。</w:t>
      </w:r>
    </w:p>
    <w:p>
      <w:pPr>
        <w:spacing w:line="240" w:lineRule="auto"/>
        <w:ind w:firstLine="640"/>
        <w:jc w:val="both"/>
      </w:pPr>
      <w:r>
        <w:rPr>
          <w:rFonts w:ascii="仿宋_GB2312" w:hAnsi="仿宋_GB2312" w:eastAsia="仿宋_GB2312" w:cs="仿宋_GB2312"/>
          <w:sz w:val="32"/>
        </w:rPr>
        <w:t>尚未完全丧失辨认或者控制自己行为能力的精神病人犯罪的，应当负刑事责任，但是可以从轻或者减轻处罚。</w:t>
      </w:r>
    </w:p>
    <w:p>
      <w:pPr>
        <w:spacing w:line="240" w:lineRule="auto"/>
        <w:ind w:firstLine="640"/>
        <w:jc w:val="both"/>
      </w:pPr>
      <w:r>
        <w:rPr>
          <w:rFonts w:ascii="仿宋_GB2312" w:hAnsi="仿宋_GB2312" w:eastAsia="仿宋_GB2312" w:cs="仿宋_GB2312"/>
          <w:sz w:val="32"/>
        </w:rPr>
        <w:t>醉酒的人犯罪，应当负刑事责任。</w:t>
      </w:r>
    </w:p>
    <w:p>
      <w:pPr>
        <w:spacing w:line="240" w:lineRule="auto"/>
        <w:ind w:firstLine="640"/>
        <w:jc w:val="both"/>
      </w:pPr>
      <w:r>
        <w:rPr>
          <w:rFonts w:ascii="黑体" w:hAnsi="黑体" w:eastAsia="黑体" w:cs="黑体"/>
          <w:sz w:val="32"/>
        </w:rPr>
        <w:t>第十九条</w:t>
      </w:r>
      <w:r>
        <w:rPr>
          <w:rFonts w:ascii="仿宋_GB2312" w:hAnsi="仿宋_GB2312" w:eastAsia="仿宋_GB2312" w:cs="仿宋_GB2312"/>
          <w:sz w:val="32"/>
        </w:rPr>
        <w:t>　又聋又哑的人或者盲人犯罪，可以从轻、减轻或者免除处罚。</w:t>
      </w:r>
    </w:p>
    <w:p>
      <w:pPr>
        <w:spacing w:line="240" w:lineRule="auto"/>
        <w:ind w:firstLine="640"/>
        <w:jc w:val="both"/>
      </w:pPr>
      <w:r>
        <w:rPr>
          <w:rFonts w:ascii="黑体" w:hAnsi="黑体" w:eastAsia="黑体" w:cs="黑体"/>
          <w:sz w:val="32"/>
        </w:rPr>
        <w:t>第二十条</w:t>
      </w:r>
      <w:r>
        <w:rPr>
          <w:rFonts w:ascii="仿宋_GB2312" w:hAnsi="仿宋_GB2312" w:eastAsia="仿宋_GB2312" w:cs="仿宋_GB2312"/>
          <w:sz w:val="32"/>
        </w:rPr>
        <w:t>　为了使国家、公共利益、本人或者他人的人身、财产和其他权利免受正在进行的不法侵害，而采取的制止不法侵害的行为，对不法侵害人造成损害的，属于正当防卫，不负刑事责任。</w:t>
      </w:r>
    </w:p>
    <w:p>
      <w:pPr>
        <w:spacing w:line="240" w:lineRule="auto"/>
        <w:ind w:firstLine="640"/>
        <w:jc w:val="both"/>
      </w:pPr>
      <w:r>
        <w:rPr>
          <w:rFonts w:ascii="仿宋_GB2312" w:hAnsi="仿宋_GB2312" w:eastAsia="仿宋_GB2312" w:cs="仿宋_GB2312"/>
          <w:sz w:val="32"/>
        </w:rPr>
        <w:t>正当防卫明显超过必要限度造成重大损害的，应当负刑事责任，但是应当减轻或者免除处罚。</w:t>
      </w:r>
    </w:p>
    <w:p>
      <w:pPr>
        <w:spacing w:line="240" w:lineRule="auto"/>
        <w:ind w:firstLine="640"/>
        <w:jc w:val="both"/>
      </w:pPr>
      <w:r>
        <w:rPr>
          <w:rFonts w:ascii="仿宋_GB2312" w:hAnsi="仿宋_GB2312" w:eastAsia="仿宋_GB2312" w:cs="仿宋_GB2312"/>
          <w:sz w:val="32"/>
        </w:rPr>
        <w:t>对正在进行行凶、杀人、抢劫、强奸、绑架以及其他严重危及人身安全的暴力犯罪，采取防卫行为，造成不法侵害人伤亡的，不属于防卫过当，不负刑事责任。</w:t>
      </w:r>
    </w:p>
    <w:p>
      <w:pPr>
        <w:spacing w:line="240" w:lineRule="auto"/>
        <w:ind w:firstLine="640"/>
        <w:jc w:val="both"/>
      </w:pPr>
      <w:r>
        <w:rPr>
          <w:rFonts w:ascii="黑体" w:hAnsi="黑体" w:eastAsia="黑体" w:cs="黑体"/>
          <w:sz w:val="32"/>
        </w:rPr>
        <w:t>第二十一条</w:t>
      </w:r>
      <w:r>
        <w:rPr>
          <w:rFonts w:ascii="仿宋_GB2312" w:hAnsi="仿宋_GB2312" w:eastAsia="仿宋_GB2312" w:cs="仿宋_GB2312"/>
          <w:sz w:val="32"/>
        </w:rPr>
        <w:t>　为了使国家、公共利益、本人或者他人的人身、财产和其他权利免受正在发生的危险，不得已采取的紧急避险行为，造成损害的，不负刑事责任。</w:t>
      </w:r>
    </w:p>
    <w:p>
      <w:pPr>
        <w:spacing w:line="240" w:lineRule="auto"/>
        <w:ind w:firstLine="640"/>
        <w:jc w:val="both"/>
      </w:pPr>
      <w:r>
        <w:rPr>
          <w:rFonts w:ascii="仿宋_GB2312" w:hAnsi="仿宋_GB2312" w:eastAsia="仿宋_GB2312" w:cs="仿宋_GB2312"/>
          <w:sz w:val="32"/>
        </w:rPr>
        <w:t>紧急避险超过必要限度造成不应有的损害的，应当负刑事责任，但是应当减轻或者免除处罚。</w:t>
      </w:r>
    </w:p>
    <w:p>
      <w:pPr>
        <w:spacing w:line="240" w:lineRule="auto"/>
        <w:ind w:firstLine="640"/>
        <w:jc w:val="both"/>
      </w:pPr>
      <w:r>
        <w:rPr>
          <w:rFonts w:ascii="仿宋_GB2312" w:hAnsi="仿宋_GB2312" w:eastAsia="仿宋_GB2312" w:cs="仿宋_GB2312"/>
          <w:sz w:val="32"/>
        </w:rPr>
        <w:t>第一款中关于避免本人危险的规定，不适用于职务上、业务上负有特定责任的人。</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犯罪的预备、未遂和中止</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第二十二条</w:t>
      </w:r>
      <w:r>
        <w:rPr>
          <w:rFonts w:ascii="仿宋_GB2312" w:hAnsi="仿宋_GB2312" w:eastAsia="仿宋_GB2312" w:cs="仿宋_GB2312"/>
          <w:sz w:val="32"/>
        </w:rPr>
        <w:t>　为了犯罪，准备工具、制造条件的，是犯罪预备。</w:t>
      </w:r>
    </w:p>
    <w:p>
      <w:pPr>
        <w:spacing w:line="240" w:lineRule="auto"/>
        <w:ind w:firstLine="640"/>
        <w:jc w:val="both"/>
      </w:pPr>
      <w:r>
        <w:rPr>
          <w:rFonts w:ascii="仿宋_GB2312" w:hAnsi="仿宋_GB2312" w:eastAsia="仿宋_GB2312" w:cs="仿宋_GB2312"/>
          <w:sz w:val="32"/>
        </w:rPr>
        <w:t>对于预备犯，可以比照既遂犯从轻、减轻处罚或者免除处罚。</w:t>
      </w:r>
    </w:p>
    <w:p>
      <w:pPr>
        <w:spacing w:line="240" w:lineRule="auto"/>
        <w:ind w:firstLine="640"/>
        <w:jc w:val="both"/>
      </w:pPr>
      <w:r>
        <w:rPr>
          <w:rFonts w:ascii="黑体" w:hAnsi="黑体" w:eastAsia="黑体" w:cs="黑体"/>
          <w:sz w:val="32"/>
        </w:rPr>
        <w:t>第二十三条</w:t>
      </w:r>
      <w:r>
        <w:rPr>
          <w:rFonts w:ascii="仿宋_GB2312" w:hAnsi="仿宋_GB2312" w:eastAsia="仿宋_GB2312" w:cs="仿宋_GB2312"/>
          <w:sz w:val="32"/>
        </w:rPr>
        <w:t>　已经着手实行犯罪，由于犯罪分子意志以外的原因而未得逞的，是犯罪未遂。</w:t>
      </w:r>
    </w:p>
    <w:p>
      <w:pPr>
        <w:spacing w:line="240" w:lineRule="auto"/>
        <w:ind w:firstLine="640"/>
        <w:jc w:val="both"/>
      </w:pPr>
      <w:r>
        <w:rPr>
          <w:rFonts w:ascii="仿宋_GB2312" w:hAnsi="仿宋_GB2312" w:eastAsia="仿宋_GB2312" w:cs="仿宋_GB2312"/>
          <w:sz w:val="32"/>
        </w:rPr>
        <w:t>对于未遂犯，可以比照既遂犯从轻或者减轻处罚。</w:t>
      </w:r>
    </w:p>
    <w:p>
      <w:pPr>
        <w:spacing w:line="240" w:lineRule="auto"/>
        <w:ind w:firstLine="640"/>
        <w:jc w:val="both"/>
      </w:pPr>
      <w:r>
        <w:rPr>
          <w:rFonts w:ascii="黑体" w:hAnsi="黑体" w:eastAsia="黑体" w:cs="黑体"/>
          <w:sz w:val="32"/>
        </w:rPr>
        <w:t>第二十四条</w:t>
      </w:r>
      <w:r>
        <w:rPr>
          <w:rFonts w:ascii="仿宋_GB2312" w:hAnsi="仿宋_GB2312" w:eastAsia="仿宋_GB2312" w:cs="仿宋_GB2312"/>
          <w:sz w:val="32"/>
        </w:rPr>
        <w:t>　在犯罪过程中，自动放弃犯罪或者自动有效地防止犯罪结果发生的，是犯罪中止。</w:t>
      </w:r>
    </w:p>
    <w:p>
      <w:pPr>
        <w:spacing w:line="240" w:lineRule="auto"/>
        <w:ind w:firstLine="640"/>
        <w:jc w:val="both"/>
      </w:pPr>
      <w:r>
        <w:rPr>
          <w:rFonts w:ascii="仿宋_GB2312" w:hAnsi="仿宋_GB2312" w:eastAsia="仿宋_GB2312" w:cs="仿宋_GB2312"/>
          <w:sz w:val="32"/>
        </w:rPr>
        <w:t>对于中止犯，没有造成损害的，应当免除处罚；造成损害的，应当减轻处罚。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共同犯罪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第二十五条</w:t>
      </w:r>
      <w:r>
        <w:rPr>
          <w:rFonts w:ascii="仿宋_GB2312" w:hAnsi="仿宋_GB2312" w:eastAsia="仿宋_GB2312" w:cs="仿宋_GB2312"/>
          <w:sz w:val="32"/>
        </w:rPr>
        <w:t>　共同犯罪是指二人以上共同故意犯罪。</w:t>
      </w:r>
    </w:p>
    <w:p>
      <w:pPr>
        <w:spacing w:line="240" w:lineRule="auto"/>
        <w:ind w:firstLine="640"/>
        <w:jc w:val="both"/>
      </w:pPr>
      <w:r>
        <w:rPr>
          <w:rFonts w:ascii="仿宋_GB2312" w:hAnsi="仿宋_GB2312" w:eastAsia="仿宋_GB2312" w:cs="仿宋_GB2312"/>
          <w:sz w:val="32"/>
        </w:rPr>
        <w:t>二人以上共同过失犯罪，不以共同犯罪论处；应当负刑事责任的，按照他们所犯的罪分别处罚。</w:t>
      </w:r>
    </w:p>
    <w:p>
      <w:pPr>
        <w:spacing w:line="240" w:lineRule="auto"/>
        <w:ind w:firstLine="640"/>
        <w:jc w:val="both"/>
      </w:pPr>
      <w:r>
        <w:rPr>
          <w:rFonts w:ascii="黑体" w:hAnsi="黑体" w:eastAsia="黑体" w:cs="黑体"/>
          <w:sz w:val="32"/>
        </w:rPr>
        <w:t>第二十六条</w:t>
      </w:r>
      <w:r>
        <w:rPr>
          <w:rFonts w:ascii="仿宋_GB2312" w:hAnsi="仿宋_GB2312" w:eastAsia="仿宋_GB2312" w:cs="仿宋_GB2312"/>
          <w:sz w:val="32"/>
        </w:rPr>
        <w:t>　组织、领导犯罪集团进行犯罪活动的或者在共同犯罪中起主要作用的，是主犯。</w:t>
      </w:r>
    </w:p>
    <w:p>
      <w:pPr>
        <w:spacing w:line="240" w:lineRule="auto"/>
        <w:ind w:firstLine="640"/>
        <w:jc w:val="both"/>
      </w:pPr>
      <w:r>
        <w:rPr>
          <w:rFonts w:ascii="仿宋_GB2312" w:hAnsi="仿宋_GB2312" w:eastAsia="仿宋_GB2312" w:cs="仿宋_GB2312"/>
          <w:sz w:val="32"/>
        </w:rPr>
        <w:t>三人以上为共同实施犯罪而组成的较为固定的犯罪组织，是犯罪集团。</w:t>
      </w:r>
    </w:p>
    <w:p>
      <w:pPr>
        <w:spacing w:line="240" w:lineRule="auto"/>
        <w:ind w:firstLine="640"/>
        <w:jc w:val="both"/>
      </w:pPr>
      <w:r>
        <w:rPr>
          <w:rFonts w:ascii="仿宋_GB2312" w:hAnsi="仿宋_GB2312" w:eastAsia="仿宋_GB2312" w:cs="仿宋_GB2312"/>
          <w:sz w:val="32"/>
        </w:rPr>
        <w:t>对组织、领导犯罪集团的首要分子，按照集团所犯的全部罪行处罚。</w:t>
      </w:r>
    </w:p>
    <w:p>
      <w:pPr>
        <w:spacing w:line="240" w:lineRule="auto"/>
        <w:ind w:firstLine="640"/>
        <w:jc w:val="both"/>
      </w:pPr>
      <w:r>
        <w:rPr>
          <w:rFonts w:ascii="仿宋_GB2312" w:hAnsi="仿宋_GB2312" w:eastAsia="仿宋_GB2312" w:cs="仿宋_GB2312"/>
          <w:sz w:val="32"/>
        </w:rPr>
        <w:t>对于第三款规定以外的主犯，应当按照其所参与的或者组织、指挥的全部犯罪处罚。</w:t>
      </w:r>
    </w:p>
    <w:p>
      <w:pPr>
        <w:spacing w:line="240" w:lineRule="auto"/>
        <w:ind w:firstLine="640"/>
        <w:jc w:val="both"/>
      </w:pPr>
      <w:r>
        <w:rPr>
          <w:rFonts w:ascii="黑体" w:hAnsi="黑体" w:eastAsia="黑体" w:cs="黑体"/>
          <w:sz w:val="32"/>
        </w:rPr>
        <w:t>第二十七条</w:t>
      </w:r>
      <w:r>
        <w:rPr>
          <w:rFonts w:ascii="仿宋_GB2312" w:hAnsi="仿宋_GB2312" w:eastAsia="仿宋_GB2312" w:cs="仿宋_GB2312"/>
          <w:sz w:val="32"/>
        </w:rPr>
        <w:t>　在共同犯罪中起次要或者辅助作用的，是从犯。</w:t>
      </w:r>
    </w:p>
    <w:p>
      <w:pPr>
        <w:spacing w:line="240" w:lineRule="auto"/>
        <w:ind w:firstLine="640"/>
        <w:jc w:val="both"/>
      </w:pPr>
      <w:r>
        <w:rPr>
          <w:rFonts w:ascii="仿宋_GB2312" w:hAnsi="仿宋_GB2312" w:eastAsia="仿宋_GB2312" w:cs="仿宋_GB2312"/>
          <w:sz w:val="32"/>
        </w:rPr>
        <w:t>对于从犯，应当从轻、减轻处罚或者免除处罚。</w:t>
      </w:r>
    </w:p>
    <w:p>
      <w:pPr>
        <w:spacing w:line="240" w:lineRule="auto"/>
        <w:ind w:firstLine="640"/>
        <w:jc w:val="both"/>
      </w:pPr>
      <w:r>
        <w:rPr>
          <w:rFonts w:ascii="黑体" w:hAnsi="黑体" w:eastAsia="黑体" w:cs="黑体"/>
          <w:sz w:val="32"/>
        </w:rPr>
        <w:t>第二十八条</w:t>
      </w:r>
      <w:r>
        <w:rPr>
          <w:rFonts w:ascii="仿宋_GB2312" w:hAnsi="仿宋_GB2312" w:eastAsia="仿宋_GB2312" w:cs="仿宋_GB2312"/>
          <w:sz w:val="32"/>
        </w:rPr>
        <w:t>　对于被胁迫参加犯罪的，应当按照他的犯罪情节减轻处罚或者免除处罚。</w:t>
      </w:r>
    </w:p>
    <w:p>
      <w:pPr>
        <w:spacing w:line="240" w:lineRule="auto"/>
        <w:ind w:firstLine="640"/>
        <w:jc w:val="both"/>
      </w:pPr>
      <w:r>
        <w:rPr>
          <w:rFonts w:ascii="黑体" w:hAnsi="黑体" w:eastAsia="黑体" w:cs="黑体"/>
          <w:sz w:val="32"/>
        </w:rPr>
        <w:t>第二十九条</w:t>
      </w:r>
      <w:r>
        <w:rPr>
          <w:rFonts w:ascii="仿宋_GB2312" w:hAnsi="仿宋_GB2312" w:eastAsia="仿宋_GB2312" w:cs="仿宋_GB2312"/>
          <w:sz w:val="32"/>
        </w:rPr>
        <w:t>　教唆他人犯罪的，应当按照他在共同犯罪中所起的作用处罚。教唆不满十八周岁的人犯罪的，应当从重处罚。</w:t>
      </w:r>
    </w:p>
    <w:p>
      <w:pPr>
        <w:spacing w:line="240" w:lineRule="auto"/>
        <w:ind w:firstLine="640"/>
        <w:jc w:val="both"/>
      </w:pPr>
      <w:r>
        <w:rPr>
          <w:rFonts w:ascii="仿宋_GB2312" w:hAnsi="仿宋_GB2312" w:eastAsia="仿宋_GB2312" w:cs="仿宋_GB2312"/>
          <w:sz w:val="32"/>
        </w:rPr>
        <w:t>如果被教唆的人没有犯被教唆的罪，对于教唆犯，可以从轻或者减轻处罚。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单位犯罪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第三十条</w:t>
      </w:r>
      <w:r>
        <w:rPr>
          <w:rFonts w:ascii="仿宋_GB2312" w:hAnsi="仿宋_GB2312" w:eastAsia="仿宋_GB2312" w:cs="仿宋_GB2312"/>
          <w:sz w:val="32"/>
        </w:rPr>
        <w:t>　公司、企业、事业单位、机关、团体实施的危害社会的行为，法律规定为单位犯罪的，应当负刑事责任。</w:t>
      </w:r>
    </w:p>
    <w:p>
      <w:pPr>
        <w:spacing w:line="240" w:lineRule="auto"/>
        <w:ind w:firstLine="640"/>
        <w:jc w:val="both"/>
      </w:pPr>
      <w:r>
        <w:rPr>
          <w:rFonts w:ascii="黑体" w:hAnsi="黑体" w:eastAsia="黑体" w:cs="黑体"/>
          <w:sz w:val="32"/>
        </w:rPr>
        <w:t>第三十一条</w:t>
      </w:r>
      <w:r>
        <w:rPr>
          <w:rFonts w:ascii="仿宋_GB2312" w:hAnsi="仿宋_GB2312" w:eastAsia="仿宋_GB2312" w:cs="仿宋_GB2312"/>
          <w:sz w:val="32"/>
        </w:rPr>
        <w:t>　单位犯罪的，对单位判处罚金，并对其直接负责的主管人员和其他直接责任人员判处刑罚。本法分则和其他法律另有规定的，依照规定。</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第三章　刑罚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刑罚的种类</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第三十二条</w:t>
      </w:r>
      <w:r>
        <w:rPr>
          <w:rFonts w:ascii="仿宋_GB2312" w:hAnsi="仿宋_GB2312" w:eastAsia="仿宋_GB2312" w:cs="仿宋_GB2312"/>
          <w:sz w:val="32"/>
        </w:rPr>
        <w:t>　刑罚分为主刑和附加刑。</w:t>
      </w:r>
    </w:p>
    <w:p>
      <w:pPr>
        <w:spacing w:line="240" w:lineRule="auto"/>
        <w:ind w:firstLine="640"/>
        <w:jc w:val="both"/>
      </w:pPr>
      <w:r>
        <w:rPr>
          <w:rFonts w:ascii="黑体" w:hAnsi="黑体" w:eastAsia="黑体" w:cs="黑体"/>
          <w:sz w:val="32"/>
        </w:rPr>
        <w:t>第三十三条</w:t>
      </w:r>
      <w:r>
        <w:rPr>
          <w:rFonts w:ascii="仿宋_GB2312" w:hAnsi="仿宋_GB2312" w:eastAsia="仿宋_GB2312" w:cs="仿宋_GB2312"/>
          <w:sz w:val="32"/>
        </w:rPr>
        <w:t>　主刑的种类如下：</w:t>
      </w:r>
    </w:p>
    <w:p>
      <w:pPr>
        <w:spacing w:line="240" w:lineRule="auto"/>
        <w:ind w:firstLine="640"/>
        <w:jc w:val="both"/>
      </w:pPr>
      <w:r>
        <w:rPr>
          <w:rFonts w:ascii="仿宋_GB2312" w:hAnsi="仿宋_GB2312" w:eastAsia="仿宋_GB2312" w:cs="仿宋_GB2312"/>
          <w:sz w:val="32"/>
        </w:rPr>
        <w:t>（一）管制；</w:t>
      </w:r>
    </w:p>
    <w:p>
      <w:pPr>
        <w:spacing w:line="240" w:lineRule="auto"/>
        <w:ind w:firstLine="640"/>
        <w:jc w:val="both"/>
      </w:pPr>
      <w:r>
        <w:rPr>
          <w:rFonts w:ascii="仿宋_GB2312" w:hAnsi="仿宋_GB2312" w:eastAsia="仿宋_GB2312" w:cs="仿宋_GB2312"/>
          <w:sz w:val="32"/>
        </w:rPr>
        <w:t>（二）拘役；</w:t>
      </w:r>
    </w:p>
    <w:p>
      <w:pPr>
        <w:spacing w:line="240" w:lineRule="auto"/>
        <w:ind w:firstLine="640"/>
        <w:jc w:val="both"/>
      </w:pPr>
      <w:r>
        <w:rPr>
          <w:rFonts w:ascii="仿宋_GB2312" w:hAnsi="仿宋_GB2312" w:eastAsia="仿宋_GB2312" w:cs="仿宋_GB2312"/>
          <w:sz w:val="32"/>
        </w:rPr>
        <w:t>（三）有期徒刑；</w:t>
      </w:r>
    </w:p>
    <w:p>
      <w:pPr>
        <w:spacing w:line="240" w:lineRule="auto"/>
        <w:ind w:firstLine="640"/>
        <w:jc w:val="both"/>
      </w:pPr>
      <w:r>
        <w:rPr>
          <w:rFonts w:ascii="仿宋_GB2312" w:hAnsi="仿宋_GB2312" w:eastAsia="仿宋_GB2312" w:cs="仿宋_GB2312"/>
          <w:sz w:val="32"/>
        </w:rPr>
        <w:t>（四）无期徒刑；</w:t>
      </w:r>
    </w:p>
    <w:p>
      <w:pPr>
        <w:spacing w:line="240" w:lineRule="auto"/>
        <w:ind w:firstLine="640"/>
        <w:jc w:val="both"/>
      </w:pPr>
      <w:r>
        <w:rPr>
          <w:rFonts w:ascii="仿宋_GB2312" w:hAnsi="仿宋_GB2312" w:eastAsia="仿宋_GB2312" w:cs="仿宋_GB2312"/>
          <w:sz w:val="32"/>
        </w:rPr>
        <w:t>（五）死刑。</w:t>
      </w:r>
    </w:p>
    <w:p>
      <w:pPr>
        <w:spacing w:line="240" w:lineRule="auto"/>
        <w:ind w:firstLine="640"/>
        <w:jc w:val="both"/>
      </w:pPr>
      <w:r>
        <w:rPr>
          <w:rFonts w:ascii="黑体" w:hAnsi="黑体" w:eastAsia="黑体" w:cs="黑体"/>
          <w:sz w:val="32"/>
        </w:rPr>
        <w:t>第三十四条</w:t>
      </w:r>
      <w:r>
        <w:rPr>
          <w:rFonts w:ascii="仿宋_GB2312" w:hAnsi="仿宋_GB2312" w:eastAsia="仿宋_GB2312" w:cs="仿宋_GB2312"/>
          <w:sz w:val="32"/>
        </w:rPr>
        <w:t>　附加刑的种类如下：</w:t>
      </w:r>
    </w:p>
    <w:p>
      <w:pPr>
        <w:spacing w:line="240" w:lineRule="auto"/>
        <w:ind w:firstLine="640"/>
        <w:jc w:val="both"/>
      </w:pPr>
      <w:r>
        <w:rPr>
          <w:rFonts w:ascii="仿宋_GB2312" w:hAnsi="仿宋_GB2312" w:eastAsia="仿宋_GB2312" w:cs="仿宋_GB2312"/>
          <w:sz w:val="32"/>
        </w:rPr>
        <w:t>（一）罚金；</w:t>
      </w:r>
    </w:p>
    <w:p>
      <w:pPr>
        <w:spacing w:line="240" w:lineRule="auto"/>
        <w:ind w:firstLine="640"/>
        <w:jc w:val="both"/>
      </w:pPr>
      <w:r>
        <w:rPr>
          <w:rFonts w:ascii="仿宋_GB2312" w:hAnsi="仿宋_GB2312" w:eastAsia="仿宋_GB2312" w:cs="仿宋_GB2312"/>
          <w:sz w:val="32"/>
        </w:rPr>
        <w:t>（二）剥夺政治权利；</w:t>
      </w:r>
    </w:p>
    <w:p>
      <w:pPr>
        <w:spacing w:line="240" w:lineRule="auto"/>
        <w:ind w:firstLine="640"/>
        <w:jc w:val="both"/>
      </w:pPr>
      <w:r>
        <w:rPr>
          <w:rFonts w:ascii="仿宋_GB2312" w:hAnsi="仿宋_GB2312" w:eastAsia="仿宋_GB2312" w:cs="仿宋_GB2312"/>
          <w:sz w:val="32"/>
        </w:rPr>
        <w:t>（三）没收财产。</w:t>
      </w:r>
    </w:p>
    <w:p>
      <w:pPr>
        <w:spacing w:line="240" w:lineRule="auto"/>
        <w:ind w:firstLine="640"/>
        <w:jc w:val="both"/>
      </w:pPr>
      <w:r>
        <w:rPr>
          <w:rFonts w:ascii="仿宋_GB2312" w:hAnsi="仿宋_GB2312" w:eastAsia="仿宋_GB2312" w:cs="仿宋_GB2312"/>
          <w:sz w:val="32"/>
        </w:rPr>
        <w:t>附加刑也可以独立适用。</w:t>
      </w:r>
    </w:p>
    <w:p>
      <w:pPr>
        <w:spacing w:line="240" w:lineRule="auto"/>
        <w:ind w:firstLine="640"/>
        <w:jc w:val="both"/>
      </w:pPr>
      <w:r>
        <w:rPr>
          <w:rFonts w:ascii="黑体" w:hAnsi="黑体" w:eastAsia="黑体" w:cs="黑体"/>
          <w:sz w:val="32"/>
        </w:rPr>
        <w:t>第三十五条</w:t>
      </w:r>
      <w:r>
        <w:rPr>
          <w:rFonts w:ascii="仿宋_GB2312" w:hAnsi="仿宋_GB2312" w:eastAsia="仿宋_GB2312" w:cs="仿宋_GB2312"/>
          <w:sz w:val="32"/>
        </w:rPr>
        <w:t>　对于犯罪的外国人，可以独立适用或者附加适用驱逐出境。</w:t>
      </w:r>
    </w:p>
    <w:p>
      <w:pPr>
        <w:spacing w:line="240" w:lineRule="auto"/>
        <w:ind w:firstLine="640"/>
        <w:jc w:val="both"/>
      </w:pPr>
      <w:r>
        <w:rPr>
          <w:rFonts w:ascii="黑体" w:hAnsi="黑体" w:eastAsia="黑体" w:cs="黑体"/>
          <w:sz w:val="32"/>
        </w:rPr>
        <w:t>第三十六条</w:t>
      </w:r>
      <w:r>
        <w:rPr>
          <w:rFonts w:ascii="仿宋_GB2312" w:hAnsi="仿宋_GB2312" w:eastAsia="仿宋_GB2312" w:cs="仿宋_GB2312"/>
          <w:sz w:val="32"/>
        </w:rPr>
        <w:t>　由于犯罪行为而使被害人遭受经济损失的，对犯罪分子除依法给予刑事处罚外，并应根据情况判处赔偿经济损失。</w:t>
      </w:r>
    </w:p>
    <w:p>
      <w:pPr>
        <w:spacing w:line="240" w:lineRule="auto"/>
        <w:ind w:firstLine="640"/>
        <w:jc w:val="both"/>
      </w:pPr>
      <w:r>
        <w:rPr>
          <w:rFonts w:ascii="仿宋_GB2312" w:hAnsi="仿宋_GB2312" w:eastAsia="仿宋_GB2312" w:cs="仿宋_GB2312"/>
          <w:sz w:val="32"/>
        </w:rPr>
        <w:t>承担民事赔偿责任的犯罪分子，同时被判处罚金，其财产不足以全部支付的，或者被判处没收财产的，应当先承担对被害人的民事赔偿责任。</w:t>
      </w:r>
    </w:p>
    <w:p>
      <w:pPr>
        <w:spacing w:line="240" w:lineRule="auto"/>
        <w:ind w:firstLine="640"/>
        <w:jc w:val="both"/>
      </w:pPr>
      <w:r>
        <w:rPr>
          <w:rFonts w:ascii="黑体" w:hAnsi="黑体" w:eastAsia="黑体" w:cs="黑体"/>
          <w:sz w:val="32"/>
        </w:rPr>
        <w:t>第三十七条</w:t>
      </w:r>
      <w:r>
        <w:rPr>
          <w:rFonts w:ascii="仿宋_GB2312" w:hAnsi="仿宋_GB2312" w:eastAsia="仿宋_GB2312" w:cs="仿宋_GB2312"/>
          <w:sz w:val="32"/>
        </w:rPr>
        <w:t>　对于犯罪情节轻微不需要判处刑罚的，可以免予刑事处罚，但是可以根据案件的不同情况，予以训诫或者责令具结悔过、赔礼道歉、赔偿损失，或者由主管部门予以行政处罚或者行政处分。</w:t>
      </w:r>
    </w:p>
    <w:p>
      <w:pPr>
        <w:spacing w:line="240" w:lineRule="auto"/>
        <w:ind w:firstLine="640"/>
        <w:jc w:val="both"/>
      </w:pPr>
      <w:r>
        <w:rPr>
          <w:rFonts w:ascii="黑体" w:hAnsi="黑体" w:eastAsia="黑体" w:cs="黑体"/>
          <w:sz w:val="32"/>
        </w:rPr>
        <w:t>第三十七</w:t>
      </w:r>
      <w:r>
        <w:rPr>
          <w:rFonts w:hint="eastAsia" w:ascii="黑体" w:hAnsi="黑体" w:eastAsia="黑体" w:cs="黑体"/>
          <w:sz w:val="32"/>
          <w:lang w:eastAsia="zh-CN"/>
        </w:rPr>
        <w:t>条之一　</w:t>
      </w:r>
      <w:r>
        <w:rPr>
          <w:rFonts w:ascii="仿宋_GB2312" w:hAnsi="仿宋_GB2312" w:eastAsia="仿宋_GB2312" w:cs="仿宋_GB2312"/>
          <w:sz w:val="32"/>
        </w:rPr>
        <w:t>因利用职业便利实施犯罪，或者实施违背职业要求的特定义务的犯罪被判处刑罚的，人民法院可以根据犯罪情况和预防再犯罪的需要，禁止其自刑罚执行完毕之日或者假释之日起从事相关职业，期限为三年至五年。</w:t>
      </w:r>
    </w:p>
    <w:p>
      <w:pPr>
        <w:spacing w:line="240" w:lineRule="auto"/>
        <w:ind w:firstLine="640"/>
        <w:jc w:val="both"/>
      </w:pPr>
      <w:r>
        <w:rPr>
          <w:rFonts w:ascii="仿宋_GB2312" w:hAnsi="仿宋_GB2312" w:eastAsia="仿宋_GB2312" w:cs="仿宋_GB2312"/>
          <w:sz w:val="32"/>
        </w:rPr>
        <w:t>被禁止从事相关职业的人违反人民法院依照前款规定作出的决定的，由公安机关依法给予处罚；情节严重的，依照本法第三百一十三条的规定定罪处罚。</w:t>
      </w:r>
    </w:p>
    <w:p>
      <w:pPr>
        <w:spacing w:line="240" w:lineRule="auto"/>
        <w:ind w:firstLine="640"/>
        <w:jc w:val="both"/>
      </w:pPr>
      <w:r>
        <w:rPr>
          <w:rFonts w:ascii="仿宋_GB2312" w:hAnsi="仿宋_GB2312" w:eastAsia="仿宋_GB2312" w:cs="仿宋_GB2312"/>
          <w:sz w:val="32"/>
        </w:rPr>
        <w:t>其他法律、行政法规对其从事相关职业另有禁止或者限制性规定的，从其规定。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管制</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第三十八条</w:t>
      </w:r>
      <w:r>
        <w:rPr>
          <w:rFonts w:ascii="仿宋_GB2312" w:hAnsi="仿宋_GB2312" w:eastAsia="仿宋_GB2312" w:cs="仿宋_GB2312"/>
          <w:sz w:val="32"/>
        </w:rPr>
        <w:t>　管制的期限，为三个月以上二年以下。</w:t>
      </w:r>
    </w:p>
    <w:p>
      <w:pPr>
        <w:spacing w:line="240" w:lineRule="auto"/>
        <w:ind w:firstLine="640"/>
        <w:jc w:val="both"/>
      </w:pPr>
      <w:r>
        <w:rPr>
          <w:rFonts w:ascii="仿宋_GB2312" w:hAnsi="仿宋_GB2312" w:eastAsia="仿宋_GB2312" w:cs="仿宋_GB2312"/>
          <w:sz w:val="32"/>
        </w:rPr>
        <w:t>判处管制，可以根据犯罪情况，同时禁止犯罪分子在执行期间从事特定活动，进入特定区域、场所，接触特定的人。</w:t>
      </w:r>
    </w:p>
    <w:p>
      <w:pPr>
        <w:spacing w:line="240" w:lineRule="auto"/>
        <w:ind w:firstLine="640"/>
        <w:jc w:val="both"/>
      </w:pPr>
      <w:r>
        <w:rPr>
          <w:rFonts w:ascii="仿宋_GB2312" w:hAnsi="仿宋_GB2312" w:eastAsia="仿宋_GB2312" w:cs="仿宋_GB2312"/>
          <w:sz w:val="32"/>
        </w:rPr>
        <w:t>对判处管制的犯罪分子，依法实行社区矫正。</w:t>
      </w:r>
    </w:p>
    <w:p>
      <w:pPr>
        <w:spacing w:line="240" w:lineRule="auto"/>
        <w:ind w:firstLine="640"/>
        <w:jc w:val="both"/>
      </w:pPr>
      <w:r>
        <w:rPr>
          <w:rFonts w:ascii="仿宋_GB2312" w:hAnsi="仿宋_GB2312" w:eastAsia="仿宋_GB2312" w:cs="仿宋_GB2312"/>
          <w:sz w:val="32"/>
        </w:rPr>
        <w:t>违反第二款规定的禁止令的，由公安机关依照《中华人民共和国治安管理处罚法》的规定处罚。</w:t>
      </w:r>
    </w:p>
    <w:p>
      <w:pPr>
        <w:spacing w:line="240" w:lineRule="auto"/>
        <w:ind w:firstLine="640"/>
        <w:jc w:val="both"/>
      </w:pPr>
      <w:r>
        <w:rPr>
          <w:rFonts w:ascii="黑体" w:hAnsi="黑体" w:eastAsia="黑体" w:cs="黑体"/>
          <w:sz w:val="32"/>
        </w:rPr>
        <w:t>第三十九条</w:t>
      </w:r>
      <w:r>
        <w:rPr>
          <w:rFonts w:ascii="仿宋_GB2312" w:hAnsi="仿宋_GB2312" w:eastAsia="仿宋_GB2312" w:cs="仿宋_GB2312"/>
          <w:sz w:val="32"/>
        </w:rPr>
        <w:t>　被判处管制的犯罪分子，在执行期间，应当遵守下列规定：</w:t>
      </w:r>
    </w:p>
    <w:p>
      <w:pPr>
        <w:spacing w:line="240" w:lineRule="auto"/>
        <w:ind w:firstLine="640"/>
        <w:jc w:val="both"/>
      </w:pPr>
      <w:r>
        <w:rPr>
          <w:rFonts w:ascii="仿宋_GB2312" w:hAnsi="仿宋_GB2312" w:eastAsia="仿宋_GB2312" w:cs="仿宋_GB2312"/>
          <w:sz w:val="32"/>
        </w:rPr>
        <w:t>（一）遵守法律、行政法规，服从监督；</w:t>
      </w:r>
    </w:p>
    <w:p>
      <w:pPr>
        <w:spacing w:line="240" w:lineRule="auto"/>
        <w:ind w:firstLine="640"/>
        <w:jc w:val="both"/>
      </w:pPr>
      <w:r>
        <w:rPr>
          <w:rFonts w:ascii="仿宋_GB2312" w:hAnsi="仿宋_GB2312" w:eastAsia="仿宋_GB2312" w:cs="仿宋_GB2312"/>
          <w:sz w:val="32"/>
        </w:rPr>
        <w:t>（二）未经执行机关批准，不得行使言论、出版、集会、结社、游行、示威自由的权利；</w:t>
      </w:r>
    </w:p>
    <w:p>
      <w:pPr>
        <w:spacing w:line="240" w:lineRule="auto"/>
        <w:ind w:firstLine="640"/>
        <w:jc w:val="both"/>
      </w:pPr>
      <w:r>
        <w:rPr>
          <w:rFonts w:ascii="仿宋_GB2312" w:hAnsi="仿宋_GB2312" w:eastAsia="仿宋_GB2312" w:cs="仿宋_GB2312"/>
          <w:sz w:val="32"/>
        </w:rPr>
        <w:t>（三）按照执行机关规定报告自己的活动情况；</w:t>
      </w:r>
    </w:p>
    <w:p>
      <w:pPr>
        <w:spacing w:line="240" w:lineRule="auto"/>
        <w:ind w:firstLine="640"/>
        <w:jc w:val="both"/>
      </w:pPr>
      <w:r>
        <w:rPr>
          <w:rFonts w:ascii="仿宋_GB2312" w:hAnsi="仿宋_GB2312" w:eastAsia="仿宋_GB2312" w:cs="仿宋_GB2312"/>
          <w:sz w:val="32"/>
        </w:rPr>
        <w:t>（四）遵守执行机关关于会客的规定；</w:t>
      </w:r>
    </w:p>
    <w:p>
      <w:pPr>
        <w:spacing w:line="240" w:lineRule="auto"/>
        <w:ind w:firstLine="640"/>
        <w:jc w:val="both"/>
      </w:pPr>
      <w:r>
        <w:rPr>
          <w:rFonts w:ascii="仿宋_GB2312" w:hAnsi="仿宋_GB2312" w:eastAsia="仿宋_GB2312" w:cs="仿宋_GB2312"/>
          <w:sz w:val="32"/>
        </w:rPr>
        <w:t>（五）离开所居住的市、县或者迁居，应当报经执行机关批准。</w:t>
      </w:r>
    </w:p>
    <w:p>
      <w:pPr>
        <w:spacing w:line="240" w:lineRule="auto"/>
        <w:ind w:firstLine="640"/>
        <w:jc w:val="both"/>
      </w:pPr>
      <w:r>
        <w:rPr>
          <w:rFonts w:ascii="仿宋_GB2312" w:hAnsi="仿宋_GB2312" w:eastAsia="仿宋_GB2312" w:cs="仿宋_GB2312"/>
          <w:sz w:val="32"/>
        </w:rPr>
        <w:t>对于被判处管制的犯罪分子，在劳动中应当同工同酬。</w:t>
      </w:r>
    </w:p>
    <w:p>
      <w:pPr>
        <w:spacing w:line="240" w:lineRule="auto"/>
        <w:ind w:firstLine="640"/>
        <w:jc w:val="both"/>
      </w:pPr>
      <w:r>
        <w:rPr>
          <w:rFonts w:ascii="黑体" w:hAnsi="黑体" w:eastAsia="黑体" w:cs="黑体"/>
          <w:sz w:val="32"/>
        </w:rPr>
        <w:t>第四十条</w:t>
      </w:r>
      <w:r>
        <w:rPr>
          <w:rFonts w:ascii="仿宋_GB2312" w:hAnsi="仿宋_GB2312" w:eastAsia="仿宋_GB2312" w:cs="仿宋_GB2312"/>
          <w:sz w:val="32"/>
        </w:rPr>
        <w:t>　被判处管制的犯罪分子，管制期满，执行机关应即向本人和其所在单位或者居住地的群众宣布解除管制。</w:t>
      </w:r>
    </w:p>
    <w:p>
      <w:pPr>
        <w:spacing w:line="240" w:lineRule="auto"/>
        <w:ind w:firstLine="640"/>
        <w:jc w:val="both"/>
      </w:pPr>
      <w:r>
        <w:rPr>
          <w:rFonts w:ascii="黑体" w:hAnsi="黑体" w:eastAsia="黑体" w:cs="黑体"/>
          <w:sz w:val="32"/>
        </w:rPr>
        <w:t>第四十一条</w:t>
      </w:r>
      <w:r>
        <w:rPr>
          <w:rFonts w:ascii="仿宋_GB2312" w:hAnsi="仿宋_GB2312" w:eastAsia="仿宋_GB2312" w:cs="仿宋_GB2312"/>
          <w:sz w:val="32"/>
        </w:rPr>
        <w:t>　管制的刑期，从判决执行之日起计算；判决执行以前先行羁押的，羁押一日折抵刑期二日。</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拘役</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第四十二条</w:t>
      </w:r>
      <w:r>
        <w:rPr>
          <w:rFonts w:ascii="仿宋_GB2312" w:hAnsi="仿宋_GB2312" w:eastAsia="仿宋_GB2312" w:cs="仿宋_GB2312"/>
          <w:sz w:val="32"/>
        </w:rPr>
        <w:t>　拘役的期限，为一个月以上六个月以下。</w:t>
      </w:r>
    </w:p>
    <w:p>
      <w:pPr>
        <w:spacing w:line="240" w:lineRule="auto"/>
        <w:ind w:firstLine="640"/>
        <w:jc w:val="both"/>
      </w:pPr>
      <w:r>
        <w:rPr>
          <w:rFonts w:ascii="黑体" w:hAnsi="黑体" w:eastAsia="黑体" w:cs="黑体"/>
          <w:sz w:val="32"/>
        </w:rPr>
        <w:t>第四十三条</w:t>
      </w:r>
      <w:r>
        <w:rPr>
          <w:rFonts w:ascii="仿宋_GB2312" w:hAnsi="仿宋_GB2312" w:eastAsia="仿宋_GB2312" w:cs="仿宋_GB2312"/>
          <w:sz w:val="32"/>
        </w:rPr>
        <w:t>　被判处拘役的犯罪分子，由公安机关就近执行。</w:t>
      </w:r>
    </w:p>
    <w:p>
      <w:pPr>
        <w:spacing w:line="240" w:lineRule="auto"/>
        <w:ind w:firstLine="640"/>
        <w:jc w:val="both"/>
      </w:pPr>
      <w:r>
        <w:rPr>
          <w:rFonts w:ascii="仿宋_GB2312" w:hAnsi="仿宋_GB2312" w:eastAsia="仿宋_GB2312" w:cs="仿宋_GB2312"/>
          <w:sz w:val="32"/>
        </w:rPr>
        <w:t>在执行期间，被判处拘役的犯罪分子每月可以回家一天至两天；参加劳动的，可以酌量发给报酬。</w:t>
      </w:r>
    </w:p>
    <w:p>
      <w:pPr>
        <w:spacing w:line="240" w:lineRule="auto"/>
        <w:ind w:firstLine="640"/>
        <w:jc w:val="both"/>
      </w:pPr>
      <w:r>
        <w:rPr>
          <w:rFonts w:ascii="黑体" w:hAnsi="黑体" w:eastAsia="黑体" w:cs="黑体"/>
          <w:sz w:val="32"/>
        </w:rPr>
        <w:t>第四十四条</w:t>
      </w:r>
      <w:r>
        <w:rPr>
          <w:rFonts w:ascii="仿宋_GB2312" w:hAnsi="仿宋_GB2312" w:eastAsia="仿宋_GB2312" w:cs="仿宋_GB2312"/>
          <w:sz w:val="32"/>
        </w:rPr>
        <w:t>　拘役的刑期，从判决执行之日起计算；判决执行以前先行羁押的，羁押一日折抵刑期一日。</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有期徒刑、无期徒刑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第四十五条</w:t>
      </w:r>
      <w:r>
        <w:rPr>
          <w:rFonts w:ascii="仿宋_GB2312" w:hAnsi="仿宋_GB2312" w:eastAsia="仿宋_GB2312" w:cs="仿宋_GB2312"/>
          <w:sz w:val="32"/>
        </w:rPr>
        <w:t>　有期徒刑的期限，除本法第五十条、第六十九条规定外，为六个月以上十五年以下。</w:t>
      </w:r>
    </w:p>
    <w:p>
      <w:pPr>
        <w:spacing w:line="240" w:lineRule="auto"/>
        <w:ind w:firstLine="640"/>
        <w:jc w:val="both"/>
      </w:pPr>
      <w:r>
        <w:rPr>
          <w:rFonts w:ascii="黑体" w:hAnsi="黑体" w:eastAsia="黑体" w:cs="黑体"/>
          <w:sz w:val="32"/>
        </w:rPr>
        <w:t>第四十六条</w:t>
      </w:r>
      <w:r>
        <w:rPr>
          <w:rFonts w:ascii="仿宋_GB2312" w:hAnsi="仿宋_GB2312" w:eastAsia="仿宋_GB2312" w:cs="仿宋_GB2312"/>
          <w:sz w:val="32"/>
        </w:rPr>
        <w:t>　被判处有期徒刑、无期徒刑的犯罪分子，在监狱或者其他执行场所执行；凡有劳动能力的，都应当参加劳动，接受教育和改造。</w:t>
      </w:r>
    </w:p>
    <w:p>
      <w:pPr>
        <w:spacing w:line="240" w:lineRule="auto"/>
        <w:ind w:firstLine="640"/>
        <w:jc w:val="both"/>
      </w:pPr>
      <w:r>
        <w:rPr>
          <w:rFonts w:ascii="黑体" w:hAnsi="黑体" w:eastAsia="黑体" w:cs="黑体"/>
          <w:sz w:val="32"/>
        </w:rPr>
        <w:t>第四十七条</w:t>
      </w:r>
      <w:r>
        <w:rPr>
          <w:rFonts w:ascii="仿宋_GB2312" w:hAnsi="仿宋_GB2312" w:eastAsia="仿宋_GB2312" w:cs="仿宋_GB2312"/>
          <w:sz w:val="32"/>
        </w:rPr>
        <w:t>　有期徒刑的刑期，从判决执行之日起计算；判决执行以前先行羁押的，羁押一日折抵刑期一日。</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第五节　死刑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第四十八条</w:t>
      </w:r>
      <w:r>
        <w:rPr>
          <w:rFonts w:ascii="仿宋_GB2312" w:hAnsi="仿宋_GB2312" w:eastAsia="仿宋_GB2312" w:cs="仿宋_GB2312"/>
          <w:sz w:val="32"/>
        </w:rPr>
        <w:t>　死刑只适用于罪行极其严重的犯罪分子。对于应当判处死刑的犯罪分子，如果不是必须立即执行的，可以判处死刑同时宣告缓期二年执行。</w:t>
      </w:r>
    </w:p>
    <w:p>
      <w:pPr>
        <w:spacing w:line="240" w:lineRule="auto"/>
        <w:ind w:firstLine="640"/>
        <w:jc w:val="both"/>
      </w:pPr>
      <w:r>
        <w:rPr>
          <w:rFonts w:ascii="仿宋_GB2312" w:hAnsi="仿宋_GB2312" w:eastAsia="仿宋_GB2312" w:cs="仿宋_GB2312"/>
          <w:sz w:val="32"/>
        </w:rPr>
        <w:t>死刑除依法由最高人民法院判决的以外，都应当报请最高人民法院核准。死刑缓期执行的，可以由高级人民法院判决或者核准。</w:t>
      </w:r>
    </w:p>
    <w:p>
      <w:pPr>
        <w:spacing w:line="240" w:lineRule="auto"/>
        <w:ind w:firstLine="640"/>
        <w:jc w:val="both"/>
      </w:pPr>
      <w:r>
        <w:rPr>
          <w:rFonts w:ascii="黑体" w:hAnsi="黑体" w:eastAsia="黑体" w:cs="黑体"/>
          <w:sz w:val="32"/>
        </w:rPr>
        <w:t>第四十九条</w:t>
      </w:r>
      <w:r>
        <w:rPr>
          <w:rFonts w:ascii="仿宋_GB2312" w:hAnsi="仿宋_GB2312" w:eastAsia="仿宋_GB2312" w:cs="仿宋_GB2312"/>
          <w:sz w:val="32"/>
        </w:rPr>
        <w:t>　犯罪的时候不满十八周岁的人和审判的时候怀孕的妇女，不适用死刑。</w:t>
      </w:r>
    </w:p>
    <w:p>
      <w:pPr>
        <w:spacing w:line="240" w:lineRule="auto"/>
        <w:ind w:firstLine="640"/>
        <w:jc w:val="both"/>
      </w:pPr>
      <w:r>
        <w:rPr>
          <w:rFonts w:ascii="仿宋_GB2312" w:hAnsi="仿宋_GB2312" w:eastAsia="仿宋_GB2312" w:cs="仿宋_GB2312"/>
          <w:sz w:val="32"/>
        </w:rPr>
        <w:t>审判的时候已满七十五周岁的人，不适用死刑，但以特别残忍手段致人死亡的除外。</w:t>
      </w:r>
    </w:p>
    <w:p>
      <w:pPr>
        <w:spacing w:line="240" w:lineRule="auto"/>
        <w:ind w:firstLine="640"/>
        <w:jc w:val="both"/>
      </w:pPr>
      <w:r>
        <w:rPr>
          <w:rFonts w:ascii="黑体" w:hAnsi="黑体" w:eastAsia="黑体" w:cs="黑体"/>
          <w:sz w:val="32"/>
        </w:rPr>
        <w:t>第五十条</w:t>
      </w:r>
      <w:r>
        <w:rPr>
          <w:rFonts w:ascii="仿宋_GB2312" w:hAnsi="仿宋_GB2312" w:eastAsia="仿宋_GB2312" w:cs="仿宋_GB2312"/>
          <w:sz w:val="32"/>
        </w:rPr>
        <w:t>　判处死刑缓期执行的，在死刑缓期执行期间，如果没有故意犯罪，二年期满以后，减为无期徒刑；如果确有重大立功表现，二年期满以后，减为二十五年有期徒刑；如果故意犯罪，情节恶劣的，报请最高人民法院核准后执行死刑；对于故意犯罪未执行死刑的，死刑缓期执行的期间重新计算，并报最高人民法院备案。</w:t>
      </w:r>
    </w:p>
    <w:p>
      <w:pPr>
        <w:spacing w:line="240" w:lineRule="auto"/>
        <w:ind w:firstLine="640"/>
        <w:jc w:val="both"/>
      </w:pPr>
      <w:r>
        <w:rPr>
          <w:rFonts w:ascii="仿宋_GB2312" w:hAnsi="仿宋_GB2312" w:eastAsia="仿宋_GB2312" w:cs="仿宋_GB2312"/>
          <w:sz w:val="32"/>
        </w:rPr>
        <w:t>对被判处死刑缓期执行的累犯以及因故意杀人、强奸、抢劫、绑架、放火、爆炸、投放危险物质或者有组织的暴力性犯罪被判处死刑缓期执行的犯罪分子，人民法院根据犯罪情节等情况可以同时决定对其限制减刑。</w:t>
      </w:r>
    </w:p>
    <w:p>
      <w:pPr>
        <w:spacing w:line="240" w:lineRule="auto"/>
        <w:ind w:firstLine="640"/>
        <w:jc w:val="both"/>
      </w:pPr>
      <w:r>
        <w:rPr>
          <w:rFonts w:ascii="黑体" w:hAnsi="黑体" w:eastAsia="黑体" w:cs="黑体"/>
          <w:sz w:val="32"/>
        </w:rPr>
        <w:t>第五十一条</w:t>
      </w:r>
      <w:r>
        <w:rPr>
          <w:rFonts w:ascii="仿宋_GB2312" w:hAnsi="仿宋_GB2312" w:eastAsia="仿宋_GB2312" w:cs="仿宋_GB2312"/>
          <w:sz w:val="32"/>
        </w:rPr>
        <w:t>　死刑缓期执行的期间，从判决确定之日起计算。死刑缓期执行减为有期徒刑的刑期，从死刑缓期执行期满之日起计算。</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第六节　罚金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第五十二条</w:t>
      </w:r>
      <w:r>
        <w:rPr>
          <w:rFonts w:ascii="仿宋_GB2312" w:hAnsi="仿宋_GB2312" w:eastAsia="仿宋_GB2312" w:cs="仿宋_GB2312"/>
          <w:sz w:val="32"/>
        </w:rPr>
        <w:t>　判处罚金，应当根据犯罪情节决定罚金数额。</w:t>
      </w:r>
    </w:p>
    <w:p>
      <w:pPr>
        <w:spacing w:line="240" w:lineRule="auto"/>
        <w:ind w:firstLine="640"/>
        <w:jc w:val="both"/>
      </w:pPr>
      <w:r>
        <w:rPr>
          <w:rFonts w:ascii="黑体" w:hAnsi="黑体" w:eastAsia="黑体" w:cs="黑体"/>
          <w:sz w:val="32"/>
        </w:rPr>
        <w:t>第五十三条</w:t>
      </w:r>
      <w:r>
        <w:rPr>
          <w:rFonts w:ascii="仿宋_GB2312" w:hAnsi="仿宋_GB2312" w:eastAsia="仿宋_GB2312" w:cs="仿宋_GB2312"/>
          <w:sz w:val="32"/>
        </w:rPr>
        <w:t>　罚金在判决指定的期限内一次或者分期缴纳。期满不缴纳的，强制缴纳。对于不能全部缴纳罚金的，人民法院在任何时候发现被执行人有可以执行的财产，应当随时追缴。</w:t>
      </w:r>
    </w:p>
    <w:p>
      <w:pPr>
        <w:spacing w:line="240" w:lineRule="auto"/>
        <w:ind w:firstLine="640"/>
        <w:jc w:val="both"/>
      </w:pPr>
      <w:r>
        <w:rPr>
          <w:rFonts w:ascii="仿宋_GB2312" w:hAnsi="仿宋_GB2312" w:eastAsia="仿宋_GB2312" w:cs="仿宋_GB2312"/>
          <w:sz w:val="32"/>
        </w:rPr>
        <w:t>由于遭遇不能抗拒的灾祸等原因缴纳确实有困难的，经人民法院裁定，可以延期缴纳、酌情减少或者免除。</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第七节　剥夺政治权利</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第五十四条</w:t>
      </w:r>
      <w:r>
        <w:rPr>
          <w:rFonts w:ascii="仿宋_GB2312" w:hAnsi="仿宋_GB2312" w:eastAsia="仿宋_GB2312" w:cs="仿宋_GB2312"/>
          <w:sz w:val="32"/>
        </w:rPr>
        <w:t>　剥夺政治权利是剥夺下列权利：</w:t>
      </w:r>
    </w:p>
    <w:p>
      <w:pPr>
        <w:spacing w:line="240" w:lineRule="auto"/>
        <w:ind w:firstLine="640"/>
        <w:jc w:val="both"/>
      </w:pPr>
      <w:r>
        <w:rPr>
          <w:rFonts w:ascii="仿宋_GB2312" w:hAnsi="仿宋_GB2312" w:eastAsia="仿宋_GB2312" w:cs="仿宋_GB2312"/>
          <w:sz w:val="32"/>
        </w:rPr>
        <w:t>（一）选举权和被选举权；</w:t>
      </w:r>
    </w:p>
    <w:p>
      <w:pPr>
        <w:spacing w:line="240" w:lineRule="auto"/>
        <w:ind w:firstLine="640"/>
        <w:jc w:val="both"/>
      </w:pPr>
      <w:r>
        <w:rPr>
          <w:rFonts w:ascii="仿宋_GB2312" w:hAnsi="仿宋_GB2312" w:eastAsia="仿宋_GB2312" w:cs="仿宋_GB2312"/>
          <w:sz w:val="32"/>
        </w:rPr>
        <w:t>（二）言论、出版、集会、结社、游行、示威自由的权利；</w:t>
      </w:r>
    </w:p>
    <w:p>
      <w:pPr>
        <w:spacing w:line="240" w:lineRule="auto"/>
        <w:ind w:firstLine="640"/>
        <w:jc w:val="both"/>
      </w:pPr>
      <w:r>
        <w:rPr>
          <w:rFonts w:ascii="仿宋_GB2312" w:hAnsi="仿宋_GB2312" w:eastAsia="仿宋_GB2312" w:cs="仿宋_GB2312"/>
          <w:sz w:val="32"/>
        </w:rPr>
        <w:t>（三）担任国家机关职务的权利；</w:t>
      </w:r>
    </w:p>
    <w:p>
      <w:pPr>
        <w:spacing w:line="240" w:lineRule="auto"/>
        <w:ind w:firstLine="640"/>
        <w:jc w:val="both"/>
      </w:pPr>
      <w:r>
        <w:rPr>
          <w:rFonts w:ascii="仿宋_GB2312" w:hAnsi="仿宋_GB2312" w:eastAsia="仿宋_GB2312" w:cs="仿宋_GB2312"/>
          <w:sz w:val="32"/>
        </w:rPr>
        <w:t>（四）担任国有公司、企业、事业单位和人民团体领导职务的权利。</w:t>
      </w:r>
    </w:p>
    <w:p>
      <w:pPr>
        <w:spacing w:line="240" w:lineRule="auto"/>
        <w:ind w:firstLine="640"/>
        <w:jc w:val="both"/>
      </w:pPr>
      <w:r>
        <w:rPr>
          <w:rFonts w:ascii="黑体" w:hAnsi="黑体" w:eastAsia="黑体" w:cs="黑体"/>
          <w:sz w:val="32"/>
        </w:rPr>
        <w:t>第五十五条</w:t>
      </w:r>
      <w:r>
        <w:rPr>
          <w:rFonts w:ascii="仿宋_GB2312" w:hAnsi="仿宋_GB2312" w:eastAsia="仿宋_GB2312" w:cs="仿宋_GB2312"/>
          <w:sz w:val="32"/>
        </w:rPr>
        <w:t>　剥夺政治权利的期限，除本法第五十七条规定外，为一年以上五年以下。</w:t>
      </w:r>
    </w:p>
    <w:p>
      <w:pPr>
        <w:spacing w:line="240" w:lineRule="auto"/>
        <w:ind w:firstLine="640"/>
        <w:jc w:val="both"/>
      </w:pPr>
      <w:r>
        <w:rPr>
          <w:rFonts w:ascii="仿宋_GB2312" w:hAnsi="仿宋_GB2312" w:eastAsia="仿宋_GB2312" w:cs="仿宋_GB2312"/>
          <w:sz w:val="32"/>
        </w:rPr>
        <w:t>判处管制附加剥夺政治权利的，剥夺政治权利的期限与管制的期限相等，同时执行。</w:t>
      </w:r>
    </w:p>
    <w:p>
      <w:pPr>
        <w:spacing w:line="240" w:lineRule="auto"/>
        <w:ind w:firstLine="640"/>
        <w:jc w:val="both"/>
      </w:pPr>
      <w:r>
        <w:rPr>
          <w:rFonts w:ascii="黑体" w:hAnsi="黑体" w:eastAsia="黑体" w:cs="黑体"/>
          <w:sz w:val="32"/>
        </w:rPr>
        <w:t>第五十六条</w:t>
      </w:r>
      <w:r>
        <w:rPr>
          <w:rFonts w:ascii="仿宋_GB2312" w:hAnsi="仿宋_GB2312" w:eastAsia="仿宋_GB2312" w:cs="仿宋_GB2312"/>
          <w:sz w:val="32"/>
        </w:rPr>
        <w:t>　对于危害国家安全的犯罪分子应当附加剥夺政治权利；对于故意杀人、强奸、放火、爆炸、投毒、抢劫等严重破坏社会秩序的犯罪分子，可以附加剥夺政治权利。</w:t>
      </w:r>
    </w:p>
    <w:p>
      <w:pPr>
        <w:spacing w:line="240" w:lineRule="auto"/>
        <w:ind w:firstLine="640"/>
        <w:jc w:val="both"/>
      </w:pPr>
      <w:r>
        <w:rPr>
          <w:rFonts w:ascii="仿宋_GB2312" w:hAnsi="仿宋_GB2312" w:eastAsia="仿宋_GB2312" w:cs="仿宋_GB2312"/>
          <w:sz w:val="32"/>
        </w:rPr>
        <w:t>独立适用剥夺政治权利的，依照本法分则的规定。</w:t>
      </w:r>
    </w:p>
    <w:p>
      <w:pPr>
        <w:spacing w:line="240" w:lineRule="auto"/>
        <w:ind w:firstLine="640"/>
        <w:jc w:val="both"/>
      </w:pPr>
      <w:r>
        <w:rPr>
          <w:rFonts w:ascii="黑体" w:hAnsi="黑体" w:eastAsia="黑体" w:cs="黑体"/>
          <w:sz w:val="32"/>
        </w:rPr>
        <w:t>第五十七条</w:t>
      </w:r>
      <w:r>
        <w:rPr>
          <w:rFonts w:ascii="仿宋_GB2312" w:hAnsi="仿宋_GB2312" w:eastAsia="仿宋_GB2312" w:cs="仿宋_GB2312"/>
          <w:sz w:val="32"/>
        </w:rPr>
        <w:t>　对于被判处死刑、无期徒刑的犯罪分子，应当剥夺政治权利终身。</w:t>
      </w:r>
    </w:p>
    <w:p>
      <w:pPr>
        <w:spacing w:line="240" w:lineRule="auto"/>
        <w:ind w:firstLine="640"/>
        <w:jc w:val="both"/>
      </w:pPr>
      <w:r>
        <w:rPr>
          <w:rFonts w:ascii="仿宋_GB2312" w:hAnsi="仿宋_GB2312" w:eastAsia="仿宋_GB2312" w:cs="仿宋_GB2312"/>
          <w:sz w:val="32"/>
        </w:rPr>
        <w:t>在死刑缓期执行减为有期徒刑或者无期徒刑减为有期徒刑的时候，应当把附加剥夺政治权利的期限改为三年以上十年以下。</w:t>
      </w:r>
    </w:p>
    <w:p>
      <w:pPr>
        <w:spacing w:line="240" w:lineRule="auto"/>
        <w:ind w:firstLine="640"/>
        <w:jc w:val="both"/>
      </w:pPr>
      <w:r>
        <w:rPr>
          <w:rFonts w:ascii="黑体" w:hAnsi="黑体" w:eastAsia="黑体" w:cs="黑体"/>
          <w:sz w:val="32"/>
        </w:rPr>
        <w:t>第五十八条</w:t>
      </w:r>
      <w:r>
        <w:rPr>
          <w:rFonts w:ascii="仿宋_GB2312" w:hAnsi="仿宋_GB2312" w:eastAsia="仿宋_GB2312" w:cs="仿宋_GB2312"/>
          <w:sz w:val="32"/>
        </w:rPr>
        <w:t>　附加剥夺政治权利的刑期，从徒刑、拘役执行完毕之日或者从假释之日起计算；剥夺政治权利的效力当然施用于主刑执行期间。</w:t>
      </w:r>
    </w:p>
    <w:p>
      <w:pPr>
        <w:spacing w:line="240" w:lineRule="auto"/>
        <w:ind w:firstLine="640"/>
        <w:jc w:val="both"/>
      </w:pPr>
      <w:r>
        <w:rPr>
          <w:rFonts w:ascii="仿宋_GB2312" w:hAnsi="仿宋_GB2312" w:eastAsia="仿宋_GB2312" w:cs="仿宋_GB2312"/>
          <w:sz w:val="32"/>
        </w:rPr>
        <w:t>被剥夺政治权利的犯罪分子，在执行期间，应当遵守法律、行政法规和国务院公安部门有关监督管理的规定，服从监督；不得行使本法第五十四条规定的各项权利。</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第八节　没收财产</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第五十九条</w:t>
      </w:r>
      <w:r>
        <w:rPr>
          <w:rFonts w:ascii="仿宋_GB2312" w:hAnsi="仿宋_GB2312" w:eastAsia="仿宋_GB2312" w:cs="仿宋_GB2312"/>
          <w:sz w:val="32"/>
        </w:rPr>
        <w:t>　没收财产是没收犯罪分子个人所有财产的一部或者全部。没收全部财产的，应当对犯罪分子个人及其扶养的家属保留必需的生活费用。</w:t>
      </w:r>
    </w:p>
    <w:p>
      <w:pPr>
        <w:spacing w:line="240" w:lineRule="auto"/>
        <w:ind w:firstLine="640"/>
        <w:jc w:val="both"/>
      </w:pPr>
      <w:r>
        <w:rPr>
          <w:rFonts w:ascii="仿宋_GB2312" w:hAnsi="仿宋_GB2312" w:eastAsia="仿宋_GB2312" w:cs="仿宋_GB2312"/>
          <w:sz w:val="32"/>
        </w:rPr>
        <w:t>在判处没收财产的时候，不得没收属于犯罪分子家属所有或者应有的财产。</w:t>
      </w:r>
    </w:p>
    <w:p>
      <w:pPr>
        <w:spacing w:line="240" w:lineRule="auto"/>
        <w:ind w:firstLine="640"/>
        <w:jc w:val="both"/>
      </w:pPr>
      <w:r>
        <w:rPr>
          <w:rFonts w:ascii="黑体" w:hAnsi="黑体" w:eastAsia="黑体" w:cs="黑体"/>
          <w:sz w:val="32"/>
        </w:rPr>
        <w:t>第六十条</w:t>
      </w:r>
      <w:r>
        <w:rPr>
          <w:rFonts w:ascii="仿宋_GB2312" w:hAnsi="仿宋_GB2312" w:eastAsia="仿宋_GB2312" w:cs="仿宋_GB2312"/>
          <w:sz w:val="32"/>
        </w:rPr>
        <w:t>　没收财产以前犯罪分子所负的正当债务，需要以没收的财产偿还的，经债权人请求，应当偿还。</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第四章　刑罚的具体运用</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量刑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第六十一条</w:t>
      </w:r>
      <w:r>
        <w:rPr>
          <w:rFonts w:ascii="仿宋_GB2312" w:hAnsi="仿宋_GB2312" w:eastAsia="仿宋_GB2312" w:cs="仿宋_GB2312"/>
          <w:sz w:val="32"/>
        </w:rPr>
        <w:t>　对于犯罪分子决定刑罚的时候，应当根据犯罪的事实、犯罪的性质、情节和对于社会的危害程度，依照本法的有关规定判处。</w:t>
      </w:r>
    </w:p>
    <w:p>
      <w:pPr>
        <w:spacing w:line="240" w:lineRule="auto"/>
        <w:ind w:firstLine="640"/>
        <w:jc w:val="both"/>
      </w:pPr>
      <w:r>
        <w:rPr>
          <w:rFonts w:ascii="黑体" w:hAnsi="黑体" w:eastAsia="黑体" w:cs="黑体"/>
          <w:sz w:val="32"/>
        </w:rPr>
        <w:t>第六十二条</w:t>
      </w:r>
      <w:r>
        <w:rPr>
          <w:rFonts w:ascii="仿宋_GB2312" w:hAnsi="仿宋_GB2312" w:eastAsia="仿宋_GB2312" w:cs="仿宋_GB2312"/>
          <w:sz w:val="32"/>
        </w:rPr>
        <w:t>　犯罪分子具有本法规定的从重处罚、从轻处罚情节的，应当在法定刑的限度以内判处刑罚。</w:t>
      </w:r>
    </w:p>
    <w:p>
      <w:pPr>
        <w:spacing w:line="240" w:lineRule="auto"/>
        <w:ind w:firstLine="640"/>
        <w:jc w:val="both"/>
      </w:pPr>
      <w:r>
        <w:rPr>
          <w:rFonts w:ascii="黑体" w:hAnsi="黑体" w:eastAsia="黑体" w:cs="黑体"/>
          <w:sz w:val="32"/>
        </w:rPr>
        <w:t>第六十三条</w:t>
      </w:r>
      <w:r>
        <w:rPr>
          <w:rFonts w:ascii="仿宋_GB2312" w:hAnsi="仿宋_GB2312" w:eastAsia="仿宋_GB2312" w:cs="仿宋_GB2312"/>
          <w:sz w:val="32"/>
        </w:rPr>
        <w:t>　犯罪分子具有本法规定的减轻处罚情节的，应当在法定刑以下判处刑罚；本法规定有数个量刑幅度的，应当在法定量刑幅度的下一个量刑幅度内判处刑罚。</w:t>
      </w:r>
    </w:p>
    <w:p>
      <w:pPr>
        <w:spacing w:line="240" w:lineRule="auto"/>
        <w:ind w:firstLine="640"/>
        <w:jc w:val="both"/>
      </w:pPr>
      <w:r>
        <w:rPr>
          <w:rFonts w:ascii="仿宋_GB2312" w:hAnsi="仿宋_GB2312" w:eastAsia="仿宋_GB2312" w:cs="仿宋_GB2312"/>
          <w:sz w:val="32"/>
        </w:rPr>
        <w:t>犯罪分子虽然不具有本法规定的减轻处罚情节，但是根据案件的特殊情况，经最高人民法院核准，也可以在法定刑以下判处刑罚。</w:t>
      </w:r>
    </w:p>
    <w:p>
      <w:pPr>
        <w:spacing w:line="240" w:lineRule="auto"/>
        <w:ind w:firstLine="640"/>
        <w:jc w:val="both"/>
      </w:pPr>
      <w:r>
        <w:rPr>
          <w:rFonts w:ascii="黑体" w:hAnsi="黑体" w:eastAsia="黑体" w:cs="黑体"/>
          <w:sz w:val="32"/>
        </w:rPr>
        <w:t>第六十四条</w:t>
      </w:r>
      <w:r>
        <w:rPr>
          <w:rFonts w:ascii="仿宋_GB2312" w:hAnsi="仿宋_GB2312" w:eastAsia="仿宋_GB2312" w:cs="仿宋_GB2312"/>
          <w:sz w:val="32"/>
        </w:rPr>
        <w:t>　犯罪分子违法所得的一切财物，应当予以追缴或者责令退赔；对被害人的合法财产，应当及时返还；违禁品和供犯罪所用的本人财物，应当予以没收。没收的财物和罚金，一律上缴国库，不得挪用和自行处理。</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累犯</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第六十五条</w:t>
      </w:r>
      <w:r>
        <w:rPr>
          <w:rFonts w:ascii="仿宋_GB2312" w:hAnsi="仿宋_GB2312" w:eastAsia="仿宋_GB2312" w:cs="仿宋_GB2312"/>
          <w:sz w:val="32"/>
        </w:rPr>
        <w:t>　被判处有期徒刑以上刑罚的犯罪分子，刑罚执行完毕或者赦免以后，在五年以内再犯应当判处有期徒刑以上刑罚之罪的，是累犯，应当从重处罚，但是过失犯罪和不满十八周岁的人犯罪的除外。</w:t>
      </w:r>
    </w:p>
    <w:p>
      <w:pPr>
        <w:spacing w:line="240" w:lineRule="auto"/>
        <w:ind w:firstLine="640"/>
        <w:jc w:val="both"/>
      </w:pPr>
      <w:r>
        <w:rPr>
          <w:rFonts w:ascii="仿宋_GB2312" w:hAnsi="仿宋_GB2312" w:eastAsia="仿宋_GB2312" w:cs="仿宋_GB2312"/>
          <w:sz w:val="32"/>
        </w:rPr>
        <w:t>前款规定的期限，对于被假释的犯罪分子，从假释期满之日起计算。</w:t>
      </w:r>
    </w:p>
    <w:p>
      <w:pPr>
        <w:spacing w:line="240" w:lineRule="auto"/>
        <w:ind w:firstLine="640"/>
        <w:jc w:val="both"/>
      </w:pPr>
      <w:r>
        <w:rPr>
          <w:rFonts w:ascii="黑体" w:hAnsi="黑体" w:eastAsia="黑体" w:cs="黑体"/>
          <w:sz w:val="32"/>
        </w:rPr>
        <w:t>第六十六条</w:t>
      </w:r>
      <w:r>
        <w:rPr>
          <w:rFonts w:ascii="仿宋_GB2312" w:hAnsi="仿宋_GB2312" w:eastAsia="仿宋_GB2312" w:cs="仿宋_GB2312"/>
          <w:sz w:val="32"/>
        </w:rPr>
        <w:t>　危害国家安全犯罪、恐怖活动犯罪、黑社会性质的组织犯罪的犯罪分子，在刑罚执行完毕或者赦免以后，在任何时候再犯上述任一类罪的，都以累犯论处。</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自首和立功</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第六十七条</w:t>
      </w:r>
      <w:r>
        <w:rPr>
          <w:rFonts w:ascii="仿宋_GB2312" w:hAnsi="仿宋_GB2312" w:eastAsia="仿宋_GB2312" w:cs="仿宋_GB2312"/>
          <w:sz w:val="32"/>
        </w:rPr>
        <w:t>　犯罪以后自动投案，如实供述自己的罪行的，是自首。对于自首的犯罪分子，可以从轻或者减轻处罚。其中，犯罪较轻的，可以免除处罚。</w:t>
      </w:r>
    </w:p>
    <w:p>
      <w:pPr>
        <w:spacing w:line="240" w:lineRule="auto"/>
        <w:ind w:firstLine="640"/>
        <w:jc w:val="both"/>
      </w:pPr>
      <w:r>
        <w:rPr>
          <w:rFonts w:ascii="仿宋_GB2312" w:hAnsi="仿宋_GB2312" w:eastAsia="仿宋_GB2312" w:cs="仿宋_GB2312"/>
          <w:sz w:val="32"/>
        </w:rPr>
        <w:t>被采取强制措施的犯罪嫌疑人、被告人和正在服刑的罪犯，如实供述司法机关还未掌握的本人其他罪行的，以自首论。</w:t>
      </w:r>
    </w:p>
    <w:p>
      <w:pPr>
        <w:spacing w:line="240" w:lineRule="auto"/>
        <w:ind w:firstLine="640"/>
        <w:jc w:val="both"/>
      </w:pPr>
      <w:r>
        <w:rPr>
          <w:rFonts w:ascii="仿宋_GB2312" w:hAnsi="仿宋_GB2312" w:eastAsia="仿宋_GB2312" w:cs="仿宋_GB2312"/>
          <w:sz w:val="32"/>
        </w:rPr>
        <w:t>犯罪嫌疑人虽不具有前两款规定的自首情节，但是如实供述自己罪行的，可以从轻处罚；因其如实供述自己罪行，避免特别严重后果发生的，可以减轻处罚。</w:t>
      </w:r>
    </w:p>
    <w:p>
      <w:pPr>
        <w:spacing w:line="240" w:lineRule="auto"/>
        <w:ind w:firstLine="640"/>
        <w:jc w:val="both"/>
      </w:pPr>
      <w:r>
        <w:rPr>
          <w:rFonts w:ascii="黑体" w:hAnsi="黑体" w:eastAsia="黑体" w:cs="黑体"/>
          <w:sz w:val="32"/>
        </w:rPr>
        <w:t>第六十八条</w:t>
      </w:r>
      <w:r>
        <w:rPr>
          <w:rFonts w:ascii="仿宋_GB2312" w:hAnsi="仿宋_GB2312" w:eastAsia="仿宋_GB2312" w:cs="仿宋_GB2312"/>
          <w:sz w:val="32"/>
        </w:rPr>
        <w:t>　犯罪分子有揭发他人犯罪行为，查证属实的，或者提供重要线索，从而得以侦破其他案件等立功表现的，可以从轻或者减轻处罚；有重大立功表现的，可以减轻或者免除处罚。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数罪并罚</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第六十九条</w:t>
      </w:r>
      <w:r>
        <w:rPr>
          <w:rFonts w:ascii="仿宋_GB2312" w:hAnsi="仿宋_GB2312" w:eastAsia="仿宋_GB2312" w:cs="仿宋_GB2312"/>
          <w:sz w:val="32"/>
        </w:rPr>
        <w:t>　判决宣告以前一人犯数罪的，除判处死刑和无期徒刑的以外，应当在总和刑期以下、数刑中最高刑期以上，酌情决定执行的刑期，但是管制最高不能超过三年，拘役最高不能超过一年，有期徒刑总和刑期不满三十五年的，最高不能超过二十年，总和刑期在三十五年以上的，最高不能超过二十五年。</w:t>
      </w:r>
    </w:p>
    <w:p>
      <w:pPr>
        <w:spacing w:line="240" w:lineRule="auto"/>
        <w:ind w:firstLine="640"/>
        <w:jc w:val="both"/>
      </w:pPr>
      <w:r>
        <w:rPr>
          <w:rFonts w:ascii="仿宋_GB2312" w:hAnsi="仿宋_GB2312" w:eastAsia="仿宋_GB2312" w:cs="仿宋_GB2312"/>
          <w:sz w:val="32"/>
        </w:rPr>
        <w:t>数罪中有判处有期徒刑和拘役的，执行有期徒刑。数罪中有判处有期徒刑和管制，或者拘役和管制的，有期徒刑、拘役执行完毕后，管制仍须执行。</w:t>
      </w:r>
    </w:p>
    <w:p>
      <w:pPr>
        <w:spacing w:line="240" w:lineRule="auto"/>
        <w:ind w:firstLine="640"/>
        <w:jc w:val="both"/>
      </w:pPr>
      <w:r>
        <w:rPr>
          <w:rFonts w:ascii="仿宋_GB2312" w:hAnsi="仿宋_GB2312" w:eastAsia="仿宋_GB2312" w:cs="仿宋_GB2312"/>
          <w:sz w:val="32"/>
        </w:rPr>
        <w:t>数罪中有判处附加刑的，附加刑仍须执行，其中附加刑种类相同的，合并执行，种类不同的，分别执行。</w:t>
      </w:r>
    </w:p>
    <w:p>
      <w:pPr>
        <w:spacing w:line="240" w:lineRule="auto"/>
        <w:ind w:firstLine="640"/>
        <w:jc w:val="both"/>
      </w:pPr>
      <w:r>
        <w:rPr>
          <w:rFonts w:ascii="黑体" w:hAnsi="黑体" w:eastAsia="黑体" w:cs="黑体"/>
          <w:sz w:val="32"/>
        </w:rPr>
        <w:t>第七十条</w:t>
      </w:r>
      <w:r>
        <w:rPr>
          <w:rFonts w:ascii="仿宋_GB2312" w:hAnsi="仿宋_GB2312" w:eastAsia="仿宋_GB2312" w:cs="仿宋_GB2312"/>
          <w:sz w:val="32"/>
        </w:rPr>
        <w:t>　判决宣告以后，刑罚执行完毕以前，发现被判刑的犯罪分子在判决宣告以前还有其他罪没有判决的，应当对新发现的罪作出判决，把前后两个判决所判处的刑罚，依照本法第六十九条的规定，决定执行的刑罚。已经执行的刑期，应当计算在新判决决定的刑期以内。</w:t>
      </w:r>
    </w:p>
    <w:p>
      <w:pPr>
        <w:spacing w:line="240" w:lineRule="auto"/>
        <w:ind w:firstLine="640"/>
        <w:jc w:val="both"/>
      </w:pPr>
      <w:r>
        <w:rPr>
          <w:rFonts w:ascii="黑体" w:hAnsi="黑体" w:eastAsia="黑体" w:cs="黑体"/>
          <w:sz w:val="32"/>
        </w:rPr>
        <w:t>第七十一条</w:t>
      </w:r>
      <w:r>
        <w:rPr>
          <w:rFonts w:ascii="仿宋_GB2312" w:hAnsi="仿宋_GB2312" w:eastAsia="仿宋_GB2312" w:cs="仿宋_GB2312"/>
          <w:sz w:val="32"/>
        </w:rPr>
        <w:t>　判决宣告以后，刑罚执行完毕以前，被判刑的犯罪分子又犯罪的，应当对新犯的罪作出判决，把前罪没有执行的刑罚和后罪所判处的刑罚，依照本法第六十九条的规定，决定执行的刑罚。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第五节　缓刑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第七十二条</w:t>
      </w:r>
      <w:r>
        <w:rPr>
          <w:rFonts w:ascii="仿宋_GB2312" w:hAnsi="仿宋_GB2312" w:eastAsia="仿宋_GB2312" w:cs="仿宋_GB2312"/>
          <w:sz w:val="32"/>
        </w:rPr>
        <w:t>　对于被判处拘役、三年以下有期徒刑的犯罪分子，同时符合下列条件的，可以宣告缓刑，对其中不满十八周岁的人、怀孕的妇女和已满七十五周岁的人，应当宣告缓刑：</w:t>
      </w:r>
    </w:p>
    <w:p>
      <w:pPr>
        <w:spacing w:line="240" w:lineRule="auto"/>
        <w:ind w:firstLine="640"/>
        <w:jc w:val="both"/>
      </w:pPr>
      <w:r>
        <w:rPr>
          <w:rFonts w:ascii="仿宋_GB2312" w:hAnsi="仿宋_GB2312" w:eastAsia="仿宋_GB2312" w:cs="仿宋_GB2312"/>
          <w:sz w:val="32"/>
        </w:rPr>
        <w:t>（一）犯罪情节较轻；</w:t>
      </w:r>
    </w:p>
    <w:p>
      <w:pPr>
        <w:spacing w:line="240" w:lineRule="auto"/>
        <w:ind w:firstLine="640"/>
        <w:jc w:val="both"/>
      </w:pPr>
      <w:r>
        <w:rPr>
          <w:rFonts w:ascii="仿宋_GB2312" w:hAnsi="仿宋_GB2312" w:eastAsia="仿宋_GB2312" w:cs="仿宋_GB2312"/>
          <w:sz w:val="32"/>
        </w:rPr>
        <w:t>（二）有悔罪表现；</w:t>
      </w:r>
    </w:p>
    <w:p>
      <w:pPr>
        <w:spacing w:line="240" w:lineRule="auto"/>
        <w:ind w:firstLine="640"/>
        <w:jc w:val="both"/>
      </w:pPr>
      <w:r>
        <w:rPr>
          <w:rFonts w:ascii="仿宋_GB2312" w:hAnsi="仿宋_GB2312" w:eastAsia="仿宋_GB2312" w:cs="仿宋_GB2312"/>
          <w:sz w:val="32"/>
        </w:rPr>
        <w:t>（三）没有再犯罪的危险；</w:t>
      </w:r>
    </w:p>
    <w:p>
      <w:pPr>
        <w:spacing w:line="240" w:lineRule="auto"/>
        <w:ind w:firstLine="640"/>
        <w:jc w:val="both"/>
      </w:pPr>
      <w:r>
        <w:rPr>
          <w:rFonts w:ascii="仿宋_GB2312" w:hAnsi="仿宋_GB2312" w:eastAsia="仿宋_GB2312" w:cs="仿宋_GB2312"/>
          <w:sz w:val="32"/>
        </w:rPr>
        <w:t>（四）宣告缓刑对所居住社区没有重大不良影响。</w:t>
      </w:r>
    </w:p>
    <w:p>
      <w:pPr>
        <w:spacing w:line="240" w:lineRule="auto"/>
        <w:ind w:firstLine="640"/>
        <w:jc w:val="both"/>
      </w:pPr>
      <w:r>
        <w:rPr>
          <w:rFonts w:ascii="仿宋_GB2312" w:hAnsi="仿宋_GB2312" w:eastAsia="仿宋_GB2312" w:cs="仿宋_GB2312"/>
          <w:sz w:val="32"/>
        </w:rPr>
        <w:t>宣告缓刑，可以根据犯罪情况，同时禁止犯罪分子在缓刑考验期限内从事特定活动，进入特定区域、场所，接触特定的人。</w:t>
      </w:r>
    </w:p>
    <w:p>
      <w:pPr>
        <w:spacing w:line="240" w:lineRule="auto"/>
        <w:ind w:firstLine="640"/>
        <w:jc w:val="both"/>
      </w:pPr>
      <w:r>
        <w:rPr>
          <w:rFonts w:ascii="仿宋_GB2312" w:hAnsi="仿宋_GB2312" w:eastAsia="仿宋_GB2312" w:cs="仿宋_GB2312"/>
          <w:sz w:val="32"/>
        </w:rPr>
        <w:t>被宣告缓刑的犯罪分子，如果被判处附加刑，附加刑仍须执行。</w:t>
      </w:r>
    </w:p>
    <w:p>
      <w:pPr>
        <w:spacing w:line="240" w:lineRule="auto"/>
        <w:ind w:firstLine="640"/>
        <w:jc w:val="both"/>
      </w:pPr>
      <w:r>
        <w:rPr>
          <w:rFonts w:ascii="黑体" w:hAnsi="黑体" w:eastAsia="黑体" w:cs="黑体"/>
          <w:sz w:val="32"/>
        </w:rPr>
        <w:t>第七十三条</w:t>
      </w:r>
      <w:r>
        <w:rPr>
          <w:rFonts w:ascii="仿宋_GB2312" w:hAnsi="仿宋_GB2312" w:eastAsia="仿宋_GB2312" w:cs="仿宋_GB2312"/>
          <w:sz w:val="32"/>
        </w:rPr>
        <w:t>　拘役的缓刑考验期限为原判刑期以上一年以下，但是不能少于二个月。</w:t>
      </w:r>
    </w:p>
    <w:p>
      <w:pPr>
        <w:spacing w:line="240" w:lineRule="auto"/>
        <w:ind w:firstLine="640"/>
        <w:jc w:val="both"/>
      </w:pPr>
      <w:r>
        <w:rPr>
          <w:rFonts w:ascii="仿宋_GB2312" w:hAnsi="仿宋_GB2312" w:eastAsia="仿宋_GB2312" w:cs="仿宋_GB2312"/>
          <w:sz w:val="32"/>
        </w:rPr>
        <w:t>有期徒刑的缓刑考验期限为原判刑期以上五年以下，但是不能少于一年。</w:t>
      </w:r>
    </w:p>
    <w:p>
      <w:pPr>
        <w:spacing w:line="240" w:lineRule="auto"/>
        <w:ind w:firstLine="640"/>
        <w:jc w:val="both"/>
      </w:pPr>
      <w:r>
        <w:rPr>
          <w:rFonts w:ascii="仿宋_GB2312" w:hAnsi="仿宋_GB2312" w:eastAsia="仿宋_GB2312" w:cs="仿宋_GB2312"/>
          <w:sz w:val="32"/>
        </w:rPr>
        <w:t>缓刑考验期限，从判决确定之日起计算。</w:t>
      </w:r>
    </w:p>
    <w:p>
      <w:pPr>
        <w:spacing w:line="240" w:lineRule="auto"/>
        <w:ind w:firstLine="640"/>
        <w:jc w:val="both"/>
      </w:pPr>
      <w:r>
        <w:rPr>
          <w:rFonts w:ascii="黑体" w:hAnsi="黑体" w:eastAsia="黑体" w:cs="黑体"/>
          <w:sz w:val="32"/>
        </w:rPr>
        <w:t>第七十四条</w:t>
      </w:r>
      <w:r>
        <w:rPr>
          <w:rFonts w:ascii="仿宋_GB2312" w:hAnsi="仿宋_GB2312" w:eastAsia="仿宋_GB2312" w:cs="仿宋_GB2312"/>
          <w:sz w:val="32"/>
        </w:rPr>
        <w:t>　对于累犯和犯罪集团的首要分子，不适用缓刑。</w:t>
      </w:r>
    </w:p>
    <w:p>
      <w:pPr>
        <w:spacing w:line="240" w:lineRule="auto"/>
        <w:ind w:firstLine="640"/>
        <w:jc w:val="both"/>
      </w:pPr>
      <w:r>
        <w:rPr>
          <w:rFonts w:ascii="黑体" w:hAnsi="黑体" w:eastAsia="黑体" w:cs="黑体"/>
          <w:sz w:val="32"/>
        </w:rPr>
        <w:t>第七十五条</w:t>
      </w:r>
      <w:r>
        <w:rPr>
          <w:rFonts w:ascii="仿宋_GB2312" w:hAnsi="仿宋_GB2312" w:eastAsia="仿宋_GB2312" w:cs="仿宋_GB2312"/>
          <w:sz w:val="32"/>
        </w:rPr>
        <w:t>　被宣告缓刑的犯罪分子，应当遵守下列规定：</w:t>
      </w:r>
    </w:p>
    <w:p>
      <w:pPr>
        <w:spacing w:line="240" w:lineRule="auto"/>
        <w:ind w:firstLine="640"/>
        <w:jc w:val="both"/>
      </w:pPr>
      <w:r>
        <w:rPr>
          <w:rFonts w:ascii="仿宋_GB2312" w:hAnsi="仿宋_GB2312" w:eastAsia="仿宋_GB2312" w:cs="仿宋_GB2312"/>
          <w:sz w:val="32"/>
        </w:rPr>
        <w:t>（一）遵守法律、行政法规，服从监督；</w:t>
      </w:r>
    </w:p>
    <w:p>
      <w:pPr>
        <w:spacing w:line="240" w:lineRule="auto"/>
        <w:ind w:firstLine="640"/>
        <w:jc w:val="both"/>
      </w:pPr>
      <w:r>
        <w:rPr>
          <w:rFonts w:ascii="仿宋_GB2312" w:hAnsi="仿宋_GB2312" w:eastAsia="仿宋_GB2312" w:cs="仿宋_GB2312"/>
          <w:sz w:val="32"/>
        </w:rPr>
        <w:t>（二）按照考察机关的规定报告自己的活动情况；</w:t>
      </w:r>
    </w:p>
    <w:p>
      <w:pPr>
        <w:spacing w:line="240" w:lineRule="auto"/>
        <w:ind w:firstLine="640"/>
        <w:jc w:val="both"/>
      </w:pPr>
      <w:r>
        <w:rPr>
          <w:rFonts w:ascii="仿宋_GB2312" w:hAnsi="仿宋_GB2312" w:eastAsia="仿宋_GB2312" w:cs="仿宋_GB2312"/>
          <w:sz w:val="32"/>
        </w:rPr>
        <w:t>（三）遵守考察机关关于会客的规定；</w:t>
      </w:r>
    </w:p>
    <w:p>
      <w:pPr>
        <w:spacing w:line="240" w:lineRule="auto"/>
        <w:ind w:firstLine="640"/>
        <w:jc w:val="both"/>
      </w:pPr>
      <w:r>
        <w:rPr>
          <w:rFonts w:ascii="仿宋_GB2312" w:hAnsi="仿宋_GB2312" w:eastAsia="仿宋_GB2312" w:cs="仿宋_GB2312"/>
          <w:sz w:val="32"/>
        </w:rPr>
        <w:t>（四）离开所居住的市、县或者迁居，应当报经考察机关批准。</w:t>
      </w:r>
    </w:p>
    <w:p>
      <w:pPr>
        <w:spacing w:line="240" w:lineRule="auto"/>
        <w:ind w:firstLine="640"/>
        <w:jc w:val="both"/>
      </w:pPr>
      <w:r>
        <w:rPr>
          <w:rFonts w:ascii="黑体" w:hAnsi="黑体" w:eastAsia="黑体" w:cs="黑体"/>
          <w:sz w:val="32"/>
        </w:rPr>
        <w:t>第七十六条</w:t>
      </w:r>
      <w:r>
        <w:rPr>
          <w:rFonts w:ascii="仿宋_GB2312" w:hAnsi="仿宋_GB2312" w:eastAsia="仿宋_GB2312" w:cs="仿宋_GB2312"/>
          <w:sz w:val="32"/>
        </w:rPr>
        <w:t>　对宣告缓刑的犯罪分子，在缓刑考验期限内，依法实行社区矫正，如果没有本法第七十七条规定的情形，缓刑考验期满，原判的刑罚就不再执行，并公开予以宣告。</w:t>
      </w:r>
    </w:p>
    <w:p>
      <w:pPr>
        <w:spacing w:line="240" w:lineRule="auto"/>
        <w:ind w:firstLine="640"/>
        <w:jc w:val="both"/>
      </w:pPr>
      <w:r>
        <w:rPr>
          <w:rFonts w:ascii="黑体" w:hAnsi="黑体" w:eastAsia="黑体" w:cs="黑体"/>
          <w:sz w:val="32"/>
        </w:rPr>
        <w:t>第七十七条</w:t>
      </w:r>
      <w:r>
        <w:rPr>
          <w:rFonts w:ascii="仿宋_GB2312" w:hAnsi="仿宋_GB2312" w:eastAsia="仿宋_GB2312" w:cs="仿宋_GB2312"/>
          <w:sz w:val="32"/>
        </w:rPr>
        <w:t>　被宣告缓刑的犯罪分子，在缓刑考验期限内犯新罪或者发现判决宣告以前还有其他罪没有判决的，应当撤销缓刑，对新犯的罪或者新发现的罪作出判决，把前罪和后罪所判处的刑罚，依照本法第六十九条的规定，决定执行的刑罚。</w:t>
      </w:r>
    </w:p>
    <w:p>
      <w:pPr>
        <w:spacing w:line="240" w:lineRule="auto"/>
        <w:ind w:firstLine="640"/>
        <w:jc w:val="both"/>
      </w:pPr>
      <w:r>
        <w:rPr>
          <w:rFonts w:ascii="仿宋_GB2312" w:hAnsi="仿宋_GB2312" w:eastAsia="仿宋_GB2312" w:cs="仿宋_GB2312"/>
          <w:sz w:val="32"/>
        </w:rPr>
        <w:t>被宣告缓刑的犯罪分子，在缓刑考验期限内，违反法律、行政法规或者国务院有关部门关于缓刑的监督管理规定，或者违反人民法院判决中的禁止令，情节严重的，应当撤销缓刑，执行原判刑罚。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第六节　减刑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第七十八条</w:t>
      </w:r>
      <w:r>
        <w:rPr>
          <w:rFonts w:ascii="仿宋_GB2312" w:hAnsi="仿宋_GB2312" w:eastAsia="仿宋_GB2312" w:cs="仿宋_GB2312"/>
          <w:sz w:val="32"/>
        </w:rPr>
        <w:t>　被判处管制、拘役、有期徒刑、无期徒刑的犯罪分子，在执行期间，如果认真遵守监规，接受教育改造，确有悔改表现的，或者有立功表现的，可以减刑；有下列重大立功表现之一的，应当减刑：</w:t>
      </w:r>
    </w:p>
    <w:p>
      <w:pPr>
        <w:spacing w:line="240" w:lineRule="auto"/>
        <w:ind w:firstLine="640"/>
        <w:jc w:val="both"/>
      </w:pPr>
      <w:r>
        <w:rPr>
          <w:rFonts w:ascii="仿宋_GB2312" w:hAnsi="仿宋_GB2312" w:eastAsia="仿宋_GB2312" w:cs="仿宋_GB2312"/>
          <w:sz w:val="32"/>
        </w:rPr>
        <w:t>（一）阻止他人重大犯罪活动的；</w:t>
      </w:r>
    </w:p>
    <w:p>
      <w:pPr>
        <w:spacing w:line="240" w:lineRule="auto"/>
        <w:ind w:firstLine="640"/>
        <w:jc w:val="both"/>
      </w:pPr>
      <w:r>
        <w:rPr>
          <w:rFonts w:ascii="仿宋_GB2312" w:hAnsi="仿宋_GB2312" w:eastAsia="仿宋_GB2312" w:cs="仿宋_GB2312"/>
          <w:sz w:val="32"/>
        </w:rPr>
        <w:t>（二）检举监狱内外重大犯罪活动，经查证属实的；</w:t>
      </w:r>
    </w:p>
    <w:p>
      <w:pPr>
        <w:spacing w:line="240" w:lineRule="auto"/>
        <w:ind w:firstLine="640"/>
        <w:jc w:val="both"/>
      </w:pPr>
      <w:r>
        <w:rPr>
          <w:rFonts w:ascii="仿宋_GB2312" w:hAnsi="仿宋_GB2312" w:eastAsia="仿宋_GB2312" w:cs="仿宋_GB2312"/>
          <w:sz w:val="32"/>
        </w:rPr>
        <w:t>（三）有发明创造或者重大技术革新的；</w:t>
      </w:r>
    </w:p>
    <w:p>
      <w:pPr>
        <w:spacing w:line="240" w:lineRule="auto"/>
        <w:ind w:firstLine="640"/>
        <w:jc w:val="both"/>
      </w:pPr>
      <w:r>
        <w:rPr>
          <w:rFonts w:ascii="仿宋_GB2312" w:hAnsi="仿宋_GB2312" w:eastAsia="仿宋_GB2312" w:cs="仿宋_GB2312"/>
          <w:sz w:val="32"/>
        </w:rPr>
        <w:t>（四）在日常生产、生活中舍己救人的；</w:t>
      </w:r>
    </w:p>
    <w:p>
      <w:pPr>
        <w:spacing w:line="240" w:lineRule="auto"/>
        <w:ind w:firstLine="640"/>
        <w:jc w:val="both"/>
      </w:pPr>
      <w:r>
        <w:rPr>
          <w:rFonts w:ascii="仿宋_GB2312" w:hAnsi="仿宋_GB2312" w:eastAsia="仿宋_GB2312" w:cs="仿宋_GB2312"/>
          <w:sz w:val="32"/>
        </w:rPr>
        <w:t>（五）在抗御自然灾害或者排除重大事故中，有突出表现的；</w:t>
      </w:r>
    </w:p>
    <w:p>
      <w:pPr>
        <w:spacing w:line="240" w:lineRule="auto"/>
        <w:ind w:firstLine="640"/>
        <w:jc w:val="both"/>
      </w:pPr>
      <w:r>
        <w:rPr>
          <w:rFonts w:ascii="仿宋_GB2312" w:hAnsi="仿宋_GB2312" w:eastAsia="仿宋_GB2312" w:cs="仿宋_GB2312"/>
          <w:sz w:val="32"/>
        </w:rPr>
        <w:t>（六）对国家和社会有其他重大贡献的。</w:t>
      </w:r>
    </w:p>
    <w:p>
      <w:pPr>
        <w:spacing w:line="240" w:lineRule="auto"/>
        <w:ind w:firstLine="640"/>
        <w:jc w:val="both"/>
      </w:pPr>
      <w:r>
        <w:rPr>
          <w:rFonts w:ascii="仿宋_GB2312" w:hAnsi="仿宋_GB2312" w:eastAsia="仿宋_GB2312" w:cs="仿宋_GB2312"/>
          <w:sz w:val="32"/>
        </w:rPr>
        <w:t>减刑以后实际执行的刑期不能少于下列期限：</w:t>
      </w:r>
    </w:p>
    <w:p>
      <w:pPr>
        <w:spacing w:line="240" w:lineRule="auto"/>
        <w:ind w:firstLine="640"/>
        <w:jc w:val="both"/>
      </w:pPr>
      <w:r>
        <w:rPr>
          <w:rFonts w:ascii="仿宋_GB2312" w:hAnsi="仿宋_GB2312" w:eastAsia="仿宋_GB2312" w:cs="仿宋_GB2312"/>
          <w:sz w:val="32"/>
        </w:rPr>
        <w:t>（一）判处管制、拘役、有期徒刑的，不能少于原判刑期的二分之一；</w:t>
      </w:r>
    </w:p>
    <w:p>
      <w:pPr>
        <w:spacing w:line="240" w:lineRule="auto"/>
        <w:ind w:firstLine="640"/>
        <w:jc w:val="both"/>
      </w:pPr>
      <w:r>
        <w:rPr>
          <w:rFonts w:ascii="仿宋_GB2312" w:hAnsi="仿宋_GB2312" w:eastAsia="仿宋_GB2312" w:cs="仿宋_GB2312"/>
          <w:sz w:val="32"/>
        </w:rPr>
        <w:t>（二）判处无期徒刑的，不能少于十三年；</w:t>
      </w:r>
    </w:p>
    <w:p>
      <w:pPr>
        <w:spacing w:line="240" w:lineRule="auto"/>
        <w:ind w:firstLine="640"/>
        <w:jc w:val="both"/>
      </w:pPr>
      <w:r>
        <w:rPr>
          <w:rFonts w:ascii="仿宋_GB2312" w:hAnsi="仿宋_GB2312" w:eastAsia="仿宋_GB2312" w:cs="仿宋_GB2312"/>
          <w:sz w:val="32"/>
        </w:rPr>
        <w:t>（三）人民法院依照本法第五十条第二款规定限制减刑的死刑缓期执行的犯罪分子，缓期执行期满后依法减为无期徒刑的，不能少于二十五年，缓期执行期满后依法减为二十五年有期徒刑的，不能少于二十年。</w:t>
      </w:r>
    </w:p>
    <w:p>
      <w:pPr>
        <w:spacing w:line="240" w:lineRule="auto"/>
        <w:ind w:firstLine="640"/>
        <w:jc w:val="both"/>
      </w:pPr>
      <w:r>
        <w:rPr>
          <w:rFonts w:ascii="黑体" w:hAnsi="黑体" w:eastAsia="黑体" w:cs="黑体"/>
          <w:sz w:val="32"/>
        </w:rPr>
        <w:t>第七十九条</w:t>
      </w:r>
      <w:r>
        <w:rPr>
          <w:rFonts w:ascii="仿宋_GB2312" w:hAnsi="仿宋_GB2312" w:eastAsia="仿宋_GB2312" w:cs="仿宋_GB2312"/>
          <w:sz w:val="32"/>
        </w:rPr>
        <w:t>　对于犯罪分子的减刑，由执行机关向中级以上人民法院提出减刑建议书。人民法院应当组成合议庭进行审理，对确有悔改或者立功事实的，裁定予以减刑。非经法定程序不得减刑。</w:t>
      </w:r>
    </w:p>
    <w:p>
      <w:pPr>
        <w:spacing w:line="240" w:lineRule="auto"/>
        <w:ind w:firstLine="640"/>
        <w:jc w:val="both"/>
      </w:pPr>
      <w:r>
        <w:rPr>
          <w:rFonts w:ascii="黑体" w:hAnsi="黑体" w:eastAsia="黑体" w:cs="黑体"/>
          <w:sz w:val="32"/>
        </w:rPr>
        <w:t>第八十条</w:t>
      </w:r>
      <w:r>
        <w:rPr>
          <w:rFonts w:ascii="仿宋_GB2312" w:hAnsi="仿宋_GB2312" w:eastAsia="仿宋_GB2312" w:cs="仿宋_GB2312"/>
          <w:sz w:val="32"/>
        </w:rPr>
        <w:t>　无期徒刑减为有期徒刑的刑期，从裁定减刑之日起计算。</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第七节　假释</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第八十一条</w:t>
      </w:r>
      <w:r>
        <w:rPr>
          <w:rFonts w:ascii="仿宋_GB2312" w:hAnsi="仿宋_GB2312" w:eastAsia="仿宋_GB2312" w:cs="仿宋_GB2312"/>
          <w:sz w:val="32"/>
        </w:rPr>
        <w:t>　被判处有期徒刑的犯罪分子，执行原判刑期二分之一以上，被判处无期徒刑的犯罪分子，实际执行十三年以上，如果认真遵守监规，接受教育改造，确有悔改表现，没有再犯罪的危险的，可以假释。如果有特殊情况，经最高人民法院核准，可以不受上述执行刑期的限制。</w:t>
      </w:r>
    </w:p>
    <w:p>
      <w:pPr>
        <w:spacing w:line="240" w:lineRule="auto"/>
        <w:ind w:firstLine="640"/>
        <w:jc w:val="both"/>
      </w:pPr>
      <w:r>
        <w:rPr>
          <w:rFonts w:ascii="仿宋_GB2312" w:hAnsi="仿宋_GB2312" w:eastAsia="仿宋_GB2312" w:cs="仿宋_GB2312"/>
          <w:sz w:val="32"/>
        </w:rPr>
        <w:t>对累犯以及因故意杀人、强奸、抢劫、绑架、放火、爆炸、投放危险物质或者有组织的暴力性犯罪被判处十年以上有期徒刑、无期徒刑的犯罪分子，不得假释。</w:t>
      </w:r>
    </w:p>
    <w:p>
      <w:pPr>
        <w:spacing w:line="240" w:lineRule="auto"/>
        <w:ind w:firstLine="640"/>
        <w:jc w:val="both"/>
      </w:pPr>
      <w:r>
        <w:rPr>
          <w:rFonts w:ascii="仿宋_GB2312" w:hAnsi="仿宋_GB2312" w:eastAsia="仿宋_GB2312" w:cs="仿宋_GB2312"/>
          <w:sz w:val="32"/>
        </w:rPr>
        <w:t>对犯罪分子决定假释时，应当考虑其假释后对所居住社区的影响。</w:t>
      </w:r>
    </w:p>
    <w:p>
      <w:pPr>
        <w:spacing w:line="240" w:lineRule="auto"/>
        <w:ind w:firstLine="640"/>
        <w:jc w:val="both"/>
      </w:pPr>
      <w:r>
        <w:rPr>
          <w:rFonts w:ascii="黑体" w:hAnsi="黑体" w:eastAsia="黑体" w:cs="黑体"/>
          <w:sz w:val="32"/>
        </w:rPr>
        <w:t>第八十二条</w:t>
      </w:r>
      <w:r>
        <w:rPr>
          <w:rFonts w:ascii="仿宋_GB2312" w:hAnsi="仿宋_GB2312" w:eastAsia="仿宋_GB2312" w:cs="仿宋_GB2312"/>
          <w:sz w:val="32"/>
        </w:rPr>
        <w:t>　对于犯罪分子的假释，依照本法第七十九条规定的程序进行。非经法定程序不得假释。</w:t>
      </w:r>
    </w:p>
    <w:p>
      <w:pPr>
        <w:spacing w:line="240" w:lineRule="auto"/>
        <w:ind w:firstLine="640"/>
        <w:jc w:val="both"/>
      </w:pPr>
      <w:r>
        <w:rPr>
          <w:rFonts w:ascii="黑体" w:hAnsi="黑体" w:eastAsia="黑体" w:cs="黑体"/>
          <w:sz w:val="32"/>
        </w:rPr>
        <w:t>第八十三条</w:t>
      </w:r>
      <w:r>
        <w:rPr>
          <w:rFonts w:ascii="仿宋_GB2312" w:hAnsi="仿宋_GB2312" w:eastAsia="仿宋_GB2312" w:cs="仿宋_GB2312"/>
          <w:sz w:val="32"/>
        </w:rPr>
        <w:t>　有期徒刑的假释考验期限，为没有执行完毕的刑期；无期徒刑的假释考验期限为十年。</w:t>
      </w:r>
    </w:p>
    <w:p>
      <w:pPr>
        <w:spacing w:line="240" w:lineRule="auto"/>
        <w:ind w:firstLine="640"/>
        <w:jc w:val="both"/>
      </w:pPr>
      <w:r>
        <w:rPr>
          <w:rFonts w:ascii="仿宋_GB2312" w:hAnsi="仿宋_GB2312" w:eastAsia="仿宋_GB2312" w:cs="仿宋_GB2312"/>
          <w:sz w:val="32"/>
        </w:rPr>
        <w:t>假释考验期限，从假释之日起计算。</w:t>
      </w:r>
    </w:p>
    <w:p>
      <w:pPr>
        <w:spacing w:line="240" w:lineRule="auto"/>
        <w:ind w:firstLine="640"/>
        <w:jc w:val="both"/>
      </w:pPr>
      <w:r>
        <w:rPr>
          <w:rFonts w:ascii="黑体" w:hAnsi="黑体" w:eastAsia="黑体" w:cs="黑体"/>
          <w:sz w:val="32"/>
        </w:rPr>
        <w:t>第八十四条</w:t>
      </w:r>
      <w:r>
        <w:rPr>
          <w:rFonts w:ascii="仿宋_GB2312" w:hAnsi="仿宋_GB2312" w:eastAsia="仿宋_GB2312" w:cs="仿宋_GB2312"/>
          <w:sz w:val="32"/>
        </w:rPr>
        <w:t>　被宣告假释的犯罪分子，应当遵守下列规定：</w:t>
      </w:r>
    </w:p>
    <w:p>
      <w:pPr>
        <w:spacing w:line="240" w:lineRule="auto"/>
        <w:ind w:firstLine="640"/>
        <w:jc w:val="both"/>
      </w:pPr>
      <w:r>
        <w:rPr>
          <w:rFonts w:ascii="仿宋_GB2312" w:hAnsi="仿宋_GB2312" w:eastAsia="仿宋_GB2312" w:cs="仿宋_GB2312"/>
          <w:sz w:val="32"/>
        </w:rPr>
        <w:t>（一）遵守法律、行政法规，服从监督；</w:t>
      </w:r>
    </w:p>
    <w:p>
      <w:pPr>
        <w:spacing w:line="240" w:lineRule="auto"/>
        <w:ind w:firstLine="640"/>
        <w:jc w:val="both"/>
      </w:pPr>
      <w:r>
        <w:rPr>
          <w:rFonts w:ascii="仿宋_GB2312" w:hAnsi="仿宋_GB2312" w:eastAsia="仿宋_GB2312" w:cs="仿宋_GB2312"/>
          <w:sz w:val="32"/>
        </w:rPr>
        <w:t>（二）按照监督机关的规定报告自己的活动情况；</w:t>
      </w:r>
    </w:p>
    <w:p>
      <w:pPr>
        <w:spacing w:line="240" w:lineRule="auto"/>
        <w:ind w:firstLine="640"/>
        <w:jc w:val="both"/>
      </w:pPr>
      <w:r>
        <w:rPr>
          <w:rFonts w:ascii="仿宋_GB2312" w:hAnsi="仿宋_GB2312" w:eastAsia="仿宋_GB2312" w:cs="仿宋_GB2312"/>
          <w:sz w:val="32"/>
        </w:rPr>
        <w:t>（三）遵守监督机关关于会客的规定；</w:t>
      </w:r>
    </w:p>
    <w:p>
      <w:pPr>
        <w:spacing w:line="240" w:lineRule="auto"/>
        <w:ind w:firstLine="640"/>
        <w:jc w:val="both"/>
      </w:pPr>
      <w:r>
        <w:rPr>
          <w:rFonts w:ascii="仿宋_GB2312" w:hAnsi="仿宋_GB2312" w:eastAsia="仿宋_GB2312" w:cs="仿宋_GB2312"/>
          <w:sz w:val="32"/>
        </w:rPr>
        <w:t>（四）离开所居住的市、县或者迁居，应当报经监督机关批准。</w:t>
      </w:r>
    </w:p>
    <w:p>
      <w:pPr>
        <w:spacing w:line="240" w:lineRule="auto"/>
        <w:ind w:firstLine="640"/>
        <w:jc w:val="both"/>
      </w:pPr>
      <w:r>
        <w:rPr>
          <w:rFonts w:ascii="黑体" w:hAnsi="黑体" w:eastAsia="黑体" w:cs="黑体"/>
          <w:sz w:val="32"/>
        </w:rPr>
        <w:t>第八十五条</w:t>
      </w:r>
      <w:r>
        <w:rPr>
          <w:rFonts w:ascii="仿宋_GB2312" w:hAnsi="仿宋_GB2312" w:eastAsia="仿宋_GB2312" w:cs="仿宋_GB2312"/>
          <w:sz w:val="32"/>
        </w:rPr>
        <w:t>　对假释的犯罪分子，在假释考验期限内，依法实行社区矫正，如果没有本法第八十六条规定的情形，假释考验期满，就认为原判刑罚已经执行完毕，并公开予以宣告。</w:t>
      </w:r>
    </w:p>
    <w:p>
      <w:pPr>
        <w:spacing w:line="240" w:lineRule="auto"/>
        <w:ind w:firstLine="640"/>
        <w:jc w:val="both"/>
      </w:pPr>
      <w:r>
        <w:rPr>
          <w:rFonts w:ascii="黑体" w:hAnsi="黑体" w:eastAsia="黑体" w:cs="黑体"/>
          <w:sz w:val="32"/>
        </w:rPr>
        <w:t>第八十六条</w:t>
      </w:r>
      <w:r>
        <w:rPr>
          <w:rFonts w:ascii="仿宋_GB2312" w:hAnsi="仿宋_GB2312" w:eastAsia="仿宋_GB2312" w:cs="仿宋_GB2312"/>
          <w:sz w:val="32"/>
        </w:rPr>
        <w:t>　被假释的犯罪分子，在假释考验期限内犯新罪，应当撤销假释，依照本法第七十一条的规定实行数罪并罚。</w:t>
      </w:r>
    </w:p>
    <w:p>
      <w:pPr>
        <w:spacing w:line="240" w:lineRule="auto"/>
        <w:ind w:firstLine="640"/>
        <w:jc w:val="both"/>
      </w:pPr>
      <w:r>
        <w:rPr>
          <w:rFonts w:ascii="仿宋_GB2312" w:hAnsi="仿宋_GB2312" w:eastAsia="仿宋_GB2312" w:cs="仿宋_GB2312"/>
          <w:sz w:val="32"/>
        </w:rPr>
        <w:t>在假释考验期限内，发现被假释的犯罪分子在判决宣告以前还有其他罪没有判决的，应当撤销假释，依照本法第七十条的规定实行数罪并罚。</w:t>
      </w:r>
    </w:p>
    <w:p>
      <w:pPr>
        <w:spacing w:line="240" w:lineRule="auto"/>
        <w:ind w:firstLine="640"/>
        <w:jc w:val="both"/>
      </w:pPr>
      <w:r>
        <w:rPr>
          <w:rFonts w:ascii="仿宋_GB2312" w:hAnsi="仿宋_GB2312" w:eastAsia="仿宋_GB2312" w:cs="仿宋_GB2312"/>
          <w:sz w:val="32"/>
        </w:rPr>
        <w:t>被假释的犯罪分子，在假释考验期限内，有违反法律、行政法规或者国务院有关部门关于假释的监督管理规定的行为，尚未构成新的犯罪的，应当依照法定程序撤销假释，收监执行未执行完毕的刑罚。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第八节　时效</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第八十七条</w:t>
      </w:r>
      <w:r>
        <w:rPr>
          <w:rFonts w:ascii="仿宋_GB2312" w:hAnsi="仿宋_GB2312" w:eastAsia="仿宋_GB2312" w:cs="仿宋_GB2312"/>
          <w:sz w:val="32"/>
        </w:rPr>
        <w:t>　犯罪经过下列期限不再追诉：</w:t>
      </w:r>
    </w:p>
    <w:p>
      <w:pPr>
        <w:spacing w:line="240" w:lineRule="auto"/>
        <w:ind w:firstLine="640"/>
        <w:jc w:val="both"/>
      </w:pPr>
      <w:r>
        <w:rPr>
          <w:rFonts w:ascii="仿宋_GB2312" w:hAnsi="仿宋_GB2312" w:eastAsia="仿宋_GB2312" w:cs="仿宋_GB2312"/>
          <w:sz w:val="32"/>
        </w:rPr>
        <w:t>（一）法定最高刑为不满五年有期徒刑的，经过五年；</w:t>
      </w:r>
    </w:p>
    <w:p>
      <w:pPr>
        <w:spacing w:line="240" w:lineRule="auto"/>
        <w:ind w:firstLine="640"/>
        <w:jc w:val="both"/>
      </w:pPr>
      <w:r>
        <w:rPr>
          <w:rFonts w:ascii="仿宋_GB2312" w:hAnsi="仿宋_GB2312" w:eastAsia="仿宋_GB2312" w:cs="仿宋_GB2312"/>
          <w:sz w:val="32"/>
        </w:rPr>
        <w:t>（二）法定最高刑为五年以上不满十年有期徒刑的，经过十年；</w:t>
      </w:r>
    </w:p>
    <w:p>
      <w:pPr>
        <w:spacing w:line="240" w:lineRule="auto"/>
        <w:ind w:firstLine="640"/>
        <w:jc w:val="both"/>
      </w:pPr>
      <w:r>
        <w:rPr>
          <w:rFonts w:ascii="仿宋_GB2312" w:hAnsi="仿宋_GB2312" w:eastAsia="仿宋_GB2312" w:cs="仿宋_GB2312"/>
          <w:sz w:val="32"/>
        </w:rPr>
        <w:t>（三）法定最高刑为十年以上有期徒刑的，经过十五年；</w:t>
      </w:r>
    </w:p>
    <w:p>
      <w:pPr>
        <w:spacing w:line="240" w:lineRule="auto"/>
        <w:ind w:firstLine="640"/>
        <w:jc w:val="both"/>
      </w:pPr>
      <w:r>
        <w:rPr>
          <w:rFonts w:ascii="仿宋_GB2312" w:hAnsi="仿宋_GB2312" w:eastAsia="仿宋_GB2312" w:cs="仿宋_GB2312"/>
          <w:sz w:val="32"/>
        </w:rPr>
        <w:t>（四）法定最高刑为无期徒刑、死刑的，经过二十年。如果二十年以后认为必须追诉的，须报请最高人民检察院核准。</w:t>
      </w:r>
    </w:p>
    <w:p>
      <w:pPr>
        <w:spacing w:line="240" w:lineRule="auto"/>
        <w:ind w:firstLine="640"/>
        <w:jc w:val="both"/>
      </w:pPr>
      <w:r>
        <w:rPr>
          <w:rFonts w:ascii="黑体" w:hAnsi="黑体" w:eastAsia="黑体" w:cs="黑体"/>
          <w:sz w:val="32"/>
        </w:rPr>
        <w:t>第八十八条</w:t>
      </w:r>
      <w:r>
        <w:rPr>
          <w:rFonts w:ascii="仿宋_GB2312" w:hAnsi="仿宋_GB2312" w:eastAsia="仿宋_GB2312" w:cs="仿宋_GB2312"/>
          <w:sz w:val="32"/>
        </w:rPr>
        <w:t>　在人民检察院、公安机关、国家安全机关立案侦查或者在人民法院受理案件以后，逃避侦查或者审判的，不受追诉期限的限制。</w:t>
      </w:r>
    </w:p>
    <w:p>
      <w:pPr>
        <w:spacing w:line="240" w:lineRule="auto"/>
        <w:ind w:firstLine="640"/>
        <w:jc w:val="both"/>
      </w:pPr>
      <w:r>
        <w:rPr>
          <w:rFonts w:ascii="仿宋_GB2312" w:hAnsi="仿宋_GB2312" w:eastAsia="仿宋_GB2312" w:cs="仿宋_GB2312"/>
          <w:sz w:val="32"/>
        </w:rPr>
        <w:t>被害人在追诉期限内提出控告，人民法院、人民检察院、公安机关应当立案而不予立案的，不受追诉期限的限制。</w:t>
      </w:r>
    </w:p>
    <w:p>
      <w:pPr>
        <w:spacing w:line="240" w:lineRule="auto"/>
        <w:ind w:firstLine="640"/>
        <w:jc w:val="both"/>
      </w:pPr>
      <w:r>
        <w:rPr>
          <w:rFonts w:ascii="黑体" w:hAnsi="黑体" w:eastAsia="黑体" w:cs="黑体"/>
          <w:sz w:val="32"/>
        </w:rPr>
        <w:t>第八十九条</w:t>
      </w:r>
      <w:r>
        <w:rPr>
          <w:rFonts w:ascii="仿宋_GB2312" w:hAnsi="仿宋_GB2312" w:eastAsia="仿宋_GB2312" w:cs="仿宋_GB2312"/>
          <w:sz w:val="32"/>
        </w:rPr>
        <w:t>　追诉期限从犯罪之日起计算；犯罪行为有连续或者继续状态的，从犯罪行为终了之日起计算。</w:t>
      </w:r>
    </w:p>
    <w:p>
      <w:pPr>
        <w:spacing w:line="240" w:lineRule="auto"/>
        <w:ind w:firstLine="640"/>
        <w:jc w:val="both"/>
      </w:pPr>
      <w:r>
        <w:rPr>
          <w:rFonts w:ascii="仿宋_GB2312" w:hAnsi="仿宋_GB2312" w:eastAsia="仿宋_GB2312" w:cs="仿宋_GB2312"/>
          <w:sz w:val="32"/>
        </w:rPr>
        <w:t>在追诉期限以内又犯罪的，前罪追诉的期限从犯后罪之日起计算。</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第五章　其他规定</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第九十条</w:t>
      </w:r>
      <w:r>
        <w:rPr>
          <w:rFonts w:ascii="仿宋_GB2312" w:hAnsi="仿宋_GB2312" w:eastAsia="仿宋_GB2312" w:cs="仿宋_GB2312"/>
          <w:sz w:val="32"/>
        </w:rPr>
        <w:t>　民族自治地方不能全部适用本法规定的，可以由自治区或者省的人民代表大会根据当地民族的政治、经济、文化的特点和本法规定的基本原则，制定变通或者补充的规定，报请全国人民代表大会常务委员会批准施行。</w:t>
      </w:r>
    </w:p>
    <w:p>
      <w:pPr>
        <w:spacing w:line="240" w:lineRule="auto"/>
        <w:ind w:firstLine="640"/>
        <w:jc w:val="both"/>
      </w:pPr>
      <w:r>
        <w:rPr>
          <w:rFonts w:ascii="黑体" w:hAnsi="黑体" w:eastAsia="黑体" w:cs="黑体"/>
          <w:sz w:val="32"/>
        </w:rPr>
        <w:t>第九十一条</w:t>
      </w:r>
      <w:r>
        <w:rPr>
          <w:rFonts w:ascii="仿宋_GB2312" w:hAnsi="仿宋_GB2312" w:eastAsia="仿宋_GB2312" w:cs="仿宋_GB2312"/>
          <w:sz w:val="32"/>
        </w:rPr>
        <w:t>　本法所称公共财产，是指下列财产：</w:t>
      </w:r>
    </w:p>
    <w:p>
      <w:pPr>
        <w:spacing w:line="240" w:lineRule="auto"/>
        <w:ind w:firstLine="640"/>
        <w:jc w:val="both"/>
      </w:pPr>
      <w:r>
        <w:rPr>
          <w:rFonts w:ascii="仿宋_GB2312" w:hAnsi="仿宋_GB2312" w:eastAsia="仿宋_GB2312" w:cs="仿宋_GB2312"/>
          <w:sz w:val="32"/>
        </w:rPr>
        <w:t>（一）国有财产；</w:t>
      </w:r>
    </w:p>
    <w:p>
      <w:pPr>
        <w:spacing w:line="240" w:lineRule="auto"/>
        <w:ind w:firstLine="640"/>
        <w:jc w:val="both"/>
      </w:pPr>
      <w:r>
        <w:rPr>
          <w:rFonts w:ascii="仿宋_GB2312" w:hAnsi="仿宋_GB2312" w:eastAsia="仿宋_GB2312" w:cs="仿宋_GB2312"/>
          <w:sz w:val="32"/>
        </w:rPr>
        <w:t>（二）劳动群众集体所有的财产；</w:t>
      </w:r>
    </w:p>
    <w:p>
      <w:pPr>
        <w:spacing w:line="240" w:lineRule="auto"/>
        <w:ind w:firstLine="640"/>
        <w:jc w:val="both"/>
      </w:pPr>
      <w:r>
        <w:rPr>
          <w:rFonts w:ascii="仿宋_GB2312" w:hAnsi="仿宋_GB2312" w:eastAsia="仿宋_GB2312" w:cs="仿宋_GB2312"/>
          <w:sz w:val="32"/>
        </w:rPr>
        <w:t>（三）用于扶贫和其他公益事业的社会捐助或者专项基金的财产。</w:t>
      </w:r>
    </w:p>
    <w:p>
      <w:pPr>
        <w:spacing w:line="240" w:lineRule="auto"/>
        <w:ind w:firstLine="640"/>
        <w:jc w:val="both"/>
      </w:pPr>
      <w:r>
        <w:rPr>
          <w:rFonts w:ascii="仿宋_GB2312" w:hAnsi="仿宋_GB2312" w:eastAsia="仿宋_GB2312" w:cs="仿宋_GB2312"/>
          <w:sz w:val="32"/>
        </w:rPr>
        <w:t>在国家机关、国有公司、企业、集体企业和人民团体管理、使用或者运输中的私人财产，以公共财产论。</w:t>
      </w:r>
    </w:p>
    <w:p>
      <w:pPr>
        <w:spacing w:line="240" w:lineRule="auto"/>
        <w:ind w:firstLine="640"/>
        <w:jc w:val="both"/>
      </w:pPr>
      <w:r>
        <w:rPr>
          <w:rFonts w:ascii="黑体" w:hAnsi="黑体" w:eastAsia="黑体" w:cs="黑体"/>
          <w:sz w:val="32"/>
        </w:rPr>
        <w:t>第九十二条</w:t>
      </w:r>
      <w:r>
        <w:rPr>
          <w:rFonts w:ascii="仿宋_GB2312" w:hAnsi="仿宋_GB2312" w:eastAsia="仿宋_GB2312" w:cs="仿宋_GB2312"/>
          <w:sz w:val="32"/>
        </w:rPr>
        <w:t>　本法所称公民私人所有的财产，是指下列财产：</w:t>
      </w:r>
    </w:p>
    <w:p>
      <w:pPr>
        <w:spacing w:line="240" w:lineRule="auto"/>
        <w:ind w:firstLine="640"/>
        <w:jc w:val="both"/>
      </w:pPr>
      <w:r>
        <w:rPr>
          <w:rFonts w:ascii="仿宋_GB2312" w:hAnsi="仿宋_GB2312" w:eastAsia="仿宋_GB2312" w:cs="仿宋_GB2312"/>
          <w:sz w:val="32"/>
        </w:rPr>
        <w:t>（一）公民的合法收入、储蓄、房屋和其他生活资料；</w:t>
      </w:r>
    </w:p>
    <w:p>
      <w:pPr>
        <w:spacing w:line="240" w:lineRule="auto"/>
        <w:ind w:firstLine="640"/>
        <w:jc w:val="both"/>
      </w:pPr>
      <w:r>
        <w:rPr>
          <w:rFonts w:ascii="仿宋_GB2312" w:hAnsi="仿宋_GB2312" w:eastAsia="仿宋_GB2312" w:cs="仿宋_GB2312"/>
          <w:sz w:val="32"/>
        </w:rPr>
        <w:t>（二）依法归个人、家庭所有的生产资料；</w:t>
      </w:r>
    </w:p>
    <w:p>
      <w:pPr>
        <w:spacing w:line="240" w:lineRule="auto"/>
        <w:ind w:firstLine="640"/>
        <w:jc w:val="both"/>
      </w:pPr>
      <w:r>
        <w:rPr>
          <w:rFonts w:ascii="仿宋_GB2312" w:hAnsi="仿宋_GB2312" w:eastAsia="仿宋_GB2312" w:cs="仿宋_GB2312"/>
          <w:sz w:val="32"/>
        </w:rPr>
        <w:t>（三）个体户和私营企业的合法财产；</w:t>
      </w:r>
    </w:p>
    <w:p>
      <w:pPr>
        <w:spacing w:line="240" w:lineRule="auto"/>
        <w:ind w:firstLine="640"/>
        <w:jc w:val="both"/>
      </w:pPr>
      <w:r>
        <w:rPr>
          <w:rFonts w:ascii="仿宋_GB2312" w:hAnsi="仿宋_GB2312" w:eastAsia="仿宋_GB2312" w:cs="仿宋_GB2312"/>
          <w:sz w:val="32"/>
        </w:rPr>
        <w:t>（四）依法归个人所有的股份、股票、债券和其他财产。</w:t>
      </w:r>
    </w:p>
    <w:p>
      <w:pPr>
        <w:spacing w:line="240" w:lineRule="auto"/>
        <w:ind w:firstLine="640"/>
        <w:jc w:val="both"/>
      </w:pPr>
      <w:r>
        <w:rPr>
          <w:rFonts w:ascii="黑体" w:hAnsi="黑体" w:eastAsia="黑体" w:cs="黑体"/>
          <w:sz w:val="32"/>
        </w:rPr>
        <w:t>第九十三条</w:t>
      </w:r>
      <w:r>
        <w:rPr>
          <w:rFonts w:ascii="仿宋_GB2312" w:hAnsi="仿宋_GB2312" w:eastAsia="仿宋_GB2312" w:cs="仿宋_GB2312"/>
          <w:sz w:val="32"/>
        </w:rPr>
        <w:t>　本法所称国家工作人员，是指国家机关中从事公务的人员。</w:t>
      </w:r>
    </w:p>
    <w:p>
      <w:pPr>
        <w:spacing w:line="240" w:lineRule="auto"/>
        <w:ind w:firstLine="640"/>
        <w:jc w:val="both"/>
      </w:pPr>
      <w:r>
        <w:rPr>
          <w:rFonts w:ascii="仿宋_GB2312" w:hAnsi="仿宋_GB2312" w:eastAsia="仿宋_GB2312" w:cs="仿宋_GB2312"/>
          <w:sz w:val="32"/>
        </w:rPr>
        <w:t>国有公司、企业、事业单位、人民团体中从事公务的人员和国家机关、国有公司、企业、事业单位委派到非国有公司、企业、事业单位、社会团体从事公务的人员，以及其他依照法律从事公务的人员，以国家工作人员论。</w:t>
      </w:r>
    </w:p>
    <w:p>
      <w:pPr>
        <w:spacing w:line="240" w:lineRule="auto"/>
        <w:ind w:firstLine="640"/>
        <w:jc w:val="both"/>
      </w:pPr>
      <w:r>
        <w:rPr>
          <w:rFonts w:ascii="黑体" w:hAnsi="黑体" w:eastAsia="黑体" w:cs="黑体"/>
          <w:sz w:val="32"/>
        </w:rPr>
        <w:t>第九十四条</w:t>
      </w:r>
      <w:r>
        <w:rPr>
          <w:rFonts w:ascii="仿宋_GB2312" w:hAnsi="仿宋_GB2312" w:eastAsia="仿宋_GB2312" w:cs="仿宋_GB2312"/>
          <w:sz w:val="32"/>
        </w:rPr>
        <w:t>　本法所称司法工作人员，是指有侦查、检察、审判、监管职责的工作人员。</w:t>
      </w:r>
    </w:p>
    <w:p>
      <w:pPr>
        <w:spacing w:line="240" w:lineRule="auto"/>
        <w:ind w:firstLine="640"/>
        <w:jc w:val="both"/>
      </w:pPr>
      <w:r>
        <w:rPr>
          <w:rFonts w:ascii="黑体" w:hAnsi="黑体" w:eastAsia="黑体" w:cs="黑体"/>
          <w:sz w:val="32"/>
        </w:rPr>
        <w:t>第九十五条</w:t>
      </w:r>
      <w:r>
        <w:rPr>
          <w:rFonts w:ascii="仿宋_GB2312" w:hAnsi="仿宋_GB2312" w:eastAsia="仿宋_GB2312" w:cs="仿宋_GB2312"/>
          <w:sz w:val="32"/>
        </w:rPr>
        <w:t>　本法所称重伤，是指有下列情形之一的伤害：</w:t>
      </w:r>
    </w:p>
    <w:p>
      <w:pPr>
        <w:spacing w:line="240" w:lineRule="auto"/>
        <w:ind w:firstLine="640"/>
        <w:jc w:val="both"/>
      </w:pPr>
      <w:r>
        <w:rPr>
          <w:rFonts w:ascii="仿宋_GB2312" w:hAnsi="仿宋_GB2312" w:eastAsia="仿宋_GB2312" w:cs="仿宋_GB2312"/>
          <w:sz w:val="32"/>
        </w:rPr>
        <w:t>（一）使人肢体残废或者毁人容貌的；</w:t>
      </w:r>
    </w:p>
    <w:p>
      <w:pPr>
        <w:spacing w:line="240" w:lineRule="auto"/>
        <w:ind w:firstLine="640"/>
        <w:jc w:val="both"/>
      </w:pPr>
      <w:r>
        <w:rPr>
          <w:rFonts w:ascii="仿宋_GB2312" w:hAnsi="仿宋_GB2312" w:eastAsia="仿宋_GB2312" w:cs="仿宋_GB2312"/>
          <w:sz w:val="32"/>
        </w:rPr>
        <w:t>（二）使人丧失听觉、视觉或者其他器官机能的；</w:t>
      </w:r>
    </w:p>
    <w:p>
      <w:pPr>
        <w:spacing w:line="240" w:lineRule="auto"/>
        <w:ind w:firstLine="640"/>
        <w:jc w:val="both"/>
      </w:pPr>
      <w:r>
        <w:rPr>
          <w:rFonts w:ascii="仿宋_GB2312" w:hAnsi="仿宋_GB2312" w:eastAsia="仿宋_GB2312" w:cs="仿宋_GB2312"/>
          <w:sz w:val="32"/>
        </w:rPr>
        <w:t>（三）其他对于人身健康有重大伤害的。</w:t>
      </w:r>
    </w:p>
    <w:p>
      <w:pPr>
        <w:spacing w:line="240" w:lineRule="auto"/>
        <w:ind w:firstLine="640"/>
        <w:jc w:val="both"/>
      </w:pPr>
      <w:r>
        <w:rPr>
          <w:rFonts w:ascii="黑体" w:hAnsi="黑体" w:eastAsia="黑体" w:cs="黑体"/>
          <w:sz w:val="32"/>
        </w:rPr>
        <w:t>第九十六条</w:t>
      </w:r>
      <w:r>
        <w:rPr>
          <w:rFonts w:ascii="仿宋_GB2312" w:hAnsi="仿宋_GB2312" w:eastAsia="仿宋_GB2312" w:cs="仿宋_GB2312"/>
          <w:sz w:val="32"/>
        </w:rPr>
        <w:t>　本法所称违反国家规定，是指违反全国人民代表大会及其常务委员会制定的法律和决定，国务院制定的行政法规、规定的行政措施、发布的决定和命令。</w:t>
      </w:r>
    </w:p>
    <w:p>
      <w:pPr>
        <w:spacing w:line="240" w:lineRule="auto"/>
        <w:ind w:firstLine="640"/>
        <w:jc w:val="both"/>
      </w:pPr>
      <w:r>
        <w:rPr>
          <w:rFonts w:ascii="黑体" w:hAnsi="黑体" w:eastAsia="黑体" w:cs="黑体"/>
          <w:sz w:val="32"/>
        </w:rPr>
        <w:t>第九十七条</w:t>
      </w:r>
      <w:r>
        <w:rPr>
          <w:rFonts w:ascii="仿宋_GB2312" w:hAnsi="仿宋_GB2312" w:eastAsia="仿宋_GB2312" w:cs="仿宋_GB2312"/>
          <w:sz w:val="32"/>
        </w:rPr>
        <w:t>　本法所称首要分子，是指在犯罪集团或者聚众犯罪中起组织、策划、指挥作用的犯罪分子。</w:t>
      </w:r>
    </w:p>
    <w:p>
      <w:pPr>
        <w:spacing w:line="240" w:lineRule="auto"/>
        <w:ind w:firstLine="640"/>
        <w:jc w:val="both"/>
      </w:pPr>
      <w:r>
        <w:rPr>
          <w:rFonts w:ascii="黑体" w:hAnsi="黑体" w:eastAsia="黑体" w:cs="黑体"/>
          <w:sz w:val="32"/>
        </w:rPr>
        <w:t>第九十八条</w:t>
      </w:r>
      <w:r>
        <w:rPr>
          <w:rFonts w:ascii="仿宋_GB2312" w:hAnsi="仿宋_GB2312" w:eastAsia="仿宋_GB2312" w:cs="仿宋_GB2312"/>
          <w:sz w:val="32"/>
        </w:rPr>
        <w:t>　本法所称告诉才处理，是指被害人告诉才处理。如果被害人因受强制、威吓无法告诉的，人民检察院和被害人的近亲属也可以告诉。</w:t>
      </w:r>
    </w:p>
    <w:p>
      <w:pPr>
        <w:spacing w:line="240" w:lineRule="auto"/>
        <w:ind w:firstLine="640"/>
        <w:jc w:val="both"/>
      </w:pPr>
      <w:r>
        <w:rPr>
          <w:rFonts w:ascii="黑体" w:hAnsi="黑体" w:eastAsia="黑体" w:cs="黑体"/>
          <w:sz w:val="32"/>
        </w:rPr>
        <w:t>第九十九条</w:t>
      </w:r>
      <w:r>
        <w:rPr>
          <w:rFonts w:ascii="仿宋_GB2312" w:hAnsi="仿宋_GB2312" w:eastAsia="仿宋_GB2312" w:cs="仿宋_GB2312"/>
          <w:sz w:val="32"/>
        </w:rPr>
        <w:t>　本法所称以上、以下、以内，包括本数。</w:t>
      </w:r>
    </w:p>
    <w:p>
      <w:pPr>
        <w:spacing w:line="240" w:lineRule="auto"/>
        <w:ind w:firstLine="640"/>
        <w:jc w:val="both"/>
      </w:pPr>
      <w:r>
        <w:rPr>
          <w:rFonts w:ascii="黑体" w:hAnsi="黑体" w:eastAsia="黑体" w:cs="黑体"/>
          <w:sz w:val="32"/>
        </w:rPr>
        <w:t>第一百条</w:t>
      </w:r>
      <w:r>
        <w:rPr>
          <w:rFonts w:ascii="仿宋_GB2312" w:hAnsi="仿宋_GB2312" w:eastAsia="仿宋_GB2312" w:cs="仿宋_GB2312"/>
          <w:sz w:val="32"/>
        </w:rPr>
        <w:t>　依法受过刑事处罚的人，在入伍、就业的时候，应当如实向有关单位报告自己曾受过刑事处罚，不得隐瞒。</w:t>
      </w:r>
    </w:p>
    <w:p>
      <w:pPr>
        <w:spacing w:line="240" w:lineRule="auto"/>
        <w:ind w:firstLine="640"/>
        <w:jc w:val="both"/>
      </w:pPr>
      <w:r>
        <w:rPr>
          <w:rFonts w:ascii="仿宋_GB2312" w:hAnsi="仿宋_GB2312" w:eastAsia="仿宋_GB2312" w:cs="仿宋_GB2312"/>
          <w:sz w:val="32"/>
        </w:rPr>
        <w:t>犯罪的时候不满十八周岁被判处五年有期徒刑以下刑罚的人，免除前款规定的报告义务。</w:t>
      </w:r>
    </w:p>
    <w:p>
      <w:pPr>
        <w:spacing w:line="240" w:lineRule="auto"/>
        <w:ind w:firstLine="640"/>
        <w:jc w:val="both"/>
      </w:pPr>
      <w:r>
        <w:rPr>
          <w:rFonts w:ascii="黑体" w:hAnsi="黑体" w:eastAsia="黑体" w:cs="黑体"/>
          <w:sz w:val="32"/>
        </w:rPr>
        <w:t>第一百零一条</w:t>
      </w:r>
      <w:r>
        <w:rPr>
          <w:rFonts w:ascii="仿宋_GB2312" w:hAnsi="仿宋_GB2312" w:eastAsia="仿宋_GB2312" w:cs="仿宋_GB2312"/>
          <w:sz w:val="32"/>
        </w:rPr>
        <w:t>　本法总则适用于其他有刑罚规定的法律，但是其他法律有特别规定的除外。</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第二编　分则</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第一章　危害国家安全罪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第一百零二条</w:t>
      </w:r>
      <w:r>
        <w:rPr>
          <w:rFonts w:ascii="仿宋_GB2312" w:hAnsi="仿宋_GB2312" w:eastAsia="仿宋_GB2312" w:cs="仿宋_GB2312"/>
          <w:sz w:val="32"/>
        </w:rPr>
        <w:t>　勾结外国，危害中华人民共和国的主权、领土完整和安全的，处无期徒刑或者十年以上有期徒刑。</w:t>
      </w:r>
    </w:p>
    <w:p>
      <w:pPr>
        <w:spacing w:line="240" w:lineRule="auto"/>
        <w:ind w:firstLine="640"/>
        <w:jc w:val="both"/>
      </w:pPr>
      <w:r>
        <w:rPr>
          <w:rFonts w:ascii="仿宋_GB2312" w:hAnsi="仿宋_GB2312" w:eastAsia="仿宋_GB2312" w:cs="仿宋_GB2312"/>
          <w:sz w:val="32"/>
        </w:rPr>
        <w:t>与境外机构、组织、个人相勾结，犯前款罪的，依照前款的规定处罚。</w:t>
      </w:r>
    </w:p>
    <w:p>
      <w:pPr>
        <w:spacing w:line="240" w:lineRule="auto"/>
        <w:ind w:firstLine="640"/>
        <w:jc w:val="both"/>
      </w:pPr>
      <w:r>
        <w:rPr>
          <w:rFonts w:ascii="黑体" w:hAnsi="黑体" w:eastAsia="黑体" w:cs="黑体"/>
          <w:sz w:val="32"/>
        </w:rPr>
        <w:t>第一百零三条</w:t>
      </w:r>
      <w:r>
        <w:rPr>
          <w:rFonts w:ascii="仿宋_GB2312" w:hAnsi="仿宋_GB2312" w:eastAsia="仿宋_GB2312" w:cs="仿宋_GB2312"/>
          <w:sz w:val="32"/>
        </w:rPr>
        <w:t>　组织、策划、实施分裂国家、破坏国家统一的，对首要分子或者罪行重大的，处无期徒刑或者十年以上有期徒刑；对积极参加的，处三年以上十年以下有期徒刑；对其他参加的，处三年以下有期徒刑、拘役、管制或者剥夺政治权利。</w:t>
      </w:r>
    </w:p>
    <w:p>
      <w:pPr>
        <w:spacing w:line="240" w:lineRule="auto"/>
        <w:ind w:firstLine="640"/>
        <w:jc w:val="both"/>
      </w:pPr>
      <w:r>
        <w:rPr>
          <w:rFonts w:ascii="仿宋_GB2312" w:hAnsi="仿宋_GB2312" w:eastAsia="仿宋_GB2312" w:cs="仿宋_GB2312"/>
          <w:sz w:val="32"/>
        </w:rPr>
        <w:t>煽动分裂国家、破坏国家统一的，处五年以下有期徒刑、拘役、管制或者剥夺政治权利；首要分子或者罪行重大的，处五年以上有期徒刑。</w:t>
      </w:r>
    </w:p>
    <w:p>
      <w:pPr>
        <w:spacing w:line="240" w:lineRule="auto"/>
        <w:ind w:firstLine="640"/>
        <w:jc w:val="both"/>
      </w:pPr>
      <w:r>
        <w:rPr>
          <w:rFonts w:ascii="黑体" w:hAnsi="黑体" w:eastAsia="黑体" w:cs="黑体"/>
          <w:sz w:val="32"/>
        </w:rPr>
        <w:t>第一百零四条</w:t>
      </w:r>
      <w:r>
        <w:rPr>
          <w:rFonts w:ascii="仿宋_GB2312" w:hAnsi="仿宋_GB2312" w:eastAsia="仿宋_GB2312" w:cs="仿宋_GB2312"/>
          <w:sz w:val="32"/>
        </w:rPr>
        <w:t>　组织、策划、实施武装叛乱或者武装暴乱的，对首要分子或者罪行重大的，处无期徒刑或者十年以上有期徒刑；对积极参加的，处三年以上十年以下有期徒刑；对其他参加的，处三年以下有期徒刑、拘役、管制或者剥夺政治权利。</w:t>
      </w:r>
    </w:p>
    <w:p>
      <w:pPr>
        <w:spacing w:line="240" w:lineRule="auto"/>
        <w:ind w:firstLine="640"/>
        <w:jc w:val="both"/>
      </w:pPr>
      <w:r>
        <w:rPr>
          <w:rFonts w:ascii="仿宋_GB2312" w:hAnsi="仿宋_GB2312" w:eastAsia="仿宋_GB2312" w:cs="仿宋_GB2312"/>
          <w:sz w:val="32"/>
        </w:rPr>
        <w:t>策动、胁迫、勾引、收买国家机关工作人员、武装部队人员、人民警察、民兵进行武装叛乱或者武装暴乱的，依照前款的规定从重处罚。</w:t>
      </w:r>
    </w:p>
    <w:p>
      <w:pPr>
        <w:spacing w:line="240" w:lineRule="auto"/>
        <w:ind w:firstLine="640"/>
        <w:jc w:val="both"/>
      </w:pPr>
      <w:r>
        <w:rPr>
          <w:rFonts w:ascii="黑体" w:hAnsi="黑体" w:eastAsia="黑体" w:cs="黑体"/>
          <w:sz w:val="32"/>
        </w:rPr>
        <w:t>第一百零五条</w:t>
      </w:r>
      <w:r>
        <w:rPr>
          <w:rFonts w:ascii="仿宋_GB2312" w:hAnsi="仿宋_GB2312" w:eastAsia="仿宋_GB2312" w:cs="仿宋_GB2312"/>
          <w:sz w:val="32"/>
        </w:rPr>
        <w:t>　组织、策划、实施颠覆国家政权、推翻社会主义制度的，对首要分子或者罪行重大的，处无期徒刑或者十年以上有期徒刑；对积极参加的，处三年以上十年以下有期徒刑；对其他参加的，处三年以下有期徒刑、拘役、管制或者剥夺政治权利。</w:t>
      </w:r>
    </w:p>
    <w:p>
      <w:pPr>
        <w:spacing w:line="240" w:lineRule="auto"/>
        <w:ind w:firstLine="640"/>
        <w:jc w:val="both"/>
      </w:pPr>
      <w:r>
        <w:rPr>
          <w:rFonts w:ascii="仿宋_GB2312" w:hAnsi="仿宋_GB2312" w:eastAsia="仿宋_GB2312" w:cs="仿宋_GB2312"/>
          <w:sz w:val="32"/>
        </w:rPr>
        <w:t>以造谣、诽谤或者其他方式煽动颠覆国家政权、推翻社会主义制度的，处五年以下有期徒刑、拘役、管制或者剥夺政治权利；首要分子或者罪行重大的，处五年以上有期徒刑。</w:t>
      </w:r>
    </w:p>
    <w:p>
      <w:pPr>
        <w:spacing w:line="240" w:lineRule="auto"/>
        <w:ind w:firstLine="640"/>
        <w:jc w:val="both"/>
      </w:pPr>
      <w:r>
        <w:rPr>
          <w:rFonts w:ascii="黑体" w:hAnsi="黑体" w:eastAsia="黑体" w:cs="黑体"/>
          <w:sz w:val="32"/>
        </w:rPr>
        <w:t>第一百零六条</w:t>
      </w:r>
      <w:r>
        <w:rPr>
          <w:rFonts w:ascii="仿宋_GB2312" w:hAnsi="仿宋_GB2312" w:eastAsia="仿宋_GB2312" w:cs="仿宋_GB2312"/>
          <w:sz w:val="32"/>
        </w:rPr>
        <w:t>　与境外机构、组织、个人相勾结，实施本章第一百零三条、第一百零四条、第一百零五条规定之罪的，依照各该条的规定从重处罚。</w:t>
      </w:r>
    </w:p>
    <w:p>
      <w:pPr>
        <w:spacing w:line="240" w:lineRule="auto"/>
        <w:ind w:firstLine="640"/>
        <w:jc w:val="both"/>
      </w:pPr>
      <w:r>
        <w:rPr>
          <w:rFonts w:ascii="黑体" w:hAnsi="黑体" w:eastAsia="黑体" w:cs="黑体"/>
          <w:sz w:val="32"/>
        </w:rPr>
        <w:t>第一百零七条</w:t>
      </w:r>
      <w:r>
        <w:rPr>
          <w:rFonts w:ascii="仿宋_GB2312" w:hAnsi="仿宋_GB2312" w:eastAsia="仿宋_GB2312" w:cs="仿宋_GB2312"/>
          <w:sz w:val="32"/>
        </w:rPr>
        <w:t>　境内外机构、组织或者个人资助实施本章第一百零二条、第一百零三条、第一百零四条、第一百零五条规定之罪的，对直接责任人员，处五年以下有期徒刑、拘役、管制或者剥夺政治权利；情节严重的，处五年以上有期徒刑。</w:t>
      </w:r>
    </w:p>
    <w:p>
      <w:pPr>
        <w:spacing w:line="240" w:lineRule="auto"/>
        <w:ind w:firstLine="640"/>
        <w:jc w:val="both"/>
      </w:pPr>
      <w:r>
        <w:rPr>
          <w:rFonts w:ascii="黑体" w:hAnsi="黑体" w:eastAsia="黑体" w:cs="黑体"/>
          <w:sz w:val="32"/>
        </w:rPr>
        <w:t>第一百零八条</w:t>
      </w:r>
      <w:r>
        <w:rPr>
          <w:rFonts w:ascii="仿宋_GB2312" w:hAnsi="仿宋_GB2312" w:eastAsia="仿宋_GB2312" w:cs="仿宋_GB2312"/>
          <w:sz w:val="32"/>
        </w:rPr>
        <w:t>　投敌叛变的，处三年以上十年以下有期徒刑；情节严重或者带领武装部队人员、人民警察、民兵投敌叛变的，处十年以上有期徒刑或者无期徒刑。</w:t>
      </w:r>
    </w:p>
    <w:p>
      <w:pPr>
        <w:spacing w:line="240" w:lineRule="auto"/>
        <w:ind w:firstLine="640"/>
        <w:jc w:val="both"/>
      </w:pPr>
      <w:r>
        <w:rPr>
          <w:rFonts w:ascii="黑体" w:hAnsi="黑体" w:eastAsia="黑体" w:cs="黑体"/>
          <w:sz w:val="32"/>
        </w:rPr>
        <w:t>第一百零九条</w:t>
      </w:r>
      <w:r>
        <w:rPr>
          <w:rFonts w:ascii="仿宋_GB2312" w:hAnsi="仿宋_GB2312" w:eastAsia="仿宋_GB2312" w:cs="仿宋_GB2312"/>
          <w:sz w:val="32"/>
        </w:rPr>
        <w:t>　国家机关工作人员在履行公务期间，擅离岗位，叛逃境外或者在境外叛逃的，处五年以下有期徒刑、拘役、管制或者剥夺政治权利；情节严重的，处五年以上十年以下有期徒刑。</w:t>
      </w:r>
    </w:p>
    <w:p>
      <w:pPr>
        <w:spacing w:line="240" w:lineRule="auto"/>
        <w:ind w:firstLine="640"/>
        <w:jc w:val="both"/>
      </w:pPr>
      <w:r>
        <w:rPr>
          <w:rFonts w:ascii="仿宋_GB2312" w:hAnsi="仿宋_GB2312" w:eastAsia="仿宋_GB2312" w:cs="仿宋_GB2312"/>
          <w:sz w:val="32"/>
        </w:rPr>
        <w:t>掌握国家秘密的国家工作人员叛逃境外或者在境外叛逃的，依照前款的规定从重处罚。</w:t>
      </w:r>
    </w:p>
    <w:p>
      <w:pPr>
        <w:spacing w:line="240" w:lineRule="auto"/>
        <w:ind w:firstLine="640"/>
        <w:jc w:val="both"/>
      </w:pPr>
      <w:r>
        <w:rPr>
          <w:rFonts w:ascii="黑体" w:hAnsi="黑体" w:eastAsia="黑体" w:cs="黑体"/>
          <w:sz w:val="32"/>
        </w:rPr>
        <w:t>第一百一十条</w:t>
      </w:r>
      <w:r>
        <w:rPr>
          <w:rFonts w:ascii="仿宋_GB2312" w:hAnsi="仿宋_GB2312" w:eastAsia="仿宋_GB2312" w:cs="仿宋_GB2312"/>
          <w:sz w:val="32"/>
        </w:rPr>
        <w:t>　有下列间谍行为之一，危害国家安全的，处十年以上有期徒刑或者无期徒刑；情节较轻的，处三年以上十年以下有期徒刑：</w:t>
      </w:r>
    </w:p>
    <w:p>
      <w:pPr>
        <w:spacing w:line="240" w:lineRule="auto"/>
        <w:ind w:firstLine="640"/>
        <w:jc w:val="both"/>
      </w:pPr>
      <w:r>
        <w:rPr>
          <w:rFonts w:ascii="仿宋_GB2312" w:hAnsi="仿宋_GB2312" w:eastAsia="仿宋_GB2312" w:cs="仿宋_GB2312"/>
          <w:sz w:val="32"/>
        </w:rPr>
        <w:t>（一）参加间谍组织或者接受间谍组织及其代理人的任务的；</w:t>
      </w:r>
    </w:p>
    <w:p>
      <w:pPr>
        <w:spacing w:line="240" w:lineRule="auto"/>
        <w:ind w:firstLine="640"/>
        <w:jc w:val="both"/>
      </w:pPr>
      <w:r>
        <w:rPr>
          <w:rFonts w:ascii="仿宋_GB2312" w:hAnsi="仿宋_GB2312" w:eastAsia="仿宋_GB2312" w:cs="仿宋_GB2312"/>
          <w:sz w:val="32"/>
        </w:rPr>
        <w:t>（二）为敌人指示轰击目标的。</w:t>
      </w:r>
    </w:p>
    <w:p>
      <w:pPr>
        <w:spacing w:line="240" w:lineRule="auto"/>
        <w:ind w:firstLine="640"/>
        <w:jc w:val="both"/>
      </w:pPr>
      <w:r>
        <w:rPr>
          <w:rFonts w:ascii="黑体" w:hAnsi="黑体" w:eastAsia="黑体" w:cs="黑体"/>
          <w:sz w:val="32"/>
        </w:rPr>
        <w:t>第一百一十一条</w:t>
      </w:r>
      <w:r>
        <w:rPr>
          <w:rFonts w:ascii="仿宋_GB2312" w:hAnsi="仿宋_GB2312" w:eastAsia="仿宋_GB2312" w:cs="仿宋_GB2312"/>
          <w:sz w:val="32"/>
        </w:rPr>
        <w:t>　为境外的机构、组织、人员窃取、刺探、收买、非法提供国家秘密或者情报的，处五年以上十年以下有期徒刑；情节特别严重的，处十年以上有期徒刑或者无期徒刑；情节较轻的，处五年以下有期徒刑、拘役、管制或者剥夺政治权利。</w:t>
      </w:r>
    </w:p>
    <w:p>
      <w:pPr>
        <w:spacing w:line="240" w:lineRule="auto"/>
        <w:ind w:firstLine="640"/>
        <w:jc w:val="both"/>
      </w:pPr>
      <w:r>
        <w:rPr>
          <w:rFonts w:ascii="黑体" w:hAnsi="黑体" w:eastAsia="黑体" w:cs="黑体"/>
          <w:sz w:val="32"/>
        </w:rPr>
        <w:t>第一百一十二条</w:t>
      </w:r>
      <w:r>
        <w:rPr>
          <w:rFonts w:ascii="仿宋_GB2312" w:hAnsi="仿宋_GB2312" w:eastAsia="仿宋_GB2312" w:cs="仿宋_GB2312"/>
          <w:sz w:val="32"/>
        </w:rPr>
        <w:t>　战时供给敌人武器装备、军用物资资敌的，处十年以上有期徒刑或者无期徒刑；情节较轻的，处三年以上十年以下有期徒刑。</w:t>
      </w:r>
    </w:p>
    <w:p>
      <w:pPr>
        <w:spacing w:line="240" w:lineRule="auto"/>
        <w:ind w:firstLine="640"/>
        <w:jc w:val="both"/>
      </w:pPr>
      <w:r>
        <w:rPr>
          <w:rFonts w:ascii="黑体" w:hAnsi="黑体" w:eastAsia="黑体" w:cs="黑体"/>
          <w:sz w:val="32"/>
        </w:rPr>
        <w:t>第一百一十三条</w:t>
      </w:r>
      <w:r>
        <w:rPr>
          <w:rFonts w:ascii="仿宋_GB2312" w:hAnsi="仿宋_GB2312" w:eastAsia="仿宋_GB2312" w:cs="仿宋_GB2312"/>
          <w:sz w:val="32"/>
        </w:rPr>
        <w:t>　本章上述危害国家安全罪行中，除第一百零三条第二款、第一百零五条、第一百零七条、第一百零九条外，对国家和人民危害特别严重、情节特别恶劣的，可以判处死刑。</w:t>
      </w:r>
    </w:p>
    <w:p>
      <w:pPr>
        <w:spacing w:line="240" w:lineRule="auto"/>
        <w:ind w:firstLine="640"/>
        <w:jc w:val="both"/>
      </w:pPr>
      <w:r>
        <w:rPr>
          <w:rFonts w:ascii="仿宋_GB2312" w:hAnsi="仿宋_GB2312" w:eastAsia="仿宋_GB2312" w:cs="仿宋_GB2312"/>
          <w:sz w:val="32"/>
        </w:rPr>
        <w:t>犯本章之罪的，可以并处没收财产。</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第二章　危害公共安全罪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第一百一十四条</w:t>
      </w:r>
      <w:r>
        <w:rPr>
          <w:rFonts w:ascii="仿宋_GB2312" w:hAnsi="仿宋_GB2312" w:eastAsia="仿宋_GB2312" w:cs="仿宋_GB2312"/>
          <w:sz w:val="32"/>
        </w:rPr>
        <w:t>　放火、决水、爆炸以及投放毒害性、放射性、传染病病原体等物质或者以其他危险方法危害公共安全，尚未造成严重后果的，处三年以上十年以下有期徒刑。</w:t>
      </w:r>
    </w:p>
    <w:p>
      <w:pPr>
        <w:spacing w:line="240" w:lineRule="auto"/>
        <w:ind w:firstLine="640"/>
        <w:jc w:val="both"/>
      </w:pPr>
      <w:r>
        <w:rPr>
          <w:rFonts w:ascii="黑体" w:hAnsi="黑体" w:eastAsia="黑体" w:cs="黑体"/>
          <w:sz w:val="32"/>
        </w:rPr>
        <w:t>第一百一十五条</w:t>
      </w:r>
      <w:r>
        <w:rPr>
          <w:rFonts w:ascii="仿宋_GB2312" w:hAnsi="仿宋_GB2312" w:eastAsia="仿宋_GB2312" w:cs="仿宋_GB2312"/>
          <w:sz w:val="32"/>
        </w:rPr>
        <w:t>　放火、决水、爆炸以及投放毒害性、放射性、传染病病原体等物质或者以其他危险方法致人重伤、死亡或者使公私财产遭受重大损失的，处十年以上有期徒刑、无期徒刑或者死刑。</w:t>
      </w:r>
    </w:p>
    <w:p>
      <w:pPr>
        <w:spacing w:line="240" w:lineRule="auto"/>
        <w:ind w:firstLine="640"/>
        <w:jc w:val="both"/>
      </w:pPr>
      <w:r>
        <w:rPr>
          <w:rFonts w:ascii="仿宋_GB2312" w:hAnsi="仿宋_GB2312" w:eastAsia="仿宋_GB2312" w:cs="仿宋_GB2312"/>
          <w:sz w:val="32"/>
        </w:rPr>
        <w:t>过失犯前款罪的，处三年以上七年以下有期徒刑；情节较轻的，处三年以下有期徒刑或者拘役。</w:t>
      </w:r>
    </w:p>
    <w:p>
      <w:pPr>
        <w:spacing w:line="240" w:lineRule="auto"/>
        <w:ind w:firstLine="640"/>
        <w:jc w:val="both"/>
      </w:pPr>
      <w:r>
        <w:rPr>
          <w:rFonts w:ascii="黑体" w:hAnsi="黑体" w:eastAsia="黑体" w:cs="黑体"/>
          <w:sz w:val="32"/>
        </w:rPr>
        <w:t>第一百一十六条</w:t>
      </w:r>
      <w:r>
        <w:rPr>
          <w:rFonts w:ascii="仿宋_GB2312" w:hAnsi="仿宋_GB2312" w:eastAsia="仿宋_GB2312" w:cs="仿宋_GB2312"/>
          <w:sz w:val="32"/>
        </w:rPr>
        <w:t>　破坏火车、汽车、电车、船只、航空器，足以使火车、汽车、电车、船只、航空器发生倾覆、毁坏危险，尚未造成严重后果的，处三年以上十年以下有期徒刑。</w:t>
      </w:r>
    </w:p>
    <w:p>
      <w:pPr>
        <w:spacing w:line="240" w:lineRule="auto"/>
        <w:ind w:firstLine="640"/>
        <w:jc w:val="both"/>
      </w:pPr>
      <w:r>
        <w:rPr>
          <w:rFonts w:ascii="黑体" w:hAnsi="黑体" w:eastAsia="黑体" w:cs="黑体"/>
          <w:sz w:val="32"/>
        </w:rPr>
        <w:t>第一百一十七条</w:t>
      </w:r>
      <w:r>
        <w:rPr>
          <w:rFonts w:ascii="仿宋_GB2312" w:hAnsi="仿宋_GB2312" w:eastAsia="仿宋_GB2312" w:cs="仿宋_GB2312"/>
          <w:sz w:val="32"/>
        </w:rPr>
        <w:t>　破坏轨道、桥梁、隧道、公路、机场、航道、灯塔、标志或者进行其他破坏活动，足以使火车、汽车、电车、船只、航空器发生倾覆、毁坏危险，尚未造成严重后果的，处三年以上十年以下有期徒刑。</w:t>
      </w:r>
    </w:p>
    <w:p>
      <w:pPr>
        <w:spacing w:line="240" w:lineRule="auto"/>
        <w:ind w:firstLine="640"/>
        <w:jc w:val="both"/>
      </w:pPr>
      <w:r>
        <w:rPr>
          <w:rFonts w:ascii="黑体" w:hAnsi="黑体" w:eastAsia="黑体" w:cs="黑体"/>
          <w:sz w:val="32"/>
        </w:rPr>
        <w:t>第一百一十八条</w:t>
      </w:r>
      <w:r>
        <w:rPr>
          <w:rFonts w:ascii="仿宋_GB2312" w:hAnsi="仿宋_GB2312" w:eastAsia="仿宋_GB2312" w:cs="仿宋_GB2312"/>
          <w:sz w:val="32"/>
        </w:rPr>
        <w:t>　破坏电力、燃气或者其他易燃易爆设备，危害公共安全，尚未造成严重后果的，处三年以上十年以下有期徒刑。</w:t>
      </w:r>
    </w:p>
    <w:p>
      <w:pPr>
        <w:spacing w:line="240" w:lineRule="auto"/>
        <w:ind w:firstLine="640"/>
        <w:jc w:val="both"/>
      </w:pPr>
      <w:r>
        <w:rPr>
          <w:rFonts w:ascii="黑体" w:hAnsi="黑体" w:eastAsia="黑体" w:cs="黑体"/>
          <w:sz w:val="32"/>
        </w:rPr>
        <w:t>第一百一十九条</w:t>
      </w:r>
      <w:r>
        <w:rPr>
          <w:rFonts w:ascii="仿宋_GB2312" w:hAnsi="仿宋_GB2312" w:eastAsia="仿宋_GB2312" w:cs="仿宋_GB2312"/>
          <w:sz w:val="32"/>
        </w:rPr>
        <w:t>　破坏交通工具、交通设施、电力设备、燃气设备、易燃易爆设备，造成严重后果的，处十年以上有期徒刑、无期徒刑或者死刑。</w:t>
      </w:r>
    </w:p>
    <w:p>
      <w:pPr>
        <w:spacing w:line="240" w:lineRule="auto"/>
        <w:ind w:firstLine="640"/>
        <w:jc w:val="both"/>
      </w:pPr>
      <w:r>
        <w:rPr>
          <w:rFonts w:ascii="仿宋_GB2312" w:hAnsi="仿宋_GB2312" w:eastAsia="仿宋_GB2312" w:cs="仿宋_GB2312"/>
          <w:sz w:val="32"/>
        </w:rPr>
        <w:t>过失犯前款罪的，处三年以上七年以下有期徒刑；情节较轻的，处三年以下有期徒刑或者拘役。</w:t>
      </w:r>
    </w:p>
    <w:p>
      <w:pPr>
        <w:spacing w:line="240" w:lineRule="auto"/>
        <w:ind w:firstLine="640"/>
        <w:jc w:val="both"/>
      </w:pPr>
      <w:r>
        <w:rPr>
          <w:rFonts w:ascii="黑体" w:hAnsi="黑体" w:eastAsia="黑体" w:cs="黑体"/>
          <w:sz w:val="32"/>
        </w:rPr>
        <w:t>第一百二十条</w:t>
      </w:r>
      <w:r>
        <w:rPr>
          <w:rFonts w:ascii="仿宋_GB2312" w:hAnsi="仿宋_GB2312" w:eastAsia="仿宋_GB2312" w:cs="仿宋_GB2312"/>
          <w:sz w:val="32"/>
        </w:rPr>
        <w:t>　组织、领导恐怖活动组织的，处十年以上有期徒刑或者无期徒刑，并处没收财产；积极参加的，处三年以上十年以下有期徒刑，并处罚金；其他参加的，处三年以下有期徒刑、拘役、管制或者剥夺政治权利，可以并处罚金。</w:t>
      </w:r>
    </w:p>
    <w:p>
      <w:pPr>
        <w:spacing w:line="240" w:lineRule="auto"/>
        <w:ind w:firstLine="640"/>
        <w:jc w:val="both"/>
      </w:pPr>
      <w:r>
        <w:rPr>
          <w:rFonts w:ascii="仿宋_GB2312" w:hAnsi="仿宋_GB2312" w:eastAsia="仿宋_GB2312" w:cs="仿宋_GB2312"/>
          <w:sz w:val="32"/>
        </w:rPr>
        <w:t>犯前款罪并实施杀人、爆炸、绑架等犯罪的，依照数罪并罚的规定处罚。</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条之一　</w:t>
      </w:r>
      <w:r>
        <w:rPr>
          <w:rFonts w:ascii="仿宋_GB2312" w:hAnsi="仿宋_GB2312" w:eastAsia="仿宋_GB2312" w:cs="仿宋_GB2312"/>
          <w:sz w:val="32"/>
        </w:rPr>
        <w:t>资助恐怖活动组织、实施恐怖活动的个人的，或者资助恐怖活动培训的，处五年以下有期徒刑、拘役、管制或者剥夺政治权利，并处罚金；情节严重的，处五年以上有期徒刑，并处罚金或者没收财产。</w:t>
      </w:r>
    </w:p>
    <w:p>
      <w:pPr>
        <w:spacing w:line="240" w:lineRule="auto"/>
        <w:ind w:firstLine="640"/>
        <w:jc w:val="both"/>
      </w:pPr>
      <w:r>
        <w:rPr>
          <w:rFonts w:ascii="仿宋_GB2312" w:hAnsi="仿宋_GB2312" w:eastAsia="仿宋_GB2312" w:cs="仿宋_GB2312"/>
          <w:sz w:val="32"/>
        </w:rPr>
        <w:t>为恐怖活动组织、实施恐怖活动或者恐怖活动培训招募、运送人员的，依照前款的规定处罚。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条之二　</w:t>
      </w:r>
      <w:r>
        <w:rPr>
          <w:rFonts w:ascii="仿宋_GB2312" w:hAnsi="仿宋_GB2312" w:eastAsia="仿宋_GB2312" w:cs="仿宋_GB2312"/>
          <w:sz w:val="32"/>
        </w:rPr>
        <w:t>有下列情形之一的，处五年以下有期徒刑、拘役、管制或者剥夺政治权利，并处罚金；情节严重的，处五年以上有期徒刑，并处罚金或者没收财产：</w:t>
      </w:r>
    </w:p>
    <w:p>
      <w:pPr>
        <w:spacing w:line="240" w:lineRule="auto"/>
        <w:ind w:firstLine="640"/>
        <w:jc w:val="both"/>
      </w:pPr>
      <w:r>
        <w:rPr>
          <w:rFonts w:ascii="仿宋_GB2312" w:hAnsi="仿宋_GB2312" w:eastAsia="仿宋_GB2312" w:cs="仿宋_GB2312"/>
          <w:sz w:val="32"/>
        </w:rPr>
        <w:t>（一）为实施恐怖活动准备凶器、危险物品或者其他工具的；</w:t>
      </w:r>
    </w:p>
    <w:p>
      <w:pPr>
        <w:spacing w:line="240" w:lineRule="auto"/>
        <w:ind w:firstLine="640"/>
        <w:jc w:val="both"/>
      </w:pPr>
      <w:r>
        <w:rPr>
          <w:rFonts w:ascii="仿宋_GB2312" w:hAnsi="仿宋_GB2312" w:eastAsia="仿宋_GB2312" w:cs="仿宋_GB2312"/>
          <w:sz w:val="32"/>
        </w:rPr>
        <w:t>（二）组织恐怖活动培训或者积极参加恐怖活动培训的；</w:t>
      </w:r>
    </w:p>
    <w:p>
      <w:pPr>
        <w:spacing w:line="240" w:lineRule="auto"/>
        <w:ind w:firstLine="640"/>
        <w:jc w:val="both"/>
      </w:pPr>
      <w:r>
        <w:rPr>
          <w:rFonts w:ascii="仿宋_GB2312" w:hAnsi="仿宋_GB2312" w:eastAsia="仿宋_GB2312" w:cs="仿宋_GB2312"/>
          <w:sz w:val="32"/>
        </w:rPr>
        <w:t>（三）为实施恐怖活动与境外恐怖活动组织或者人员联络的；</w:t>
      </w:r>
    </w:p>
    <w:p>
      <w:pPr>
        <w:spacing w:line="240" w:lineRule="auto"/>
        <w:ind w:firstLine="640"/>
        <w:jc w:val="both"/>
      </w:pPr>
      <w:r>
        <w:rPr>
          <w:rFonts w:ascii="仿宋_GB2312" w:hAnsi="仿宋_GB2312" w:eastAsia="仿宋_GB2312" w:cs="仿宋_GB2312"/>
          <w:sz w:val="32"/>
        </w:rPr>
        <w:t>（四）为实施恐怖活动进行策划或者其他准备的。</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条之三　</w:t>
      </w:r>
      <w:r>
        <w:rPr>
          <w:rFonts w:ascii="仿宋_GB2312" w:hAnsi="仿宋_GB2312" w:eastAsia="仿宋_GB2312" w:cs="仿宋_GB2312"/>
          <w:sz w:val="32"/>
        </w:rPr>
        <w:t>以制作、散发宣扬恐怖主义、极端主义的图书、音频视频资料或者其他物品，或者通过讲授、发布信息等方式宣扬恐怖主义、极端主义的，或者煽动实施恐怖活动的，处五年以下有期徒刑、拘役、管制或者剥夺政治权利，并处罚金；情节严重的，处五年以上有期徒刑，并处罚金或者没收财产。</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条之四　</w:t>
      </w:r>
      <w:r>
        <w:rPr>
          <w:rFonts w:ascii="仿宋_GB2312" w:hAnsi="仿宋_GB2312" w:eastAsia="仿宋_GB2312" w:cs="仿宋_GB2312"/>
          <w:sz w:val="32"/>
        </w:rPr>
        <w:t>利用极端主义煽动、胁迫群众破坏国家法律确立的婚姻、司法、教育、社会管理等制度实施的，处三年以下有期徒刑、拘役或者管制，并处罚金；情节严重的，处三年以上七年以下有期徒刑，并处罚金；情节特别严重的，处七年以上有期徒刑，并处罚金或者没收财产。</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条之五　</w:t>
      </w:r>
      <w:r>
        <w:rPr>
          <w:rFonts w:ascii="仿宋_GB2312" w:hAnsi="仿宋_GB2312" w:eastAsia="仿宋_GB2312" w:cs="仿宋_GB2312"/>
          <w:sz w:val="32"/>
        </w:rPr>
        <w:t>以暴力、胁迫等方式强制他人在公共场所穿着、佩戴宣扬恐怖主义、极端主义服饰、标志的，处三年以下有期徒刑、拘役或者管制，并处罚金。</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条之六　</w:t>
      </w:r>
      <w:r>
        <w:rPr>
          <w:rFonts w:ascii="仿宋_GB2312" w:hAnsi="仿宋_GB2312" w:eastAsia="仿宋_GB2312" w:cs="仿宋_GB2312"/>
          <w:sz w:val="32"/>
        </w:rPr>
        <w:t>明知是宣扬恐怖主义、极端主义的图书、音频视频资料或者其他物品而非法持有，情节严重的，处三年以下有期徒刑、拘役或者管制，并处或者单处罚金。</w:t>
      </w:r>
    </w:p>
    <w:p>
      <w:pPr>
        <w:spacing w:line="240" w:lineRule="auto"/>
        <w:ind w:firstLine="640"/>
        <w:jc w:val="both"/>
      </w:pPr>
      <w:r>
        <w:rPr>
          <w:rFonts w:ascii="黑体" w:hAnsi="黑体" w:eastAsia="黑体" w:cs="黑体"/>
          <w:sz w:val="32"/>
        </w:rPr>
        <w:t>第一百二十一条</w:t>
      </w:r>
      <w:r>
        <w:rPr>
          <w:rFonts w:ascii="仿宋_GB2312" w:hAnsi="仿宋_GB2312" w:eastAsia="仿宋_GB2312" w:cs="仿宋_GB2312"/>
          <w:sz w:val="32"/>
        </w:rPr>
        <w:t>　以暴力、胁迫或者其他方法劫持航空器的，处十年以上有期徒刑或者无期徒刑；致人重伤、死亡或者使航空器遭受严重破坏的，处死刑。</w:t>
      </w:r>
    </w:p>
    <w:p>
      <w:pPr>
        <w:spacing w:line="240" w:lineRule="auto"/>
        <w:ind w:firstLine="640"/>
        <w:jc w:val="both"/>
      </w:pPr>
      <w:r>
        <w:rPr>
          <w:rFonts w:ascii="黑体" w:hAnsi="黑体" w:eastAsia="黑体" w:cs="黑体"/>
          <w:sz w:val="32"/>
        </w:rPr>
        <w:t>第一百二十二条</w:t>
      </w:r>
      <w:r>
        <w:rPr>
          <w:rFonts w:ascii="仿宋_GB2312" w:hAnsi="仿宋_GB2312" w:eastAsia="仿宋_GB2312" w:cs="仿宋_GB2312"/>
          <w:sz w:val="32"/>
        </w:rPr>
        <w:t>　以暴力、胁迫或者其他方法劫持船只、汽车的，处五年以上十年以下有期徒刑；造成严重后果的，处十年以上有期徒刑或者无期徒刑。</w:t>
      </w:r>
    </w:p>
    <w:p>
      <w:pPr>
        <w:spacing w:line="240" w:lineRule="auto"/>
        <w:ind w:firstLine="640"/>
        <w:jc w:val="both"/>
      </w:pPr>
      <w:r>
        <w:rPr>
          <w:rFonts w:ascii="黑体" w:hAnsi="黑体" w:eastAsia="黑体" w:cs="黑体"/>
          <w:sz w:val="32"/>
        </w:rPr>
        <w:t>第一百二十三条</w:t>
      </w:r>
      <w:r>
        <w:rPr>
          <w:rFonts w:ascii="仿宋_GB2312" w:hAnsi="仿宋_GB2312" w:eastAsia="仿宋_GB2312" w:cs="仿宋_GB2312"/>
          <w:sz w:val="32"/>
        </w:rPr>
        <w:t>　对飞行中的航空器上的人员使用暴力，危及飞行安全，尚未造成严重后果的，处五年以下有期徒刑或者拘役；造成严重后果的，处五年以上有期徒刑。</w:t>
      </w:r>
    </w:p>
    <w:p>
      <w:pPr>
        <w:spacing w:line="240" w:lineRule="auto"/>
        <w:ind w:firstLine="640"/>
        <w:jc w:val="both"/>
      </w:pPr>
      <w:r>
        <w:rPr>
          <w:rFonts w:ascii="黑体" w:hAnsi="黑体" w:eastAsia="黑体" w:cs="黑体"/>
          <w:sz w:val="32"/>
        </w:rPr>
        <w:t>第一百二十四条</w:t>
      </w:r>
      <w:r>
        <w:rPr>
          <w:rFonts w:ascii="仿宋_GB2312" w:hAnsi="仿宋_GB2312" w:eastAsia="仿宋_GB2312" w:cs="仿宋_GB2312"/>
          <w:sz w:val="32"/>
        </w:rPr>
        <w:t>　破坏广播电视设施、公用电信设施，危害公共安全的，处三年以上七年以下有期徒刑；造成严重后果的，处七年以上有期徒刑。</w:t>
      </w:r>
    </w:p>
    <w:p>
      <w:pPr>
        <w:spacing w:line="240" w:lineRule="auto"/>
        <w:ind w:firstLine="640"/>
        <w:jc w:val="both"/>
      </w:pPr>
      <w:r>
        <w:rPr>
          <w:rFonts w:ascii="仿宋_GB2312" w:hAnsi="仿宋_GB2312" w:eastAsia="仿宋_GB2312" w:cs="仿宋_GB2312"/>
          <w:sz w:val="32"/>
        </w:rPr>
        <w:t>过失犯前款罪的，处三年以上七年以下有期徒刑；情节较轻的，处三年以下有期徒刑或者拘役。</w:t>
      </w:r>
    </w:p>
    <w:p>
      <w:pPr>
        <w:spacing w:line="240" w:lineRule="auto"/>
        <w:ind w:firstLine="640"/>
        <w:jc w:val="both"/>
      </w:pPr>
      <w:r>
        <w:rPr>
          <w:rFonts w:ascii="黑体" w:hAnsi="黑体" w:eastAsia="黑体" w:cs="黑体"/>
          <w:sz w:val="32"/>
        </w:rPr>
        <w:t>第一百二十五条</w:t>
      </w:r>
      <w:r>
        <w:rPr>
          <w:rFonts w:ascii="仿宋_GB2312" w:hAnsi="仿宋_GB2312" w:eastAsia="仿宋_GB2312" w:cs="仿宋_GB2312"/>
          <w:sz w:val="32"/>
        </w:rPr>
        <w:t>　非法制造、买卖、运输、邮寄、储存枪支、弹药、爆炸物的，处三年以上十年以下有期徒刑；情节严重的，处十年以上有期徒刑、无期徒刑或者死刑。</w:t>
      </w:r>
    </w:p>
    <w:p>
      <w:pPr>
        <w:spacing w:line="240" w:lineRule="auto"/>
        <w:ind w:firstLine="640"/>
        <w:jc w:val="both"/>
      </w:pPr>
      <w:r>
        <w:rPr>
          <w:rFonts w:ascii="仿宋_GB2312" w:hAnsi="仿宋_GB2312" w:eastAsia="仿宋_GB2312" w:cs="仿宋_GB2312"/>
          <w:sz w:val="32"/>
        </w:rPr>
        <w:t>非法制造、买卖、运输、储存毒害性、放射性、传染病病原体等物质，危害公共安全的，依照前款的规定处罚。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第一百二十六条</w:t>
      </w:r>
      <w:r>
        <w:rPr>
          <w:rFonts w:ascii="仿宋_GB2312" w:hAnsi="仿宋_GB2312" w:eastAsia="仿宋_GB2312" w:cs="仿宋_GB2312"/>
          <w:sz w:val="32"/>
        </w:rPr>
        <w:t>　依法被指定、确定的枪支制造企业、销售企业，违反枪支管理规定，有下列行为之一的，对单位判处罚金，并对其直接负责的主管人员和其他直接责任人员，处五年以下有期徒刑；情节严重的，处五年以上十年以下有期徒刑；情节特别严重的，处十年以上有期徒刑或者无期徒刑：</w:t>
      </w:r>
    </w:p>
    <w:p>
      <w:pPr>
        <w:spacing w:line="240" w:lineRule="auto"/>
        <w:ind w:firstLine="640"/>
        <w:jc w:val="both"/>
      </w:pPr>
      <w:r>
        <w:rPr>
          <w:rFonts w:ascii="仿宋_GB2312" w:hAnsi="仿宋_GB2312" w:eastAsia="仿宋_GB2312" w:cs="仿宋_GB2312"/>
          <w:sz w:val="32"/>
        </w:rPr>
        <w:t>（一）以非法销售为目的，超过限额或者不按照规定的品种制造、配售枪支的；</w:t>
      </w:r>
    </w:p>
    <w:p>
      <w:pPr>
        <w:spacing w:line="240" w:lineRule="auto"/>
        <w:ind w:firstLine="640"/>
        <w:jc w:val="both"/>
      </w:pPr>
      <w:r>
        <w:rPr>
          <w:rFonts w:ascii="仿宋_GB2312" w:hAnsi="仿宋_GB2312" w:eastAsia="仿宋_GB2312" w:cs="仿宋_GB2312"/>
          <w:sz w:val="32"/>
        </w:rPr>
        <w:t>（二）以非法销售为目的，制造无号、重号、假号的枪支的；</w:t>
      </w:r>
    </w:p>
    <w:p>
      <w:pPr>
        <w:spacing w:line="240" w:lineRule="auto"/>
        <w:ind w:firstLine="640"/>
        <w:jc w:val="both"/>
      </w:pPr>
      <w:r>
        <w:rPr>
          <w:rFonts w:ascii="仿宋_GB2312" w:hAnsi="仿宋_GB2312" w:eastAsia="仿宋_GB2312" w:cs="仿宋_GB2312"/>
          <w:sz w:val="32"/>
        </w:rPr>
        <w:t>（三）非法销售枪支或者在境内销售为出口制造的枪支的。</w:t>
      </w:r>
    </w:p>
    <w:p>
      <w:pPr>
        <w:spacing w:line="240" w:lineRule="auto"/>
        <w:ind w:firstLine="640"/>
        <w:jc w:val="both"/>
      </w:pPr>
      <w:r>
        <w:rPr>
          <w:rFonts w:ascii="黑体" w:hAnsi="黑体" w:eastAsia="黑体" w:cs="黑体"/>
          <w:sz w:val="32"/>
        </w:rPr>
        <w:t>第一百二十七条</w:t>
      </w:r>
      <w:r>
        <w:rPr>
          <w:rFonts w:ascii="仿宋_GB2312" w:hAnsi="仿宋_GB2312" w:eastAsia="仿宋_GB2312" w:cs="仿宋_GB2312"/>
          <w:sz w:val="32"/>
        </w:rPr>
        <w:t>　盗窃、抢夺枪支、弹药、爆炸物的，或者盗窃、抢夺毒害性、放射性、传染病病原体等物质，危害公共安全的，处三年以上十年以下有期徒刑；情节严重的，处十年以上有期徒刑、无期徒刑或者死刑。</w:t>
      </w:r>
    </w:p>
    <w:p>
      <w:pPr>
        <w:spacing w:line="240" w:lineRule="auto"/>
        <w:ind w:firstLine="640"/>
        <w:jc w:val="both"/>
      </w:pPr>
      <w:r>
        <w:rPr>
          <w:rFonts w:ascii="仿宋_GB2312" w:hAnsi="仿宋_GB2312" w:eastAsia="仿宋_GB2312" w:cs="仿宋_GB2312"/>
          <w:sz w:val="32"/>
        </w:rPr>
        <w:t>抢劫枪支、弹药、爆炸物的，或者抢劫毒害性、放射性、传染病病原体等物质，危害公共安全的，或者盗窃、抢夺国家机关、军警人员、民兵的枪支、弹药、爆炸物的，处十年以上有期徒刑、无期徒刑或者死刑。</w:t>
      </w:r>
    </w:p>
    <w:p>
      <w:pPr>
        <w:spacing w:line="240" w:lineRule="auto"/>
        <w:ind w:firstLine="640"/>
        <w:jc w:val="both"/>
      </w:pPr>
      <w:r>
        <w:rPr>
          <w:rFonts w:ascii="黑体" w:hAnsi="黑体" w:eastAsia="黑体" w:cs="黑体"/>
          <w:sz w:val="32"/>
        </w:rPr>
        <w:t>第一百二十八条</w:t>
      </w:r>
      <w:r>
        <w:rPr>
          <w:rFonts w:ascii="仿宋_GB2312" w:hAnsi="仿宋_GB2312" w:eastAsia="仿宋_GB2312" w:cs="仿宋_GB2312"/>
          <w:sz w:val="32"/>
        </w:rPr>
        <w:t>　违反枪支管理规定，非法持有、私藏枪支、弹药的，处三年以下有期徒刑、拘役或者管制；情节严重的，处三年以上七年以下有期徒刑。</w:t>
      </w:r>
    </w:p>
    <w:p>
      <w:pPr>
        <w:spacing w:line="240" w:lineRule="auto"/>
        <w:ind w:firstLine="640"/>
        <w:jc w:val="both"/>
      </w:pPr>
      <w:r>
        <w:rPr>
          <w:rFonts w:ascii="仿宋_GB2312" w:hAnsi="仿宋_GB2312" w:eastAsia="仿宋_GB2312" w:cs="仿宋_GB2312"/>
          <w:sz w:val="32"/>
        </w:rPr>
        <w:t>依法配备公务用枪的人员，非法出租、出借枪支的，依照前款的规定处罚。</w:t>
      </w:r>
    </w:p>
    <w:p>
      <w:pPr>
        <w:spacing w:line="240" w:lineRule="auto"/>
        <w:ind w:firstLine="640"/>
        <w:jc w:val="both"/>
      </w:pPr>
      <w:r>
        <w:rPr>
          <w:rFonts w:ascii="仿宋_GB2312" w:hAnsi="仿宋_GB2312" w:eastAsia="仿宋_GB2312" w:cs="仿宋_GB2312"/>
          <w:sz w:val="32"/>
        </w:rPr>
        <w:t>依法配置枪支的人员，非法出租、出借枪支，造成严重后果的，依照第一款的规定处罚。</w:t>
      </w:r>
    </w:p>
    <w:p>
      <w:pPr>
        <w:spacing w:line="240" w:lineRule="auto"/>
        <w:ind w:firstLine="640"/>
        <w:jc w:val="both"/>
      </w:pPr>
      <w:r>
        <w:rPr>
          <w:rFonts w:ascii="仿宋_GB2312" w:hAnsi="仿宋_GB2312" w:eastAsia="仿宋_GB2312" w:cs="仿宋_GB2312"/>
          <w:sz w:val="32"/>
        </w:rPr>
        <w:t>单位犯第二款、第三款罪的，对单位判处罚金，并对其直接负责的主管人员和其他直接责任人员，依照第一款的规定处罚。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第一百二十九条</w:t>
      </w:r>
      <w:r>
        <w:rPr>
          <w:rFonts w:ascii="仿宋_GB2312" w:hAnsi="仿宋_GB2312" w:eastAsia="仿宋_GB2312" w:cs="仿宋_GB2312"/>
          <w:sz w:val="32"/>
        </w:rPr>
        <w:t>　依法配备公务用枪的人员，丢失枪支不及时报告，造成严重后果的，处三年以下有期徒刑或者拘役。</w:t>
      </w:r>
    </w:p>
    <w:p>
      <w:pPr>
        <w:spacing w:line="240" w:lineRule="auto"/>
        <w:ind w:firstLine="640"/>
        <w:jc w:val="both"/>
      </w:pPr>
      <w:r>
        <w:rPr>
          <w:rFonts w:ascii="黑体" w:hAnsi="黑体" w:eastAsia="黑体" w:cs="黑体"/>
          <w:sz w:val="32"/>
        </w:rPr>
        <w:t>第一百三十条</w:t>
      </w:r>
      <w:r>
        <w:rPr>
          <w:rFonts w:ascii="仿宋_GB2312" w:hAnsi="仿宋_GB2312" w:eastAsia="仿宋_GB2312" w:cs="仿宋_GB2312"/>
          <w:sz w:val="32"/>
        </w:rPr>
        <w:t>　非法携带枪支、弹药、管制刀具或者爆炸性、易燃性、放射性、毒害性、腐蚀性物品，进入公共场所或者公共交通工具，危及公共安全，情节严重的，处三年以下有期徒刑、拘役或者管制。</w:t>
      </w:r>
    </w:p>
    <w:p>
      <w:pPr>
        <w:spacing w:line="240" w:lineRule="auto"/>
        <w:ind w:firstLine="640"/>
        <w:jc w:val="both"/>
      </w:pPr>
      <w:r>
        <w:rPr>
          <w:rFonts w:ascii="黑体" w:hAnsi="黑体" w:eastAsia="黑体" w:cs="黑体"/>
          <w:sz w:val="32"/>
        </w:rPr>
        <w:t>第一百三十一条</w:t>
      </w:r>
      <w:r>
        <w:rPr>
          <w:rFonts w:ascii="仿宋_GB2312" w:hAnsi="仿宋_GB2312" w:eastAsia="仿宋_GB2312" w:cs="仿宋_GB2312"/>
          <w:sz w:val="32"/>
        </w:rPr>
        <w:t>　航空人员违反规章制度，致使发生重大飞行事故，造成严重后果的，处三年以下有期徒刑或者拘役；造成飞机坠毁或者人员死亡的，处三年以上七年以下有期徒刑。</w:t>
      </w:r>
    </w:p>
    <w:p>
      <w:pPr>
        <w:spacing w:line="240" w:lineRule="auto"/>
        <w:ind w:firstLine="640"/>
        <w:jc w:val="both"/>
      </w:pPr>
      <w:r>
        <w:rPr>
          <w:rFonts w:ascii="黑体" w:hAnsi="黑体" w:eastAsia="黑体" w:cs="黑体"/>
          <w:sz w:val="32"/>
        </w:rPr>
        <w:t>第一百三十二条</w:t>
      </w:r>
      <w:r>
        <w:rPr>
          <w:rFonts w:ascii="仿宋_GB2312" w:hAnsi="仿宋_GB2312" w:eastAsia="仿宋_GB2312" w:cs="仿宋_GB2312"/>
          <w:sz w:val="32"/>
        </w:rPr>
        <w:t>　铁路职工违反规章制度，致使发生铁路运营安全事故，造成严重后果的，处三年以下有期徒刑或者拘役；造成特别严重后果的，处三年以上七年以下有期徒刑。</w:t>
      </w:r>
    </w:p>
    <w:p>
      <w:pPr>
        <w:spacing w:line="240" w:lineRule="auto"/>
        <w:ind w:firstLine="640"/>
        <w:jc w:val="both"/>
      </w:pPr>
      <w:r>
        <w:rPr>
          <w:rFonts w:ascii="黑体" w:hAnsi="黑体" w:eastAsia="黑体" w:cs="黑体"/>
          <w:sz w:val="32"/>
        </w:rPr>
        <w:t>第一百三十三条</w:t>
      </w:r>
      <w:r>
        <w:rPr>
          <w:rFonts w:ascii="仿宋_GB2312" w:hAnsi="仿宋_GB2312" w:eastAsia="仿宋_GB2312" w:cs="仿宋_GB2312"/>
          <w:sz w:val="32"/>
        </w:rPr>
        <w:t>　违反交通运输管理法规，因而发生重大事故，致人重伤、死亡或者使公私财产遭受重大损失的，处三年以下有期徒刑或者拘役；交通运输肇事后逃逸或者有其他特别恶劣情节的，处三年以上七年以下有期徒刑；因逃逸致人死亡的，处七年以上有期徒刑。</w:t>
      </w:r>
    </w:p>
    <w:p>
      <w:pPr>
        <w:spacing w:line="240" w:lineRule="auto"/>
        <w:ind w:firstLine="640"/>
        <w:jc w:val="both"/>
      </w:pPr>
      <w:r>
        <w:rPr>
          <w:rFonts w:ascii="黑体" w:hAnsi="黑体" w:eastAsia="黑体" w:cs="黑体"/>
          <w:sz w:val="32"/>
        </w:rPr>
        <w:t>第一百三十三</w:t>
      </w:r>
      <w:r>
        <w:rPr>
          <w:rFonts w:hint="eastAsia" w:ascii="黑体" w:hAnsi="黑体" w:eastAsia="黑体" w:cs="黑体"/>
          <w:sz w:val="32"/>
          <w:lang w:eastAsia="zh-CN"/>
        </w:rPr>
        <w:t>条之一　</w:t>
      </w:r>
      <w:r>
        <w:rPr>
          <w:rFonts w:ascii="仿宋_GB2312" w:hAnsi="仿宋_GB2312" w:eastAsia="仿宋_GB2312" w:cs="仿宋_GB2312"/>
          <w:sz w:val="32"/>
        </w:rPr>
        <w:t>在道路上驾驶机动车，有下列情形之一的，处拘役，并处罚金：</w:t>
      </w:r>
    </w:p>
    <w:p>
      <w:pPr>
        <w:spacing w:line="240" w:lineRule="auto"/>
        <w:ind w:firstLine="640"/>
        <w:jc w:val="both"/>
      </w:pPr>
      <w:r>
        <w:rPr>
          <w:rFonts w:ascii="仿宋_GB2312" w:hAnsi="仿宋_GB2312" w:eastAsia="仿宋_GB2312" w:cs="仿宋_GB2312"/>
          <w:sz w:val="32"/>
        </w:rPr>
        <w:t>（一）追逐竞驶，情节恶劣的；</w:t>
      </w:r>
    </w:p>
    <w:p>
      <w:pPr>
        <w:spacing w:line="240" w:lineRule="auto"/>
        <w:ind w:firstLine="640"/>
        <w:jc w:val="both"/>
      </w:pPr>
      <w:r>
        <w:rPr>
          <w:rFonts w:ascii="仿宋_GB2312" w:hAnsi="仿宋_GB2312" w:eastAsia="仿宋_GB2312" w:cs="仿宋_GB2312"/>
          <w:sz w:val="32"/>
        </w:rPr>
        <w:t>（二）醉酒驾驶机动车的；</w:t>
      </w:r>
    </w:p>
    <w:p>
      <w:pPr>
        <w:spacing w:line="240" w:lineRule="auto"/>
        <w:ind w:firstLine="640"/>
        <w:jc w:val="both"/>
      </w:pPr>
      <w:r>
        <w:rPr>
          <w:rFonts w:ascii="仿宋_GB2312" w:hAnsi="仿宋_GB2312" w:eastAsia="仿宋_GB2312" w:cs="仿宋_GB2312"/>
          <w:sz w:val="32"/>
        </w:rPr>
        <w:t>（三）从事校车业务或者旅客运输，严重超过额定乘员载客，或者严重超过规定时速行驶的；</w:t>
      </w:r>
    </w:p>
    <w:p>
      <w:pPr>
        <w:spacing w:line="240" w:lineRule="auto"/>
        <w:ind w:firstLine="640"/>
        <w:jc w:val="both"/>
      </w:pPr>
      <w:r>
        <w:rPr>
          <w:rFonts w:ascii="仿宋_GB2312" w:hAnsi="仿宋_GB2312" w:eastAsia="仿宋_GB2312" w:cs="仿宋_GB2312"/>
          <w:sz w:val="32"/>
        </w:rPr>
        <w:t>（四）违反危险化学品安全管理规定运输危险化学品，危及公共安全的。</w:t>
      </w:r>
    </w:p>
    <w:p>
      <w:pPr>
        <w:spacing w:line="240" w:lineRule="auto"/>
        <w:ind w:firstLine="640"/>
        <w:jc w:val="both"/>
      </w:pPr>
      <w:r>
        <w:rPr>
          <w:rFonts w:ascii="仿宋_GB2312" w:hAnsi="仿宋_GB2312" w:eastAsia="仿宋_GB2312" w:cs="仿宋_GB2312"/>
          <w:sz w:val="32"/>
        </w:rPr>
        <w:t>机动车所有人、管理人对前款第三项、第四项行为负有直接责任的，依照前款的规定处罚。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第一百三十三</w:t>
      </w:r>
      <w:r>
        <w:rPr>
          <w:rFonts w:hint="eastAsia" w:ascii="黑体" w:hAnsi="黑体" w:eastAsia="黑体" w:cs="黑体"/>
          <w:sz w:val="32"/>
          <w:lang w:eastAsia="zh-CN"/>
        </w:rPr>
        <w:t>条之二　</w:t>
      </w:r>
      <w:r>
        <w:rPr>
          <w:rFonts w:ascii="仿宋_GB2312" w:hAnsi="仿宋_GB2312" w:eastAsia="仿宋_GB2312" w:cs="仿宋_GB2312"/>
          <w:sz w:val="32"/>
        </w:rPr>
        <w:t>对行驶中的公共交通工具的驾驶人员使用暴力或者抢控驾驶操纵装置，干扰公共交通工具正常行驶，危及公共安全的，处一年以下有期徒刑、拘役或者管制，并处或者单处罚金。</w:t>
      </w:r>
    </w:p>
    <w:p>
      <w:pPr>
        <w:spacing w:line="240" w:lineRule="auto"/>
        <w:ind w:firstLine="640"/>
        <w:jc w:val="both"/>
      </w:pPr>
      <w:r>
        <w:rPr>
          <w:rFonts w:ascii="仿宋_GB2312" w:hAnsi="仿宋_GB2312" w:eastAsia="仿宋_GB2312" w:cs="仿宋_GB2312"/>
          <w:sz w:val="32"/>
        </w:rPr>
        <w:t>前款规定的驾驶人员在行驶的公共交通工具上擅离职守，与他人互殴或者殴打他人，危及公共安全的，依照前款的规定处罚。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第一百三十四条</w:t>
      </w:r>
      <w:r>
        <w:rPr>
          <w:rFonts w:ascii="仿宋_GB2312" w:hAnsi="仿宋_GB2312" w:eastAsia="仿宋_GB2312" w:cs="仿宋_GB2312"/>
          <w:sz w:val="32"/>
        </w:rPr>
        <w:t>　在生产、作业中违反有关安全管理的规定，因而发生重大伤亡事故或者造成其他严重后果的，处三年以下有期徒刑或者拘役；情节特别恶劣的，处三年以上七年以下有期徒刑。</w:t>
      </w:r>
    </w:p>
    <w:p>
      <w:pPr>
        <w:spacing w:line="240" w:lineRule="auto"/>
        <w:ind w:firstLine="640"/>
        <w:jc w:val="both"/>
      </w:pPr>
      <w:r>
        <w:rPr>
          <w:rFonts w:ascii="仿宋_GB2312" w:hAnsi="仿宋_GB2312" w:eastAsia="仿宋_GB2312" w:cs="仿宋_GB2312"/>
          <w:sz w:val="32"/>
        </w:rPr>
        <w:t>强令他人违章冒险作业，或者明知存在重大事故隐患而不排除，仍冒险组织作业，因而发生重大伤亡事故或者造成其他严重后果的，处五年以下有期徒刑或者拘役；情节特别恶劣的，处五年以上有期徒刑。</w:t>
      </w:r>
    </w:p>
    <w:p>
      <w:pPr>
        <w:spacing w:line="240" w:lineRule="auto"/>
        <w:ind w:firstLine="640"/>
        <w:jc w:val="both"/>
      </w:pPr>
      <w:r>
        <w:rPr>
          <w:rFonts w:ascii="黑体" w:hAnsi="黑体" w:eastAsia="黑体" w:cs="黑体"/>
          <w:sz w:val="32"/>
        </w:rPr>
        <w:t>第一百三十四</w:t>
      </w:r>
      <w:r>
        <w:rPr>
          <w:rFonts w:hint="eastAsia" w:ascii="黑体" w:hAnsi="黑体" w:eastAsia="黑体" w:cs="黑体"/>
          <w:sz w:val="32"/>
          <w:lang w:eastAsia="zh-CN"/>
        </w:rPr>
        <w:t>条之一　</w:t>
      </w:r>
      <w:r>
        <w:rPr>
          <w:rFonts w:ascii="仿宋_GB2312" w:hAnsi="仿宋_GB2312" w:eastAsia="仿宋_GB2312" w:cs="仿宋_GB2312"/>
          <w:sz w:val="32"/>
        </w:rPr>
        <w:t>在生产、作业中违反有关安全管理的规定，有下列情形之一，具有发生重大伤亡事故或者其他严重后果的现实危险的，处一年以下有期徒刑、拘役或者管制：</w:t>
      </w:r>
    </w:p>
    <w:p>
      <w:pPr>
        <w:spacing w:line="240" w:lineRule="auto"/>
        <w:ind w:firstLine="640"/>
        <w:jc w:val="both"/>
      </w:pPr>
      <w:r>
        <w:rPr>
          <w:rFonts w:ascii="仿宋_GB2312" w:hAnsi="仿宋_GB2312" w:eastAsia="仿宋_GB2312" w:cs="仿宋_GB2312"/>
          <w:sz w:val="32"/>
        </w:rPr>
        <w:t>（一）关闭、破坏直接关系生产安全的监控、报警、防护、救生设备、设施，或者篡改、隐瞒、销毁其相关数据、信息的；</w:t>
      </w:r>
    </w:p>
    <w:p>
      <w:pPr>
        <w:spacing w:line="240" w:lineRule="auto"/>
        <w:ind w:firstLine="640"/>
        <w:jc w:val="both"/>
      </w:pPr>
      <w:r>
        <w:rPr>
          <w:rFonts w:ascii="仿宋_GB2312" w:hAnsi="仿宋_GB2312" w:eastAsia="仿宋_GB2312" w:cs="仿宋_GB2312"/>
          <w:sz w:val="32"/>
        </w:rPr>
        <w:t>（二）因存在重大事故隐患被依法责令停产停业、停止施工、停止使用有关设备、设施、场所或者立即采取排除危险的整改措施，而拒不执行的；</w:t>
      </w:r>
    </w:p>
    <w:p>
      <w:pPr>
        <w:spacing w:line="240" w:lineRule="auto"/>
        <w:ind w:firstLine="640"/>
        <w:jc w:val="both"/>
      </w:pPr>
      <w:r>
        <w:rPr>
          <w:rFonts w:ascii="仿宋_GB2312" w:hAnsi="仿宋_GB2312" w:eastAsia="仿宋_GB2312" w:cs="仿宋_GB2312"/>
          <w:sz w:val="32"/>
        </w:rPr>
        <w:t>（三）涉及安全生产的事项未经依法批准或者许可，擅自从事矿山开采、金属冶炼、建筑施工，以及危险物品生产、经营、储存等高度危险的生产作业活动的。</w:t>
      </w:r>
    </w:p>
    <w:p>
      <w:pPr>
        <w:spacing w:line="240" w:lineRule="auto"/>
        <w:ind w:firstLine="640"/>
        <w:jc w:val="both"/>
      </w:pPr>
      <w:r>
        <w:rPr>
          <w:rFonts w:ascii="黑体" w:hAnsi="黑体" w:eastAsia="黑体" w:cs="黑体"/>
          <w:sz w:val="32"/>
        </w:rPr>
        <w:t>第一百三十五条</w:t>
      </w:r>
      <w:r>
        <w:rPr>
          <w:rFonts w:ascii="仿宋_GB2312" w:hAnsi="仿宋_GB2312" w:eastAsia="仿宋_GB2312" w:cs="仿宋_GB2312"/>
          <w:sz w:val="32"/>
        </w:rPr>
        <w:t>　安全生产设施或者安全生产条件不符合国家规定，因而发生重大伤亡事故或者造成其他严重后果的，对直接负责的主管人员和其他直接责任人员，处三年以下有期徒刑或者拘役；情节特别恶劣的，处三年以上七年以下有期徒刑。</w:t>
      </w:r>
    </w:p>
    <w:p>
      <w:pPr>
        <w:spacing w:line="240" w:lineRule="auto"/>
        <w:ind w:firstLine="640"/>
        <w:jc w:val="both"/>
      </w:pPr>
      <w:r>
        <w:rPr>
          <w:rFonts w:ascii="黑体" w:hAnsi="黑体" w:eastAsia="黑体" w:cs="黑体"/>
          <w:sz w:val="32"/>
        </w:rPr>
        <w:t>第一百三十五</w:t>
      </w:r>
      <w:r>
        <w:rPr>
          <w:rFonts w:hint="eastAsia" w:ascii="黑体" w:hAnsi="黑体" w:eastAsia="黑体" w:cs="黑体"/>
          <w:sz w:val="32"/>
          <w:lang w:eastAsia="zh-CN"/>
        </w:rPr>
        <w:t>条之一　</w:t>
      </w:r>
      <w:r>
        <w:rPr>
          <w:rFonts w:ascii="仿宋_GB2312" w:hAnsi="仿宋_GB2312" w:eastAsia="仿宋_GB2312" w:cs="仿宋_GB2312"/>
          <w:sz w:val="32"/>
        </w:rPr>
        <w:t>举办大型群众性活动违反安全管理规定，因而发生重大伤亡事故或者造成其他严重后果的，对直接负责的主管人员和其他直接责任人员，处三年以下有期徒刑或者拘役；情节特别恶劣的，处三年以上七年以下有期徒刑。</w:t>
      </w:r>
    </w:p>
    <w:p>
      <w:pPr>
        <w:spacing w:line="240" w:lineRule="auto"/>
        <w:ind w:firstLine="640"/>
        <w:jc w:val="both"/>
      </w:pPr>
      <w:r>
        <w:rPr>
          <w:rFonts w:ascii="黑体" w:hAnsi="黑体" w:eastAsia="黑体" w:cs="黑体"/>
          <w:sz w:val="32"/>
        </w:rPr>
        <w:t>第一百三十六条</w:t>
      </w:r>
      <w:r>
        <w:rPr>
          <w:rFonts w:ascii="仿宋_GB2312" w:hAnsi="仿宋_GB2312" w:eastAsia="仿宋_GB2312" w:cs="仿宋_GB2312"/>
          <w:sz w:val="32"/>
        </w:rPr>
        <w:t>　违反爆炸性、易燃性、放射性、毒害性、腐蚀性物品的管理规定，在生产、储存、运输、使用中发生重大事故，造成严重后果的，处三年以下有期徒刑或者拘役；后果特别严重的，处三年以上七年以下有期徒刑。</w:t>
      </w:r>
    </w:p>
    <w:p>
      <w:pPr>
        <w:spacing w:line="240" w:lineRule="auto"/>
        <w:ind w:firstLine="640"/>
        <w:jc w:val="both"/>
      </w:pPr>
      <w:r>
        <w:rPr>
          <w:rFonts w:ascii="黑体" w:hAnsi="黑体" w:eastAsia="黑体" w:cs="黑体"/>
          <w:sz w:val="32"/>
        </w:rPr>
        <w:t>第一百三十七条</w:t>
      </w:r>
      <w:r>
        <w:rPr>
          <w:rFonts w:ascii="仿宋_GB2312" w:hAnsi="仿宋_GB2312" w:eastAsia="仿宋_GB2312" w:cs="仿宋_GB2312"/>
          <w:sz w:val="32"/>
        </w:rPr>
        <w:t>　建设单位、设计单位、施工单位、工程监理单位违反国家规定，降低工程质量标准，造成重大安全事故的，对直接责任人员，处五年以下有期徒刑或者拘役，并处罚金；后果特别严重的，处五年以上十年以下有期徒刑，并处罚金。</w:t>
      </w:r>
    </w:p>
    <w:p>
      <w:pPr>
        <w:spacing w:line="240" w:lineRule="auto"/>
        <w:ind w:firstLine="640"/>
        <w:jc w:val="both"/>
      </w:pPr>
      <w:r>
        <w:rPr>
          <w:rFonts w:ascii="黑体" w:hAnsi="黑体" w:eastAsia="黑体" w:cs="黑体"/>
          <w:sz w:val="32"/>
        </w:rPr>
        <w:t>第一百三十八条</w:t>
      </w:r>
      <w:r>
        <w:rPr>
          <w:rFonts w:ascii="仿宋_GB2312" w:hAnsi="仿宋_GB2312" w:eastAsia="仿宋_GB2312" w:cs="仿宋_GB2312"/>
          <w:sz w:val="32"/>
        </w:rPr>
        <w:t>　明知校舍或者教育教学设施有危险，而不采取措施或者不及时报告，致使发生重大伤亡事故的，对直接责任人员，处三年以下有期徒刑或者拘役；后果特别严重的，处三年以上七年以下有期徒刑。</w:t>
      </w:r>
    </w:p>
    <w:p>
      <w:pPr>
        <w:spacing w:line="240" w:lineRule="auto"/>
        <w:ind w:firstLine="640"/>
        <w:jc w:val="both"/>
      </w:pPr>
      <w:r>
        <w:rPr>
          <w:rFonts w:ascii="黑体" w:hAnsi="黑体" w:eastAsia="黑体" w:cs="黑体"/>
          <w:sz w:val="32"/>
        </w:rPr>
        <w:t>第一百三十九条</w:t>
      </w:r>
      <w:r>
        <w:rPr>
          <w:rFonts w:ascii="仿宋_GB2312" w:hAnsi="仿宋_GB2312" w:eastAsia="仿宋_GB2312" w:cs="仿宋_GB2312"/>
          <w:sz w:val="32"/>
        </w:rPr>
        <w:t>　违反消防管理法规，经消防监督机构通知采取改正措施而拒绝执行，造成严重后果的，对直接责任人员，处三年以下有期徒刑或者拘役；后果特别严重的，处三年以上七年以下有期徒刑。</w:t>
      </w:r>
    </w:p>
    <w:p>
      <w:pPr>
        <w:spacing w:line="240" w:lineRule="auto"/>
        <w:ind w:firstLine="640"/>
        <w:jc w:val="both"/>
      </w:pPr>
      <w:r>
        <w:rPr>
          <w:rFonts w:ascii="黑体" w:hAnsi="黑体" w:eastAsia="黑体" w:cs="黑体"/>
          <w:sz w:val="32"/>
        </w:rPr>
        <w:t>第一百三十九</w:t>
      </w:r>
      <w:r>
        <w:rPr>
          <w:rFonts w:hint="eastAsia" w:ascii="黑体" w:hAnsi="黑体" w:eastAsia="黑体" w:cs="黑体"/>
          <w:sz w:val="32"/>
          <w:lang w:eastAsia="zh-CN"/>
        </w:rPr>
        <w:t>条之一　</w:t>
      </w:r>
      <w:r>
        <w:rPr>
          <w:rFonts w:ascii="仿宋_GB2312" w:hAnsi="仿宋_GB2312" w:eastAsia="仿宋_GB2312" w:cs="仿宋_GB2312"/>
          <w:sz w:val="32"/>
        </w:rPr>
        <w:t>在安全事故发生后，负有报告职责的人员不报或者谎报事故情况，贻误事故抢救，情节严重的，处三年以下有期徒刑或者拘役；情节特别严重的，处三年以上七年以下有期徒刑。</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第三章　破坏社会主义市场经济秩序罪</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生产、销售伪劣商品罪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第一百四十条</w:t>
      </w:r>
      <w:r>
        <w:rPr>
          <w:rFonts w:ascii="仿宋_GB2312" w:hAnsi="仿宋_GB2312" w:eastAsia="仿宋_GB2312" w:cs="仿宋_GB2312"/>
          <w:sz w:val="32"/>
        </w:rPr>
        <w:t>　生产者、销售者在产品中掺杂、掺假，以假充真，以次充好或者以不合格产品冒充合格产品，销售金额五万元以上不满二十万元的，处二年以下有期徒刑或者拘役，并处或者单处销售金额百分之五十以上二倍以下罚金；销售金额二十万元以上不满五十万元的，处二年以上七年以下有期徒刑，并处销售金额百分之五十以上二倍以下罚金；销售金额五十万元以上不满二百万元的，处七年以上有期徒刑，并处销售金额百分之五十以上二倍以下罚金；销售金额二百万元以上的，处十五年有期徒刑或者无期徒刑，并处销售金额百分之五十以上二倍以下罚金或者没收财产。</w:t>
      </w:r>
    </w:p>
    <w:p>
      <w:pPr>
        <w:spacing w:line="240" w:lineRule="auto"/>
        <w:ind w:firstLine="640"/>
        <w:jc w:val="both"/>
      </w:pPr>
      <w:r>
        <w:rPr>
          <w:rFonts w:ascii="黑体" w:hAnsi="黑体" w:eastAsia="黑体" w:cs="黑体"/>
          <w:sz w:val="32"/>
        </w:rPr>
        <w:t>第一百四十一条</w:t>
      </w:r>
      <w:r>
        <w:rPr>
          <w:rFonts w:ascii="仿宋_GB2312" w:hAnsi="仿宋_GB2312" w:eastAsia="仿宋_GB2312" w:cs="仿宋_GB2312"/>
          <w:sz w:val="32"/>
        </w:rPr>
        <w:t>　生产、销售假药的，处三年以下有期徒刑或者拘役，并处罚金；对人体健康造成严重危害或者有其他严重情节的，处三年以上十年以下有期徒刑，并处罚金；致人死亡或者有其他特别严重情节的，处十年以上有期徒刑、无期徒刑或者死刑，并处罚金或者没收财产。</w:t>
      </w:r>
    </w:p>
    <w:p>
      <w:pPr>
        <w:spacing w:line="240" w:lineRule="auto"/>
        <w:ind w:firstLine="640"/>
        <w:jc w:val="both"/>
      </w:pPr>
      <w:r>
        <w:rPr>
          <w:rFonts w:ascii="仿宋_GB2312" w:hAnsi="仿宋_GB2312" w:eastAsia="仿宋_GB2312" w:cs="仿宋_GB2312"/>
          <w:sz w:val="32"/>
        </w:rPr>
        <w:t>药品使用单位的人员明知是假药而提供给他人使用的，依照前款的规定处罚。</w:t>
      </w:r>
    </w:p>
    <w:p>
      <w:pPr>
        <w:spacing w:line="240" w:lineRule="auto"/>
        <w:ind w:firstLine="640"/>
        <w:jc w:val="both"/>
      </w:pPr>
      <w:r>
        <w:rPr>
          <w:rFonts w:ascii="黑体" w:hAnsi="黑体" w:eastAsia="黑体" w:cs="黑体"/>
          <w:sz w:val="32"/>
        </w:rPr>
        <w:t>第一百四十二条</w:t>
      </w:r>
      <w:r>
        <w:rPr>
          <w:rFonts w:ascii="仿宋_GB2312" w:hAnsi="仿宋_GB2312" w:eastAsia="仿宋_GB2312" w:cs="仿宋_GB2312"/>
          <w:sz w:val="32"/>
        </w:rPr>
        <w:t>　生产、销售劣药，对人体健康造成严重危害的，处三年以上十年以下有期徒刑，并处罚金；后果特别严重的，处十年以上有期徒刑或者无期徒刑，并处罚金或者没收财产。</w:t>
      </w:r>
    </w:p>
    <w:p>
      <w:pPr>
        <w:spacing w:line="240" w:lineRule="auto"/>
        <w:ind w:firstLine="640"/>
        <w:jc w:val="both"/>
      </w:pPr>
      <w:r>
        <w:rPr>
          <w:rFonts w:ascii="仿宋_GB2312" w:hAnsi="仿宋_GB2312" w:eastAsia="仿宋_GB2312" w:cs="仿宋_GB2312"/>
          <w:sz w:val="32"/>
        </w:rPr>
        <w:t>药品使用单位的人员明知是劣药而提供给他人使用的，依照前款的规定处罚。</w:t>
      </w:r>
    </w:p>
    <w:p>
      <w:pPr>
        <w:spacing w:line="240" w:lineRule="auto"/>
        <w:ind w:firstLine="640"/>
        <w:jc w:val="both"/>
      </w:pPr>
      <w:r>
        <w:rPr>
          <w:rFonts w:ascii="黑体" w:hAnsi="黑体" w:eastAsia="黑体" w:cs="黑体"/>
          <w:sz w:val="32"/>
        </w:rPr>
        <w:t>第一百四十二</w:t>
      </w:r>
      <w:r>
        <w:rPr>
          <w:rFonts w:hint="eastAsia" w:ascii="黑体" w:hAnsi="黑体" w:eastAsia="黑体" w:cs="黑体"/>
          <w:sz w:val="32"/>
          <w:lang w:eastAsia="zh-CN"/>
        </w:rPr>
        <w:t>条之一　</w:t>
      </w:r>
      <w:r>
        <w:rPr>
          <w:rFonts w:ascii="仿宋_GB2312" w:hAnsi="仿宋_GB2312" w:eastAsia="仿宋_GB2312" w:cs="仿宋_GB2312"/>
          <w:sz w:val="32"/>
        </w:rPr>
        <w:t>违反药品管理法规，有下列情形之一，足以严重危害人体健康的，处三年以下有期徒刑或者拘役，并处或者单处罚金；对人体健康造成严重危害或者有其他严重情节的，处三年以上七年以下有期徒刑，并处罚金：</w:t>
      </w:r>
    </w:p>
    <w:p>
      <w:pPr>
        <w:spacing w:line="240" w:lineRule="auto"/>
        <w:ind w:firstLine="640"/>
        <w:jc w:val="both"/>
      </w:pPr>
      <w:r>
        <w:rPr>
          <w:rFonts w:ascii="仿宋_GB2312" w:hAnsi="仿宋_GB2312" w:eastAsia="仿宋_GB2312" w:cs="仿宋_GB2312"/>
          <w:sz w:val="32"/>
        </w:rPr>
        <w:t>（一）生产、销售国务院药品监督管理部门禁止使用的药品的；</w:t>
      </w:r>
    </w:p>
    <w:p>
      <w:pPr>
        <w:spacing w:line="240" w:lineRule="auto"/>
        <w:ind w:firstLine="640"/>
        <w:jc w:val="both"/>
      </w:pPr>
      <w:r>
        <w:rPr>
          <w:rFonts w:ascii="仿宋_GB2312" w:hAnsi="仿宋_GB2312" w:eastAsia="仿宋_GB2312" w:cs="仿宋_GB2312"/>
          <w:sz w:val="32"/>
        </w:rPr>
        <w:t>（二）未取得药品相关批准证明文件生产、进口药品或者明知是上述药品而销售的；</w:t>
      </w:r>
    </w:p>
    <w:p>
      <w:pPr>
        <w:spacing w:line="240" w:lineRule="auto"/>
        <w:ind w:firstLine="640"/>
        <w:jc w:val="both"/>
      </w:pPr>
      <w:r>
        <w:rPr>
          <w:rFonts w:ascii="仿宋_GB2312" w:hAnsi="仿宋_GB2312" w:eastAsia="仿宋_GB2312" w:cs="仿宋_GB2312"/>
          <w:sz w:val="32"/>
        </w:rPr>
        <w:t>（三）药品申请注册中提供虚假的证明、数据、资料、样品或者采取其他欺骗手段的；</w:t>
      </w:r>
    </w:p>
    <w:p>
      <w:pPr>
        <w:spacing w:line="240" w:lineRule="auto"/>
        <w:ind w:firstLine="640"/>
        <w:jc w:val="both"/>
      </w:pPr>
      <w:r>
        <w:rPr>
          <w:rFonts w:ascii="仿宋_GB2312" w:hAnsi="仿宋_GB2312" w:eastAsia="仿宋_GB2312" w:cs="仿宋_GB2312"/>
          <w:sz w:val="32"/>
        </w:rPr>
        <w:t>（四）编造生产、检验记录的。</w:t>
      </w:r>
    </w:p>
    <w:p>
      <w:pPr>
        <w:spacing w:line="240" w:lineRule="auto"/>
        <w:ind w:firstLine="640"/>
        <w:jc w:val="both"/>
      </w:pPr>
      <w:r>
        <w:rPr>
          <w:rFonts w:ascii="仿宋_GB2312" w:hAnsi="仿宋_GB2312" w:eastAsia="仿宋_GB2312" w:cs="仿宋_GB2312"/>
          <w:sz w:val="32"/>
        </w:rPr>
        <w:t>有前款行为，同时又构成本法第一百四十一条、第一百四十二条规定之罪或者其他犯罪的，依照处罚较重的规定定罪处罚。</w:t>
      </w:r>
    </w:p>
    <w:p>
      <w:pPr>
        <w:spacing w:line="240" w:lineRule="auto"/>
        <w:ind w:firstLine="640"/>
        <w:jc w:val="both"/>
      </w:pPr>
      <w:r>
        <w:rPr>
          <w:rFonts w:ascii="黑体" w:hAnsi="黑体" w:eastAsia="黑体" w:cs="黑体"/>
          <w:sz w:val="32"/>
        </w:rPr>
        <w:t>第一百四十三条</w:t>
      </w:r>
      <w:r>
        <w:rPr>
          <w:rFonts w:ascii="仿宋_GB2312" w:hAnsi="仿宋_GB2312" w:eastAsia="仿宋_GB2312" w:cs="仿宋_GB2312"/>
          <w:sz w:val="32"/>
        </w:rPr>
        <w:t>　生产、销售不符合食品安全标准的食品，足以造成严重食物中毒事故或者其他严重食源性疾病的，处三年以下有期徒刑或者拘役，并处罚金；对人体健康造成严重危害或者有其他严重情节的，处三年以上七年以下有期徒刑，并处罚金；后果特别严重的，处七年以上有期徒刑或者无期徒刑，并处罚金或者没收财产。</w:t>
      </w:r>
    </w:p>
    <w:p>
      <w:pPr>
        <w:spacing w:line="240" w:lineRule="auto"/>
        <w:ind w:firstLine="640"/>
        <w:jc w:val="both"/>
      </w:pPr>
      <w:r>
        <w:rPr>
          <w:rFonts w:ascii="黑体" w:hAnsi="黑体" w:eastAsia="黑体" w:cs="黑体"/>
          <w:sz w:val="32"/>
        </w:rPr>
        <w:t>第一百四十四条</w:t>
      </w:r>
      <w:r>
        <w:rPr>
          <w:rFonts w:ascii="仿宋_GB2312" w:hAnsi="仿宋_GB2312" w:eastAsia="仿宋_GB2312" w:cs="仿宋_GB2312"/>
          <w:sz w:val="32"/>
        </w:rPr>
        <w:t>　在生产、销售的食品中掺入有毒、有害的非食品原料的，或者销售明知掺有有毒、有害的非食品原料的食品的，处五年以下有期徒刑，并处罚金；对人体健康造成严重危害或者有其他严重情节的，处五年以上十年以下有期徒刑，并处罚金；致人死亡或者有其他特别严重情节的，依照本法第一百四十一条的规定处罚。</w:t>
      </w:r>
    </w:p>
    <w:p>
      <w:pPr>
        <w:spacing w:line="240" w:lineRule="auto"/>
        <w:ind w:firstLine="640"/>
        <w:jc w:val="both"/>
      </w:pPr>
      <w:r>
        <w:rPr>
          <w:rFonts w:ascii="黑体" w:hAnsi="黑体" w:eastAsia="黑体" w:cs="黑体"/>
          <w:sz w:val="32"/>
        </w:rPr>
        <w:t>第一百四十五条</w:t>
      </w:r>
      <w:r>
        <w:rPr>
          <w:rFonts w:ascii="仿宋_GB2312" w:hAnsi="仿宋_GB2312" w:eastAsia="仿宋_GB2312" w:cs="仿宋_GB2312"/>
          <w:sz w:val="32"/>
        </w:rPr>
        <w:t>　生产不符合保障人体健康的国家标准、行业标准的医疗器械、医用卫生材料，或者销售明知是不符合保障人体健康的国家标准、行业标准的医疗器械、医用卫生材料，足以严重危害人体健康的，处三年以下有期徒刑或者拘役，并处销售金额百分之五十以上二倍以下罚金；对人体健康造成严重危害的，处三年以上十年以下有期徒刑，并处销售金额百分之五十以上二倍以下罚金；后果特别严重的，处十年以上有期徒刑或者无期徒刑，并处销售金额百分之五十以上二倍以下罚金或者没收财产。</w:t>
      </w:r>
    </w:p>
    <w:p>
      <w:pPr>
        <w:spacing w:line="240" w:lineRule="auto"/>
        <w:ind w:firstLine="640"/>
        <w:jc w:val="both"/>
      </w:pPr>
      <w:r>
        <w:rPr>
          <w:rFonts w:ascii="黑体" w:hAnsi="黑体" w:eastAsia="黑体" w:cs="黑体"/>
          <w:sz w:val="32"/>
        </w:rPr>
        <w:t>第一百四十六条</w:t>
      </w:r>
      <w:r>
        <w:rPr>
          <w:rFonts w:ascii="仿宋_GB2312" w:hAnsi="仿宋_GB2312" w:eastAsia="仿宋_GB2312" w:cs="仿宋_GB2312"/>
          <w:sz w:val="32"/>
        </w:rPr>
        <w:t>　生产不符合保障人身、财产安全的国家标准、行业标准的电器、压力容器、易燃易爆产品或者其他不符合保障人身、财产安全的国家标准、行业标准的产品，或者销售明知是以上不符合保障人身、财产安全的国家标准、行业标准的产品，造成严重后果的，处五年以下有期徒刑，并处销售金额百分之五十以上二倍以下罚金；后果特别严重的，处五年以上有期徒刑，并处销售金额百分之五十以上二倍以下罚金。</w:t>
      </w:r>
    </w:p>
    <w:p>
      <w:pPr>
        <w:spacing w:line="240" w:lineRule="auto"/>
        <w:ind w:firstLine="640"/>
        <w:jc w:val="both"/>
      </w:pPr>
      <w:r>
        <w:rPr>
          <w:rFonts w:ascii="黑体" w:hAnsi="黑体" w:eastAsia="黑体" w:cs="黑体"/>
          <w:sz w:val="32"/>
        </w:rPr>
        <w:t>第一百四十七条</w:t>
      </w:r>
      <w:r>
        <w:rPr>
          <w:rFonts w:ascii="仿宋_GB2312" w:hAnsi="仿宋_GB2312" w:eastAsia="仿宋_GB2312" w:cs="仿宋_GB2312"/>
          <w:sz w:val="32"/>
        </w:rPr>
        <w:t>　生产假农药、假兽药、假化肥，销售明知是假的或者失去使用效能的农药、兽药、化肥、种子，或者生产者、销售者以不合格的农药、兽药、化肥、种子冒充合格的农药、兽药、化肥、种子，使生产遭受较大损失的，处三年以下有期徒刑或者拘役，并处或者单处销售金额百分之五十以上二倍以下罚金；使生产遭受重大损失的，处三年以上七年以下有期徒刑，并处销售金额百分之五十以上二倍以下罚金；使生产遭受特别重大损失的，处七年以上有期徒刑或者无期徒刑，并处销售金额百分之五十以上二倍以下罚金或者没收财产。</w:t>
      </w:r>
    </w:p>
    <w:p>
      <w:pPr>
        <w:spacing w:line="240" w:lineRule="auto"/>
        <w:ind w:firstLine="640"/>
        <w:jc w:val="both"/>
      </w:pPr>
      <w:r>
        <w:rPr>
          <w:rFonts w:ascii="黑体" w:hAnsi="黑体" w:eastAsia="黑体" w:cs="黑体"/>
          <w:sz w:val="32"/>
        </w:rPr>
        <w:t>第一百四十八条</w:t>
      </w:r>
      <w:r>
        <w:rPr>
          <w:rFonts w:ascii="仿宋_GB2312" w:hAnsi="仿宋_GB2312" w:eastAsia="仿宋_GB2312" w:cs="仿宋_GB2312"/>
          <w:sz w:val="32"/>
        </w:rPr>
        <w:t>　生产不符合卫生标准的化妆品，或者销售明知是不符合卫生标准的化妆品，造成严重后果的，处三年以下有期徒刑或者拘役，并处或者单处销售金额百分之五十以上二倍以下罚金。</w:t>
      </w:r>
    </w:p>
    <w:p>
      <w:pPr>
        <w:spacing w:line="240" w:lineRule="auto"/>
        <w:ind w:firstLine="640"/>
        <w:jc w:val="both"/>
      </w:pPr>
      <w:r>
        <w:rPr>
          <w:rFonts w:ascii="黑体" w:hAnsi="黑体" w:eastAsia="黑体" w:cs="黑体"/>
          <w:sz w:val="32"/>
        </w:rPr>
        <w:t>第一百四十九条</w:t>
      </w:r>
      <w:r>
        <w:rPr>
          <w:rFonts w:ascii="仿宋_GB2312" w:hAnsi="仿宋_GB2312" w:eastAsia="仿宋_GB2312" w:cs="仿宋_GB2312"/>
          <w:sz w:val="32"/>
        </w:rPr>
        <w:t>　生产、销售本节第一百四十一条至第一百四十八条所列产品，不构成各该条规定的犯罪，但是销售金额在五万元以上的，依照本节第一百四十条的规定定罪处罚。</w:t>
      </w:r>
    </w:p>
    <w:p>
      <w:pPr>
        <w:spacing w:line="240" w:lineRule="auto"/>
        <w:ind w:firstLine="640"/>
        <w:jc w:val="both"/>
      </w:pPr>
      <w:r>
        <w:rPr>
          <w:rFonts w:ascii="仿宋_GB2312" w:hAnsi="仿宋_GB2312" w:eastAsia="仿宋_GB2312" w:cs="仿宋_GB2312"/>
          <w:sz w:val="32"/>
        </w:rPr>
        <w:t>生产、销售本节第一百四十一条至第一百四十八条所列产品，构成各该条规定的犯罪，同时又构成本节第一百四十条规定之罪的，依照处罚较重的规定定罪处罚。</w:t>
      </w:r>
    </w:p>
    <w:p>
      <w:pPr>
        <w:spacing w:line="240" w:lineRule="auto"/>
        <w:ind w:firstLine="640"/>
        <w:jc w:val="both"/>
      </w:pPr>
      <w:r>
        <w:rPr>
          <w:rFonts w:ascii="黑体" w:hAnsi="黑体" w:eastAsia="黑体" w:cs="黑体"/>
          <w:sz w:val="32"/>
        </w:rPr>
        <w:t>第一百五十条</w:t>
      </w:r>
      <w:r>
        <w:rPr>
          <w:rFonts w:ascii="仿宋_GB2312" w:hAnsi="仿宋_GB2312" w:eastAsia="仿宋_GB2312" w:cs="仿宋_GB2312"/>
          <w:sz w:val="32"/>
        </w:rPr>
        <w:t>　单位犯本节第一百四十条至第一百四十八条规定之罪的，对单位判处罚金，并对其直接负责的主管人员和其他直接责任人员，依照各该条的规定处罚。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走私罪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第一百五十一条</w:t>
      </w:r>
      <w:r>
        <w:rPr>
          <w:rFonts w:ascii="仿宋_GB2312" w:hAnsi="仿宋_GB2312" w:eastAsia="仿宋_GB2312" w:cs="仿宋_GB2312"/>
          <w:sz w:val="32"/>
        </w:rPr>
        <w:t>　走私武器、弹药、核材料或者伪造的货币的，处七年以上有期徒刑，并处罚金或者没收财产；情节特别严重的，处无期徒刑，并处没收财产；情节较轻的，处三年以上七年以下有期徒刑，并处罚金。</w:t>
      </w:r>
    </w:p>
    <w:p>
      <w:pPr>
        <w:spacing w:line="240" w:lineRule="auto"/>
        <w:ind w:firstLine="640"/>
        <w:jc w:val="both"/>
      </w:pPr>
      <w:r>
        <w:rPr>
          <w:rFonts w:ascii="仿宋_GB2312" w:hAnsi="仿宋_GB2312" w:eastAsia="仿宋_GB2312" w:cs="仿宋_GB2312"/>
          <w:sz w:val="32"/>
        </w:rPr>
        <w:t>走私国家禁止出口的文物、黄金、白银和其他贵重金属或者国家禁止进出口的珍贵动物及其制品的，处五年以上十年以下有期徒刑，并处罚金；情节特别严重的，处十年以上有期徒刑或者无期徒刑，并处没收财产；情节较轻的，处五年以下有期徒刑，并处罚金。</w:t>
      </w:r>
    </w:p>
    <w:p>
      <w:pPr>
        <w:spacing w:line="240" w:lineRule="auto"/>
        <w:ind w:firstLine="640"/>
        <w:jc w:val="both"/>
      </w:pPr>
      <w:r>
        <w:rPr>
          <w:rFonts w:ascii="仿宋_GB2312" w:hAnsi="仿宋_GB2312" w:eastAsia="仿宋_GB2312" w:cs="仿宋_GB2312"/>
          <w:sz w:val="32"/>
        </w:rPr>
        <w:t>走私珍稀植物及其制品等国家禁止进出口的其他货物、物品的，处五年以下有期徒刑或者拘役，并处或者单处罚金；情节严重的，处五年以上有期徒刑，并处罚金。</w:t>
      </w:r>
    </w:p>
    <w:p>
      <w:pPr>
        <w:spacing w:line="240" w:lineRule="auto"/>
        <w:ind w:firstLine="640"/>
        <w:jc w:val="both"/>
      </w:pPr>
      <w:r>
        <w:rPr>
          <w:rFonts w:ascii="仿宋_GB2312" w:hAnsi="仿宋_GB2312" w:eastAsia="仿宋_GB2312" w:cs="仿宋_GB2312"/>
          <w:sz w:val="32"/>
        </w:rPr>
        <w:t>单位犯本条规定之罪的，对单位判处罚金，并对其直接负责的主管人员和其他直接责任人员，依照本条各款的规定处罚。</w:t>
      </w:r>
    </w:p>
    <w:p>
      <w:pPr>
        <w:spacing w:line="240" w:lineRule="auto"/>
        <w:ind w:firstLine="640"/>
        <w:jc w:val="both"/>
      </w:pPr>
      <w:r>
        <w:rPr>
          <w:rFonts w:ascii="黑体" w:hAnsi="黑体" w:eastAsia="黑体" w:cs="黑体"/>
          <w:sz w:val="32"/>
        </w:rPr>
        <w:t>第一百五十二条</w:t>
      </w:r>
      <w:r>
        <w:rPr>
          <w:rFonts w:ascii="仿宋_GB2312" w:hAnsi="仿宋_GB2312" w:eastAsia="仿宋_GB2312" w:cs="仿宋_GB2312"/>
          <w:sz w:val="32"/>
        </w:rPr>
        <w:t>　以牟利或者传播为目的，走私淫秽的影片、录像带、录音带、图片、书刊或者其他淫秽物品的，处三年以上十年以下有期徒刑，并处罚金；情节严重的，处十年以上有期徒刑或者无期徒刑，并处罚金或者没收财产；情节较轻的，处三年以下有期徒刑、拘役或者管制，并处罚金。</w:t>
      </w:r>
    </w:p>
    <w:p>
      <w:pPr>
        <w:spacing w:line="240" w:lineRule="auto"/>
        <w:ind w:firstLine="640"/>
        <w:jc w:val="both"/>
      </w:pPr>
      <w:r>
        <w:rPr>
          <w:rFonts w:ascii="仿宋_GB2312" w:hAnsi="仿宋_GB2312" w:eastAsia="仿宋_GB2312" w:cs="仿宋_GB2312"/>
          <w:sz w:val="32"/>
        </w:rPr>
        <w:t>逃避海关监管将境外固体废物、液态废物和气态废物运输进境，情节严重的，处五年以下有期徒刑，并处或者单处罚金；情节特别严重的，处五年以上有期徒刑，并处罚金。</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单位犯前两款罪的，对单位判处罚金，并对其直接负责的主管人员和其他直接责任人员，依照前两款的规定处罚。</w:t>
      </w:r>
    </w:p>
    <w:p>
      <w:pPr>
        <w:spacing w:line="240" w:lineRule="auto"/>
        <w:ind w:firstLine="640"/>
        <w:jc w:val="both"/>
      </w:pPr>
      <w:r>
        <w:rPr>
          <w:rFonts w:ascii="黑体" w:hAnsi="黑体" w:eastAsia="黑体" w:cs="黑体"/>
          <w:sz w:val="32"/>
        </w:rPr>
        <w:t>第一百五十三条</w:t>
      </w:r>
      <w:r>
        <w:rPr>
          <w:rFonts w:ascii="仿宋_GB2312" w:hAnsi="仿宋_GB2312" w:eastAsia="仿宋_GB2312" w:cs="仿宋_GB2312"/>
          <w:sz w:val="32"/>
        </w:rPr>
        <w:t>　走私本法第一百五十一条、第一百五十二条、第三百四十七条规定以外的货物、物品的，根据情节轻重，分别依照下列规定处罚：</w:t>
      </w:r>
    </w:p>
    <w:p>
      <w:pPr>
        <w:spacing w:line="240" w:lineRule="auto"/>
        <w:ind w:firstLine="640"/>
        <w:jc w:val="both"/>
      </w:pPr>
      <w:r>
        <w:rPr>
          <w:rFonts w:ascii="仿宋_GB2312" w:hAnsi="仿宋_GB2312" w:eastAsia="仿宋_GB2312" w:cs="仿宋_GB2312"/>
          <w:sz w:val="32"/>
        </w:rPr>
        <w:t>（一）走私货物、物品偷逃应缴税额较大或者一年内曾因走私被给予二次行政处罚后又走私的，处三年以下有期徒刑或者拘役，并处偷逃应缴税额一倍以上五倍以下罚金。</w:t>
      </w:r>
    </w:p>
    <w:p>
      <w:pPr>
        <w:spacing w:line="240" w:lineRule="auto"/>
        <w:ind w:firstLine="640"/>
        <w:jc w:val="both"/>
      </w:pPr>
      <w:r>
        <w:rPr>
          <w:rFonts w:ascii="仿宋_GB2312" w:hAnsi="仿宋_GB2312" w:eastAsia="仿宋_GB2312" w:cs="仿宋_GB2312"/>
          <w:sz w:val="32"/>
        </w:rPr>
        <w:t>（二）走私货物、物品偷逃应缴税额巨大或者有其他严重情节的，处三年以上十年以下有期徒刑，并处偷逃应缴税额一倍以上五倍以下罚金。</w:t>
      </w:r>
    </w:p>
    <w:p>
      <w:pPr>
        <w:spacing w:line="240" w:lineRule="auto"/>
        <w:ind w:firstLine="640"/>
        <w:jc w:val="both"/>
      </w:pPr>
      <w:r>
        <w:rPr>
          <w:rFonts w:ascii="仿宋_GB2312" w:hAnsi="仿宋_GB2312" w:eastAsia="仿宋_GB2312" w:cs="仿宋_GB2312"/>
          <w:sz w:val="32"/>
        </w:rPr>
        <w:t>（三）走私货物、物品偷逃应缴税额特别巨大或者有其他特别严重情节的，处十年以上有期徒刑或者无期徒刑，并处偷逃应缴税额一倍以上五倍以下罚金或者没收财产。</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单位犯前款罪的，对单位判处罚金，并对其直接负责的主管人员和其他直接责任人员，处三年以下有期徒刑或者拘役；情节严重的，处三年以上十年以下有期徒刑；情节特别严重的，处十年以上有期徒刑。</w:t>
      </w:r>
    </w:p>
    <w:p>
      <w:pPr>
        <w:spacing w:line="240" w:lineRule="auto"/>
        <w:ind w:firstLine="640"/>
        <w:jc w:val="both"/>
      </w:pPr>
      <w:r>
        <w:rPr>
          <w:rFonts w:ascii="仿宋_GB2312" w:hAnsi="仿宋_GB2312" w:eastAsia="仿宋_GB2312" w:cs="仿宋_GB2312"/>
          <w:sz w:val="32"/>
        </w:rPr>
        <w:t>对多次走私未经处理的，按照累计走私货物、物品的偷逃应缴税额处罚。</w:t>
      </w:r>
    </w:p>
    <w:p>
      <w:pPr>
        <w:spacing w:line="240" w:lineRule="auto"/>
        <w:ind w:firstLine="640"/>
        <w:jc w:val="both"/>
      </w:pPr>
      <w:r>
        <w:rPr>
          <w:rFonts w:ascii="黑体" w:hAnsi="黑体" w:eastAsia="黑体" w:cs="黑体"/>
          <w:sz w:val="32"/>
        </w:rPr>
        <w:t>第一百五十四条</w:t>
      </w:r>
      <w:r>
        <w:rPr>
          <w:rFonts w:ascii="仿宋_GB2312" w:hAnsi="仿宋_GB2312" w:eastAsia="仿宋_GB2312" w:cs="仿宋_GB2312"/>
          <w:sz w:val="32"/>
        </w:rPr>
        <w:t>　下列走私行为，根据本节规定构成犯罪的，依照本法第一百五十三条的规定定罪处罚：</w:t>
      </w:r>
    </w:p>
    <w:p>
      <w:pPr>
        <w:spacing w:line="240" w:lineRule="auto"/>
        <w:ind w:firstLine="640"/>
        <w:jc w:val="both"/>
      </w:pPr>
      <w:r>
        <w:rPr>
          <w:rFonts w:ascii="仿宋_GB2312" w:hAnsi="仿宋_GB2312" w:eastAsia="仿宋_GB2312" w:cs="仿宋_GB2312"/>
          <w:sz w:val="32"/>
        </w:rPr>
        <w:t>（一）未经海关许可并且未补缴应缴税额，擅自将批准进口的来料加工、来件装配、补偿贸易的原材料、零件、制成品、设备等保税货物，在境内销售牟利的；</w:t>
      </w:r>
    </w:p>
    <w:p>
      <w:pPr>
        <w:spacing w:line="240" w:lineRule="auto"/>
        <w:ind w:firstLine="640"/>
        <w:jc w:val="both"/>
      </w:pPr>
      <w:r>
        <w:rPr>
          <w:rFonts w:ascii="仿宋_GB2312" w:hAnsi="仿宋_GB2312" w:eastAsia="仿宋_GB2312" w:cs="仿宋_GB2312"/>
          <w:sz w:val="32"/>
        </w:rPr>
        <w:t>（二）未经海关许可并且未补缴应缴税额，擅自将特定减税、免税进口的货物、物品，在境内销售牟利的。</w:t>
      </w:r>
    </w:p>
    <w:p>
      <w:pPr>
        <w:spacing w:line="240" w:lineRule="auto"/>
        <w:ind w:firstLine="640"/>
        <w:jc w:val="both"/>
      </w:pPr>
      <w:r>
        <w:rPr>
          <w:rFonts w:ascii="黑体" w:hAnsi="黑体" w:eastAsia="黑体" w:cs="黑体"/>
          <w:sz w:val="32"/>
        </w:rPr>
        <w:t>第一百五十五条</w:t>
      </w:r>
      <w:r>
        <w:rPr>
          <w:rFonts w:ascii="仿宋_GB2312" w:hAnsi="仿宋_GB2312" w:eastAsia="仿宋_GB2312" w:cs="仿宋_GB2312"/>
          <w:sz w:val="32"/>
        </w:rPr>
        <w:t>　下列行为，以走私罪论处，依照本节的有关规定处罚：</w:t>
      </w:r>
    </w:p>
    <w:p>
      <w:pPr>
        <w:spacing w:line="240" w:lineRule="auto"/>
        <w:ind w:firstLine="640"/>
        <w:jc w:val="both"/>
      </w:pPr>
      <w:r>
        <w:rPr>
          <w:rFonts w:ascii="仿宋_GB2312" w:hAnsi="仿宋_GB2312" w:eastAsia="仿宋_GB2312" w:cs="仿宋_GB2312"/>
          <w:sz w:val="32"/>
        </w:rPr>
        <w:t>（一）直接向走私人非法收购国家禁止进口物品的，或者直接向走私人非法收购走私进口的其他货物、物品，数额较大的；</w:t>
      </w:r>
    </w:p>
    <w:p>
      <w:pPr>
        <w:spacing w:line="240" w:lineRule="auto"/>
        <w:ind w:firstLine="640"/>
        <w:jc w:val="both"/>
      </w:pPr>
      <w:r>
        <w:rPr>
          <w:rFonts w:ascii="仿宋_GB2312" w:hAnsi="仿宋_GB2312" w:eastAsia="仿宋_GB2312" w:cs="仿宋_GB2312"/>
          <w:sz w:val="32"/>
        </w:rPr>
        <w:t>（二）在内海、领海、界河、界湖运输、收购、贩卖国家禁止进出口物品的，或者运输、收购、贩卖国家限制进出口货物、物品，数额较大，没有合法证明的。</w:t>
      </w:r>
    </w:p>
    <w:p>
      <w:pPr>
        <w:spacing w:line="240" w:lineRule="auto"/>
        <w:ind w:firstLine="640"/>
        <w:jc w:val="both"/>
      </w:pPr>
      <w:r>
        <w:rPr>
          <w:rFonts w:ascii="黑体" w:hAnsi="黑体" w:eastAsia="黑体" w:cs="黑体"/>
          <w:sz w:val="32"/>
        </w:rPr>
        <w:t>第一百五十六条</w:t>
      </w:r>
      <w:r>
        <w:rPr>
          <w:rFonts w:ascii="仿宋_GB2312" w:hAnsi="仿宋_GB2312" w:eastAsia="仿宋_GB2312" w:cs="仿宋_GB2312"/>
          <w:sz w:val="32"/>
        </w:rPr>
        <w:t>　与走私罪犯通谋，为其提供贷款、资金、</w:t>
      </w:r>
      <w:r>
        <w:rPr>
          <w:rFonts w:hint="eastAsia" w:ascii="仿宋_GB2312" w:hAnsi="仿宋_GB2312" w:cs="仿宋_GB2312"/>
          <w:sz w:val="32"/>
          <w:lang w:eastAsia="zh-CN"/>
        </w:rPr>
        <w:t>账</w:t>
      </w:r>
      <w:r>
        <w:rPr>
          <w:rFonts w:ascii="仿宋_GB2312" w:hAnsi="仿宋_GB2312" w:eastAsia="仿宋_GB2312" w:cs="仿宋_GB2312"/>
          <w:sz w:val="32"/>
        </w:rPr>
        <w:t>号、发票、证明，或者为其提供运输、保管、邮寄或者其他方便的，以走私罪的共犯论处。</w:t>
      </w:r>
    </w:p>
    <w:p>
      <w:pPr>
        <w:spacing w:line="240" w:lineRule="auto"/>
        <w:ind w:firstLine="640"/>
        <w:jc w:val="both"/>
      </w:pPr>
      <w:r>
        <w:rPr>
          <w:rFonts w:ascii="黑体" w:hAnsi="黑体" w:eastAsia="黑体" w:cs="黑体"/>
          <w:sz w:val="32"/>
        </w:rPr>
        <w:t>第一百五十七条</w:t>
      </w:r>
      <w:r>
        <w:rPr>
          <w:rFonts w:ascii="仿宋_GB2312" w:hAnsi="仿宋_GB2312" w:eastAsia="仿宋_GB2312" w:cs="仿宋_GB2312"/>
          <w:sz w:val="32"/>
        </w:rPr>
        <w:t>　武装掩护走私的，依照本法第一百五十一条第一款的规定从重处罚。</w:t>
      </w:r>
    </w:p>
    <w:p>
      <w:pPr>
        <w:spacing w:line="240" w:lineRule="auto"/>
        <w:ind w:firstLine="640"/>
        <w:jc w:val="both"/>
      </w:pPr>
      <w:r>
        <w:rPr>
          <w:rFonts w:ascii="仿宋_GB2312" w:hAnsi="仿宋_GB2312" w:eastAsia="仿宋_GB2312" w:cs="仿宋_GB2312"/>
          <w:sz w:val="32"/>
        </w:rPr>
        <w:t>以暴力、威胁方法抗拒缉私的，以走私罪和本法第二百七十七条规定的阻碍国家机关工作人员依法执行职务罪，依照数罪并罚的规定处罚。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妨害对公司、企业的管理秩序罪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第一百五十八条</w:t>
      </w:r>
      <w:r>
        <w:rPr>
          <w:rFonts w:ascii="仿宋_GB2312" w:hAnsi="仿宋_GB2312" w:eastAsia="仿宋_GB2312" w:cs="仿宋_GB2312"/>
          <w:sz w:val="32"/>
        </w:rPr>
        <w:t>　申请公司登记使用虚假证明文件或者采取其他欺诈手段虚报注册资本，欺骗公司登记主管部门，取得公司登记，虚报注册资本数额巨大、后果严重或者有其他严重情节的，处三年以下有期徒刑或者拘役，并处或者单处虚报注册资本金额百分之一以上百分之五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单位犯前款罪的，对单位判处罚金，并对其直接负责的主管人员和其他直接责任人员，处三年以下有期徒刑或者拘役。</w:t>
      </w:r>
    </w:p>
    <w:p>
      <w:pPr>
        <w:spacing w:line="240" w:lineRule="auto"/>
        <w:ind w:firstLine="640"/>
        <w:jc w:val="both"/>
      </w:pPr>
      <w:r>
        <w:rPr>
          <w:rFonts w:ascii="黑体" w:hAnsi="黑体" w:eastAsia="黑体" w:cs="黑体"/>
          <w:sz w:val="32"/>
        </w:rPr>
        <w:t>第一百五十九条</w:t>
      </w:r>
      <w:r>
        <w:rPr>
          <w:rFonts w:ascii="仿宋_GB2312" w:hAnsi="仿宋_GB2312" w:eastAsia="仿宋_GB2312" w:cs="仿宋_GB2312"/>
          <w:sz w:val="32"/>
        </w:rPr>
        <w:t>　公司发起人、股东违反公司法的规定未交付货币、实物或者未转移财产权，虚假出资，或者在公司成立后又抽逃其出资，数额巨大、后果严重或者有其他严重情节的，处五年以下有期徒刑或者拘役，并处或者单处虚假出资金额或者抽逃出资金额百分之二以上百分之十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单位犯前款罪的，对单位判处罚金，并对其直接负责的主管人员和其他直接责任人员，处五年以下有期徒刑或者拘役。</w:t>
      </w:r>
    </w:p>
    <w:p>
      <w:pPr>
        <w:spacing w:line="240" w:lineRule="auto"/>
        <w:ind w:firstLine="640"/>
        <w:jc w:val="both"/>
      </w:pPr>
      <w:r>
        <w:rPr>
          <w:rFonts w:ascii="黑体" w:hAnsi="黑体" w:eastAsia="黑体" w:cs="黑体"/>
          <w:sz w:val="32"/>
        </w:rPr>
        <w:t>第一百六十条</w:t>
      </w:r>
      <w:r>
        <w:rPr>
          <w:rFonts w:ascii="仿宋_GB2312" w:hAnsi="仿宋_GB2312" w:eastAsia="仿宋_GB2312" w:cs="仿宋_GB2312"/>
          <w:sz w:val="32"/>
        </w:rPr>
        <w:t>　在招股说明书、认股书、公司、企业债券募集办法等发行文件中隐瞒重要事实或者编造重大虚假内容，发行股票或者公司、企业债券、存托凭证或者国务院依法认定的其他证券，数额巨大、后果严重或者有其他严重情节的，处五年以下有期徒刑或者拘役，并处或者单处罚金；数额特别巨大、后果特别严重或者有其他特别严重情节的，处五年以上有期徒刑，并处罚金。</w:t>
      </w:r>
    </w:p>
    <w:p>
      <w:pPr>
        <w:spacing w:line="240" w:lineRule="auto"/>
        <w:ind w:firstLine="640"/>
        <w:jc w:val="both"/>
      </w:pPr>
      <w:r>
        <w:rPr>
          <w:rFonts w:ascii="仿宋_GB2312" w:hAnsi="仿宋_GB2312" w:eastAsia="仿宋_GB2312" w:cs="仿宋_GB2312"/>
          <w:sz w:val="32"/>
        </w:rPr>
        <w:t>控股股东、实际控制人组织、指使实施前款行为的，处五年以下有期徒刑或者拘役，并处或者单处非法募集资金金额百分之二十以上一倍以下罚金；数额特别巨大、后果特别严重或者有其他特别严重情节的，处五年以上有期徒刑，并处非法募集资金金额百分之二十以上一倍以下罚金。</w:t>
      </w:r>
    </w:p>
    <w:p>
      <w:pPr>
        <w:spacing w:line="240" w:lineRule="auto"/>
        <w:ind w:firstLine="640"/>
        <w:jc w:val="both"/>
      </w:pPr>
      <w:r>
        <w:rPr>
          <w:rFonts w:ascii="仿宋_GB2312" w:hAnsi="仿宋_GB2312" w:eastAsia="仿宋_GB2312" w:cs="仿宋_GB2312"/>
          <w:sz w:val="32"/>
        </w:rPr>
        <w:t>单位犯前两款罪的，对单位判处非法募集资金金额百分之二十以上一倍以下罚金，并对其直接负责的主管人员和其他直接责任人员，依照第一款的规定处罚。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第一百六十一条</w:t>
      </w:r>
      <w:r>
        <w:rPr>
          <w:rFonts w:ascii="仿宋_GB2312" w:hAnsi="仿宋_GB2312" w:eastAsia="仿宋_GB2312" w:cs="仿宋_GB2312"/>
          <w:sz w:val="32"/>
        </w:rPr>
        <w:t>　依法负有信息披露义务的公司、企业向股东和社会公众提供虚假的或者隐瞒重要事实的财务会计报告，或者对依法应当披露的其他重要信息不按照规定披露，严重损害股东或者其他人利益，或者有其他严重情节的，对其直接负责的主管人员和其他直接责任人员，处五年以下有期徒刑或者拘役，并处或者单处罚金；情节特别严重的，处五年以上十年以下有期徒刑，并处罚金。</w:t>
      </w:r>
    </w:p>
    <w:p>
      <w:pPr>
        <w:spacing w:line="240" w:lineRule="auto"/>
        <w:ind w:firstLine="640"/>
        <w:jc w:val="both"/>
      </w:pPr>
      <w:r>
        <w:rPr>
          <w:rFonts w:ascii="仿宋_GB2312" w:hAnsi="仿宋_GB2312" w:eastAsia="仿宋_GB2312" w:cs="仿宋_GB2312"/>
          <w:sz w:val="32"/>
        </w:rPr>
        <w:t>前款规定的公司、企业的控股股东、实际控制人实施或者组织、指使实施前款行为的，或者隐瞒相关事项导致前款规定的情形发生的，依照前款的规定处罚。</w:t>
      </w:r>
    </w:p>
    <w:p>
      <w:pPr>
        <w:spacing w:line="240" w:lineRule="auto"/>
        <w:ind w:firstLine="640"/>
        <w:jc w:val="both"/>
      </w:pPr>
      <w:r>
        <w:rPr>
          <w:rFonts w:ascii="仿宋_GB2312" w:hAnsi="仿宋_GB2312" w:eastAsia="仿宋_GB2312" w:cs="仿宋_GB2312"/>
          <w:sz w:val="32"/>
        </w:rPr>
        <w:t>犯前款罪的控股股东、实际控制人是单位的，对单位判处罚金，并对其直接负责的主管人员和其他直接责任人员，依照第一款的规定处罚。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第一百六十二条</w:t>
      </w:r>
      <w:r>
        <w:rPr>
          <w:rFonts w:ascii="仿宋_GB2312" w:hAnsi="仿宋_GB2312" w:eastAsia="仿宋_GB2312" w:cs="仿宋_GB2312"/>
          <w:sz w:val="32"/>
        </w:rPr>
        <w:t>　公司、企业进行清算时，隐匿财产，对资产负债表或者财产清单作虚伪记载或者在未清偿债务前分配公司、企业财产，严重损害债权人或者其他人利益的，对其直接负责的主管人员和其他直接责任人员，处五年以下有期徒刑或者拘役，并处或者单处二万元以上二十万元以下罚金。</w:t>
      </w:r>
    </w:p>
    <w:p>
      <w:pPr>
        <w:spacing w:line="240" w:lineRule="auto"/>
        <w:ind w:firstLine="640"/>
        <w:jc w:val="both"/>
      </w:pPr>
      <w:r>
        <w:rPr>
          <w:rFonts w:ascii="黑体" w:hAnsi="黑体" w:eastAsia="黑体" w:cs="黑体"/>
          <w:sz w:val="32"/>
        </w:rPr>
        <w:t>第一百六十二</w:t>
      </w:r>
      <w:r>
        <w:rPr>
          <w:rFonts w:hint="eastAsia" w:ascii="黑体" w:hAnsi="黑体" w:eastAsia="黑体" w:cs="黑体"/>
          <w:sz w:val="32"/>
          <w:lang w:eastAsia="zh-CN"/>
        </w:rPr>
        <w:t>条之一　</w:t>
      </w:r>
      <w:r>
        <w:rPr>
          <w:rFonts w:ascii="仿宋_GB2312" w:hAnsi="仿宋_GB2312" w:eastAsia="仿宋_GB2312" w:cs="仿宋_GB2312"/>
          <w:sz w:val="32"/>
        </w:rPr>
        <w:t>隐匿或者故意销毁依法应当保存的会计凭证、会计帐簿、财务会计报告，情节严重的，处五年以下有期徒刑或者拘役，并处或者单处二万元以上二十万元以下罚金。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第一百六十二</w:t>
      </w:r>
      <w:r>
        <w:rPr>
          <w:rFonts w:hint="eastAsia" w:ascii="黑体" w:hAnsi="黑体" w:eastAsia="黑体" w:cs="黑体"/>
          <w:sz w:val="32"/>
          <w:lang w:eastAsia="zh-CN"/>
        </w:rPr>
        <w:t>条之二　</w:t>
      </w:r>
      <w:r>
        <w:rPr>
          <w:rFonts w:ascii="仿宋_GB2312" w:hAnsi="仿宋_GB2312" w:eastAsia="仿宋_GB2312" w:cs="仿宋_GB2312"/>
          <w:sz w:val="32"/>
        </w:rPr>
        <w:t>公司、企业通过隐匿财产、承担虚构的债务或者以其他方法转移、处分财产，实施虚假破产，严重损害债权人或者其他人利益的，对其直接负责的主管人员和其他直接责任人员，处五年以下有期徒刑或者拘役，并处或者单处二万元以上二十万元以下罚金。</w:t>
      </w:r>
    </w:p>
    <w:p>
      <w:pPr>
        <w:spacing w:line="240" w:lineRule="auto"/>
        <w:ind w:firstLine="640"/>
        <w:jc w:val="both"/>
      </w:pPr>
      <w:r>
        <w:rPr>
          <w:rFonts w:ascii="黑体" w:hAnsi="黑体" w:eastAsia="黑体" w:cs="黑体"/>
          <w:sz w:val="32"/>
        </w:rPr>
        <w:t>第一百六十三条</w:t>
      </w:r>
      <w:r>
        <w:rPr>
          <w:rFonts w:ascii="仿宋_GB2312" w:hAnsi="仿宋_GB2312" w:eastAsia="仿宋_GB2312" w:cs="仿宋_GB2312"/>
          <w:sz w:val="32"/>
        </w:rPr>
        <w:t>　公司、企业或者其他单位的工作人员，利用职务上的便利，索取他人财物或者非法收受他人财物，为他人谋取利益，数额较大的，处三年以下有期徒刑或者拘役，并处罚金；数额巨大或者有其他严重情节的，处三年以上十年以下有期徒刑，并处罚金；数额特别巨大或者有其他特别严重情节的，处十年以上有期徒刑或者无期徒刑，并处罚金。</w:t>
      </w:r>
    </w:p>
    <w:p>
      <w:pPr>
        <w:spacing w:line="240" w:lineRule="auto"/>
        <w:ind w:firstLine="640"/>
        <w:jc w:val="both"/>
      </w:pPr>
      <w:r>
        <w:rPr>
          <w:rFonts w:ascii="仿宋_GB2312" w:hAnsi="仿宋_GB2312" w:eastAsia="仿宋_GB2312" w:cs="仿宋_GB2312"/>
          <w:sz w:val="32"/>
        </w:rPr>
        <w:t>公司、企业或者其他单位的工作人员在经济往来中，利用职务上的便利，违反国家规定，收受各种名义的回扣、手续费，归个人所有的，依照前款的规定处罚。</w:t>
      </w:r>
    </w:p>
    <w:p>
      <w:pPr>
        <w:spacing w:line="240" w:lineRule="auto"/>
        <w:ind w:firstLine="640"/>
        <w:jc w:val="both"/>
      </w:pPr>
      <w:r>
        <w:rPr>
          <w:rFonts w:ascii="仿宋_GB2312" w:hAnsi="仿宋_GB2312" w:eastAsia="仿宋_GB2312" w:cs="仿宋_GB2312"/>
          <w:sz w:val="32"/>
        </w:rPr>
        <w:t>国有公司、企业或者其他国有单位中从事公务的人员和国有公司、企业或者其他国有单位委派到非国有公司、企业以及其他单位从事公务的人员有前两款行为的，依照本法第三百八十五条、第三百八十六条的规定定罪处罚。</w:t>
      </w:r>
    </w:p>
    <w:p>
      <w:pPr>
        <w:spacing w:line="240" w:lineRule="auto"/>
        <w:ind w:firstLine="640"/>
        <w:jc w:val="both"/>
      </w:pPr>
      <w:r>
        <w:rPr>
          <w:rFonts w:ascii="黑体" w:hAnsi="黑体" w:eastAsia="黑体" w:cs="黑体"/>
          <w:sz w:val="32"/>
        </w:rPr>
        <w:t>第一百六十四条</w:t>
      </w:r>
      <w:r>
        <w:rPr>
          <w:rFonts w:ascii="仿宋_GB2312" w:hAnsi="仿宋_GB2312" w:eastAsia="仿宋_GB2312" w:cs="仿宋_GB2312"/>
          <w:sz w:val="32"/>
        </w:rPr>
        <w:t>　为谋取不正当利益，给予公司、企业或者其他单位的工作人员以财物，数额较大的，处三年以下有期徒刑或者拘役，并处罚金；数额巨大的，处三年以上十年以下有期徒刑，并处罚金。</w:t>
      </w:r>
    </w:p>
    <w:p>
      <w:pPr>
        <w:spacing w:line="240" w:lineRule="auto"/>
        <w:ind w:firstLine="640"/>
        <w:jc w:val="both"/>
      </w:pPr>
      <w:r>
        <w:rPr>
          <w:rFonts w:ascii="仿宋_GB2312" w:hAnsi="仿宋_GB2312" w:eastAsia="仿宋_GB2312" w:cs="仿宋_GB2312"/>
          <w:sz w:val="32"/>
        </w:rPr>
        <w:t>为谋取不正当商业利益，给予外国公职人员或者国际公共组织官员以财物的，依照前款的规定处罚。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仿宋_GB2312" w:hAnsi="仿宋_GB2312" w:eastAsia="仿宋_GB2312" w:cs="仿宋_GB2312"/>
          <w:sz w:val="32"/>
        </w:rPr>
        <w:t>行贿人在被追诉前主动交待行贿行为的，可以减轻处罚或者免除处罚。</w:t>
      </w:r>
    </w:p>
    <w:p>
      <w:pPr>
        <w:spacing w:line="240" w:lineRule="auto"/>
        <w:ind w:firstLine="640"/>
        <w:jc w:val="both"/>
      </w:pPr>
      <w:r>
        <w:rPr>
          <w:rFonts w:ascii="黑体" w:hAnsi="黑体" w:eastAsia="黑体" w:cs="黑体"/>
          <w:sz w:val="32"/>
        </w:rPr>
        <w:t>第一百六十五条</w:t>
      </w:r>
      <w:r>
        <w:rPr>
          <w:rFonts w:ascii="仿宋_GB2312" w:hAnsi="仿宋_GB2312" w:eastAsia="仿宋_GB2312" w:cs="仿宋_GB2312"/>
          <w:sz w:val="32"/>
        </w:rPr>
        <w:t>　国有公司、企业的董事、经理利用职务便利，自己经营或者为他人经营与其所任职公司、企业同类的营业，获取非法利益，数额巨大的，处三年以下有期徒刑或者拘役，并处或者单处罚金；数额特别巨大的，处三年以上七年以下有期徒刑，并处罚金。</w:t>
      </w:r>
    </w:p>
    <w:p>
      <w:pPr>
        <w:spacing w:line="240" w:lineRule="auto"/>
        <w:ind w:firstLine="640"/>
        <w:jc w:val="both"/>
      </w:pPr>
      <w:r>
        <w:rPr>
          <w:rFonts w:ascii="黑体" w:hAnsi="黑体" w:eastAsia="黑体" w:cs="黑体"/>
          <w:sz w:val="32"/>
        </w:rPr>
        <w:t>第一百六十六条</w:t>
      </w:r>
      <w:r>
        <w:rPr>
          <w:rFonts w:ascii="仿宋_GB2312" w:hAnsi="仿宋_GB2312" w:eastAsia="仿宋_GB2312" w:cs="仿宋_GB2312"/>
          <w:sz w:val="32"/>
        </w:rPr>
        <w:t>　国有公司、企业、事业单位的工作人员，利用职务便利，有下列情形之一，使国家利益遭受重大损失的，处三年以下有期徒刑或者拘役，并处或者单处罚金；致使国家利益遭受特别重大损失的，处三年以上七年以下有期徒刑，并处罚金：</w:t>
      </w:r>
    </w:p>
    <w:p>
      <w:pPr>
        <w:spacing w:line="240" w:lineRule="auto"/>
        <w:ind w:firstLine="640"/>
        <w:jc w:val="both"/>
      </w:pPr>
      <w:r>
        <w:rPr>
          <w:rFonts w:ascii="仿宋_GB2312" w:hAnsi="仿宋_GB2312" w:eastAsia="仿宋_GB2312" w:cs="仿宋_GB2312"/>
          <w:sz w:val="32"/>
        </w:rPr>
        <w:t>（一）将本单位的盈利业务交由自己的亲友进行经营的；</w:t>
      </w:r>
    </w:p>
    <w:p>
      <w:pPr>
        <w:spacing w:line="240" w:lineRule="auto"/>
        <w:ind w:firstLine="640"/>
        <w:jc w:val="both"/>
      </w:pPr>
      <w:r>
        <w:rPr>
          <w:rFonts w:ascii="仿宋_GB2312" w:hAnsi="仿宋_GB2312" w:eastAsia="仿宋_GB2312" w:cs="仿宋_GB2312"/>
          <w:sz w:val="32"/>
        </w:rPr>
        <w:t>（二）以明显高于市场的价格向自己的亲友经营管理的单位采购商品或者以明显低于市场的价格向自己的亲友经营管理的单位销售商品的；</w:t>
      </w:r>
    </w:p>
    <w:p>
      <w:pPr>
        <w:spacing w:line="240" w:lineRule="auto"/>
        <w:ind w:firstLine="640"/>
        <w:jc w:val="both"/>
      </w:pPr>
      <w:r>
        <w:rPr>
          <w:rFonts w:ascii="仿宋_GB2312" w:hAnsi="仿宋_GB2312" w:eastAsia="仿宋_GB2312" w:cs="仿宋_GB2312"/>
          <w:sz w:val="32"/>
        </w:rPr>
        <w:t>（三）向自己的亲友经营管理的单位采购不合格商品的。</w:t>
      </w:r>
    </w:p>
    <w:p>
      <w:pPr>
        <w:spacing w:line="240" w:lineRule="auto"/>
        <w:ind w:firstLine="640"/>
        <w:jc w:val="both"/>
      </w:pPr>
      <w:r>
        <w:rPr>
          <w:rFonts w:ascii="黑体" w:hAnsi="黑体" w:eastAsia="黑体" w:cs="黑体"/>
          <w:sz w:val="32"/>
        </w:rPr>
        <w:t>第一百六十七条</w:t>
      </w:r>
      <w:r>
        <w:rPr>
          <w:rFonts w:ascii="仿宋_GB2312" w:hAnsi="仿宋_GB2312" w:eastAsia="仿宋_GB2312" w:cs="仿宋_GB2312"/>
          <w:sz w:val="32"/>
        </w:rPr>
        <w:t>　国有公司、企业、事业单位直接负责的主管人员，在签订、履行合同过程中，因严重不负责任被诈骗，致使国家利益遭受重大损失的，处三年以下有期徒刑或者拘役；致使国家利益遭受特别重大损失的，处三年以上七年以下有期徒刑。</w:t>
      </w:r>
    </w:p>
    <w:p>
      <w:pPr>
        <w:spacing w:line="240" w:lineRule="auto"/>
        <w:ind w:firstLine="640"/>
        <w:jc w:val="both"/>
      </w:pPr>
      <w:r>
        <w:rPr>
          <w:rFonts w:ascii="黑体" w:hAnsi="黑体" w:eastAsia="黑体" w:cs="黑体"/>
          <w:sz w:val="32"/>
        </w:rPr>
        <w:t>第一百六十八条</w:t>
      </w:r>
      <w:r>
        <w:rPr>
          <w:rFonts w:ascii="仿宋_GB2312" w:hAnsi="仿宋_GB2312" w:eastAsia="仿宋_GB2312" w:cs="仿宋_GB2312"/>
          <w:sz w:val="32"/>
        </w:rPr>
        <w:t>　 国有公司、企业的工作人员，由于严重不负责任或者滥用职权，造成国有公司、企业破产或者严重损失，致使国家利益遭受重大损失的，处三年以下有期徒刑或者拘役；致使国家利益遭受特别重大损失的，处三年以上七年以下有期徒刑。</w:t>
      </w:r>
    </w:p>
    <w:p>
      <w:pPr>
        <w:spacing w:line="240" w:lineRule="auto"/>
        <w:ind w:firstLine="640"/>
        <w:jc w:val="both"/>
      </w:pPr>
      <w:r>
        <w:rPr>
          <w:rFonts w:ascii="仿宋_GB2312" w:hAnsi="仿宋_GB2312" w:eastAsia="仿宋_GB2312" w:cs="仿宋_GB2312"/>
          <w:sz w:val="32"/>
        </w:rPr>
        <w:t>国有事业单位的工作人员有前款行为，致使国家利益遭受重大损失的，依照前款的规定处罚。</w:t>
      </w:r>
    </w:p>
    <w:p>
      <w:pPr>
        <w:spacing w:line="240" w:lineRule="auto"/>
        <w:ind w:firstLine="640"/>
        <w:jc w:val="both"/>
      </w:pPr>
      <w:r>
        <w:rPr>
          <w:rFonts w:ascii="仿宋_GB2312" w:hAnsi="仿宋_GB2312" w:eastAsia="仿宋_GB2312" w:cs="仿宋_GB2312"/>
          <w:sz w:val="32"/>
        </w:rPr>
        <w:t>国有公司、企业、事业单位的工作人员，徇私舞弊，犯前两款罪的，依照第一款的规定从重处罚。</w:t>
      </w:r>
    </w:p>
    <w:p>
      <w:pPr>
        <w:spacing w:line="240" w:lineRule="auto"/>
        <w:ind w:firstLine="640"/>
        <w:jc w:val="both"/>
      </w:pPr>
      <w:r>
        <w:rPr>
          <w:rFonts w:ascii="黑体" w:hAnsi="黑体" w:eastAsia="黑体" w:cs="黑体"/>
          <w:sz w:val="32"/>
        </w:rPr>
        <w:t>第一百六十九条</w:t>
      </w:r>
      <w:r>
        <w:rPr>
          <w:rFonts w:ascii="仿宋_GB2312" w:hAnsi="仿宋_GB2312" w:eastAsia="仿宋_GB2312" w:cs="仿宋_GB2312"/>
          <w:sz w:val="32"/>
        </w:rPr>
        <w:t>　国有公司、企业或者其上级主管部门直接负责的主管人员，徇私舞弊，将国有资产低价折股或者低价出售，致使国家利益遭受重大损失的，处三年以下有期徒刑或者拘役；致使国家利益遭受特别重大损失的，处三年以上七年以下有期徒刑。</w:t>
      </w:r>
    </w:p>
    <w:p>
      <w:pPr>
        <w:spacing w:line="240" w:lineRule="auto"/>
        <w:ind w:firstLine="640"/>
        <w:jc w:val="both"/>
      </w:pPr>
      <w:r>
        <w:rPr>
          <w:rFonts w:ascii="黑体" w:hAnsi="黑体" w:eastAsia="黑体" w:cs="黑体"/>
          <w:sz w:val="32"/>
        </w:rPr>
        <w:t>第一百六十九</w:t>
      </w:r>
      <w:r>
        <w:rPr>
          <w:rFonts w:hint="eastAsia" w:ascii="黑体" w:hAnsi="黑体" w:eastAsia="黑体" w:cs="黑体"/>
          <w:sz w:val="32"/>
          <w:lang w:eastAsia="zh-CN"/>
        </w:rPr>
        <w:t>条之一　</w:t>
      </w:r>
      <w:r>
        <w:rPr>
          <w:rFonts w:ascii="仿宋_GB2312" w:hAnsi="仿宋_GB2312" w:eastAsia="仿宋_GB2312" w:cs="仿宋_GB2312"/>
          <w:sz w:val="32"/>
        </w:rPr>
        <w:t>上市公司的董事、监事、高级管理人员违背对公司的忠实义务，利用职务便利，操纵上市公司从事下列行为之一，致使上市公司利益遭受重大损失的，处三年以下有期徒刑或者拘役，并处或者单处罚金；致使上市公司利益遭受特别重大损失的，处三年以上七年以下有期徒刑，并处罚金：</w:t>
      </w:r>
    </w:p>
    <w:p>
      <w:pPr>
        <w:spacing w:line="240" w:lineRule="auto"/>
        <w:ind w:firstLine="640"/>
        <w:jc w:val="both"/>
      </w:pPr>
      <w:r>
        <w:rPr>
          <w:rFonts w:ascii="仿宋_GB2312" w:hAnsi="仿宋_GB2312" w:eastAsia="仿宋_GB2312" w:cs="仿宋_GB2312"/>
          <w:sz w:val="32"/>
        </w:rPr>
        <w:t>（一）无偿向其他单位或者个人提供资金、商品、服务或者其他资产的；</w:t>
      </w:r>
    </w:p>
    <w:p>
      <w:pPr>
        <w:spacing w:line="240" w:lineRule="auto"/>
        <w:ind w:firstLine="640"/>
        <w:jc w:val="both"/>
      </w:pPr>
      <w:r>
        <w:rPr>
          <w:rFonts w:ascii="仿宋_GB2312" w:hAnsi="仿宋_GB2312" w:eastAsia="仿宋_GB2312" w:cs="仿宋_GB2312"/>
          <w:sz w:val="32"/>
        </w:rPr>
        <w:t>（二）以明显不公平的条件，提供或者接受资金、商品、服务或者其他资产的；</w:t>
      </w:r>
    </w:p>
    <w:p>
      <w:pPr>
        <w:spacing w:line="240" w:lineRule="auto"/>
        <w:ind w:firstLine="640"/>
        <w:jc w:val="both"/>
      </w:pPr>
      <w:r>
        <w:rPr>
          <w:rFonts w:ascii="仿宋_GB2312" w:hAnsi="仿宋_GB2312" w:eastAsia="仿宋_GB2312" w:cs="仿宋_GB2312"/>
          <w:sz w:val="32"/>
        </w:rPr>
        <w:t>（三）向明显不具有清偿能力的单位或者个人提供资金、商品、服务或者其他资产的；</w:t>
      </w:r>
    </w:p>
    <w:p>
      <w:pPr>
        <w:spacing w:line="240" w:lineRule="auto"/>
        <w:ind w:firstLine="640"/>
        <w:jc w:val="both"/>
      </w:pPr>
      <w:r>
        <w:rPr>
          <w:rFonts w:ascii="仿宋_GB2312" w:hAnsi="仿宋_GB2312" w:eastAsia="仿宋_GB2312" w:cs="仿宋_GB2312"/>
          <w:sz w:val="32"/>
        </w:rPr>
        <w:t>（四）为明显不具有清偿能力的单位或者个人提供担保，或者无正当理由为其他单位或者个人提供担保的；</w:t>
      </w:r>
    </w:p>
    <w:p>
      <w:pPr>
        <w:spacing w:line="240" w:lineRule="auto"/>
        <w:ind w:firstLine="640"/>
        <w:jc w:val="both"/>
      </w:pPr>
      <w:r>
        <w:rPr>
          <w:rFonts w:ascii="仿宋_GB2312" w:hAnsi="仿宋_GB2312" w:eastAsia="仿宋_GB2312" w:cs="仿宋_GB2312"/>
          <w:sz w:val="32"/>
        </w:rPr>
        <w:t>（五）无正当理由放弃债权、承担债务的；</w:t>
      </w:r>
    </w:p>
    <w:p>
      <w:pPr>
        <w:spacing w:line="240" w:lineRule="auto"/>
        <w:ind w:firstLine="640"/>
        <w:jc w:val="both"/>
      </w:pPr>
      <w:r>
        <w:rPr>
          <w:rFonts w:ascii="仿宋_GB2312" w:hAnsi="仿宋_GB2312" w:eastAsia="仿宋_GB2312" w:cs="仿宋_GB2312"/>
          <w:sz w:val="32"/>
        </w:rPr>
        <w:t>（六）采用其他方式损害上市公司利益的。</w:t>
      </w:r>
    </w:p>
    <w:p>
      <w:pPr>
        <w:spacing w:line="240" w:lineRule="auto"/>
        <w:ind w:firstLine="640"/>
        <w:jc w:val="both"/>
      </w:pPr>
      <w:r>
        <w:rPr>
          <w:rFonts w:ascii="仿宋_GB2312" w:hAnsi="仿宋_GB2312" w:eastAsia="仿宋_GB2312" w:cs="仿宋_GB2312"/>
          <w:sz w:val="32"/>
        </w:rPr>
        <w:t>上市公司的控股股东或者实际控制人，指使上市公司董事、监事、高级管理人员实施前款行为的，依照前款的规定处罚。</w:t>
      </w:r>
    </w:p>
    <w:p>
      <w:pPr>
        <w:spacing w:line="240" w:lineRule="auto"/>
        <w:ind w:firstLine="640"/>
        <w:jc w:val="both"/>
      </w:pPr>
      <w:r>
        <w:rPr>
          <w:rFonts w:ascii="仿宋_GB2312" w:hAnsi="仿宋_GB2312" w:eastAsia="仿宋_GB2312" w:cs="仿宋_GB2312"/>
          <w:sz w:val="32"/>
        </w:rPr>
        <w:t>犯前款罪的上市公司的控股股东或者实际控制人是单位的，对单位判处罚金，并对其直接负责的主管人员和其他直接责任人员，依照第一款的规定处罚。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破坏金融管理秩序罪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第一百七十条</w:t>
      </w:r>
      <w:r>
        <w:rPr>
          <w:rFonts w:ascii="仿宋_GB2312" w:hAnsi="仿宋_GB2312" w:eastAsia="仿宋_GB2312" w:cs="仿宋_GB2312"/>
          <w:sz w:val="32"/>
        </w:rPr>
        <w:t>　伪造货币的，处三年以上十年以下有期徒刑，并处罚金；有下列情形之一的，处十年以上有期徒刑或者无期徒刑，并处罚金或者没收财产：</w:t>
      </w:r>
    </w:p>
    <w:p>
      <w:pPr>
        <w:spacing w:line="240" w:lineRule="auto"/>
        <w:ind w:firstLine="640"/>
        <w:jc w:val="both"/>
      </w:pPr>
      <w:r>
        <w:rPr>
          <w:rFonts w:ascii="仿宋_GB2312" w:hAnsi="仿宋_GB2312" w:eastAsia="仿宋_GB2312" w:cs="仿宋_GB2312"/>
          <w:sz w:val="32"/>
        </w:rPr>
        <w:t>（一）伪造货币集团的首要分子；</w:t>
      </w:r>
    </w:p>
    <w:p>
      <w:pPr>
        <w:spacing w:line="240" w:lineRule="auto"/>
        <w:ind w:firstLine="640"/>
        <w:jc w:val="both"/>
      </w:pPr>
      <w:r>
        <w:rPr>
          <w:rFonts w:ascii="仿宋_GB2312" w:hAnsi="仿宋_GB2312" w:eastAsia="仿宋_GB2312" w:cs="仿宋_GB2312"/>
          <w:sz w:val="32"/>
        </w:rPr>
        <w:t>（二）伪造货币数额特别巨大的；</w:t>
      </w:r>
    </w:p>
    <w:p>
      <w:pPr>
        <w:spacing w:line="240" w:lineRule="auto"/>
        <w:ind w:firstLine="640"/>
        <w:jc w:val="both"/>
      </w:pPr>
      <w:r>
        <w:rPr>
          <w:rFonts w:ascii="仿宋_GB2312" w:hAnsi="仿宋_GB2312" w:eastAsia="仿宋_GB2312" w:cs="仿宋_GB2312"/>
          <w:sz w:val="32"/>
        </w:rPr>
        <w:t>（三）有其他特别严重情节的。</w:t>
      </w:r>
    </w:p>
    <w:p>
      <w:pPr>
        <w:spacing w:line="240" w:lineRule="auto"/>
        <w:ind w:firstLine="640"/>
        <w:jc w:val="both"/>
      </w:pPr>
      <w:r>
        <w:rPr>
          <w:rFonts w:ascii="黑体" w:hAnsi="黑体" w:eastAsia="黑体" w:cs="黑体"/>
          <w:sz w:val="32"/>
        </w:rPr>
        <w:t>第一百七十一条</w:t>
      </w:r>
      <w:r>
        <w:rPr>
          <w:rFonts w:ascii="仿宋_GB2312" w:hAnsi="仿宋_GB2312" w:eastAsia="仿宋_GB2312" w:cs="仿宋_GB2312"/>
          <w:sz w:val="32"/>
        </w:rPr>
        <w:t>　出售、购买伪造的货币或者明知是伪造的货币而运输，数额较大的，处三年以下有期徒刑或者拘役，并处二万元以上二十万元以下罚金；数额巨大的，处三年以上十年以下有期徒刑，并处五万元以上五十万元以下罚金；数额特别巨大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银行或者其他金融机构的工作人员购买伪造的货币或者利用职务上的便利，以伪造的货币换取货币的，处三年以上十年以下有期徒刑，并处二万元以上二十万元以下罚金；数额巨大或者有其他严重情节的，处十年以上有期徒刑或者无期徒刑，并处二万元以上二十万元以下罚金或者没收财产；情节较轻的，处三年以下有期徒刑或者拘役，并处或者单处一万元以上十万元以下罚金。</w:t>
      </w:r>
    </w:p>
    <w:p>
      <w:pPr>
        <w:spacing w:line="240" w:lineRule="auto"/>
        <w:ind w:firstLine="640"/>
        <w:jc w:val="both"/>
      </w:pPr>
      <w:r>
        <w:rPr>
          <w:rFonts w:ascii="仿宋_GB2312" w:hAnsi="仿宋_GB2312" w:eastAsia="仿宋_GB2312" w:cs="仿宋_GB2312"/>
          <w:sz w:val="32"/>
        </w:rPr>
        <w:t>伪造货币并出售或者运输伪造的货币的，依照本法第一百七十条的规定定罪从重处罚。</w:t>
      </w:r>
    </w:p>
    <w:p>
      <w:pPr>
        <w:spacing w:line="240" w:lineRule="auto"/>
        <w:ind w:firstLine="640"/>
        <w:jc w:val="both"/>
      </w:pPr>
      <w:r>
        <w:rPr>
          <w:rFonts w:ascii="黑体" w:hAnsi="黑体" w:eastAsia="黑体" w:cs="黑体"/>
          <w:sz w:val="32"/>
        </w:rPr>
        <w:t>第一百七十二条</w:t>
      </w:r>
      <w:r>
        <w:rPr>
          <w:rFonts w:ascii="仿宋_GB2312" w:hAnsi="仿宋_GB2312" w:eastAsia="仿宋_GB2312" w:cs="仿宋_GB2312"/>
          <w:sz w:val="32"/>
        </w:rPr>
        <w:t>　明知是伪造的货币而持有、使用，数额较大的，处三年以下有期徒刑或者拘役，并处或者单处一万元以上十万元以下罚金；数额巨大的，处三年以上十年以下有期徒刑，并处二万元以上二十万元以下罚金；数额特别巨大的，处十年以上有期徒刑，并处五万元以上五十万元以下罚金或者没收财产。</w:t>
      </w:r>
    </w:p>
    <w:p>
      <w:pPr>
        <w:spacing w:line="240" w:lineRule="auto"/>
        <w:ind w:firstLine="640"/>
        <w:jc w:val="both"/>
      </w:pPr>
      <w:r>
        <w:rPr>
          <w:rFonts w:ascii="黑体" w:hAnsi="黑体" w:eastAsia="黑体" w:cs="黑体"/>
          <w:sz w:val="32"/>
        </w:rPr>
        <w:t>第一百七十三条</w:t>
      </w:r>
      <w:r>
        <w:rPr>
          <w:rFonts w:ascii="仿宋_GB2312" w:hAnsi="仿宋_GB2312" w:eastAsia="仿宋_GB2312" w:cs="仿宋_GB2312"/>
          <w:sz w:val="32"/>
        </w:rPr>
        <w:t>　变造货币，数额较大的，处三年以下有期徒刑或者拘役，并处或者单处一万元以上十万元以下罚金；数额巨大的，处三年以上十年以下有期徒刑，并处二万元以上二十万元以下罚金。</w:t>
      </w:r>
    </w:p>
    <w:p>
      <w:pPr>
        <w:spacing w:line="240" w:lineRule="auto"/>
        <w:ind w:firstLine="640"/>
        <w:jc w:val="both"/>
      </w:pPr>
      <w:r>
        <w:rPr>
          <w:rFonts w:ascii="黑体" w:hAnsi="黑体" w:eastAsia="黑体" w:cs="黑体"/>
          <w:sz w:val="32"/>
        </w:rPr>
        <w:t>第一百七十四条</w:t>
      </w:r>
      <w:r>
        <w:rPr>
          <w:rFonts w:ascii="仿宋_GB2312" w:hAnsi="仿宋_GB2312" w:eastAsia="仿宋_GB2312" w:cs="仿宋_GB2312"/>
          <w:sz w:val="32"/>
        </w:rPr>
        <w:t>　未经国家有关主管部门批准，擅自设立商业银行、证券交易所、期货交易所、证券公司、期货经纪公司、保险公司或者其他金融机构的，处三年以下有期徒刑或者拘役，并处或者单处二万元以上二十万元以下罚金；情节严重的，处三年以上十年以下有期徒刑，并处五万元以上五十万元以下罚金。</w:t>
      </w:r>
    </w:p>
    <w:p>
      <w:pPr>
        <w:spacing w:line="240" w:lineRule="auto"/>
        <w:ind w:firstLine="640"/>
        <w:jc w:val="both"/>
      </w:pPr>
      <w:r>
        <w:rPr>
          <w:rFonts w:ascii="仿宋_GB2312" w:hAnsi="仿宋_GB2312" w:eastAsia="仿宋_GB2312" w:cs="仿宋_GB2312"/>
          <w:sz w:val="32"/>
        </w:rPr>
        <w:t>伪造、变造、转让商业银行、证券交易所、期货交易所、证券公司、期货经纪公司、保险公司或者其他金融机构的经营许可证或者批准文件的，依照前款的规定处罚。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第一百七十五条</w:t>
      </w:r>
      <w:r>
        <w:rPr>
          <w:rFonts w:ascii="仿宋_GB2312" w:hAnsi="仿宋_GB2312" w:eastAsia="仿宋_GB2312" w:cs="仿宋_GB2312"/>
          <w:sz w:val="32"/>
        </w:rPr>
        <w:t>　以转贷牟利为目的，套取金融机构信贷资金高利转贷他人，违法所得数额较大的，处三年以下有期徒刑或者拘役，并处违法所得一倍以上五倍以下罚金；数额巨大的，处三年以上七年以下有期徒刑，并处违法所得一倍以上五倍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单位犯前款罪的，对单位判处罚金，并对其直接负责的主管人员和其他直接责任人员，处三年以下有期徒刑或者拘役。</w:t>
      </w:r>
    </w:p>
    <w:p>
      <w:pPr>
        <w:spacing w:line="240" w:lineRule="auto"/>
        <w:ind w:firstLine="640"/>
        <w:jc w:val="both"/>
      </w:pPr>
      <w:r>
        <w:rPr>
          <w:rFonts w:ascii="黑体" w:hAnsi="黑体" w:eastAsia="黑体" w:cs="黑体"/>
          <w:sz w:val="32"/>
        </w:rPr>
        <w:t>第一百七十五</w:t>
      </w:r>
      <w:r>
        <w:rPr>
          <w:rFonts w:hint="eastAsia" w:ascii="黑体" w:hAnsi="黑体" w:eastAsia="黑体" w:cs="黑体"/>
          <w:sz w:val="32"/>
          <w:lang w:eastAsia="zh-CN"/>
        </w:rPr>
        <w:t>条之一　</w:t>
      </w:r>
      <w:r>
        <w:rPr>
          <w:rFonts w:ascii="仿宋_GB2312" w:hAnsi="仿宋_GB2312" w:eastAsia="仿宋_GB2312" w:cs="仿宋_GB2312"/>
          <w:sz w:val="32"/>
        </w:rPr>
        <w:t>以欺骗手段取得银行或者其他金融机构贷款、票据承兑、信用证、保函等，给银行或者其他金融机构造成重大损失的，处三年以下有期徒刑或者拘役，并处或者单处罚金；给银行或者其他金融机构造成特别重大损失或者有其他特别严重情节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第一百七十六条</w:t>
      </w:r>
      <w:r>
        <w:rPr>
          <w:rFonts w:ascii="仿宋_GB2312" w:hAnsi="仿宋_GB2312" w:eastAsia="仿宋_GB2312" w:cs="仿宋_GB2312"/>
          <w:sz w:val="32"/>
        </w:rPr>
        <w:t>　非法吸收公众存款或者变相吸收公众存款，扰乱金融秩序的，处三年以下有期徒刑或者拘役，并处或者单处罚金；数额巨大或者有其他严重情节的，处三年以上十年以下有期徒刑，并处罚金；数额特别巨大或者有其他特别严重情节的，处十年以上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有前两款行为，在提起公诉前积极退赃退赔，减少损害结果发生的，可以从轻或者减轻处罚。</w:t>
      </w:r>
    </w:p>
    <w:p>
      <w:pPr>
        <w:spacing w:line="240" w:lineRule="auto"/>
        <w:ind w:firstLine="640"/>
        <w:jc w:val="both"/>
      </w:pPr>
      <w:r>
        <w:rPr>
          <w:rFonts w:ascii="黑体" w:hAnsi="黑体" w:eastAsia="黑体" w:cs="黑体"/>
          <w:sz w:val="32"/>
        </w:rPr>
        <w:t>第一百七十七条</w:t>
      </w:r>
      <w:r>
        <w:rPr>
          <w:rFonts w:ascii="仿宋_GB2312" w:hAnsi="仿宋_GB2312" w:eastAsia="仿宋_GB2312" w:cs="仿宋_GB2312"/>
          <w:sz w:val="32"/>
        </w:rPr>
        <w:t>　有下列情形之一，伪造、变造金融票证的，处五年以下有期徒刑或者拘役，并处或者单处二万元以上二十万元以下罚金；情节严重的，处五年以上十年以下有期徒刑，并处五万元以上五十万元以下罚金；情节特别严重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（一）伪造、变造汇票、本票、支票的；</w:t>
      </w:r>
    </w:p>
    <w:p>
      <w:pPr>
        <w:spacing w:line="240" w:lineRule="auto"/>
        <w:ind w:firstLine="640"/>
        <w:jc w:val="both"/>
      </w:pPr>
      <w:r>
        <w:rPr>
          <w:rFonts w:ascii="仿宋_GB2312" w:hAnsi="仿宋_GB2312" w:eastAsia="仿宋_GB2312" w:cs="仿宋_GB2312"/>
          <w:sz w:val="32"/>
        </w:rPr>
        <w:t>（二）伪造、变造委托收款凭证、汇款凭证、银行存单等其他银行结算凭证的；</w:t>
      </w:r>
    </w:p>
    <w:p>
      <w:pPr>
        <w:spacing w:line="240" w:lineRule="auto"/>
        <w:ind w:firstLine="640"/>
        <w:jc w:val="both"/>
      </w:pPr>
      <w:r>
        <w:rPr>
          <w:rFonts w:ascii="仿宋_GB2312" w:hAnsi="仿宋_GB2312" w:eastAsia="仿宋_GB2312" w:cs="仿宋_GB2312"/>
          <w:sz w:val="32"/>
        </w:rPr>
        <w:t>（三）伪造、变造信用证或者附随的单据、文件的；</w:t>
      </w:r>
    </w:p>
    <w:p>
      <w:pPr>
        <w:spacing w:line="240" w:lineRule="auto"/>
        <w:ind w:firstLine="640"/>
        <w:jc w:val="both"/>
      </w:pPr>
      <w:r>
        <w:rPr>
          <w:rFonts w:ascii="仿宋_GB2312" w:hAnsi="仿宋_GB2312" w:eastAsia="仿宋_GB2312" w:cs="仿宋_GB2312"/>
          <w:sz w:val="32"/>
        </w:rPr>
        <w:t>（四）伪造信用卡的。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第一百七十七</w:t>
      </w:r>
      <w:r>
        <w:rPr>
          <w:rFonts w:hint="eastAsia" w:ascii="黑体" w:hAnsi="黑体" w:eastAsia="黑体" w:cs="黑体"/>
          <w:sz w:val="32"/>
          <w:lang w:eastAsia="zh-CN"/>
        </w:rPr>
        <w:t>条之一　</w:t>
      </w:r>
      <w:r>
        <w:rPr>
          <w:rFonts w:ascii="仿宋_GB2312" w:hAnsi="仿宋_GB2312" w:eastAsia="仿宋_GB2312" w:cs="仿宋_GB2312"/>
          <w:sz w:val="32"/>
        </w:rPr>
        <w:t>有下列情形之一，妨害信用卡管理的，处三年以下有期徒刑或者拘役，并处或者单处一万元以上十万元以下罚金；数量巨大或者有其他严重情节的，处三年以上十年以下有期徒刑，并处二万元以上二十万元以下罚金：</w:t>
      </w:r>
    </w:p>
    <w:p>
      <w:pPr>
        <w:spacing w:line="240" w:lineRule="auto"/>
        <w:ind w:firstLine="640"/>
        <w:jc w:val="both"/>
      </w:pPr>
      <w:r>
        <w:rPr>
          <w:rFonts w:ascii="仿宋_GB2312" w:hAnsi="仿宋_GB2312" w:eastAsia="仿宋_GB2312" w:cs="仿宋_GB2312"/>
          <w:sz w:val="32"/>
        </w:rPr>
        <w:t>（一）明知是伪造的信用卡而持有、运输的，或者明知是伪造的空白信用卡而持有、运输，数量较大的；</w:t>
      </w:r>
    </w:p>
    <w:p>
      <w:pPr>
        <w:spacing w:line="240" w:lineRule="auto"/>
        <w:ind w:firstLine="640"/>
        <w:jc w:val="both"/>
      </w:pPr>
      <w:r>
        <w:rPr>
          <w:rFonts w:ascii="仿宋_GB2312" w:hAnsi="仿宋_GB2312" w:eastAsia="仿宋_GB2312" w:cs="仿宋_GB2312"/>
          <w:sz w:val="32"/>
        </w:rPr>
        <w:t>（二）非法持有他人信用卡，数量较大的；</w:t>
      </w:r>
    </w:p>
    <w:p>
      <w:pPr>
        <w:spacing w:line="240" w:lineRule="auto"/>
        <w:ind w:firstLine="640"/>
        <w:jc w:val="both"/>
      </w:pPr>
      <w:r>
        <w:rPr>
          <w:rFonts w:ascii="仿宋_GB2312" w:hAnsi="仿宋_GB2312" w:eastAsia="仿宋_GB2312" w:cs="仿宋_GB2312"/>
          <w:sz w:val="32"/>
        </w:rPr>
        <w:t>（三）使用虚假的身份证明骗领信用卡的；</w:t>
      </w:r>
    </w:p>
    <w:p>
      <w:pPr>
        <w:spacing w:line="240" w:lineRule="auto"/>
        <w:ind w:firstLine="640"/>
        <w:jc w:val="both"/>
      </w:pPr>
      <w:r>
        <w:rPr>
          <w:rFonts w:ascii="仿宋_GB2312" w:hAnsi="仿宋_GB2312" w:eastAsia="仿宋_GB2312" w:cs="仿宋_GB2312"/>
          <w:sz w:val="32"/>
        </w:rPr>
        <w:t>（四）出售、购买、为他人提供伪造的信用卡或者以虚假的身份证明骗领的信用卡的。</w:t>
      </w:r>
    </w:p>
    <w:p>
      <w:pPr>
        <w:spacing w:line="240" w:lineRule="auto"/>
        <w:ind w:firstLine="640"/>
        <w:jc w:val="both"/>
      </w:pPr>
      <w:r>
        <w:rPr>
          <w:rFonts w:ascii="仿宋_GB2312" w:hAnsi="仿宋_GB2312" w:eastAsia="仿宋_GB2312" w:cs="仿宋_GB2312"/>
          <w:sz w:val="32"/>
        </w:rPr>
        <w:t>窃取、收买或者非法提供他人信用卡信息资料的，依照前款规定处罚。</w:t>
      </w:r>
    </w:p>
    <w:p>
      <w:pPr>
        <w:spacing w:line="240" w:lineRule="auto"/>
        <w:ind w:firstLine="640"/>
        <w:jc w:val="both"/>
      </w:pPr>
      <w:r>
        <w:rPr>
          <w:rFonts w:ascii="仿宋_GB2312" w:hAnsi="仿宋_GB2312" w:eastAsia="仿宋_GB2312" w:cs="仿宋_GB2312"/>
          <w:sz w:val="32"/>
        </w:rPr>
        <w:t>银行或者其他金融机构的工作人员利用职务上的便利，犯第二款罪的，从重处罚。</w:t>
      </w:r>
    </w:p>
    <w:p>
      <w:pPr>
        <w:spacing w:line="240" w:lineRule="auto"/>
        <w:ind w:firstLine="640"/>
        <w:jc w:val="both"/>
      </w:pPr>
      <w:r>
        <w:rPr>
          <w:rFonts w:ascii="黑体" w:hAnsi="黑体" w:eastAsia="黑体" w:cs="黑体"/>
          <w:sz w:val="32"/>
        </w:rPr>
        <w:t>第一百七十八条</w:t>
      </w:r>
      <w:r>
        <w:rPr>
          <w:rFonts w:ascii="仿宋_GB2312" w:hAnsi="仿宋_GB2312" w:eastAsia="仿宋_GB2312" w:cs="仿宋_GB2312"/>
          <w:sz w:val="32"/>
        </w:rPr>
        <w:t>　伪造、变造国库券或者国家发行的其他有价证券，数额较大的，处三年以下有期徒刑或者拘役，并处或者单处二万元以上二十万元以下罚金；数额巨大的，处三年以上十年以下有期徒刑，并处五万元以上五十万元以下罚金；数额特别巨大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伪造、变造股票或者公司、企业债券，数额较大的，处三年以下有期徒刑或者拘役，并处或者单处一万元以上十万元以下罚金；数额巨大的，处三年以上十年以下有期徒刑，并处二万元以上二十万元以下罚金。</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单位犯前两款罪的，对单位判处罚金，并对其直接负责的主管人员和其他直接责任人员，依照前两款的规定处罚。</w:t>
      </w:r>
    </w:p>
    <w:p>
      <w:pPr>
        <w:spacing w:line="240" w:lineRule="auto"/>
        <w:ind w:firstLine="640"/>
        <w:jc w:val="both"/>
      </w:pPr>
      <w:r>
        <w:rPr>
          <w:rFonts w:ascii="黑体" w:hAnsi="黑体" w:eastAsia="黑体" w:cs="黑体"/>
          <w:sz w:val="32"/>
        </w:rPr>
        <w:t>第一百七十九条</w:t>
      </w:r>
      <w:r>
        <w:rPr>
          <w:rFonts w:ascii="仿宋_GB2312" w:hAnsi="仿宋_GB2312" w:eastAsia="仿宋_GB2312" w:cs="仿宋_GB2312"/>
          <w:sz w:val="32"/>
        </w:rPr>
        <w:t>　未经国家有关主管部门批准，擅自发行股票或者公司、企业债券，数额巨大、后果严重或者有其他严重情节的，处五年以下有期徒刑或者拘役，并处或者单处非法募集资金金额百分之一以上百分之五以下罚金。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单位犯前款罪的，对单位判处罚金，并对其直接负责的主管人员和其他直接责任人员，处五年以下有期徒刑或者拘役。</w:t>
      </w:r>
    </w:p>
    <w:p>
      <w:pPr>
        <w:spacing w:line="240" w:lineRule="auto"/>
        <w:ind w:firstLine="640"/>
        <w:jc w:val="both"/>
      </w:pPr>
      <w:r>
        <w:rPr>
          <w:rFonts w:ascii="黑体" w:hAnsi="黑体" w:eastAsia="黑体" w:cs="黑体"/>
          <w:sz w:val="32"/>
        </w:rPr>
        <w:t>第一百八十条</w:t>
      </w:r>
      <w:r>
        <w:rPr>
          <w:rFonts w:ascii="仿宋_GB2312" w:hAnsi="仿宋_GB2312" w:eastAsia="仿宋_GB2312" w:cs="仿宋_GB2312"/>
          <w:sz w:val="32"/>
        </w:rPr>
        <w:t>　证券、期货交易内幕信息的知情人员或者非法获取证券、期货交易内幕信息的人员，在涉及证券的发行，证券、期货交易或者其他对证券、期货交易价格有重大影响的信息尚未公开前，买入或者卖出该证券，或者从事与该内幕信息有关的期货交易，或者泄露该信息，或者明示、暗示他人从事上述交易活动，情节严重的，处五年以下有期徒刑或者拘役，并处或者单处违法所得一倍以上五倍以下罚金；情节特别严重的，处五年以上十年以下有期徒刑，并处违法所得一倍以上五倍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单位犯前款罪的，对单位判处罚金，并对其直接负责的主管人员和其他直接责任人员，处五年以下有期徒刑或者拘役。</w:t>
      </w:r>
    </w:p>
    <w:p>
      <w:pPr>
        <w:spacing w:line="240" w:lineRule="auto"/>
        <w:ind w:firstLine="640"/>
        <w:jc w:val="both"/>
      </w:pPr>
      <w:r>
        <w:rPr>
          <w:rFonts w:ascii="仿宋_GB2312" w:hAnsi="仿宋_GB2312" w:eastAsia="仿宋_GB2312" w:cs="仿宋_GB2312"/>
          <w:sz w:val="32"/>
        </w:rPr>
        <w:t>内幕信息、知情人员的范围，依照法律、行政法规的规定确定。</w:t>
      </w:r>
    </w:p>
    <w:p>
      <w:pPr>
        <w:spacing w:line="240" w:lineRule="auto"/>
        <w:ind w:firstLine="640"/>
        <w:jc w:val="both"/>
      </w:pPr>
      <w:r>
        <w:rPr>
          <w:rFonts w:ascii="仿宋_GB2312" w:hAnsi="仿宋_GB2312" w:eastAsia="仿宋_GB2312" w:cs="仿宋_GB2312"/>
          <w:sz w:val="32"/>
        </w:rPr>
        <w:t>证券交易所、期货交易所、证券公司、期货经纪公司、基金管理公司、商业银行、保险公司等金融机构的从业人员以及有关监管部门或者行业协会的工作人员，利用因职务便利获取的内幕信息以外的其他未公开的信息，违反规定，从事与该信息相关的证券、期货交易活动，或者明示、暗示他人从事相关交易活动，情节严重的，依照第一款的规定处罚。</w:t>
      </w:r>
    </w:p>
    <w:p>
      <w:pPr>
        <w:spacing w:line="240" w:lineRule="auto"/>
        <w:ind w:firstLine="640"/>
        <w:jc w:val="both"/>
      </w:pPr>
      <w:r>
        <w:rPr>
          <w:rFonts w:ascii="黑体" w:hAnsi="黑体" w:eastAsia="黑体" w:cs="黑体"/>
          <w:sz w:val="32"/>
        </w:rPr>
        <w:t>第一百八十一条</w:t>
      </w:r>
      <w:r>
        <w:rPr>
          <w:rFonts w:ascii="仿宋_GB2312" w:hAnsi="仿宋_GB2312" w:eastAsia="仿宋_GB2312" w:cs="仿宋_GB2312"/>
          <w:sz w:val="32"/>
        </w:rPr>
        <w:t>　编造并且传播影响证券、期货交易的虚假信息，扰乱证券、期货交易市场，造成严重后果的，处五年以下有期徒刑或者拘役，并处或者单处一万元以上十万元以下罚金。</w:t>
      </w:r>
    </w:p>
    <w:p>
      <w:pPr>
        <w:spacing w:line="240" w:lineRule="auto"/>
        <w:ind w:firstLine="640"/>
        <w:jc w:val="both"/>
      </w:pPr>
      <w:r>
        <w:rPr>
          <w:rFonts w:ascii="仿宋_GB2312" w:hAnsi="仿宋_GB2312" w:eastAsia="仿宋_GB2312" w:cs="仿宋_GB2312"/>
          <w:sz w:val="32"/>
        </w:rPr>
        <w:t>证券交易所、期货交易所、证券公司、期货经纪公司的从业人员，证券业协会、期货业协会或者证券期货监督管理部门的工作人员，故意提供虚假信息或者伪造、变造、销毁交易记录，诱骗投资者买卖证券、期货合约，造成严重后果的，处五年以下有期徒刑或者拘役，并处或者单处一万元以上十万元以下罚金；情节特别恶劣的，处五年以上十年以下有期徒刑，并处二万元以上二十万元以下罚金。</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单位犯前两款罪的，对单位判处罚金，并对其直接负责的主管人员和其他直接责任人员，处五年以下有期徒刑或者拘役。</w:t>
      </w:r>
    </w:p>
    <w:p>
      <w:pPr>
        <w:spacing w:line="240" w:lineRule="auto"/>
        <w:ind w:firstLine="640"/>
        <w:jc w:val="both"/>
      </w:pPr>
      <w:r>
        <w:rPr>
          <w:rFonts w:ascii="黑体" w:hAnsi="黑体" w:eastAsia="黑体" w:cs="黑体"/>
          <w:sz w:val="32"/>
        </w:rPr>
        <w:t>第一百八十二条</w:t>
      </w:r>
      <w:r>
        <w:rPr>
          <w:rFonts w:ascii="仿宋_GB2312" w:hAnsi="仿宋_GB2312" w:eastAsia="仿宋_GB2312" w:cs="仿宋_GB2312"/>
          <w:sz w:val="32"/>
        </w:rPr>
        <w:t>　有下列情形之一，操纵证券、期货市场，影响证券、期货交易价格或者证券、期货交易量，情节严重的，处五年以下有期徒刑或者拘役，并处或者单处罚金；情节特别严重的，处五年以上十年以下有期徒刑，并处罚金：</w:t>
      </w:r>
    </w:p>
    <w:p>
      <w:pPr>
        <w:spacing w:line="240" w:lineRule="auto"/>
        <w:ind w:firstLine="640"/>
        <w:jc w:val="both"/>
      </w:pPr>
      <w:r>
        <w:rPr>
          <w:rFonts w:ascii="仿宋_GB2312" w:hAnsi="仿宋_GB2312" w:eastAsia="仿宋_GB2312" w:cs="仿宋_GB2312"/>
          <w:sz w:val="32"/>
        </w:rPr>
        <w:t>（一）单独或者合谋，集中资金优势、持股或者持仓优势或者利用信息优势联合或者连续买卖的；</w:t>
      </w:r>
    </w:p>
    <w:p>
      <w:pPr>
        <w:spacing w:line="240" w:lineRule="auto"/>
        <w:ind w:firstLine="640"/>
        <w:jc w:val="both"/>
      </w:pPr>
      <w:r>
        <w:rPr>
          <w:rFonts w:ascii="仿宋_GB2312" w:hAnsi="仿宋_GB2312" w:eastAsia="仿宋_GB2312" w:cs="仿宋_GB2312"/>
          <w:sz w:val="32"/>
        </w:rPr>
        <w:t>（二）与他人串通，以事先约定的时间、价格和方式相互进行证券、期货交易的；</w:t>
      </w:r>
    </w:p>
    <w:p>
      <w:pPr>
        <w:spacing w:line="240" w:lineRule="auto"/>
        <w:ind w:firstLine="640"/>
        <w:jc w:val="both"/>
      </w:pPr>
      <w:r>
        <w:rPr>
          <w:rFonts w:ascii="仿宋_GB2312" w:hAnsi="仿宋_GB2312" w:eastAsia="仿宋_GB2312" w:cs="仿宋_GB2312"/>
          <w:sz w:val="32"/>
        </w:rPr>
        <w:t>（三）在自己实际控制的帐户之间进行证券交易，或者以自己为交易对象，自买自卖期货合约的；</w:t>
      </w:r>
    </w:p>
    <w:p>
      <w:pPr>
        <w:spacing w:line="240" w:lineRule="auto"/>
        <w:ind w:firstLine="640"/>
        <w:jc w:val="both"/>
      </w:pPr>
      <w:r>
        <w:rPr>
          <w:rFonts w:ascii="仿宋_GB2312" w:hAnsi="仿宋_GB2312" w:eastAsia="仿宋_GB2312" w:cs="仿宋_GB2312"/>
          <w:sz w:val="32"/>
        </w:rPr>
        <w:t>（四）不以成交为目的，频繁或者大量申报买入、卖出证券、期货合约并撤销申报的；</w:t>
      </w:r>
    </w:p>
    <w:p>
      <w:pPr>
        <w:spacing w:line="240" w:lineRule="auto"/>
        <w:ind w:firstLine="640"/>
        <w:jc w:val="both"/>
      </w:pPr>
      <w:r>
        <w:rPr>
          <w:rFonts w:ascii="仿宋_GB2312" w:hAnsi="仿宋_GB2312" w:eastAsia="仿宋_GB2312" w:cs="仿宋_GB2312"/>
          <w:sz w:val="32"/>
        </w:rPr>
        <w:t>（五）利用虚假或者不确定的重大信息，诱导投资者进行证券、期货交易的；</w:t>
      </w:r>
    </w:p>
    <w:p>
      <w:pPr>
        <w:spacing w:line="240" w:lineRule="auto"/>
        <w:ind w:firstLine="640"/>
        <w:jc w:val="both"/>
      </w:pPr>
      <w:r>
        <w:rPr>
          <w:rFonts w:ascii="仿宋_GB2312" w:hAnsi="仿宋_GB2312" w:eastAsia="仿宋_GB2312" w:cs="仿宋_GB2312"/>
          <w:sz w:val="32"/>
        </w:rPr>
        <w:t>（六）对证券、证券发行人、期货交易标的公开作出评价、预测或者投资建议，同时进行反向证券交易或者相关期货交易的；</w:t>
      </w:r>
    </w:p>
    <w:p>
      <w:pPr>
        <w:spacing w:line="240" w:lineRule="auto"/>
        <w:ind w:firstLine="640"/>
        <w:jc w:val="both"/>
      </w:pPr>
      <w:r>
        <w:rPr>
          <w:rFonts w:ascii="仿宋_GB2312" w:hAnsi="仿宋_GB2312" w:eastAsia="仿宋_GB2312" w:cs="仿宋_GB2312"/>
          <w:sz w:val="32"/>
        </w:rPr>
        <w:t>（七）以其他方法操纵证券、期货市场的。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第一百八十三条</w:t>
      </w:r>
      <w:r>
        <w:rPr>
          <w:rFonts w:ascii="仿宋_GB2312" w:hAnsi="仿宋_GB2312" w:eastAsia="仿宋_GB2312" w:cs="仿宋_GB2312"/>
          <w:sz w:val="32"/>
        </w:rPr>
        <w:t>　保险公司的工作人员利用职务上的便利，故意编造未曾发生的保险事故进行虚假理赔，骗取保险金归自己所有的，依照本法第二百七十一条的规定定罪处罚。</w:t>
      </w:r>
    </w:p>
    <w:p>
      <w:pPr>
        <w:spacing w:line="240" w:lineRule="auto"/>
        <w:ind w:firstLine="640"/>
        <w:jc w:val="both"/>
      </w:pPr>
      <w:r>
        <w:rPr>
          <w:rFonts w:ascii="仿宋_GB2312" w:hAnsi="仿宋_GB2312" w:eastAsia="仿宋_GB2312" w:cs="仿宋_GB2312"/>
          <w:sz w:val="32"/>
        </w:rPr>
        <w:t>国有保险公司工作人员和国有保险公司委派到非国有保险公司从事公务的人员有前款行为的，依照本法第三百八十二条、第三百八十三条的规定定罪处罚。</w:t>
      </w:r>
    </w:p>
    <w:p>
      <w:pPr>
        <w:spacing w:line="240" w:lineRule="auto"/>
        <w:ind w:firstLine="640"/>
        <w:jc w:val="both"/>
      </w:pPr>
      <w:r>
        <w:rPr>
          <w:rFonts w:ascii="黑体" w:hAnsi="黑体" w:eastAsia="黑体" w:cs="黑体"/>
          <w:sz w:val="32"/>
        </w:rPr>
        <w:t>第一百八十四条</w:t>
      </w:r>
      <w:r>
        <w:rPr>
          <w:rFonts w:ascii="仿宋_GB2312" w:hAnsi="仿宋_GB2312" w:eastAsia="仿宋_GB2312" w:cs="仿宋_GB2312"/>
          <w:sz w:val="32"/>
        </w:rPr>
        <w:t>　银行或者其他金融机构的工作人员在金融业务活动中索取他人财物或者非法收受他人财物，为他人谋取利益的，或者违反国家规定，收受各种名义的回扣、手续费，归个人所有的，依照本法第一百六十三条的规定定罪处罚。</w:t>
      </w:r>
    </w:p>
    <w:p>
      <w:pPr>
        <w:spacing w:line="240" w:lineRule="auto"/>
        <w:ind w:firstLine="640"/>
        <w:jc w:val="both"/>
      </w:pPr>
      <w:r>
        <w:rPr>
          <w:rFonts w:ascii="仿宋_GB2312" w:hAnsi="仿宋_GB2312" w:eastAsia="仿宋_GB2312" w:cs="仿宋_GB2312"/>
          <w:sz w:val="32"/>
        </w:rPr>
        <w:t>国有金融机构工作人员和国有金融机构委派到非国有金融机构从事公务的人员有前款行为的，依照本法第三百八十五条、第三百八十六条的规定定罪处罚。</w:t>
      </w:r>
    </w:p>
    <w:p>
      <w:pPr>
        <w:spacing w:line="240" w:lineRule="auto"/>
        <w:ind w:firstLine="640"/>
        <w:jc w:val="both"/>
      </w:pPr>
      <w:r>
        <w:rPr>
          <w:rFonts w:ascii="黑体" w:hAnsi="黑体" w:eastAsia="黑体" w:cs="黑体"/>
          <w:sz w:val="32"/>
        </w:rPr>
        <w:t>第一百八十五条</w:t>
      </w:r>
      <w:r>
        <w:rPr>
          <w:rFonts w:ascii="仿宋_GB2312" w:hAnsi="仿宋_GB2312" w:eastAsia="仿宋_GB2312" w:cs="仿宋_GB2312"/>
          <w:sz w:val="32"/>
        </w:rPr>
        <w:t>　商业银行、证券交易所、期货交易所、证券公司、期货经纪公司、保险公司或者其他金融机构的工作人员利用职务上的便利，挪用本单位或者客户资金的，依照本法第二百七十二条的规定定罪处罚。</w:t>
      </w:r>
    </w:p>
    <w:p>
      <w:pPr>
        <w:spacing w:line="240" w:lineRule="auto"/>
        <w:ind w:firstLine="640"/>
        <w:jc w:val="both"/>
      </w:pPr>
      <w:r>
        <w:rPr>
          <w:rFonts w:ascii="仿宋_GB2312" w:hAnsi="仿宋_GB2312" w:eastAsia="仿宋_GB2312" w:cs="仿宋_GB2312"/>
          <w:sz w:val="32"/>
        </w:rPr>
        <w:t>国有商业银行、证券交易所、期货交易所、证券公司、期货经纪公司、保险公司或者其他国有金融机构的工作人员和国有商业银行、证券交易所、期货交易所、证券公司、期货经纪公司、保险公司或者其他国有金融机构委派到前款规定中的非国有机构从事公务的人员有前款行为的，依照本法第三百八十四条的规定定罪处罚。</w:t>
      </w:r>
    </w:p>
    <w:p>
      <w:pPr>
        <w:spacing w:line="240" w:lineRule="auto"/>
        <w:ind w:firstLine="640"/>
        <w:jc w:val="both"/>
      </w:pPr>
      <w:r>
        <w:rPr>
          <w:rFonts w:ascii="黑体" w:hAnsi="黑体" w:eastAsia="黑体" w:cs="黑体"/>
          <w:sz w:val="32"/>
        </w:rPr>
        <w:t>第一百八十五</w:t>
      </w:r>
      <w:r>
        <w:rPr>
          <w:rFonts w:hint="eastAsia" w:ascii="黑体" w:hAnsi="黑体" w:eastAsia="黑体" w:cs="黑体"/>
          <w:sz w:val="32"/>
          <w:lang w:eastAsia="zh-CN"/>
        </w:rPr>
        <w:t>条之一　</w:t>
      </w:r>
      <w:r>
        <w:rPr>
          <w:rFonts w:ascii="仿宋_GB2312" w:hAnsi="仿宋_GB2312" w:eastAsia="仿宋_GB2312" w:cs="仿宋_GB2312"/>
          <w:sz w:val="32"/>
        </w:rPr>
        <w:t>商业银行、证券交易所、期货交易所、证券公司、期货经纪公司、保险公司或者其他金融机构，违背受托义务，擅自运用客户资金或者其他委托、信托的财产，情节严重的，对单位判处罚金，并对其直接负责的主管人员和其他直接责任人员，处三年以下有期徒刑或者拘役，并处三万元以上三十万元以下罚金；情节特别严重的，处三年以上十年以下有期徒刑，并处五万元以上五十万元以下罚金。</w:t>
      </w:r>
    </w:p>
    <w:p>
      <w:pPr>
        <w:spacing w:line="240" w:lineRule="auto"/>
        <w:ind w:firstLine="640"/>
        <w:jc w:val="both"/>
      </w:pPr>
      <w:r>
        <w:rPr>
          <w:rFonts w:ascii="仿宋_GB2312" w:hAnsi="仿宋_GB2312" w:eastAsia="仿宋_GB2312" w:cs="仿宋_GB2312"/>
          <w:sz w:val="32"/>
        </w:rPr>
        <w:t>社会保障基金管理机构、住房公积金管理机构等公众资金管理机构，以及保险公司、保险资产管理公司、证券投资基金管理公司，违反国家规定运用资金的，对其直接负责的主管人员和其他直接责任人员，依照前款的规定处罚。</w:t>
      </w:r>
    </w:p>
    <w:p>
      <w:pPr>
        <w:spacing w:line="240" w:lineRule="auto"/>
        <w:ind w:firstLine="640"/>
        <w:jc w:val="both"/>
      </w:pPr>
      <w:r>
        <w:rPr>
          <w:rFonts w:ascii="黑体" w:hAnsi="黑体" w:eastAsia="黑体" w:cs="黑体"/>
          <w:sz w:val="32"/>
        </w:rPr>
        <w:t>第一百八十六条</w:t>
      </w:r>
      <w:r>
        <w:rPr>
          <w:rFonts w:ascii="仿宋_GB2312" w:hAnsi="仿宋_GB2312" w:eastAsia="仿宋_GB2312" w:cs="仿宋_GB2312"/>
          <w:sz w:val="32"/>
        </w:rPr>
        <w:t>　银行或者其他金融机构的工作人员违反国家规定发放贷款，数额巨大或者造成重大损失的，处五年以下有期徒刑或者拘役，并处一万元以上十万元以下罚金；数额特别巨大或者造成特别重大损失的，处五年以上有期徒刑，并处二万元以上二十万元以下罚金。</w:t>
      </w:r>
    </w:p>
    <w:p>
      <w:pPr>
        <w:spacing w:line="240" w:lineRule="auto"/>
        <w:ind w:firstLine="640"/>
        <w:jc w:val="both"/>
      </w:pPr>
      <w:r>
        <w:rPr>
          <w:rFonts w:ascii="仿宋_GB2312" w:hAnsi="仿宋_GB2312" w:eastAsia="仿宋_GB2312" w:cs="仿宋_GB2312"/>
          <w:sz w:val="32"/>
        </w:rPr>
        <w:t>银行或者其他金融机构的工作人员违反国家规定，向关系人发放贷款的，依照前款的规定从重处罚。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单位犯前两款罪的，对单位判处罚金，并对其直接负责的主管人员和其他直接责任人员，依照前两款的规定处罚。</w:t>
      </w:r>
    </w:p>
    <w:p>
      <w:pPr>
        <w:spacing w:line="240" w:lineRule="auto"/>
        <w:ind w:firstLine="640"/>
        <w:jc w:val="both"/>
      </w:pPr>
      <w:r>
        <w:rPr>
          <w:rFonts w:ascii="仿宋_GB2312" w:hAnsi="仿宋_GB2312" w:eastAsia="仿宋_GB2312" w:cs="仿宋_GB2312"/>
          <w:sz w:val="32"/>
        </w:rPr>
        <w:t>关系人的范围，依照《中华人民共和国商业银行法》和有关金融法规确定。</w:t>
      </w:r>
    </w:p>
    <w:p>
      <w:pPr>
        <w:spacing w:line="240" w:lineRule="auto"/>
        <w:ind w:firstLine="640"/>
        <w:jc w:val="both"/>
      </w:pPr>
      <w:r>
        <w:rPr>
          <w:rFonts w:ascii="黑体" w:hAnsi="黑体" w:eastAsia="黑体" w:cs="黑体"/>
          <w:sz w:val="32"/>
        </w:rPr>
        <w:t>第一百八十七条</w:t>
      </w:r>
      <w:r>
        <w:rPr>
          <w:rFonts w:ascii="仿宋_GB2312" w:hAnsi="仿宋_GB2312" w:eastAsia="仿宋_GB2312" w:cs="仿宋_GB2312"/>
          <w:sz w:val="32"/>
        </w:rPr>
        <w:t>　银行或者其他金融机构的工作人员吸收客户资金不入帐，数额巨大或者造成重大损失的，处五年以下有期徒刑或者拘役，并处二万元以上二十万元以下罚金；数额特别巨大或者造成特别重大损失的，处五年以上有期徒刑，并处五万元以上五十万元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第一百八十八条</w:t>
      </w:r>
      <w:r>
        <w:rPr>
          <w:rFonts w:ascii="仿宋_GB2312" w:hAnsi="仿宋_GB2312" w:eastAsia="仿宋_GB2312" w:cs="仿宋_GB2312"/>
          <w:sz w:val="32"/>
        </w:rPr>
        <w:t>　银行或者其他金融机构的工作人员违反规定，为他人出具信用证或者其他保函、票据、存单、资信证明，情节严重的，处五年以下有期徒刑或者拘役；情节特别严重的，处五年以上有期徒刑。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第一百八十九条</w:t>
      </w:r>
      <w:r>
        <w:rPr>
          <w:rFonts w:ascii="仿宋_GB2312" w:hAnsi="仿宋_GB2312" w:eastAsia="仿宋_GB2312" w:cs="仿宋_GB2312"/>
          <w:sz w:val="32"/>
        </w:rPr>
        <w:t>　银行或者其他金融机构的工作人员在票据业务中，对违反票据法规定的票据予以承兑、付款或者保证，造成重大损失的，处五年以下有期徒刑或者拘役；造成特别重大损失的，处五年以上有期徒刑。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第一百九十条</w:t>
      </w:r>
      <w:r>
        <w:rPr>
          <w:rFonts w:ascii="仿宋_GB2312" w:hAnsi="仿宋_GB2312" w:eastAsia="仿宋_GB2312" w:cs="仿宋_GB2312"/>
          <w:sz w:val="32"/>
        </w:rPr>
        <w:t>　公司、企业或者其他单位，违反国家规定，擅自将外汇存放境外，或者将境内的外汇非法转移到境外，数额较大的，对单位判处逃汇数额百分之五以上百分之三十以下罚金，并对其直接负责的主管人员和其他直接责任人员，处五年以下有期徒刑或者拘役；数额巨大或者有其他严重情节的，对单位判处逃汇数额百分之五以上百分之三十以下罚金，并对其直接负责的主管人员和其他直接责任人员，处五年以上有期徒刑。</w:t>
      </w:r>
    </w:p>
    <w:p>
      <w:pPr>
        <w:spacing w:line="240" w:lineRule="auto"/>
        <w:ind w:firstLine="640"/>
        <w:jc w:val="both"/>
      </w:pPr>
      <w:r>
        <w:rPr>
          <w:rFonts w:ascii="黑体" w:hAnsi="黑体" w:eastAsia="黑体" w:cs="黑体"/>
          <w:sz w:val="32"/>
        </w:rPr>
        <w:t>第一百九十一条</w:t>
      </w:r>
      <w:r>
        <w:rPr>
          <w:rFonts w:ascii="仿宋_GB2312" w:hAnsi="仿宋_GB2312" w:eastAsia="仿宋_GB2312" w:cs="仿宋_GB2312"/>
          <w:sz w:val="32"/>
        </w:rPr>
        <w:t>　为掩饰、隐瞒毒品犯罪、黑社会性质的组织犯罪、恐怖活动犯罪、走私犯罪、贪污贿赂犯罪、破坏金融管理秩序犯罪、金融诈骗犯罪的所得及其产生的收益的来源和性质，有下列行为之一的，没收实施以上犯罪的所得及其产生的收益，处五年以下有期徒刑或者拘役，并处或者单处罚金；情节严重的，处五年以上十年以下有期徒刑，并处罚金：</w:t>
      </w:r>
    </w:p>
    <w:p>
      <w:pPr>
        <w:spacing w:line="240" w:lineRule="auto"/>
        <w:ind w:firstLine="640"/>
        <w:jc w:val="both"/>
      </w:pPr>
      <w:r>
        <w:rPr>
          <w:rFonts w:ascii="仿宋_GB2312" w:hAnsi="仿宋_GB2312" w:eastAsia="仿宋_GB2312" w:cs="仿宋_GB2312"/>
          <w:sz w:val="32"/>
        </w:rPr>
        <w:t>（一）提供资金帐户的；</w:t>
      </w:r>
    </w:p>
    <w:p>
      <w:pPr>
        <w:spacing w:line="240" w:lineRule="auto"/>
        <w:ind w:firstLine="640"/>
        <w:jc w:val="both"/>
      </w:pPr>
      <w:r>
        <w:rPr>
          <w:rFonts w:ascii="仿宋_GB2312" w:hAnsi="仿宋_GB2312" w:eastAsia="仿宋_GB2312" w:cs="仿宋_GB2312"/>
          <w:sz w:val="32"/>
        </w:rPr>
        <w:t>（二）将财产转换为现金、金融票据、有价证券的；</w:t>
      </w:r>
    </w:p>
    <w:p>
      <w:pPr>
        <w:spacing w:line="240" w:lineRule="auto"/>
        <w:ind w:firstLine="640"/>
        <w:jc w:val="both"/>
      </w:pPr>
      <w:r>
        <w:rPr>
          <w:rFonts w:ascii="仿宋_GB2312" w:hAnsi="仿宋_GB2312" w:eastAsia="仿宋_GB2312" w:cs="仿宋_GB2312"/>
          <w:sz w:val="32"/>
        </w:rPr>
        <w:t>（三）通过转帐或者其他支付结算方式转移资金的；</w:t>
      </w:r>
    </w:p>
    <w:p>
      <w:pPr>
        <w:spacing w:line="240" w:lineRule="auto"/>
        <w:ind w:firstLine="640"/>
        <w:jc w:val="both"/>
      </w:pPr>
      <w:r>
        <w:rPr>
          <w:rFonts w:ascii="仿宋_GB2312" w:hAnsi="仿宋_GB2312" w:eastAsia="仿宋_GB2312" w:cs="仿宋_GB2312"/>
          <w:sz w:val="32"/>
        </w:rPr>
        <w:t>（四）跨境转移资产的；</w:t>
      </w:r>
    </w:p>
    <w:p>
      <w:pPr>
        <w:spacing w:line="240" w:lineRule="auto"/>
        <w:ind w:firstLine="640"/>
        <w:jc w:val="both"/>
      </w:pPr>
      <w:r>
        <w:rPr>
          <w:rFonts w:ascii="仿宋_GB2312" w:hAnsi="仿宋_GB2312" w:eastAsia="仿宋_GB2312" w:cs="仿宋_GB2312"/>
          <w:sz w:val="32"/>
        </w:rPr>
        <w:t>（五）以其他方法掩饰、隐瞒犯罪所得及其收益的来源和性质的。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第五节　金融诈骗罪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第一百九十二条</w:t>
      </w:r>
      <w:r>
        <w:rPr>
          <w:rFonts w:ascii="仿宋_GB2312" w:hAnsi="仿宋_GB2312" w:eastAsia="仿宋_GB2312" w:cs="仿宋_GB2312"/>
          <w:sz w:val="32"/>
        </w:rPr>
        <w:t>　以非法占有为目的，使用诈骗方法非法集资，数额较大的，处三年以上七年以下有期徒刑，并处罚金；数额巨大或者有其他严重情节的，处七年以上有期徒刑或者无期徒刑，并处罚金或者没收财产。</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第一百九十三条</w:t>
      </w:r>
      <w:r>
        <w:rPr>
          <w:rFonts w:ascii="仿宋_GB2312" w:hAnsi="仿宋_GB2312" w:eastAsia="仿宋_GB2312" w:cs="仿宋_GB2312"/>
          <w:sz w:val="32"/>
        </w:rPr>
        <w:t>　有下列情形之一，以非法占有为目的，诈骗银行或者其他金融机构的贷款，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（一）编造引进资金、项目等虚假理由的；</w:t>
      </w:r>
    </w:p>
    <w:p>
      <w:pPr>
        <w:spacing w:line="240" w:lineRule="auto"/>
        <w:ind w:firstLine="640"/>
        <w:jc w:val="both"/>
      </w:pPr>
      <w:r>
        <w:rPr>
          <w:rFonts w:ascii="仿宋_GB2312" w:hAnsi="仿宋_GB2312" w:eastAsia="仿宋_GB2312" w:cs="仿宋_GB2312"/>
          <w:sz w:val="32"/>
        </w:rPr>
        <w:t>（二）使用虚假的经济合同的；</w:t>
      </w:r>
    </w:p>
    <w:p>
      <w:pPr>
        <w:spacing w:line="240" w:lineRule="auto"/>
        <w:ind w:firstLine="640"/>
        <w:jc w:val="both"/>
      </w:pPr>
      <w:r>
        <w:rPr>
          <w:rFonts w:ascii="仿宋_GB2312" w:hAnsi="仿宋_GB2312" w:eastAsia="仿宋_GB2312" w:cs="仿宋_GB2312"/>
          <w:sz w:val="32"/>
        </w:rPr>
        <w:t>（三）使用虚假的证明文件的；</w:t>
      </w:r>
    </w:p>
    <w:p>
      <w:pPr>
        <w:spacing w:line="240" w:lineRule="auto"/>
        <w:ind w:firstLine="640"/>
        <w:jc w:val="both"/>
      </w:pPr>
      <w:r>
        <w:rPr>
          <w:rFonts w:ascii="仿宋_GB2312" w:hAnsi="仿宋_GB2312" w:eastAsia="仿宋_GB2312" w:cs="仿宋_GB2312"/>
          <w:sz w:val="32"/>
        </w:rPr>
        <w:t>（四）使用虚假的产权证明作担保或者超出抵押物价值重复担保的；</w:t>
      </w:r>
    </w:p>
    <w:p>
      <w:pPr>
        <w:spacing w:line="240" w:lineRule="auto"/>
        <w:ind w:firstLine="640"/>
        <w:jc w:val="both"/>
      </w:pPr>
      <w:r>
        <w:rPr>
          <w:rFonts w:ascii="仿宋_GB2312" w:hAnsi="仿宋_GB2312" w:eastAsia="仿宋_GB2312" w:cs="仿宋_GB2312"/>
          <w:sz w:val="32"/>
        </w:rPr>
        <w:t>（五）以其他方法诈骗贷款的。</w:t>
      </w:r>
    </w:p>
    <w:p>
      <w:pPr>
        <w:spacing w:line="240" w:lineRule="auto"/>
        <w:ind w:firstLine="640"/>
        <w:jc w:val="both"/>
      </w:pPr>
      <w:r>
        <w:rPr>
          <w:rFonts w:ascii="黑体" w:hAnsi="黑体" w:eastAsia="黑体" w:cs="黑体"/>
          <w:sz w:val="32"/>
        </w:rPr>
        <w:t>第一百九十四条</w:t>
      </w:r>
      <w:r>
        <w:rPr>
          <w:rFonts w:ascii="仿宋_GB2312" w:hAnsi="仿宋_GB2312" w:eastAsia="仿宋_GB2312" w:cs="仿宋_GB2312"/>
          <w:sz w:val="32"/>
        </w:rPr>
        <w:t>　有下列情形之一，进行金融票据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（一）明知是伪造、变造的汇票、本票、支票而使用的；</w:t>
      </w:r>
    </w:p>
    <w:p>
      <w:pPr>
        <w:spacing w:line="240" w:lineRule="auto"/>
        <w:ind w:firstLine="640"/>
        <w:jc w:val="both"/>
      </w:pPr>
      <w:r>
        <w:rPr>
          <w:rFonts w:ascii="仿宋_GB2312" w:hAnsi="仿宋_GB2312" w:eastAsia="仿宋_GB2312" w:cs="仿宋_GB2312"/>
          <w:sz w:val="32"/>
        </w:rPr>
        <w:t>（二）明知是作废的汇票、本票、支票而使用的；</w:t>
      </w:r>
    </w:p>
    <w:p>
      <w:pPr>
        <w:spacing w:line="240" w:lineRule="auto"/>
        <w:ind w:firstLine="640"/>
        <w:jc w:val="both"/>
      </w:pPr>
      <w:r>
        <w:rPr>
          <w:rFonts w:ascii="仿宋_GB2312" w:hAnsi="仿宋_GB2312" w:eastAsia="仿宋_GB2312" w:cs="仿宋_GB2312"/>
          <w:sz w:val="32"/>
        </w:rPr>
        <w:t>（三）冒用他人的汇票、本票、支票的；</w:t>
      </w:r>
    </w:p>
    <w:p>
      <w:pPr>
        <w:spacing w:line="240" w:lineRule="auto"/>
        <w:ind w:firstLine="640"/>
        <w:jc w:val="both"/>
      </w:pPr>
      <w:r>
        <w:rPr>
          <w:rFonts w:ascii="仿宋_GB2312" w:hAnsi="仿宋_GB2312" w:eastAsia="仿宋_GB2312" w:cs="仿宋_GB2312"/>
          <w:sz w:val="32"/>
        </w:rPr>
        <w:t>（四）签发空头支票或者与其预留印鉴不符的支票，骗取财物的；</w:t>
      </w:r>
    </w:p>
    <w:p>
      <w:pPr>
        <w:spacing w:line="240" w:lineRule="auto"/>
        <w:ind w:firstLine="640"/>
        <w:jc w:val="both"/>
      </w:pPr>
      <w:r>
        <w:rPr>
          <w:rFonts w:ascii="仿宋_GB2312" w:hAnsi="仿宋_GB2312" w:eastAsia="仿宋_GB2312" w:cs="仿宋_GB2312"/>
          <w:sz w:val="32"/>
        </w:rPr>
        <w:t>（五）汇票、本票的出票人签发无资金保证的汇票、本票或者在出票时作虚假记载，骗取财物的。</w:t>
      </w:r>
    </w:p>
    <w:p>
      <w:pPr>
        <w:spacing w:line="240" w:lineRule="auto"/>
        <w:ind w:firstLine="640"/>
        <w:jc w:val="both"/>
      </w:pPr>
      <w:r>
        <w:rPr>
          <w:rFonts w:ascii="仿宋_GB2312" w:hAnsi="仿宋_GB2312" w:eastAsia="仿宋_GB2312" w:cs="仿宋_GB2312"/>
          <w:sz w:val="32"/>
        </w:rPr>
        <w:t>使用伪造、变造的委托收款凭证、汇款凭证、银行存单等其他银行结算凭证的，依照前款的规定处罚。</w:t>
      </w:r>
    </w:p>
    <w:p>
      <w:pPr>
        <w:spacing w:line="240" w:lineRule="auto"/>
        <w:ind w:firstLine="640"/>
        <w:jc w:val="both"/>
      </w:pPr>
      <w:r>
        <w:rPr>
          <w:rFonts w:ascii="黑体" w:hAnsi="黑体" w:eastAsia="黑体" w:cs="黑体"/>
          <w:sz w:val="32"/>
        </w:rPr>
        <w:t>第一百九十五条</w:t>
      </w:r>
      <w:r>
        <w:rPr>
          <w:rFonts w:ascii="仿宋_GB2312" w:hAnsi="仿宋_GB2312" w:eastAsia="仿宋_GB2312" w:cs="仿宋_GB2312"/>
          <w:sz w:val="32"/>
        </w:rPr>
        <w:t>　有下列情形之一，进行信用证诈骗活动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（一）使用伪造、变造的信用证或者附随的单据、文件的；</w:t>
      </w:r>
    </w:p>
    <w:p>
      <w:pPr>
        <w:spacing w:line="240" w:lineRule="auto"/>
        <w:ind w:firstLine="640"/>
        <w:jc w:val="both"/>
      </w:pPr>
      <w:r>
        <w:rPr>
          <w:rFonts w:ascii="仿宋_GB2312" w:hAnsi="仿宋_GB2312" w:eastAsia="仿宋_GB2312" w:cs="仿宋_GB2312"/>
          <w:sz w:val="32"/>
        </w:rPr>
        <w:t>（二）使用作废的信用证的；</w:t>
      </w:r>
    </w:p>
    <w:p>
      <w:pPr>
        <w:spacing w:line="240" w:lineRule="auto"/>
        <w:ind w:firstLine="640"/>
        <w:jc w:val="both"/>
      </w:pPr>
      <w:r>
        <w:rPr>
          <w:rFonts w:ascii="仿宋_GB2312" w:hAnsi="仿宋_GB2312" w:eastAsia="仿宋_GB2312" w:cs="仿宋_GB2312"/>
          <w:sz w:val="32"/>
        </w:rPr>
        <w:t>（三）骗取信用证的；</w:t>
      </w:r>
    </w:p>
    <w:p>
      <w:pPr>
        <w:spacing w:line="240" w:lineRule="auto"/>
        <w:ind w:firstLine="640"/>
        <w:jc w:val="both"/>
      </w:pPr>
      <w:r>
        <w:rPr>
          <w:rFonts w:ascii="仿宋_GB2312" w:hAnsi="仿宋_GB2312" w:eastAsia="仿宋_GB2312" w:cs="仿宋_GB2312"/>
          <w:sz w:val="32"/>
        </w:rPr>
        <w:t>（四）以其他方法进行信用证诈骗活动的。</w:t>
      </w:r>
    </w:p>
    <w:p>
      <w:pPr>
        <w:spacing w:line="240" w:lineRule="auto"/>
        <w:ind w:firstLine="640"/>
        <w:jc w:val="both"/>
      </w:pPr>
      <w:r>
        <w:rPr>
          <w:rFonts w:ascii="黑体" w:hAnsi="黑体" w:eastAsia="黑体" w:cs="黑体"/>
          <w:sz w:val="32"/>
        </w:rPr>
        <w:t>第一百九十六条</w:t>
      </w:r>
      <w:r>
        <w:rPr>
          <w:rFonts w:ascii="仿宋_GB2312" w:hAnsi="仿宋_GB2312" w:eastAsia="仿宋_GB2312" w:cs="仿宋_GB2312"/>
          <w:sz w:val="32"/>
        </w:rPr>
        <w:t>　有下列情形之一，进行信用卡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（一）使用伪造的信用卡，或者使用以虚假的身份证明骗领的信用卡的；</w:t>
      </w:r>
    </w:p>
    <w:p>
      <w:pPr>
        <w:spacing w:line="240" w:lineRule="auto"/>
        <w:ind w:firstLine="640"/>
        <w:jc w:val="both"/>
      </w:pPr>
      <w:r>
        <w:rPr>
          <w:rFonts w:ascii="仿宋_GB2312" w:hAnsi="仿宋_GB2312" w:eastAsia="仿宋_GB2312" w:cs="仿宋_GB2312"/>
          <w:sz w:val="32"/>
        </w:rPr>
        <w:t>（二）使用作废的信用卡的；</w:t>
      </w:r>
    </w:p>
    <w:p>
      <w:pPr>
        <w:spacing w:line="240" w:lineRule="auto"/>
        <w:ind w:firstLine="640"/>
        <w:jc w:val="both"/>
      </w:pPr>
      <w:r>
        <w:rPr>
          <w:rFonts w:ascii="仿宋_GB2312" w:hAnsi="仿宋_GB2312" w:eastAsia="仿宋_GB2312" w:cs="仿宋_GB2312"/>
          <w:sz w:val="32"/>
        </w:rPr>
        <w:t>（三）冒用他人信用卡的；</w:t>
      </w:r>
    </w:p>
    <w:p>
      <w:pPr>
        <w:spacing w:line="240" w:lineRule="auto"/>
        <w:ind w:firstLine="640"/>
        <w:jc w:val="both"/>
      </w:pPr>
      <w:r>
        <w:rPr>
          <w:rFonts w:ascii="仿宋_GB2312" w:hAnsi="仿宋_GB2312" w:eastAsia="仿宋_GB2312" w:cs="仿宋_GB2312"/>
          <w:sz w:val="32"/>
        </w:rPr>
        <w:t>（四）恶意透支的。</w:t>
      </w:r>
    </w:p>
    <w:p>
      <w:pPr>
        <w:spacing w:line="240" w:lineRule="auto"/>
        <w:ind w:firstLine="640"/>
        <w:jc w:val="both"/>
      </w:pPr>
      <w:r>
        <w:rPr>
          <w:rFonts w:ascii="仿宋_GB2312" w:hAnsi="仿宋_GB2312" w:eastAsia="仿宋_GB2312" w:cs="仿宋_GB2312"/>
          <w:sz w:val="32"/>
        </w:rPr>
        <w:t>前款所称恶意透支，是指持卡人以非法占有为目的，超过规定限额或者规定期限透支，并且经发卡银行催收后仍不归还的行为。</w:t>
      </w:r>
    </w:p>
    <w:p>
      <w:pPr>
        <w:spacing w:line="240" w:lineRule="auto"/>
        <w:ind w:firstLine="640"/>
        <w:jc w:val="both"/>
      </w:pPr>
      <w:r>
        <w:rPr>
          <w:rFonts w:ascii="仿宋_GB2312" w:hAnsi="仿宋_GB2312" w:eastAsia="仿宋_GB2312" w:cs="仿宋_GB2312"/>
          <w:sz w:val="32"/>
        </w:rPr>
        <w:t>盗窃信用卡并使用的，依照本法第二百六十四条的规定定罪处罚。</w:t>
      </w:r>
    </w:p>
    <w:p>
      <w:pPr>
        <w:spacing w:line="240" w:lineRule="auto"/>
        <w:ind w:firstLine="640"/>
        <w:jc w:val="both"/>
      </w:pPr>
      <w:r>
        <w:rPr>
          <w:rFonts w:ascii="黑体" w:hAnsi="黑体" w:eastAsia="黑体" w:cs="黑体"/>
          <w:sz w:val="32"/>
        </w:rPr>
        <w:t>第一百九十七条</w:t>
      </w:r>
      <w:r>
        <w:rPr>
          <w:rFonts w:ascii="仿宋_GB2312" w:hAnsi="仿宋_GB2312" w:eastAsia="仿宋_GB2312" w:cs="仿宋_GB2312"/>
          <w:sz w:val="32"/>
        </w:rPr>
        <w:t>　使用伪造、变造的国库券或者国家发行的其他有价证券，进行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黑体" w:hAnsi="黑体" w:eastAsia="黑体" w:cs="黑体"/>
          <w:sz w:val="32"/>
        </w:rPr>
        <w:t>第一百九十八条</w:t>
      </w:r>
      <w:r>
        <w:rPr>
          <w:rFonts w:ascii="仿宋_GB2312" w:hAnsi="仿宋_GB2312" w:eastAsia="仿宋_GB2312" w:cs="仿宋_GB2312"/>
          <w:sz w:val="32"/>
        </w:rPr>
        <w:t>　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二万元以上二十万元以下罚金或者没收财产：</w:t>
      </w:r>
    </w:p>
    <w:p>
      <w:pPr>
        <w:spacing w:line="240" w:lineRule="auto"/>
        <w:ind w:firstLine="640"/>
        <w:jc w:val="both"/>
      </w:pPr>
      <w:r>
        <w:rPr>
          <w:rFonts w:ascii="仿宋_GB2312" w:hAnsi="仿宋_GB2312" w:eastAsia="仿宋_GB2312" w:cs="仿宋_GB2312"/>
          <w:sz w:val="32"/>
        </w:rPr>
        <w:t>（一）投保人故意虚构保险标的，骗取保险金的；</w:t>
      </w:r>
    </w:p>
    <w:p>
      <w:pPr>
        <w:spacing w:line="240" w:lineRule="auto"/>
        <w:ind w:firstLine="640"/>
        <w:jc w:val="both"/>
      </w:pPr>
      <w:r>
        <w:rPr>
          <w:rFonts w:ascii="仿宋_GB2312" w:hAnsi="仿宋_GB2312" w:eastAsia="仿宋_GB2312" w:cs="仿宋_GB2312"/>
          <w:sz w:val="32"/>
        </w:rPr>
        <w:t>（二）投保人、被保险人或者受益人对发生的保险事故编造虚假的原因或者夸大损失的程度，骗取保险金的；</w:t>
      </w:r>
    </w:p>
    <w:p>
      <w:pPr>
        <w:spacing w:line="240" w:lineRule="auto"/>
        <w:ind w:firstLine="640"/>
        <w:jc w:val="both"/>
      </w:pPr>
      <w:r>
        <w:rPr>
          <w:rFonts w:ascii="仿宋_GB2312" w:hAnsi="仿宋_GB2312" w:eastAsia="仿宋_GB2312" w:cs="仿宋_GB2312"/>
          <w:sz w:val="32"/>
        </w:rPr>
        <w:t>（三）投保人、被保险人或者受益人编造未曾发生的保险事故，骗取保险金的；</w:t>
      </w:r>
    </w:p>
    <w:p>
      <w:pPr>
        <w:spacing w:line="240" w:lineRule="auto"/>
        <w:ind w:firstLine="640"/>
        <w:jc w:val="both"/>
      </w:pPr>
      <w:r>
        <w:rPr>
          <w:rFonts w:ascii="仿宋_GB2312" w:hAnsi="仿宋_GB2312" w:eastAsia="仿宋_GB2312" w:cs="仿宋_GB2312"/>
          <w:sz w:val="32"/>
        </w:rPr>
        <w:t>（四）投保人、被保险人故意造成财产损失的保险事故，骗取保险金的；</w:t>
      </w:r>
    </w:p>
    <w:p>
      <w:pPr>
        <w:spacing w:line="240" w:lineRule="auto"/>
        <w:ind w:firstLine="640"/>
        <w:jc w:val="both"/>
      </w:pPr>
      <w:r>
        <w:rPr>
          <w:rFonts w:ascii="仿宋_GB2312" w:hAnsi="仿宋_GB2312" w:eastAsia="仿宋_GB2312" w:cs="仿宋_GB2312"/>
          <w:sz w:val="32"/>
        </w:rPr>
        <w:t>（五）投保人、受益人故意造成被保险人死亡、伤残或者疾病，骗取保险金的。</w:t>
      </w:r>
    </w:p>
    <w:p>
      <w:pPr>
        <w:spacing w:line="240" w:lineRule="auto"/>
        <w:ind w:firstLine="640"/>
        <w:jc w:val="both"/>
      </w:pPr>
      <w:r>
        <w:rPr>
          <w:rFonts w:ascii="仿宋_GB2312" w:hAnsi="仿宋_GB2312" w:eastAsia="仿宋_GB2312" w:cs="仿宋_GB2312"/>
          <w:sz w:val="32"/>
        </w:rPr>
        <w:t>有前款第四项、第五项所列行为，同时构成其他犯罪的，依照数罪并罚的规定处罚。</w:t>
      </w:r>
    </w:p>
    <w:p>
      <w:pPr>
        <w:spacing w:line="240" w:lineRule="auto"/>
        <w:ind w:firstLine="640"/>
        <w:jc w:val="both"/>
      </w:pPr>
      <w:r>
        <w:rPr>
          <w:rFonts w:ascii="仿宋_GB2312" w:hAnsi="仿宋_GB2312" w:eastAsia="仿宋_GB2312" w:cs="仿宋_GB2312"/>
          <w:sz w:val="32"/>
        </w:rPr>
        <w:t>单位犯第一款罪的，对单位判处罚金，并对其直接负责的主管人员和其他直接责任人员，处五年以下有期徒刑或者拘役；数额巨大或者有其他严重情节的，处五年以上十年以下有期徒刑；数额特别巨大或者有其他特别严重情节的，处十年以上有期徒刑。</w:t>
      </w:r>
    </w:p>
    <w:p>
      <w:pPr>
        <w:spacing w:line="240" w:lineRule="auto"/>
        <w:ind w:firstLine="640"/>
        <w:jc w:val="both"/>
      </w:pPr>
      <w:r>
        <w:rPr>
          <w:rFonts w:ascii="仿宋_GB2312" w:hAnsi="仿宋_GB2312" w:eastAsia="仿宋_GB2312" w:cs="仿宋_GB2312"/>
          <w:sz w:val="32"/>
        </w:rPr>
        <w:t>保险事故的鉴定人、证明人、财产评估人故意提供虚假的证明文件，为他人诈骗提供条件的，以保险诈骗的共犯论处。</w:t>
      </w:r>
    </w:p>
    <w:p>
      <w:pPr>
        <w:spacing w:line="240" w:lineRule="auto"/>
        <w:ind w:firstLine="640"/>
        <w:jc w:val="both"/>
      </w:pPr>
      <w:r>
        <w:rPr>
          <w:rFonts w:ascii="黑体" w:hAnsi="黑体" w:eastAsia="黑体" w:cs="黑体"/>
          <w:sz w:val="32"/>
        </w:rPr>
        <w:t>第一百九十九条</w:t>
      </w:r>
      <w:r>
        <w:rPr>
          <w:rFonts w:ascii="仿宋_GB2312" w:hAnsi="仿宋_GB2312" w:eastAsia="仿宋_GB2312" w:cs="仿宋_GB2312"/>
          <w:sz w:val="32"/>
        </w:rPr>
        <w:t>　（删去）</w:t>
      </w:r>
    </w:p>
    <w:p>
      <w:pPr>
        <w:spacing w:line="240" w:lineRule="auto"/>
        <w:ind w:firstLine="640"/>
        <w:jc w:val="both"/>
      </w:pPr>
      <w:r>
        <w:rPr>
          <w:rFonts w:ascii="黑体" w:hAnsi="黑体" w:eastAsia="黑体" w:cs="黑体"/>
          <w:sz w:val="32"/>
        </w:rPr>
        <w:t>第二百条</w:t>
      </w:r>
      <w:r>
        <w:rPr>
          <w:rFonts w:ascii="仿宋_GB2312" w:hAnsi="仿宋_GB2312" w:eastAsia="仿宋_GB2312" w:cs="仿宋_GB2312"/>
          <w:sz w:val="32"/>
        </w:rPr>
        <w:t>　单位犯本节第一百九十四条、第一百九十五条规定之罪的，对单位判处罚金，并对其直接负责的主管人员和其他直接责任人员，处五年以下有期徒刑或者拘役，可以并处罚金；数额巨大或者有其他严重情节的，处五年以上十年以下有期徒刑，并处罚金；数额特别巨大或者有其他特别严重情节的，处十年以上有期徒刑或者无期徒刑，并处罚金。</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第六节　危害税收征管罪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第二百零一条</w:t>
      </w:r>
      <w:r>
        <w:rPr>
          <w:rFonts w:ascii="仿宋_GB2312" w:hAnsi="仿宋_GB2312" w:eastAsia="仿宋_GB2312" w:cs="仿宋_GB2312"/>
          <w:sz w:val="32"/>
        </w:rPr>
        <w:t>　纳税人采取欺骗、隐瞒手段进行虚假纳税申报或者不申报，逃避缴纳税款数额较大并且占应纳税额百分之十以上的，处三年以下有期徒刑或者拘役，并处罚金；数额巨大并且占应纳税额百分之三十以上的，处三年以上七年以下有期徒刑，并处罚金。</w:t>
      </w:r>
    </w:p>
    <w:p>
      <w:pPr>
        <w:spacing w:line="240" w:lineRule="auto"/>
        <w:ind w:firstLine="640"/>
        <w:jc w:val="both"/>
      </w:pPr>
      <w:r>
        <w:rPr>
          <w:rFonts w:ascii="仿宋_GB2312" w:hAnsi="仿宋_GB2312" w:eastAsia="仿宋_GB2312" w:cs="仿宋_GB2312"/>
          <w:sz w:val="32"/>
        </w:rPr>
        <w:t>扣缴义务人采取前款所列手段，不缴或者少缴已扣、已收税款，数额较大的，依照前款的规定处罚。</w:t>
      </w:r>
    </w:p>
    <w:p>
      <w:pPr>
        <w:spacing w:line="240" w:lineRule="auto"/>
        <w:ind w:firstLine="640"/>
        <w:jc w:val="both"/>
      </w:pPr>
      <w:r>
        <w:rPr>
          <w:rFonts w:ascii="仿宋_GB2312" w:hAnsi="仿宋_GB2312" w:eastAsia="仿宋_GB2312" w:cs="仿宋_GB2312"/>
          <w:sz w:val="32"/>
        </w:rPr>
        <w:t>对多次实施前两款行为，未经处理的，按照累计数额计算。</w:t>
      </w:r>
    </w:p>
    <w:p>
      <w:pPr>
        <w:spacing w:line="240" w:lineRule="auto"/>
        <w:ind w:firstLine="640"/>
        <w:jc w:val="both"/>
      </w:pPr>
      <w:r>
        <w:rPr>
          <w:rFonts w:ascii="仿宋_GB2312" w:hAnsi="仿宋_GB2312" w:eastAsia="仿宋_GB2312" w:cs="仿宋_GB2312"/>
          <w:sz w:val="32"/>
        </w:rPr>
        <w:t>有第一款行为，经税务机关依法下达追缴通知后，补缴应纳税款，缴纳滞纳金，已受行政处罚的，不予追究刑事责任；但是，五年内因逃避缴纳税款受过刑事处罚或者被税务机关给予二次以上行政处罚的除外。</w:t>
      </w:r>
    </w:p>
    <w:p>
      <w:pPr>
        <w:spacing w:line="240" w:lineRule="auto"/>
        <w:ind w:firstLine="640"/>
        <w:jc w:val="both"/>
      </w:pPr>
      <w:r>
        <w:rPr>
          <w:rFonts w:ascii="黑体" w:hAnsi="黑体" w:eastAsia="黑体" w:cs="黑体"/>
          <w:sz w:val="32"/>
        </w:rPr>
        <w:t>第二百零二条</w:t>
      </w:r>
      <w:r>
        <w:rPr>
          <w:rFonts w:ascii="仿宋_GB2312" w:hAnsi="仿宋_GB2312" w:eastAsia="仿宋_GB2312" w:cs="仿宋_GB2312"/>
          <w:sz w:val="32"/>
        </w:rPr>
        <w:t>　以暴力、威胁方法拒不缴纳税款的，处三年以下有期徒刑或者拘役，并处拒缴税款一倍以上五倍以下罚金；情节严重的，处三年以上七年以下有期徒刑，并处拒缴税款一倍以上五倍以下罚金。</w:t>
      </w:r>
    </w:p>
    <w:p>
      <w:pPr>
        <w:spacing w:line="240" w:lineRule="auto"/>
        <w:ind w:firstLine="640"/>
        <w:jc w:val="both"/>
      </w:pPr>
      <w:r>
        <w:rPr>
          <w:rFonts w:ascii="黑体" w:hAnsi="黑体" w:eastAsia="黑体" w:cs="黑体"/>
          <w:sz w:val="32"/>
        </w:rPr>
        <w:t>第二百零三条</w:t>
      </w:r>
      <w:r>
        <w:rPr>
          <w:rFonts w:ascii="仿宋_GB2312" w:hAnsi="仿宋_GB2312" w:eastAsia="仿宋_GB2312" w:cs="仿宋_GB2312"/>
          <w:sz w:val="32"/>
        </w:rPr>
        <w:t>　纳税人欠缴应纳税款，采取转移或者隐匿财产的手段，致使税务机关无法追缴欠缴的税款，数额在一万元以上不满十万元的，处三年以下有期徒刑或者拘役，并处或者单处欠缴税款一倍以上五倍以下罚金；数额在十万元以上的，处三年以上七年以下有期徒刑，并处欠缴税款一倍以上五倍以下罚金。</w:t>
      </w:r>
    </w:p>
    <w:p>
      <w:pPr>
        <w:spacing w:line="240" w:lineRule="auto"/>
        <w:ind w:firstLine="640"/>
        <w:jc w:val="both"/>
      </w:pPr>
      <w:r>
        <w:rPr>
          <w:rFonts w:ascii="黑体" w:hAnsi="黑体" w:eastAsia="黑体" w:cs="黑体"/>
          <w:sz w:val="32"/>
        </w:rPr>
        <w:t>第二百零四条</w:t>
      </w:r>
      <w:r>
        <w:rPr>
          <w:rFonts w:ascii="仿宋_GB2312" w:hAnsi="仿宋_GB2312" w:eastAsia="仿宋_GB2312" w:cs="仿宋_GB2312"/>
          <w:sz w:val="32"/>
        </w:rPr>
        <w:t>　以假报出口或者其他欺骗手段，骗取国家出口退税款，数额较大的，处五年以下有期徒刑或者拘役，并处骗取税款一倍以上五倍以下罚金；数额巨大或者有其他严重情节的，处五年以上十年以下有期徒刑，并处骗取税款一倍以上五倍以下罚金；数额特别巨大或者有其他特别严重情节的，处十年以上有期徒刑或者无期徒刑，并处骗取税款一倍以上五倍以下罚金或者没收财产。</w:t>
      </w:r>
    </w:p>
    <w:p>
      <w:pPr>
        <w:spacing w:line="240" w:lineRule="auto"/>
        <w:ind w:firstLine="640"/>
        <w:jc w:val="both"/>
      </w:pPr>
      <w:r>
        <w:rPr>
          <w:rFonts w:ascii="仿宋_GB2312" w:hAnsi="仿宋_GB2312" w:eastAsia="仿宋_GB2312" w:cs="仿宋_GB2312"/>
          <w:sz w:val="32"/>
        </w:rPr>
        <w:t>纳税人缴纳税款后，采取前款规定的欺骗方法，骗取所缴纳的税款的，依照本法第二百零一条的规定定罪处罚；骗取税款超过所缴纳的税款部分，依照前款的规定处罚。</w:t>
      </w:r>
    </w:p>
    <w:p>
      <w:pPr>
        <w:spacing w:line="240" w:lineRule="auto"/>
        <w:ind w:firstLine="640"/>
        <w:jc w:val="both"/>
      </w:pPr>
      <w:r>
        <w:rPr>
          <w:rFonts w:ascii="黑体" w:hAnsi="黑体" w:eastAsia="黑体" w:cs="黑体"/>
          <w:sz w:val="32"/>
        </w:rPr>
        <w:t>第二百零五条</w:t>
      </w:r>
      <w:r>
        <w:rPr>
          <w:rFonts w:ascii="仿宋_GB2312" w:hAnsi="仿宋_GB2312" w:eastAsia="仿宋_GB2312" w:cs="仿宋_GB2312"/>
          <w:sz w:val="32"/>
        </w:rPr>
        <w:t>　虚开增值税专用发票或者虚开用于骗取出口退税、抵扣税款的其他发票的，处三年以下有期徒刑或者拘役，并处二万元以上二十万元以下罚金；虚开的税款数额较大或者有其他严重情节的，处三年以上十年以下有期徒刑，并处五万元以上五十万元以下罚金；虚开的税款数额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单位犯本条规定之罪的，对单位判处罚金，并对其直接负责的主管人员和其他直接责任人员，处三年以下有期徒刑或者拘役；虚开的税款数额较大或者有其他严重情节的，处三年以上十年以下有期徒刑；虚开的税款数额巨大或者有其他特别严重情节的，处十年以上有期徒刑或者无期徒刑。</w:t>
      </w:r>
    </w:p>
    <w:p>
      <w:pPr>
        <w:spacing w:line="240" w:lineRule="auto"/>
        <w:ind w:firstLine="640"/>
        <w:jc w:val="both"/>
      </w:pPr>
      <w:r>
        <w:rPr>
          <w:rFonts w:ascii="仿宋_GB2312" w:hAnsi="仿宋_GB2312" w:eastAsia="仿宋_GB2312" w:cs="仿宋_GB2312"/>
          <w:sz w:val="32"/>
        </w:rPr>
        <w:t>虚开增值税专用发票或者虚开用于骗取出口退税、抵扣税款的其他发票，是指有为他人虚开、为自己虚开、让他人为自己虚开、介绍他人虚开行为之一的。</w:t>
      </w:r>
    </w:p>
    <w:p>
      <w:pPr>
        <w:spacing w:line="240" w:lineRule="auto"/>
        <w:ind w:firstLine="640"/>
        <w:jc w:val="both"/>
      </w:pPr>
      <w:r>
        <w:rPr>
          <w:rFonts w:ascii="黑体" w:hAnsi="黑体" w:eastAsia="黑体" w:cs="黑体"/>
          <w:sz w:val="32"/>
        </w:rPr>
        <w:t>第二百零五</w:t>
      </w:r>
      <w:r>
        <w:rPr>
          <w:rFonts w:hint="eastAsia" w:ascii="黑体" w:hAnsi="黑体" w:eastAsia="黑体" w:cs="黑体"/>
          <w:sz w:val="32"/>
          <w:lang w:eastAsia="zh-CN"/>
        </w:rPr>
        <w:t>条之一　</w:t>
      </w:r>
      <w:r>
        <w:rPr>
          <w:rFonts w:ascii="仿宋_GB2312" w:hAnsi="仿宋_GB2312" w:eastAsia="仿宋_GB2312" w:cs="仿宋_GB2312"/>
          <w:sz w:val="32"/>
        </w:rPr>
        <w:t>虚开本法第二百零五条规定以外的其他发票，情节严重的，处二年以下有期徒刑、拘役或者管制，并处罚金；情节特别严重的，处二年以上七年以下有期徒刑，并处罚金。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第二百零六条</w:t>
      </w:r>
      <w:r>
        <w:rPr>
          <w:rFonts w:ascii="仿宋_GB2312" w:hAnsi="仿宋_GB2312" w:eastAsia="仿宋_GB2312" w:cs="仿宋_GB2312"/>
          <w:sz w:val="32"/>
        </w:rPr>
        <w:t>　伪造或者出售伪造的增值税专用发票的，处三年以下有期徒刑、拘役或者管制，并处二万元以上二十万元以下罚金；数量较大或者有其他严重情节的，处三年以上十年以下有期徒刑，并处五万元以上五十万元以下罚金；数量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单位犯本条规定之罪的，对单位判处罚金，并对其直接负责的主管人员和其他直接责任人员，处三年以下有期徒刑、拘役或者管制；数量较大或者有其他严重情节的，处三年以上十年以下有期徒刑；数量巨大或者有其他特别严重情节的，处十年以上有期徒刑或者无期徒刑。</w:t>
      </w:r>
    </w:p>
    <w:p>
      <w:pPr>
        <w:spacing w:line="240" w:lineRule="auto"/>
        <w:ind w:firstLine="640"/>
        <w:jc w:val="both"/>
      </w:pPr>
      <w:r>
        <w:rPr>
          <w:rFonts w:ascii="黑体" w:hAnsi="黑体" w:eastAsia="黑体" w:cs="黑体"/>
          <w:sz w:val="32"/>
        </w:rPr>
        <w:t>第二百零七条</w:t>
      </w:r>
      <w:r>
        <w:rPr>
          <w:rFonts w:ascii="仿宋_GB2312" w:hAnsi="仿宋_GB2312" w:eastAsia="仿宋_GB2312" w:cs="仿宋_GB2312"/>
          <w:sz w:val="32"/>
        </w:rPr>
        <w:t>　非法出售增值税专用发票的，处三年以下有期徒刑、拘役或者管制，并处二万元以上二十万元以下罚金；数量较大的，处三年以上十年以下有期徒刑，并处五万元以上五十万元以下罚金；数量巨大的，处十年以上有期徒刑或者无期徒刑，并处五万元以上五十万元以下罚金或者没收财产。</w:t>
      </w:r>
    </w:p>
    <w:p>
      <w:pPr>
        <w:spacing w:line="240" w:lineRule="auto"/>
        <w:ind w:firstLine="640"/>
        <w:jc w:val="both"/>
      </w:pPr>
      <w:r>
        <w:rPr>
          <w:rFonts w:ascii="黑体" w:hAnsi="黑体" w:eastAsia="黑体" w:cs="黑体"/>
          <w:sz w:val="32"/>
        </w:rPr>
        <w:t>第二百零八条</w:t>
      </w:r>
      <w:r>
        <w:rPr>
          <w:rFonts w:ascii="仿宋_GB2312" w:hAnsi="仿宋_GB2312" w:eastAsia="仿宋_GB2312" w:cs="仿宋_GB2312"/>
          <w:sz w:val="32"/>
        </w:rPr>
        <w:t>　非法购买增值税专用发票或者购买伪造的增值税专用发票的，处五年以下有期徒刑或者拘役，并处或者单处二万元以上二十万元以下罚金。</w:t>
      </w:r>
    </w:p>
    <w:p>
      <w:pPr>
        <w:spacing w:line="240" w:lineRule="auto"/>
        <w:ind w:firstLine="640"/>
        <w:jc w:val="both"/>
      </w:pPr>
      <w:r>
        <w:rPr>
          <w:rFonts w:ascii="仿宋_GB2312" w:hAnsi="仿宋_GB2312" w:eastAsia="仿宋_GB2312" w:cs="仿宋_GB2312"/>
          <w:sz w:val="32"/>
        </w:rPr>
        <w:t>非法购买增值税专用发票或者购买伪造的增值税专用发票又虚开或者出售的，分别依照本法第二百零五条、第二百零六条、第二百零七条的规定定罪处罚。</w:t>
      </w:r>
    </w:p>
    <w:p>
      <w:pPr>
        <w:spacing w:line="240" w:lineRule="auto"/>
        <w:ind w:firstLine="640"/>
        <w:jc w:val="both"/>
      </w:pPr>
      <w:r>
        <w:rPr>
          <w:rFonts w:ascii="黑体" w:hAnsi="黑体" w:eastAsia="黑体" w:cs="黑体"/>
          <w:sz w:val="32"/>
        </w:rPr>
        <w:t>第二百零九条</w:t>
      </w:r>
      <w:r>
        <w:rPr>
          <w:rFonts w:ascii="仿宋_GB2312" w:hAnsi="仿宋_GB2312" w:eastAsia="仿宋_GB2312" w:cs="仿宋_GB2312"/>
          <w:sz w:val="32"/>
        </w:rPr>
        <w:t>　伪造、擅自制造或者出售伪造、擅自制造的可以用于骗取出口退税、抵扣税款的其他发票的，处三年以下有期徒刑、拘役或者管制，并处二万元以上二十万元以下罚金；数量巨大的，处三年以上七年以下有期徒刑，并处五万元以上五十万元以下罚金；数量特别巨大的，处七年以上有期徒刑，并处五万元以上五十万元以下罚金或者没收财产。</w:t>
      </w:r>
    </w:p>
    <w:p>
      <w:pPr>
        <w:spacing w:line="240" w:lineRule="auto"/>
        <w:ind w:firstLine="640"/>
        <w:jc w:val="both"/>
      </w:pPr>
      <w:r>
        <w:rPr>
          <w:rFonts w:ascii="仿宋_GB2312" w:hAnsi="仿宋_GB2312" w:eastAsia="仿宋_GB2312" w:cs="仿宋_GB2312"/>
          <w:sz w:val="32"/>
        </w:rPr>
        <w:t>伪造、擅自制造或者出售伪造、擅自制造的前款规定以外的其他发票的，处二年以下有期徒刑、拘役或者管制，并处或者单处一万元以上五万元以下罚金；情节严重的，处二年以上七年以下有期徒刑，并处五万元以上五十万元以下罚金。</w:t>
      </w:r>
    </w:p>
    <w:p>
      <w:pPr>
        <w:spacing w:line="240" w:lineRule="auto"/>
        <w:ind w:firstLine="640"/>
        <w:jc w:val="both"/>
      </w:pPr>
      <w:r>
        <w:rPr>
          <w:rFonts w:ascii="仿宋_GB2312" w:hAnsi="仿宋_GB2312" w:eastAsia="仿宋_GB2312" w:cs="仿宋_GB2312"/>
          <w:sz w:val="32"/>
        </w:rPr>
        <w:t>非法出售可以用于骗取出口退税、抵扣税款的其他发票的，依照第一款的规定处罚。</w:t>
      </w:r>
    </w:p>
    <w:p>
      <w:pPr>
        <w:spacing w:line="240" w:lineRule="auto"/>
        <w:ind w:firstLine="640"/>
        <w:jc w:val="both"/>
      </w:pPr>
      <w:r>
        <w:rPr>
          <w:rFonts w:ascii="仿宋_GB2312" w:hAnsi="仿宋_GB2312" w:eastAsia="仿宋_GB2312" w:cs="仿宋_GB2312"/>
          <w:sz w:val="32"/>
        </w:rPr>
        <w:t>非法出售第三款规定以外的其他发票的，依照第二款的规定处罚。</w:t>
      </w:r>
    </w:p>
    <w:p>
      <w:pPr>
        <w:spacing w:line="240" w:lineRule="auto"/>
        <w:ind w:firstLine="640"/>
        <w:jc w:val="both"/>
      </w:pPr>
      <w:r>
        <w:rPr>
          <w:rFonts w:ascii="黑体" w:hAnsi="黑体" w:eastAsia="黑体" w:cs="黑体"/>
          <w:sz w:val="32"/>
        </w:rPr>
        <w:t>第二百一十条</w:t>
      </w:r>
      <w:r>
        <w:rPr>
          <w:rFonts w:ascii="仿宋_GB2312" w:hAnsi="仿宋_GB2312" w:eastAsia="仿宋_GB2312" w:cs="仿宋_GB2312"/>
          <w:sz w:val="32"/>
        </w:rPr>
        <w:t>　盗窃增值税专用发票或者可以用于骗取出口退税、抵扣税款的其他发票的，依照本法第二百六十四条的规定定罪处罚。</w:t>
      </w:r>
    </w:p>
    <w:p>
      <w:pPr>
        <w:spacing w:line="240" w:lineRule="auto"/>
        <w:ind w:firstLine="640"/>
        <w:jc w:val="both"/>
      </w:pPr>
      <w:r>
        <w:rPr>
          <w:rFonts w:ascii="仿宋_GB2312" w:hAnsi="仿宋_GB2312" w:eastAsia="仿宋_GB2312" w:cs="仿宋_GB2312"/>
          <w:sz w:val="32"/>
        </w:rPr>
        <w:t>使用欺骗手段骗取增值税专用发票或者可以用于骗取出口退税、抵扣税款的其他发票的，依照本法第二百六十六条的规定定罪处罚。</w:t>
      </w:r>
    </w:p>
    <w:p>
      <w:pPr>
        <w:spacing w:line="240" w:lineRule="auto"/>
        <w:ind w:firstLine="640"/>
        <w:jc w:val="both"/>
      </w:pPr>
      <w:r>
        <w:rPr>
          <w:rFonts w:ascii="黑体" w:hAnsi="黑体" w:eastAsia="黑体" w:cs="黑体"/>
          <w:sz w:val="32"/>
        </w:rPr>
        <w:t>第二百一十</w:t>
      </w:r>
      <w:r>
        <w:rPr>
          <w:rFonts w:hint="eastAsia" w:ascii="黑体" w:hAnsi="黑体" w:eastAsia="黑体" w:cs="黑体"/>
          <w:sz w:val="32"/>
          <w:lang w:eastAsia="zh-CN"/>
        </w:rPr>
        <w:t>条之一　</w:t>
      </w:r>
      <w:r>
        <w:rPr>
          <w:rFonts w:ascii="仿宋_GB2312" w:hAnsi="仿宋_GB2312" w:eastAsia="仿宋_GB2312" w:cs="仿宋_GB2312"/>
          <w:sz w:val="32"/>
        </w:rPr>
        <w:t>明知是伪造的发票而持有，数量较大的，处二年以下有期徒刑、拘役或者管制，并处罚金；数量巨大的，处二年以上七年以下有期徒刑，并处罚金。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第二百一十一条</w:t>
      </w:r>
      <w:r>
        <w:rPr>
          <w:rFonts w:ascii="仿宋_GB2312" w:hAnsi="仿宋_GB2312" w:eastAsia="仿宋_GB2312" w:cs="仿宋_GB2312"/>
          <w:sz w:val="32"/>
        </w:rPr>
        <w:t>　单位犯本节第二百零一条、第二百零三条、第二百零四条、第二百零七条、第二百零八条、第二百零九条规定之罪的，对单位判处罚金，并对其直接负责的主管人员和其他直接责任人员，依照各该条的规定处罚。</w:t>
      </w:r>
    </w:p>
    <w:p>
      <w:pPr>
        <w:spacing w:line="240" w:lineRule="auto"/>
        <w:ind w:firstLine="640"/>
        <w:jc w:val="both"/>
      </w:pPr>
      <w:r>
        <w:rPr>
          <w:rFonts w:ascii="黑体" w:hAnsi="黑体" w:eastAsia="黑体" w:cs="黑体"/>
          <w:sz w:val="32"/>
        </w:rPr>
        <w:t>第二百一十二条</w:t>
      </w:r>
      <w:r>
        <w:rPr>
          <w:rFonts w:ascii="仿宋_GB2312" w:hAnsi="仿宋_GB2312" w:eastAsia="仿宋_GB2312" w:cs="仿宋_GB2312"/>
          <w:sz w:val="32"/>
        </w:rPr>
        <w:t>　犯本节第二百零一条至第二百零五条规定之罪，被判处罚金、没收财产的，在执行前，应当先由税务机关追缴税款和所骗取的出口退税款。</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第七节　侵犯知识产权罪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第二百一十三条</w:t>
      </w:r>
      <w:r>
        <w:rPr>
          <w:rFonts w:ascii="仿宋_GB2312" w:hAnsi="仿宋_GB2312" w:eastAsia="仿宋_GB2312" w:cs="仿宋_GB2312"/>
          <w:sz w:val="32"/>
        </w:rPr>
        <w:t>　未经注册商标所有人许可，在同一种商品、服务上使用与其注册商标相同的商标，情节严重的，处三年以下有期徒刑，并处或者单处罚金；情节特别严重的，处三年以上十年以下有期徒刑，并处罚金。</w:t>
      </w:r>
    </w:p>
    <w:p>
      <w:pPr>
        <w:spacing w:line="240" w:lineRule="auto"/>
        <w:ind w:firstLine="640"/>
        <w:jc w:val="both"/>
      </w:pPr>
      <w:r>
        <w:rPr>
          <w:rFonts w:ascii="黑体" w:hAnsi="黑体" w:eastAsia="黑体" w:cs="黑体"/>
          <w:sz w:val="32"/>
        </w:rPr>
        <w:t>第二百一十四条</w:t>
      </w:r>
      <w:r>
        <w:rPr>
          <w:rFonts w:ascii="仿宋_GB2312" w:hAnsi="仿宋_GB2312" w:eastAsia="仿宋_GB2312" w:cs="仿宋_GB2312"/>
          <w:sz w:val="32"/>
        </w:rPr>
        <w:t>　销售明知是假冒注册商标的商品，违法所得数额较大或者有其他严重情节的，处三年以下有期徒刑，并处或者单处罚金；违法所得数额巨大或者有其他特别严重情节的，处三年以上十年以下有期徒刑，并处罚金。</w:t>
      </w:r>
    </w:p>
    <w:p>
      <w:pPr>
        <w:spacing w:line="240" w:lineRule="auto"/>
        <w:ind w:firstLine="640"/>
        <w:jc w:val="both"/>
      </w:pPr>
      <w:r>
        <w:rPr>
          <w:rFonts w:ascii="黑体" w:hAnsi="黑体" w:eastAsia="黑体" w:cs="黑体"/>
          <w:sz w:val="32"/>
        </w:rPr>
        <w:t>第二百一十五条</w:t>
      </w:r>
      <w:r>
        <w:rPr>
          <w:rFonts w:ascii="仿宋_GB2312" w:hAnsi="仿宋_GB2312" w:eastAsia="仿宋_GB2312" w:cs="仿宋_GB2312"/>
          <w:sz w:val="32"/>
        </w:rPr>
        <w:t>　伪造、擅自制造他人注册商标标识或者销售伪造、擅自制造的注册商标标识，情节严重的，处三年以下有期徒刑，并处或者单处罚金；情节特别严重的，处三年以上十年以下有期徒刑，并处罚金。</w:t>
      </w:r>
    </w:p>
    <w:p>
      <w:pPr>
        <w:spacing w:line="240" w:lineRule="auto"/>
        <w:ind w:firstLine="640"/>
        <w:jc w:val="both"/>
      </w:pPr>
      <w:r>
        <w:rPr>
          <w:rFonts w:ascii="黑体" w:hAnsi="黑体" w:eastAsia="黑体" w:cs="黑体"/>
          <w:sz w:val="32"/>
        </w:rPr>
        <w:t>第二百一十六条</w:t>
      </w:r>
      <w:r>
        <w:rPr>
          <w:rFonts w:ascii="仿宋_GB2312" w:hAnsi="仿宋_GB2312" w:eastAsia="仿宋_GB2312" w:cs="仿宋_GB2312"/>
          <w:sz w:val="32"/>
        </w:rPr>
        <w:t>　假冒他人专利，情节严重的，处三年以下有期徒刑或者拘役，并处或者单处罚金。</w:t>
      </w:r>
    </w:p>
    <w:p>
      <w:pPr>
        <w:spacing w:line="240" w:lineRule="auto"/>
        <w:ind w:firstLine="640"/>
        <w:jc w:val="both"/>
      </w:pPr>
      <w:r>
        <w:rPr>
          <w:rFonts w:ascii="黑体" w:hAnsi="黑体" w:eastAsia="黑体" w:cs="黑体"/>
          <w:sz w:val="32"/>
        </w:rPr>
        <w:t>第二百一十七条</w:t>
      </w:r>
      <w:r>
        <w:rPr>
          <w:rFonts w:ascii="仿宋_GB2312" w:hAnsi="仿宋_GB2312" w:eastAsia="仿宋_GB2312" w:cs="仿宋_GB2312"/>
          <w:sz w:val="32"/>
        </w:rPr>
        <w:t>　以营利为目的，有下列侵犯著作权或者与著作权有关的权利的情形之一，违法所得数额较大或者有其他严重情节的，处三年以下有期徒刑，并处或者单处罚金；违法所得数额巨大或者有其他特别严重情节的，处三年以上十年以下有期徒刑，并处罚金：</w:t>
      </w:r>
    </w:p>
    <w:p>
      <w:pPr>
        <w:spacing w:line="240" w:lineRule="auto"/>
        <w:ind w:firstLine="640"/>
        <w:jc w:val="both"/>
      </w:pPr>
      <w:r>
        <w:rPr>
          <w:rFonts w:ascii="仿宋_GB2312" w:hAnsi="仿宋_GB2312" w:eastAsia="仿宋_GB2312" w:cs="仿宋_GB2312"/>
          <w:sz w:val="32"/>
        </w:rPr>
        <w:t>（一）未经著作权人许可，复制发行、通过信息网络向公众传播其文字作品、音乐、美术、视听作品、计算机软件及法律、行政法规规定的其他作品的；</w:t>
      </w:r>
    </w:p>
    <w:p>
      <w:pPr>
        <w:spacing w:line="240" w:lineRule="auto"/>
        <w:ind w:firstLine="640"/>
        <w:jc w:val="both"/>
      </w:pPr>
      <w:r>
        <w:rPr>
          <w:rFonts w:ascii="仿宋_GB2312" w:hAnsi="仿宋_GB2312" w:eastAsia="仿宋_GB2312" w:cs="仿宋_GB2312"/>
          <w:sz w:val="32"/>
        </w:rPr>
        <w:t>（二）出版他人享有专有出版权的图书的；</w:t>
      </w:r>
    </w:p>
    <w:p>
      <w:pPr>
        <w:spacing w:line="240" w:lineRule="auto"/>
        <w:ind w:firstLine="640"/>
        <w:jc w:val="both"/>
      </w:pPr>
      <w:r>
        <w:rPr>
          <w:rFonts w:ascii="仿宋_GB2312" w:hAnsi="仿宋_GB2312" w:eastAsia="仿宋_GB2312" w:cs="仿宋_GB2312"/>
          <w:sz w:val="32"/>
        </w:rPr>
        <w:t>（三）未经录音录像制作者许可，复制发行、通过信息网络向公众传播其制作的录音录像的；</w:t>
      </w:r>
    </w:p>
    <w:p>
      <w:pPr>
        <w:spacing w:line="240" w:lineRule="auto"/>
        <w:ind w:firstLine="640"/>
        <w:jc w:val="both"/>
      </w:pPr>
      <w:r>
        <w:rPr>
          <w:rFonts w:ascii="仿宋_GB2312" w:hAnsi="仿宋_GB2312" w:eastAsia="仿宋_GB2312" w:cs="仿宋_GB2312"/>
          <w:sz w:val="32"/>
        </w:rPr>
        <w:t>（四）未经表演者许可，复制发行录有其表演的录音录像制品，或者通过信息网络向公众传播其表演的；</w:t>
      </w:r>
    </w:p>
    <w:p>
      <w:pPr>
        <w:spacing w:line="240" w:lineRule="auto"/>
        <w:ind w:firstLine="640"/>
        <w:jc w:val="both"/>
      </w:pPr>
      <w:r>
        <w:rPr>
          <w:rFonts w:ascii="仿宋_GB2312" w:hAnsi="仿宋_GB2312" w:eastAsia="仿宋_GB2312" w:cs="仿宋_GB2312"/>
          <w:sz w:val="32"/>
        </w:rPr>
        <w:t>（五）制作、出售假冒他人署名的美术作品的；</w:t>
      </w:r>
    </w:p>
    <w:p>
      <w:pPr>
        <w:spacing w:line="240" w:lineRule="auto"/>
        <w:ind w:firstLine="640"/>
        <w:jc w:val="both"/>
      </w:pPr>
      <w:r>
        <w:rPr>
          <w:rFonts w:ascii="仿宋_GB2312" w:hAnsi="仿宋_GB2312" w:eastAsia="仿宋_GB2312" w:cs="仿宋_GB2312"/>
          <w:sz w:val="32"/>
        </w:rPr>
        <w:t>（六）未经著作权人或者与著作权有关的权利人许可，故意避开或者破坏权利人为其作品、录音录像制品等采取的保护著作权或者与著作权有关的权利的技术措施的。</w:t>
      </w:r>
    </w:p>
    <w:p>
      <w:pPr>
        <w:spacing w:line="240" w:lineRule="auto"/>
        <w:ind w:firstLine="640"/>
        <w:jc w:val="both"/>
      </w:pPr>
      <w:r>
        <w:rPr>
          <w:rFonts w:ascii="黑体" w:hAnsi="黑体" w:eastAsia="黑体" w:cs="黑体"/>
          <w:sz w:val="32"/>
        </w:rPr>
        <w:t>第二百一十八条</w:t>
      </w:r>
      <w:r>
        <w:rPr>
          <w:rFonts w:ascii="仿宋_GB2312" w:hAnsi="仿宋_GB2312" w:eastAsia="仿宋_GB2312" w:cs="仿宋_GB2312"/>
          <w:sz w:val="32"/>
        </w:rPr>
        <w:t>　以营利为目的，销售明知是本法第二百一十七条规定的侵权复制品，违法所得数额巨大或者有其他严重情节的，处五年以下有期徒刑，并处或者单处罚金。</w:t>
      </w:r>
    </w:p>
    <w:p>
      <w:pPr>
        <w:spacing w:line="240" w:lineRule="auto"/>
        <w:ind w:firstLine="640"/>
        <w:jc w:val="both"/>
      </w:pPr>
      <w:r>
        <w:rPr>
          <w:rFonts w:ascii="黑体" w:hAnsi="黑体" w:eastAsia="黑体" w:cs="黑体"/>
          <w:sz w:val="32"/>
        </w:rPr>
        <w:t>第二百一十九条</w:t>
      </w:r>
      <w:r>
        <w:rPr>
          <w:rFonts w:ascii="仿宋_GB2312" w:hAnsi="仿宋_GB2312" w:eastAsia="仿宋_GB2312" w:cs="仿宋_GB2312"/>
          <w:sz w:val="32"/>
        </w:rPr>
        <w:t>　有下列侵犯商业秘密行为之一，情节严重的，处三年以下有期徒刑，并处或者单处罚金；情节特别严重的，处三年以上十年以下有期徒刑，并处罚金：</w:t>
      </w:r>
    </w:p>
    <w:p>
      <w:pPr>
        <w:spacing w:line="240" w:lineRule="auto"/>
        <w:ind w:firstLine="640"/>
        <w:jc w:val="both"/>
      </w:pPr>
      <w:r>
        <w:rPr>
          <w:rFonts w:ascii="仿宋_GB2312" w:hAnsi="仿宋_GB2312" w:eastAsia="仿宋_GB2312" w:cs="仿宋_GB2312"/>
          <w:sz w:val="32"/>
        </w:rPr>
        <w:t>（一）以盗窃、贿赂、欺诈、胁迫、电子侵入或者其他不正当手段获取权利人的商业秘密的；</w:t>
      </w:r>
    </w:p>
    <w:p>
      <w:pPr>
        <w:spacing w:line="240" w:lineRule="auto"/>
        <w:ind w:firstLine="640"/>
        <w:jc w:val="both"/>
      </w:pPr>
      <w:r>
        <w:rPr>
          <w:rFonts w:ascii="仿宋_GB2312" w:hAnsi="仿宋_GB2312" w:eastAsia="仿宋_GB2312" w:cs="仿宋_GB2312"/>
          <w:sz w:val="32"/>
        </w:rPr>
        <w:t>（二）披露、使用或者允许他人使用以前项手段获取的权利人的商业秘密的；</w:t>
      </w:r>
    </w:p>
    <w:p>
      <w:pPr>
        <w:spacing w:line="240" w:lineRule="auto"/>
        <w:ind w:firstLine="640"/>
        <w:jc w:val="both"/>
      </w:pPr>
      <w:r>
        <w:rPr>
          <w:rFonts w:ascii="仿宋_GB2312" w:hAnsi="仿宋_GB2312" w:eastAsia="仿宋_GB2312" w:cs="仿宋_GB2312"/>
          <w:sz w:val="32"/>
        </w:rPr>
        <w:t>（三）违反保密义务或者违反权利人有关保守商业秘密的要求，披露、使用或者允许他人使用其所掌握的商业秘密的。</w:t>
      </w:r>
    </w:p>
    <w:p>
      <w:pPr>
        <w:spacing w:line="240" w:lineRule="auto"/>
        <w:ind w:firstLine="640"/>
        <w:jc w:val="both"/>
      </w:pPr>
      <w:r>
        <w:rPr>
          <w:rFonts w:ascii="仿宋_GB2312" w:hAnsi="仿宋_GB2312" w:eastAsia="仿宋_GB2312" w:cs="仿宋_GB2312"/>
          <w:sz w:val="32"/>
        </w:rPr>
        <w:t>明知前款所列行为，获取、披露、使用或者允许他人使用该商业秘密的，以侵犯商业秘密论。</w:t>
      </w:r>
    </w:p>
    <w:p>
      <w:pPr>
        <w:spacing w:line="240" w:lineRule="auto"/>
        <w:ind w:firstLine="640"/>
        <w:jc w:val="both"/>
      </w:pPr>
      <w:r>
        <w:rPr>
          <w:rFonts w:ascii="仿宋_GB2312" w:hAnsi="仿宋_GB2312" w:eastAsia="仿宋_GB2312" w:cs="仿宋_GB2312"/>
          <w:sz w:val="32"/>
        </w:rPr>
        <w:t>本条所称权利人，是指商业秘密的所有人和经商业秘密所有人许可的商业秘密使用人。</w:t>
      </w:r>
    </w:p>
    <w:p>
      <w:pPr>
        <w:spacing w:line="240" w:lineRule="auto"/>
        <w:ind w:firstLine="640"/>
        <w:jc w:val="both"/>
      </w:pPr>
      <w:r>
        <w:rPr>
          <w:rFonts w:ascii="黑体" w:hAnsi="黑体" w:eastAsia="黑体" w:cs="黑体"/>
          <w:sz w:val="32"/>
        </w:rPr>
        <w:t>第二百一十九</w:t>
      </w:r>
      <w:r>
        <w:rPr>
          <w:rFonts w:hint="eastAsia" w:ascii="黑体" w:hAnsi="黑体" w:eastAsia="黑体" w:cs="黑体"/>
          <w:sz w:val="32"/>
          <w:lang w:eastAsia="zh-CN"/>
        </w:rPr>
        <w:t>条之一　</w:t>
      </w:r>
      <w:r>
        <w:rPr>
          <w:rFonts w:ascii="仿宋_GB2312" w:hAnsi="仿宋_GB2312" w:eastAsia="仿宋_GB2312" w:cs="仿宋_GB2312"/>
          <w:sz w:val="32"/>
        </w:rPr>
        <w:t>为境外的机构、组织、人员窃取、刺探、收买、非法提供商业秘密的，处五年以下有期徒刑，并处或者单处罚金；情节严重的，处五年以上有期徒刑，并处罚金。</w:t>
      </w:r>
    </w:p>
    <w:p>
      <w:pPr>
        <w:spacing w:line="240" w:lineRule="auto"/>
        <w:ind w:firstLine="640"/>
        <w:jc w:val="both"/>
      </w:pPr>
      <w:r>
        <w:rPr>
          <w:rFonts w:ascii="黑体" w:hAnsi="黑体" w:eastAsia="黑体" w:cs="黑体"/>
          <w:sz w:val="32"/>
        </w:rPr>
        <w:t>第二百二十条</w:t>
      </w:r>
      <w:r>
        <w:rPr>
          <w:rFonts w:ascii="仿宋_GB2312" w:hAnsi="仿宋_GB2312" w:eastAsia="仿宋_GB2312" w:cs="仿宋_GB2312"/>
          <w:sz w:val="32"/>
        </w:rPr>
        <w:t>　单位犯本节第二百一十三条至第二百一十九条之一规定之罪的，对单位判处罚金，并对其直接负责的主管人员和其他直接责任人员，依照本节各该条的规定处罚。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第八节　扰乱市场秩序罪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第二百二十一条</w:t>
      </w:r>
      <w:r>
        <w:rPr>
          <w:rFonts w:ascii="仿宋_GB2312" w:hAnsi="仿宋_GB2312" w:eastAsia="仿宋_GB2312" w:cs="仿宋_GB2312"/>
          <w:sz w:val="32"/>
        </w:rPr>
        <w:t>　捏造并散布虚伪事实，损害他人的商业信誉、商品声誉，给他人造成重大损失或者有其他严重情节的，处二年以下有期徒刑或者拘役，并处或者单处罚金。</w:t>
      </w:r>
    </w:p>
    <w:p>
      <w:pPr>
        <w:spacing w:line="240" w:lineRule="auto"/>
        <w:ind w:firstLine="640"/>
        <w:jc w:val="both"/>
      </w:pPr>
      <w:r>
        <w:rPr>
          <w:rFonts w:ascii="黑体" w:hAnsi="黑体" w:eastAsia="黑体" w:cs="黑体"/>
          <w:sz w:val="32"/>
        </w:rPr>
        <w:t>第二百二十二条</w:t>
      </w:r>
      <w:r>
        <w:rPr>
          <w:rFonts w:ascii="仿宋_GB2312" w:hAnsi="仿宋_GB2312" w:eastAsia="仿宋_GB2312" w:cs="仿宋_GB2312"/>
          <w:sz w:val="32"/>
        </w:rPr>
        <w:t>　广告主、广告经营者、广告发布者违反国家规定，利用广告对商品或者服务作虚假宣传，情节严重的，处二年以下有期徒刑或者拘役，并处或者单处罚金。</w:t>
      </w:r>
    </w:p>
    <w:p>
      <w:pPr>
        <w:spacing w:line="240" w:lineRule="auto"/>
        <w:ind w:firstLine="640"/>
        <w:jc w:val="both"/>
      </w:pPr>
      <w:r>
        <w:rPr>
          <w:rFonts w:ascii="黑体" w:hAnsi="黑体" w:eastAsia="黑体" w:cs="黑体"/>
          <w:sz w:val="32"/>
        </w:rPr>
        <w:t>第二百二十三条</w:t>
      </w:r>
      <w:r>
        <w:rPr>
          <w:rFonts w:ascii="仿宋_GB2312" w:hAnsi="仿宋_GB2312" w:eastAsia="仿宋_GB2312" w:cs="仿宋_GB2312"/>
          <w:sz w:val="32"/>
        </w:rPr>
        <w:t>　投标人相互串通投标报价，损害招标人或者其他投标人利益，情节严重的，处三年以下有期徒刑或者拘役，并处或者单处罚金。</w:t>
      </w:r>
    </w:p>
    <w:p>
      <w:pPr>
        <w:spacing w:line="240" w:lineRule="auto"/>
        <w:ind w:firstLine="640"/>
        <w:jc w:val="both"/>
      </w:pPr>
      <w:r>
        <w:rPr>
          <w:rFonts w:ascii="仿宋_GB2312" w:hAnsi="仿宋_GB2312" w:eastAsia="仿宋_GB2312" w:cs="仿宋_GB2312"/>
          <w:sz w:val="32"/>
        </w:rPr>
        <w:t>投标人与招标人串通投标，损害国家、集体、公民的合法利益的，依照前款的规定处罚。</w:t>
      </w:r>
    </w:p>
    <w:p>
      <w:pPr>
        <w:spacing w:line="240" w:lineRule="auto"/>
        <w:ind w:firstLine="640"/>
        <w:jc w:val="both"/>
      </w:pPr>
      <w:r>
        <w:rPr>
          <w:rFonts w:ascii="黑体" w:hAnsi="黑体" w:eastAsia="黑体" w:cs="黑体"/>
          <w:sz w:val="32"/>
        </w:rPr>
        <w:t>第二百二十四条</w:t>
      </w:r>
      <w:r>
        <w:rPr>
          <w:rFonts w:ascii="仿宋_GB2312" w:hAnsi="仿宋_GB2312" w:eastAsia="仿宋_GB2312" w:cs="仿宋_GB2312"/>
          <w:sz w:val="32"/>
        </w:rPr>
        <w:t>　有下列情形之一，以非法占有为目的，在签订、履行合同过程中，骗取对方当事人财物，数额较大的，处三年以下有期徒刑或者拘役，并处或者单处罚金；数额巨大或者有其他严重情节的，处三年以上十年以下有期徒刑，并处罚金；数额特别巨大或者有其他特别严重情节的，处十年以上有期徒刑或者无期徒刑，并处罚金或者没收财产：</w:t>
      </w:r>
    </w:p>
    <w:p>
      <w:pPr>
        <w:spacing w:line="240" w:lineRule="auto"/>
        <w:ind w:firstLine="640"/>
        <w:jc w:val="both"/>
      </w:pPr>
      <w:r>
        <w:rPr>
          <w:rFonts w:ascii="仿宋_GB2312" w:hAnsi="仿宋_GB2312" w:eastAsia="仿宋_GB2312" w:cs="仿宋_GB2312"/>
          <w:sz w:val="32"/>
        </w:rPr>
        <w:t>（一）以虚构的单位或者冒用他人名义签订合同的；</w:t>
      </w:r>
    </w:p>
    <w:p>
      <w:pPr>
        <w:spacing w:line="240" w:lineRule="auto"/>
        <w:ind w:firstLine="640"/>
        <w:jc w:val="both"/>
      </w:pPr>
      <w:r>
        <w:rPr>
          <w:rFonts w:ascii="仿宋_GB2312" w:hAnsi="仿宋_GB2312" w:eastAsia="仿宋_GB2312" w:cs="仿宋_GB2312"/>
          <w:sz w:val="32"/>
        </w:rPr>
        <w:t>（二）以伪造、变造、作废的票据或者其他虚假的产权证明作担保的；</w:t>
      </w:r>
    </w:p>
    <w:p>
      <w:pPr>
        <w:spacing w:line="240" w:lineRule="auto"/>
        <w:ind w:firstLine="640"/>
        <w:jc w:val="both"/>
      </w:pPr>
      <w:r>
        <w:rPr>
          <w:rFonts w:ascii="仿宋_GB2312" w:hAnsi="仿宋_GB2312" w:eastAsia="仿宋_GB2312" w:cs="仿宋_GB2312"/>
          <w:sz w:val="32"/>
        </w:rPr>
        <w:t>（三）没有实际履行能力，以先履行小额合同或者部分履行合同的方法，诱骗对方当事人继续签订和履行合同的；</w:t>
      </w:r>
    </w:p>
    <w:p>
      <w:pPr>
        <w:spacing w:line="240" w:lineRule="auto"/>
        <w:ind w:firstLine="640"/>
        <w:jc w:val="both"/>
      </w:pPr>
      <w:r>
        <w:rPr>
          <w:rFonts w:ascii="仿宋_GB2312" w:hAnsi="仿宋_GB2312" w:eastAsia="仿宋_GB2312" w:cs="仿宋_GB2312"/>
          <w:sz w:val="32"/>
        </w:rPr>
        <w:t>（四）收受对方当事人给付的货物、货款、预付款或者担保财产后逃匿的；</w:t>
      </w:r>
    </w:p>
    <w:p>
      <w:pPr>
        <w:spacing w:line="240" w:lineRule="auto"/>
        <w:ind w:firstLine="640"/>
        <w:jc w:val="both"/>
      </w:pPr>
      <w:r>
        <w:rPr>
          <w:rFonts w:ascii="仿宋_GB2312" w:hAnsi="仿宋_GB2312" w:eastAsia="仿宋_GB2312" w:cs="仿宋_GB2312"/>
          <w:sz w:val="32"/>
        </w:rPr>
        <w:t>（五）以其他方法骗取对方当事人财物的。</w:t>
      </w:r>
    </w:p>
    <w:p>
      <w:pPr>
        <w:spacing w:line="240" w:lineRule="auto"/>
        <w:ind w:firstLine="640"/>
        <w:jc w:val="both"/>
      </w:pPr>
      <w:r>
        <w:rPr>
          <w:rFonts w:ascii="黑体" w:hAnsi="黑体" w:eastAsia="黑体" w:cs="黑体"/>
          <w:sz w:val="32"/>
        </w:rPr>
        <w:t>第二百二十四</w:t>
      </w:r>
      <w:r>
        <w:rPr>
          <w:rFonts w:hint="eastAsia" w:ascii="黑体" w:hAnsi="黑体" w:eastAsia="黑体" w:cs="黑体"/>
          <w:sz w:val="32"/>
          <w:lang w:eastAsia="zh-CN"/>
        </w:rPr>
        <w:t>条之一　</w:t>
      </w:r>
      <w:r>
        <w:rPr>
          <w:rFonts w:ascii="仿宋_GB2312" w:hAnsi="仿宋_GB2312" w:eastAsia="仿宋_GB2312" w:cs="仿宋_GB2312"/>
          <w:sz w:val="32"/>
        </w:rPr>
        <w:t>组织、领导以推销商品、提供服务等经营活动为名，要求参加者以缴纳费用或者购买商品、服务等方式获得加入资格，并按照一定顺序组成层级，直接或者间接以发展人员的数量作为计酬或者返利依据，引诱、胁迫参加者继续发展他人参加，骗取财物，扰乱经济社会秩序的传销活动的，处五年以下有期徒刑或者拘役，并处罚金；情节严重的，处五年以上有期徒刑，并处罚金。</w:t>
      </w:r>
    </w:p>
    <w:p>
      <w:pPr>
        <w:spacing w:line="240" w:lineRule="auto"/>
        <w:ind w:firstLine="640"/>
        <w:jc w:val="both"/>
      </w:pPr>
      <w:r>
        <w:rPr>
          <w:rFonts w:ascii="黑体" w:hAnsi="黑体" w:eastAsia="黑体" w:cs="黑体"/>
          <w:sz w:val="32"/>
        </w:rPr>
        <w:t>第二百二十五条</w:t>
      </w:r>
      <w:r>
        <w:rPr>
          <w:rFonts w:ascii="仿宋_GB2312" w:hAnsi="仿宋_GB2312" w:eastAsia="仿宋_GB2312" w:cs="仿宋_GB2312"/>
          <w:sz w:val="32"/>
        </w:rPr>
        <w:t>　违反国家规定，有下列非法经营行为之一，扰乱市场秩序，情节严重的，处五年以下有期徒刑或者拘役，并处或者单处违法所得一倍以上五倍以下罚金；情节特别严重的，处五年以上有期徒刑，并处违法所得一倍以上五倍以下罚金或者没收财产：</w:t>
      </w:r>
    </w:p>
    <w:p>
      <w:pPr>
        <w:spacing w:line="240" w:lineRule="auto"/>
        <w:ind w:firstLine="640"/>
        <w:jc w:val="both"/>
      </w:pPr>
      <w:r>
        <w:rPr>
          <w:rFonts w:ascii="仿宋_GB2312" w:hAnsi="仿宋_GB2312" w:eastAsia="仿宋_GB2312" w:cs="仿宋_GB2312"/>
          <w:sz w:val="32"/>
        </w:rPr>
        <w:t>（一）未经许可经营法律、行政法规规定的专营、专卖物品或者其他限制买卖的物品的；</w:t>
      </w:r>
    </w:p>
    <w:p>
      <w:pPr>
        <w:spacing w:line="240" w:lineRule="auto"/>
        <w:ind w:firstLine="640"/>
        <w:jc w:val="both"/>
      </w:pPr>
      <w:r>
        <w:rPr>
          <w:rFonts w:ascii="仿宋_GB2312" w:hAnsi="仿宋_GB2312" w:eastAsia="仿宋_GB2312" w:cs="仿宋_GB2312"/>
          <w:sz w:val="32"/>
        </w:rPr>
        <w:t>（二）买卖进出口许可证、进出口原产地证明以及其他法律、行政法规规定的经营许可证或者批准文件的；</w:t>
      </w:r>
    </w:p>
    <w:p>
      <w:pPr>
        <w:spacing w:line="240" w:lineRule="auto"/>
        <w:ind w:firstLine="640"/>
        <w:jc w:val="both"/>
      </w:pPr>
      <w:r>
        <w:rPr>
          <w:rFonts w:ascii="仿宋_GB2312" w:hAnsi="仿宋_GB2312" w:eastAsia="仿宋_GB2312" w:cs="仿宋_GB2312"/>
          <w:sz w:val="32"/>
        </w:rPr>
        <w:t>（三）未经国家有关主管部门批准非法经营证券、期货、保险业务的，或者非法从事资金支付结算业务的；</w:t>
      </w:r>
    </w:p>
    <w:p>
      <w:pPr>
        <w:spacing w:line="240" w:lineRule="auto"/>
        <w:ind w:firstLine="640"/>
        <w:jc w:val="both"/>
      </w:pPr>
      <w:r>
        <w:rPr>
          <w:rFonts w:ascii="仿宋_GB2312" w:hAnsi="仿宋_GB2312" w:eastAsia="仿宋_GB2312" w:cs="仿宋_GB2312"/>
          <w:sz w:val="32"/>
        </w:rPr>
        <w:t>（四）其他严重扰乱市场秩序的非法经营行为。</w:t>
      </w:r>
    </w:p>
    <w:p>
      <w:pPr>
        <w:spacing w:line="240" w:lineRule="auto"/>
        <w:ind w:firstLine="640"/>
        <w:jc w:val="both"/>
      </w:pPr>
      <w:r>
        <w:rPr>
          <w:rFonts w:ascii="黑体" w:hAnsi="黑体" w:eastAsia="黑体" w:cs="黑体"/>
          <w:sz w:val="32"/>
        </w:rPr>
        <w:t>第二百二十六条</w:t>
      </w:r>
      <w:r>
        <w:rPr>
          <w:rFonts w:ascii="仿宋_GB2312" w:hAnsi="仿宋_GB2312" w:eastAsia="仿宋_GB2312" w:cs="仿宋_GB2312"/>
          <w:sz w:val="32"/>
        </w:rPr>
        <w:t>　以暴力、威胁手段，实施下列行为之一，情节严重的，处三年以下有期徒刑或者拘役，并处或者单处罚金；情节特别严重的，处三年以上七年以下有期徒刑，并处罚金：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（一）强买强卖商品的；</w:t>
      </w:r>
    </w:p>
    <w:p>
      <w:pPr>
        <w:spacing w:line="240" w:lineRule="auto"/>
        <w:ind w:firstLine="640"/>
        <w:jc w:val="both"/>
      </w:pPr>
      <w:r>
        <w:rPr>
          <w:rFonts w:ascii="仿宋_GB2312" w:hAnsi="仿宋_GB2312" w:eastAsia="仿宋_GB2312" w:cs="仿宋_GB2312"/>
          <w:sz w:val="32"/>
        </w:rPr>
        <w:t>（二）强迫他人提供或者接受服务的；</w:t>
      </w:r>
    </w:p>
    <w:p>
      <w:pPr>
        <w:spacing w:line="240" w:lineRule="auto"/>
        <w:ind w:firstLine="640"/>
        <w:jc w:val="both"/>
      </w:pPr>
      <w:r>
        <w:rPr>
          <w:rFonts w:ascii="仿宋_GB2312" w:hAnsi="仿宋_GB2312" w:eastAsia="仿宋_GB2312" w:cs="仿宋_GB2312"/>
          <w:sz w:val="32"/>
        </w:rPr>
        <w:t>（三）强迫他人参与或者退出投标、拍卖的；</w:t>
      </w:r>
    </w:p>
    <w:p>
      <w:pPr>
        <w:spacing w:line="240" w:lineRule="auto"/>
        <w:ind w:firstLine="640"/>
        <w:jc w:val="both"/>
      </w:pPr>
      <w:r>
        <w:rPr>
          <w:rFonts w:ascii="仿宋_GB2312" w:hAnsi="仿宋_GB2312" w:eastAsia="仿宋_GB2312" w:cs="仿宋_GB2312"/>
          <w:sz w:val="32"/>
        </w:rPr>
        <w:t>（四）强迫他人转让或者收购公司、企业的股份、债券或者其他资产的；</w:t>
      </w:r>
    </w:p>
    <w:p>
      <w:pPr>
        <w:spacing w:line="240" w:lineRule="auto"/>
        <w:ind w:firstLine="640"/>
        <w:jc w:val="both"/>
      </w:pPr>
      <w:r>
        <w:rPr>
          <w:rFonts w:ascii="仿宋_GB2312" w:hAnsi="仿宋_GB2312" w:eastAsia="仿宋_GB2312" w:cs="仿宋_GB2312"/>
          <w:sz w:val="32"/>
        </w:rPr>
        <w:t>（五）强迫他人参与或者退出特定的经营活动的。</w:t>
      </w:r>
    </w:p>
    <w:p>
      <w:pPr>
        <w:spacing w:line="240" w:lineRule="auto"/>
        <w:ind w:firstLine="640"/>
        <w:jc w:val="both"/>
      </w:pPr>
      <w:r>
        <w:rPr>
          <w:rFonts w:ascii="黑体" w:hAnsi="黑体" w:eastAsia="黑体" w:cs="黑体"/>
          <w:sz w:val="32"/>
        </w:rPr>
        <w:t>第二百二十七条</w:t>
      </w:r>
      <w:r>
        <w:rPr>
          <w:rFonts w:ascii="仿宋_GB2312" w:hAnsi="仿宋_GB2312" w:eastAsia="仿宋_GB2312" w:cs="仿宋_GB2312"/>
          <w:sz w:val="32"/>
        </w:rPr>
        <w:t>　伪造或者倒卖伪造的车票、船票、邮票或者其他有价票证，数额较大的，处二年以下有期徒刑、拘役或者管制，并处或者单处票证价额一倍以上五倍以下罚金；数额巨大的，处二年以上七年以下有期徒刑，并处票证价额一倍以上五倍以下罚金。</w:t>
      </w:r>
    </w:p>
    <w:p>
      <w:pPr>
        <w:spacing w:line="240" w:lineRule="auto"/>
        <w:ind w:firstLine="640"/>
        <w:jc w:val="both"/>
      </w:pPr>
      <w:r>
        <w:rPr>
          <w:rFonts w:ascii="仿宋_GB2312" w:hAnsi="仿宋_GB2312" w:eastAsia="仿宋_GB2312" w:cs="仿宋_GB2312"/>
          <w:sz w:val="32"/>
        </w:rPr>
        <w:t>倒卖车票、船票，情节严重的，处三年以下有期徒刑、拘役或者管制，并处或者单处票证价额一倍以上五倍以下罚金。</w:t>
      </w:r>
    </w:p>
    <w:p>
      <w:pPr>
        <w:spacing w:line="240" w:lineRule="auto"/>
        <w:ind w:firstLine="640"/>
        <w:jc w:val="both"/>
      </w:pPr>
      <w:r>
        <w:rPr>
          <w:rFonts w:ascii="黑体" w:hAnsi="黑体" w:eastAsia="黑体" w:cs="黑体"/>
          <w:sz w:val="32"/>
        </w:rPr>
        <w:t>第二百二十八条</w:t>
      </w:r>
      <w:r>
        <w:rPr>
          <w:rFonts w:ascii="仿宋_GB2312" w:hAnsi="仿宋_GB2312" w:eastAsia="仿宋_GB2312" w:cs="仿宋_GB2312"/>
          <w:sz w:val="32"/>
        </w:rPr>
        <w:t>　以牟利为目的，违反土地管理法规，非法转让、倒卖土地使用权，情节严重的，处三年以下有期徒刑或者拘役，并处或者单处非法转让、倒卖土地使用权价额百分之五以上百分之二十以下罚金；情节特别严重的，处三年以上七年以下有期徒刑，并处非法转让、倒卖土地使用权价额百分之五以上百分之二十以下罚金。</w:t>
      </w:r>
    </w:p>
    <w:p>
      <w:pPr>
        <w:spacing w:line="240" w:lineRule="auto"/>
        <w:ind w:firstLine="640"/>
        <w:jc w:val="both"/>
      </w:pPr>
      <w:r>
        <w:rPr>
          <w:rFonts w:ascii="黑体" w:hAnsi="黑体" w:eastAsia="黑体" w:cs="黑体"/>
          <w:sz w:val="32"/>
        </w:rPr>
        <w:t>第二百二十九条</w:t>
      </w:r>
      <w:r>
        <w:rPr>
          <w:rFonts w:ascii="仿宋_GB2312" w:hAnsi="仿宋_GB2312" w:eastAsia="仿宋_GB2312" w:cs="仿宋_GB2312"/>
          <w:sz w:val="32"/>
        </w:rPr>
        <w:t>　承担资产评估、验资、验证、会计、审计、法律服务、保荐、安全评价、环境影响评价、环境监测等职责的中介组织的人员故意提供虚假证明文件，情节严重的，处五年以下有期徒刑或者拘役，并处罚金；有下列情形之一的，处五年以上十年以下有期徒刑，并处罚金：</w:t>
      </w:r>
    </w:p>
    <w:p>
      <w:pPr>
        <w:spacing w:line="240" w:lineRule="auto"/>
        <w:ind w:firstLine="640"/>
        <w:jc w:val="both"/>
      </w:pPr>
      <w:r>
        <w:rPr>
          <w:rFonts w:ascii="仿宋_GB2312" w:hAnsi="仿宋_GB2312" w:eastAsia="仿宋_GB2312" w:cs="仿宋_GB2312"/>
          <w:sz w:val="32"/>
        </w:rPr>
        <w:t>（一）提供与证券发行相关的虚假的资产评估、会计、审计、法律服务、保荐等证明文件，情节特别严重的；</w:t>
      </w:r>
    </w:p>
    <w:p>
      <w:pPr>
        <w:spacing w:line="240" w:lineRule="auto"/>
        <w:ind w:firstLine="640"/>
        <w:jc w:val="both"/>
      </w:pPr>
      <w:r>
        <w:rPr>
          <w:rFonts w:ascii="仿宋_GB2312" w:hAnsi="仿宋_GB2312" w:eastAsia="仿宋_GB2312" w:cs="仿宋_GB2312"/>
          <w:sz w:val="32"/>
        </w:rPr>
        <w:t>（二）提供与重大资产交易相关的虚假的资产评估、会计、审计等证明文件，情节特别严重的；</w:t>
      </w:r>
    </w:p>
    <w:p>
      <w:pPr>
        <w:spacing w:line="240" w:lineRule="auto"/>
        <w:ind w:firstLine="640"/>
        <w:jc w:val="both"/>
      </w:pPr>
      <w:r>
        <w:rPr>
          <w:rFonts w:ascii="仿宋_GB2312" w:hAnsi="仿宋_GB2312" w:eastAsia="仿宋_GB2312" w:cs="仿宋_GB2312"/>
          <w:sz w:val="32"/>
        </w:rPr>
        <w:t>（三）在涉及公共安全的重大工程、项目中提供虚假的安全评价、环境影响评价等证明文件，致使公共财产、国家和人民利益遭受特别重大损失的。</w:t>
      </w:r>
    </w:p>
    <w:p>
      <w:pPr>
        <w:spacing w:line="240" w:lineRule="auto"/>
        <w:ind w:firstLine="640"/>
        <w:jc w:val="both"/>
      </w:pPr>
      <w:r>
        <w:rPr>
          <w:rFonts w:ascii="仿宋_GB2312" w:hAnsi="仿宋_GB2312" w:eastAsia="仿宋_GB2312" w:cs="仿宋_GB2312"/>
          <w:sz w:val="32"/>
        </w:rPr>
        <w:t>有前款行为，同时索取他人财物或者非法收受他人财物构成犯罪的，依照处罚较重的规定定罪处罚。</w:t>
      </w:r>
    </w:p>
    <w:p>
      <w:pPr>
        <w:spacing w:line="240" w:lineRule="auto"/>
        <w:ind w:firstLine="640"/>
        <w:jc w:val="both"/>
      </w:pPr>
      <w:r>
        <w:rPr>
          <w:rFonts w:ascii="仿宋_GB2312" w:hAnsi="仿宋_GB2312" w:eastAsia="仿宋_GB2312" w:cs="仿宋_GB2312"/>
          <w:sz w:val="32"/>
        </w:rPr>
        <w:t>第一款规定的人员，严重不负责任，出具的证明文件有重大失实，造成严重后果的，处三年以下有期徒刑或者拘役，并处或者单处罚金。</w:t>
      </w:r>
    </w:p>
    <w:p>
      <w:pPr>
        <w:spacing w:line="240" w:lineRule="auto"/>
        <w:ind w:firstLine="640"/>
        <w:jc w:val="both"/>
      </w:pPr>
      <w:r>
        <w:rPr>
          <w:rFonts w:ascii="黑体" w:hAnsi="黑体" w:eastAsia="黑体" w:cs="黑体"/>
          <w:sz w:val="32"/>
        </w:rPr>
        <w:t>第二百三十条</w:t>
      </w:r>
      <w:r>
        <w:rPr>
          <w:rFonts w:ascii="仿宋_GB2312" w:hAnsi="仿宋_GB2312" w:eastAsia="仿宋_GB2312" w:cs="仿宋_GB2312"/>
          <w:sz w:val="32"/>
        </w:rPr>
        <w:t>　违反进出口商品检验法的规定，逃避商品检验，将必须经商检机构检验的进口商品未报经检验而擅自销售、使用，或者将必须经商检机构检验的出口商品未报经检验合格而擅自出口，情节严重的，处三年以下有期徒刑或者拘役，并处或者单处罚金。</w:t>
      </w:r>
    </w:p>
    <w:p>
      <w:pPr>
        <w:spacing w:line="240" w:lineRule="auto"/>
        <w:ind w:firstLine="640"/>
        <w:jc w:val="both"/>
      </w:pPr>
      <w:r>
        <w:rPr>
          <w:rFonts w:ascii="黑体" w:hAnsi="黑体" w:eastAsia="黑体" w:cs="黑体"/>
          <w:sz w:val="32"/>
        </w:rPr>
        <w:t>第二百三十一条</w:t>
      </w:r>
      <w:r>
        <w:rPr>
          <w:rFonts w:ascii="仿宋_GB2312" w:hAnsi="仿宋_GB2312" w:eastAsia="仿宋_GB2312" w:cs="仿宋_GB2312"/>
          <w:sz w:val="32"/>
        </w:rPr>
        <w:t>　单位犯本节第二百二十一条至第二百三十条规定之罪的，对单位判处罚金，并对其直接负责的主管人员和其他直接责任人员，依照本节各该条的规定处罚。</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第四章　侵犯公民人身权利、民主权利罪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第二百三十二条</w:t>
      </w:r>
      <w:r>
        <w:rPr>
          <w:rFonts w:ascii="仿宋_GB2312" w:hAnsi="仿宋_GB2312" w:eastAsia="仿宋_GB2312" w:cs="仿宋_GB2312"/>
          <w:sz w:val="32"/>
        </w:rPr>
        <w:t>　故意杀人的，处死刑、无期徒刑或者十年以上有期徒刑；情节较轻的，处三年以上十年以下有期徒刑。</w:t>
      </w:r>
    </w:p>
    <w:p>
      <w:pPr>
        <w:spacing w:line="240" w:lineRule="auto"/>
        <w:ind w:firstLine="640"/>
        <w:jc w:val="both"/>
      </w:pPr>
      <w:r>
        <w:rPr>
          <w:rFonts w:ascii="黑体" w:hAnsi="黑体" w:eastAsia="黑体" w:cs="黑体"/>
          <w:sz w:val="32"/>
        </w:rPr>
        <w:t>第二百三十三条</w:t>
      </w:r>
      <w:r>
        <w:rPr>
          <w:rFonts w:ascii="仿宋_GB2312" w:hAnsi="仿宋_GB2312" w:eastAsia="仿宋_GB2312" w:cs="仿宋_GB2312"/>
          <w:sz w:val="32"/>
        </w:rPr>
        <w:t>　过失致人死亡的，处三年以上七年以下有期徒刑；情节较轻的，处三年以下有期徒刑。本法另有规定的，依照规定。</w:t>
      </w:r>
    </w:p>
    <w:p>
      <w:pPr>
        <w:spacing w:line="240" w:lineRule="auto"/>
        <w:ind w:firstLine="640"/>
        <w:jc w:val="both"/>
      </w:pPr>
      <w:r>
        <w:rPr>
          <w:rFonts w:ascii="黑体" w:hAnsi="黑体" w:eastAsia="黑体" w:cs="黑体"/>
          <w:sz w:val="32"/>
        </w:rPr>
        <w:t>第二百三十四条</w:t>
      </w:r>
      <w:r>
        <w:rPr>
          <w:rFonts w:ascii="仿宋_GB2312" w:hAnsi="仿宋_GB2312" w:eastAsia="仿宋_GB2312" w:cs="仿宋_GB2312"/>
          <w:sz w:val="32"/>
        </w:rPr>
        <w:t>　故意伤害他人身体的，处三年以下有期徒刑、拘役或者管制。</w:t>
      </w:r>
    </w:p>
    <w:p>
      <w:pPr>
        <w:spacing w:line="240" w:lineRule="auto"/>
        <w:ind w:firstLine="640"/>
        <w:jc w:val="both"/>
      </w:pPr>
      <w:r>
        <w:rPr>
          <w:rFonts w:ascii="仿宋_GB2312" w:hAnsi="仿宋_GB2312" w:eastAsia="仿宋_GB2312" w:cs="仿宋_GB2312"/>
          <w:sz w:val="32"/>
        </w:rPr>
        <w:t>犯前款罪，致人重伤的，处三年以上十年以下有期徒刑；致人死亡或者以特别残忍手段致人重伤造成严重残疾的，处十年以上有期徒刑、无期徒刑或者死刑。本法另有规定的，依照规定。</w:t>
      </w:r>
    </w:p>
    <w:p>
      <w:pPr>
        <w:spacing w:line="240" w:lineRule="auto"/>
        <w:ind w:firstLine="640"/>
        <w:jc w:val="both"/>
      </w:pPr>
      <w:r>
        <w:rPr>
          <w:rFonts w:ascii="黑体" w:hAnsi="黑体" w:eastAsia="黑体" w:cs="黑体"/>
          <w:sz w:val="32"/>
        </w:rPr>
        <w:t>第二百三十四</w:t>
      </w:r>
      <w:r>
        <w:rPr>
          <w:rFonts w:hint="eastAsia" w:ascii="黑体" w:hAnsi="黑体" w:eastAsia="黑体" w:cs="黑体"/>
          <w:sz w:val="32"/>
          <w:lang w:eastAsia="zh-CN"/>
        </w:rPr>
        <w:t>条之一　</w:t>
      </w:r>
      <w:r>
        <w:rPr>
          <w:rFonts w:ascii="仿宋_GB2312" w:hAnsi="仿宋_GB2312" w:eastAsia="仿宋_GB2312" w:cs="仿宋_GB2312"/>
          <w:sz w:val="32"/>
        </w:rPr>
        <w:t>组织他人出卖人体器官的，处五年以下有期徒刑，并处罚金；情节严重的，处五年以上有期徒刑，并处罚金或者没收财产。</w:t>
      </w:r>
    </w:p>
    <w:p>
      <w:pPr>
        <w:spacing w:line="240" w:lineRule="auto"/>
        <w:ind w:firstLine="640"/>
        <w:jc w:val="both"/>
      </w:pPr>
      <w:r>
        <w:rPr>
          <w:rFonts w:ascii="仿宋_GB2312" w:hAnsi="仿宋_GB2312" w:eastAsia="仿宋_GB2312" w:cs="仿宋_GB2312"/>
          <w:sz w:val="32"/>
        </w:rPr>
        <w:t>未经本人同意摘取其器官，或者摘取不满十八周岁的人的器官，或者强迫、欺骗他人捐献器官的，依照本法第二百三十四条、第二百三十二条的规定定罪处罚。</w:t>
      </w:r>
    </w:p>
    <w:p>
      <w:pPr>
        <w:spacing w:line="240" w:lineRule="auto"/>
        <w:ind w:firstLine="640"/>
        <w:jc w:val="both"/>
      </w:pPr>
      <w:r>
        <w:rPr>
          <w:rFonts w:ascii="仿宋_GB2312" w:hAnsi="仿宋_GB2312" w:eastAsia="仿宋_GB2312" w:cs="仿宋_GB2312"/>
          <w:sz w:val="32"/>
        </w:rPr>
        <w:t>违背本人生前意愿摘取其尸体器官，或者本人生前未表示同意，违反国家规定，违背其近亲属意愿摘取其尸体器官的，依照本法第三百零二条的规定定罪处罚。</w:t>
      </w:r>
    </w:p>
    <w:p>
      <w:pPr>
        <w:spacing w:line="240" w:lineRule="auto"/>
        <w:ind w:firstLine="640"/>
        <w:jc w:val="both"/>
      </w:pPr>
      <w:r>
        <w:rPr>
          <w:rFonts w:ascii="黑体" w:hAnsi="黑体" w:eastAsia="黑体" w:cs="黑体"/>
          <w:sz w:val="32"/>
        </w:rPr>
        <w:t>第二百三十五条</w:t>
      </w:r>
      <w:r>
        <w:rPr>
          <w:rFonts w:ascii="仿宋_GB2312" w:hAnsi="仿宋_GB2312" w:eastAsia="仿宋_GB2312" w:cs="仿宋_GB2312"/>
          <w:sz w:val="32"/>
        </w:rPr>
        <w:t>　过失伤害他人致人重伤的，处三年以下有期徒刑或者拘役。本法另有规定的，依照规定。</w:t>
      </w:r>
    </w:p>
    <w:p>
      <w:pPr>
        <w:spacing w:line="240" w:lineRule="auto"/>
        <w:ind w:firstLine="640"/>
        <w:jc w:val="both"/>
      </w:pPr>
      <w:r>
        <w:rPr>
          <w:rFonts w:ascii="黑体" w:hAnsi="黑体" w:eastAsia="黑体" w:cs="黑体"/>
          <w:sz w:val="32"/>
        </w:rPr>
        <w:t>第二百三十六条</w:t>
      </w:r>
      <w:r>
        <w:rPr>
          <w:rFonts w:ascii="仿宋_GB2312" w:hAnsi="仿宋_GB2312" w:eastAsia="仿宋_GB2312" w:cs="仿宋_GB2312"/>
          <w:sz w:val="32"/>
        </w:rPr>
        <w:t>　以暴力、胁迫或者其他手段强奸妇女的，处三年以上十年以下有期徒刑。</w:t>
      </w:r>
    </w:p>
    <w:p>
      <w:pPr>
        <w:spacing w:line="240" w:lineRule="auto"/>
        <w:ind w:firstLine="640"/>
        <w:jc w:val="both"/>
      </w:pPr>
      <w:r>
        <w:rPr>
          <w:rFonts w:ascii="仿宋_GB2312" w:hAnsi="仿宋_GB2312" w:eastAsia="仿宋_GB2312" w:cs="仿宋_GB2312"/>
          <w:sz w:val="32"/>
        </w:rPr>
        <w:t>奸淫不满十四周岁的幼女的，以强奸论，从重处罚。</w:t>
      </w:r>
    </w:p>
    <w:p>
      <w:pPr>
        <w:spacing w:line="240" w:lineRule="auto"/>
        <w:ind w:firstLine="640"/>
        <w:jc w:val="both"/>
      </w:pPr>
      <w:r>
        <w:rPr>
          <w:rFonts w:ascii="仿宋_GB2312" w:hAnsi="仿宋_GB2312" w:eastAsia="仿宋_GB2312" w:cs="仿宋_GB2312"/>
          <w:sz w:val="32"/>
        </w:rPr>
        <w:t>强奸妇女、奸淫幼女，有下列情形之一的，处十年以上有期徒刑、无期徒刑或者死刑：</w:t>
      </w:r>
    </w:p>
    <w:p>
      <w:pPr>
        <w:spacing w:line="240" w:lineRule="auto"/>
        <w:ind w:firstLine="640"/>
        <w:jc w:val="both"/>
      </w:pPr>
      <w:r>
        <w:rPr>
          <w:rFonts w:ascii="仿宋_GB2312" w:hAnsi="仿宋_GB2312" w:eastAsia="仿宋_GB2312" w:cs="仿宋_GB2312"/>
          <w:sz w:val="32"/>
        </w:rPr>
        <w:t>（一）强奸妇女、奸淫幼女情节恶劣的；</w:t>
      </w:r>
    </w:p>
    <w:p>
      <w:pPr>
        <w:spacing w:line="240" w:lineRule="auto"/>
        <w:ind w:firstLine="640"/>
        <w:jc w:val="both"/>
      </w:pPr>
      <w:r>
        <w:rPr>
          <w:rFonts w:ascii="仿宋_GB2312" w:hAnsi="仿宋_GB2312" w:eastAsia="仿宋_GB2312" w:cs="仿宋_GB2312"/>
          <w:sz w:val="32"/>
        </w:rPr>
        <w:t>（二）强奸妇女、奸淫幼女多人的；</w:t>
      </w:r>
    </w:p>
    <w:p>
      <w:pPr>
        <w:spacing w:line="240" w:lineRule="auto"/>
        <w:ind w:firstLine="640"/>
        <w:jc w:val="both"/>
      </w:pPr>
      <w:r>
        <w:rPr>
          <w:rFonts w:ascii="仿宋_GB2312" w:hAnsi="仿宋_GB2312" w:eastAsia="仿宋_GB2312" w:cs="仿宋_GB2312"/>
          <w:sz w:val="32"/>
        </w:rPr>
        <w:t>（三）在公共场所当众强奸妇女、奸淫幼女的；</w:t>
      </w:r>
    </w:p>
    <w:p>
      <w:pPr>
        <w:spacing w:line="240" w:lineRule="auto"/>
        <w:ind w:firstLine="640"/>
        <w:jc w:val="both"/>
      </w:pPr>
      <w:r>
        <w:rPr>
          <w:rFonts w:ascii="仿宋_GB2312" w:hAnsi="仿宋_GB2312" w:eastAsia="仿宋_GB2312" w:cs="仿宋_GB2312"/>
          <w:sz w:val="32"/>
        </w:rPr>
        <w:t>（四）二人以上轮奸的；</w:t>
      </w:r>
    </w:p>
    <w:p>
      <w:pPr>
        <w:spacing w:line="240" w:lineRule="auto"/>
        <w:ind w:firstLine="640"/>
        <w:jc w:val="both"/>
      </w:pPr>
      <w:r>
        <w:rPr>
          <w:rFonts w:ascii="仿宋_GB2312" w:hAnsi="仿宋_GB2312" w:eastAsia="仿宋_GB2312" w:cs="仿宋_GB2312"/>
          <w:sz w:val="32"/>
        </w:rPr>
        <w:t>（五）奸淫不满十周岁的幼女或者造成幼女伤害的；</w:t>
      </w:r>
    </w:p>
    <w:p>
      <w:pPr>
        <w:spacing w:line="240" w:lineRule="auto"/>
        <w:ind w:firstLine="640"/>
        <w:jc w:val="both"/>
      </w:pPr>
      <w:r>
        <w:rPr>
          <w:rFonts w:ascii="仿宋_GB2312" w:hAnsi="仿宋_GB2312" w:eastAsia="仿宋_GB2312" w:cs="仿宋_GB2312"/>
          <w:sz w:val="32"/>
        </w:rPr>
        <w:t>（六）致使被害人重伤、死亡或者造成其他严重后果的。</w:t>
      </w:r>
    </w:p>
    <w:p>
      <w:pPr>
        <w:spacing w:line="240" w:lineRule="auto"/>
        <w:ind w:firstLine="640"/>
        <w:jc w:val="both"/>
      </w:pPr>
      <w:r>
        <w:rPr>
          <w:rFonts w:ascii="黑体" w:hAnsi="黑体" w:eastAsia="黑体" w:cs="黑体"/>
          <w:sz w:val="32"/>
        </w:rPr>
        <w:t>第二百三十六</w:t>
      </w:r>
      <w:r>
        <w:rPr>
          <w:rFonts w:hint="eastAsia" w:ascii="黑体" w:hAnsi="黑体" w:eastAsia="黑体" w:cs="黑体"/>
          <w:sz w:val="32"/>
          <w:lang w:eastAsia="zh-CN"/>
        </w:rPr>
        <w:t>条之一　</w:t>
      </w:r>
      <w:r>
        <w:rPr>
          <w:rFonts w:ascii="仿宋_GB2312" w:hAnsi="仿宋_GB2312" w:eastAsia="仿宋_GB2312" w:cs="仿宋_GB2312"/>
          <w:sz w:val="32"/>
        </w:rPr>
        <w:t>对已满十四周岁不满十六周岁的未成年女性负有监护、收养、看护、教育、医疗等特殊职责的人员，与该未成年女性发生性关系的，处三年以下有期徒刑；情节恶劣的，处三年以上十年以下有期徒刑。</w:t>
      </w:r>
    </w:p>
    <w:p>
      <w:pPr>
        <w:spacing w:line="240" w:lineRule="auto"/>
        <w:ind w:firstLine="640"/>
        <w:jc w:val="both"/>
      </w:pPr>
      <w:r>
        <w:rPr>
          <w:rFonts w:ascii="仿宋_GB2312" w:hAnsi="仿宋_GB2312" w:eastAsia="仿宋_GB2312" w:cs="仿宋_GB2312"/>
          <w:sz w:val="32"/>
        </w:rPr>
        <w:t>有前款行为，同时又构成本法第二百三十六条规定之罪的，依照处罚较重的规定定罪处罚。</w:t>
      </w:r>
    </w:p>
    <w:p>
      <w:pPr>
        <w:spacing w:line="240" w:lineRule="auto"/>
        <w:ind w:firstLine="640"/>
        <w:jc w:val="both"/>
      </w:pPr>
      <w:r>
        <w:rPr>
          <w:rFonts w:ascii="黑体" w:hAnsi="黑体" w:eastAsia="黑体" w:cs="黑体"/>
          <w:sz w:val="32"/>
        </w:rPr>
        <w:t>第二百三十七条</w:t>
      </w:r>
      <w:r>
        <w:rPr>
          <w:rFonts w:ascii="仿宋_GB2312" w:hAnsi="仿宋_GB2312" w:eastAsia="仿宋_GB2312" w:cs="仿宋_GB2312"/>
          <w:sz w:val="32"/>
        </w:rPr>
        <w:t>　以暴力、胁迫或者其他方法强制猥亵他人或者侮辱妇女的，处五年以下有期徒刑或者拘役。</w:t>
      </w:r>
    </w:p>
    <w:p>
      <w:pPr>
        <w:spacing w:line="240" w:lineRule="auto"/>
        <w:ind w:firstLine="640"/>
        <w:jc w:val="both"/>
      </w:pPr>
      <w:r>
        <w:rPr>
          <w:rFonts w:ascii="仿宋_GB2312" w:hAnsi="仿宋_GB2312" w:eastAsia="仿宋_GB2312" w:cs="仿宋_GB2312"/>
          <w:sz w:val="32"/>
        </w:rPr>
        <w:t>聚众或者在公共场所当众犯前款罪的，或者有其他恶劣情节的，处五年以上有期徒刑。</w:t>
      </w:r>
    </w:p>
    <w:p>
      <w:pPr>
        <w:spacing w:line="240" w:lineRule="auto"/>
        <w:ind w:firstLine="640"/>
        <w:jc w:val="both"/>
      </w:pPr>
      <w:r>
        <w:rPr>
          <w:rFonts w:ascii="仿宋_GB2312" w:hAnsi="仿宋_GB2312" w:eastAsia="仿宋_GB2312" w:cs="仿宋_GB2312"/>
          <w:sz w:val="32"/>
        </w:rPr>
        <w:t>猥亵儿童的，处五年以下有期徒刑；有下列情形之一的，处五年以上有期徒刑：</w:t>
      </w:r>
    </w:p>
    <w:p>
      <w:pPr>
        <w:spacing w:line="240" w:lineRule="auto"/>
        <w:ind w:firstLine="640"/>
        <w:jc w:val="both"/>
      </w:pPr>
      <w:r>
        <w:rPr>
          <w:rFonts w:ascii="仿宋_GB2312" w:hAnsi="仿宋_GB2312" w:eastAsia="仿宋_GB2312" w:cs="仿宋_GB2312"/>
          <w:sz w:val="32"/>
        </w:rPr>
        <w:t>（一）猥亵儿童多人或者多次的；</w:t>
      </w:r>
    </w:p>
    <w:p>
      <w:pPr>
        <w:spacing w:line="240" w:lineRule="auto"/>
        <w:ind w:firstLine="640"/>
        <w:jc w:val="both"/>
      </w:pPr>
      <w:r>
        <w:rPr>
          <w:rFonts w:ascii="仿宋_GB2312" w:hAnsi="仿宋_GB2312" w:eastAsia="仿宋_GB2312" w:cs="仿宋_GB2312"/>
          <w:sz w:val="32"/>
        </w:rPr>
        <w:t>（二）聚众猥亵儿童的，或者在公共场所当众猥亵儿童，情节恶劣的；</w:t>
      </w:r>
    </w:p>
    <w:p>
      <w:pPr>
        <w:spacing w:line="240" w:lineRule="auto"/>
        <w:ind w:firstLine="640"/>
        <w:jc w:val="both"/>
      </w:pPr>
      <w:r>
        <w:rPr>
          <w:rFonts w:ascii="仿宋_GB2312" w:hAnsi="仿宋_GB2312" w:eastAsia="仿宋_GB2312" w:cs="仿宋_GB2312"/>
          <w:sz w:val="32"/>
        </w:rPr>
        <w:t>（三）造成儿童伤害或者其他严重后果的；</w:t>
      </w:r>
    </w:p>
    <w:p>
      <w:pPr>
        <w:spacing w:line="240" w:lineRule="auto"/>
        <w:ind w:firstLine="640"/>
        <w:jc w:val="both"/>
      </w:pPr>
      <w:r>
        <w:rPr>
          <w:rFonts w:ascii="仿宋_GB2312" w:hAnsi="仿宋_GB2312" w:eastAsia="仿宋_GB2312" w:cs="仿宋_GB2312"/>
          <w:sz w:val="32"/>
        </w:rPr>
        <w:t>（四）猥亵手段恶劣或者有其他恶劣情节的。</w:t>
      </w:r>
    </w:p>
    <w:p>
      <w:pPr>
        <w:spacing w:line="240" w:lineRule="auto"/>
        <w:ind w:firstLine="640"/>
        <w:jc w:val="both"/>
      </w:pPr>
      <w:r>
        <w:rPr>
          <w:rFonts w:ascii="黑体" w:hAnsi="黑体" w:eastAsia="黑体" w:cs="黑体"/>
          <w:sz w:val="32"/>
        </w:rPr>
        <w:t>第二百三十八条</w:t>
      </w:r>
      <w:r>
        <w:rPr>
          <w:rFonts w:ascii="仿宋_GB2312" w:hAnsi="仿宋_GB2312" w:eastAsia="仿宋_GB2312" w:cs="仿宋_GB2312"/>
          <w:sz w:val="32"/>
        </w:rPr>
        <w:t>　非法拘禁他人或者以其他方法非法剥夺他人人身自由的，处三年以下有期徒刑、拘役、管制或者剥夺政治权利。具有殴打、侮辱情节的，从重处罚。</w:t>
      </w:r>
    </w:p>
    <w:p>
      <w:pPr>
        <w:spacing w:line="240" w:lineRule="auto"/>
        <w:ind w:firstLine="640"/>
        <w:jc w:val="both"/>
      </w:pPr>
      <w:r>
        <w:rPr>
          <w:rFonts w:ascii="仿宋_GB2312" w:hAnsi="仿宋_GB2312" w:eastAsia="仿宋_GB2312" w:cs="仿宋_GB2312"/>
          <w:sz w:val="32"/>
        </w:rPr>
        <w:t>犯前款罪，致人重伤的，处三年以上十年以下有期徒刑；致人死亡的，处十年以上有期徒刑。使用暴力致人伤残、死亡的，依照本法第二百三十四条、第二百三十二条的规定定罪处罚。</w:t>
      </w:r>
    </w:p>
    <w:p>
      <w:pPr>
        <w:spacing w:line="240" w:lineRule="auto"/>
        <w:ind w:firstLine="640"/>
        <w:jc w:val="both"/>
      </w:pPr>
      <w:r>
        <w:rPr>
          <w:rFonts w:ascii="仿宋_GB2312" w:hAnsi="仿宋_GB2312" w:eastAsia="仿宋_GB2312" w:cs="仿宋_GB2312"/>
          <w:sz w:val="32"/>
        </w:rPr>
        <w:t>为索取债务非法扣押、拘禁他人的，依照前两款的规定处罚。</w:t>
      </w:r>
    </w:p>
    <w:p>
      <w:pPr>
        <w:spacing w:line="240" w:lineRule="auto"/>
        <w:ind w:firstLine="640"/>
        <w:jc w:val="both"/>
      </w:pPr>
      <w:r>
        <w:rPr>
          <w:rFonts w:ascii="仿宋_GB2312" w:hAnsi="仿宋_GB2312" w:eastAsia="仿宋_GB2312" w:cs="仿宋_GB2312"/>
          <w:sz w:val="32"/>
        </w:rPr>
        <w:t>国家机关工作人员利用职权犯前三款罪的，依照前三款的规定从重处罚。</w:t>
      </w:r>
    </w:p>
    <w:p>
      <w:pPr>
        <w:spacing w:line="240" w:lineRule="auto"/>
        <w:ind w:firstLine="640"/>
        <w:jc w:val="both"/>
      </w:pPr>
      <w:r>
        <w:rPr>
          <w:rFonts w:ascii="黑体" w:hAnsi="黑体" w:eastAsia="黑体" w:cs="黑体"/>
          <w:sz w:val="32"/>
        </w:rPr>
        <w:t>第二百三十九条</w:t>
      </w:r>
      <w:r>
        <w:rPr>
          <w:rFonts w:ascii="仿宋_GB2312" w:hAnsi="仿宋_GB2312" w:eastAsia="仿宋_GB2312" w:cs="仿宋_GB2312"/>
          <w:sz w:val="32"/>
        </w:rPr>
        <w:t>　以勒索财物为目的绑架他人的，或者绑架他人作为人质的，处十年以上有期徒刑或者无期徒刑，并处罚金或者没收财产；情节较轻的，处五年以上十年以下有期徒刑，并处罚金。</w:t>
      </w:r>
    </w:p>
    <w:p>
      <w:pPr>
        <w:spacing w:line="240" w:lineRule="auto"/>
        <w:ind w:firstLine="640"/>
        <w:jc w:val="both"/>
      </w:pPr>
      <w:r>
        <w:rPr>
          <w:rFonts w:ascii="仿宋_GB2312" w:hAnsi="仿宋_GB2312" w:eastAsia="仿宋_GB2312" w:cs="仿宋_GB2312"/>
          <w:sz w:val="32"/>
        </w:rPr>
        <w:t>犯前款罪，杀害被绑架人的，或者故意伤害被绑架人，致人重伤、死亡的，处无期徒刑或者死刑，并处没收财产。</w:t>
      </w:r>
    </w:p>
    <w:p>
      <w:pPr>
        <w:spacing w:line="240" w:lineRule="auto"/>
        <w:ind w:firstLine="640"/>
        <w:jc w:val="both"/>
      </w:pPr>
      <w:r>
        <w:rPr>
          <w:rFonts w:ascii="仿宋_GB2312" w:hAnsi="仿宋_GB2312" w:eastAsia="仿宋_GB2312" w:cs="仿宋_GB2312"/>
          <w:sz w:val="32"/>
        </w:rPr>
        <w:t>以勒索财物为目的偷盗婴幼儿的，依照前两款的规定处罚。</w:t>
      </w:r>
    </w:p>
    <w:p>
      <w:pPr>
        <w:spacing w:line="240" w:lineRule="auto"/>
        <w:ind w:firstLine="640"/>
        <w:jc w:val="both"/>
      </w:pPr>
      <w:r>
        <w:rPr>
          <w:rFonts w:ascii="黑体" w:hAnsi="黑体" w:eastAsia="黑体" w:cs="黑体"/>
          <w:sz w:val="32"/>
        </w:rPr>
        <w:t>第二百四十条</w:t>
      </w:r>
      <w:r>
        <w:rPr>
          <w:rFonts w:ascii="仿宋_GB2312" w:hAnsi="仿宋_GB2312" w:eastAsia="仿宋_GB2312" w:cs="仿宋_GB2312"/>
          <w:sz w:val="32"/>
        </w:rPr>
        <w:t>　拐卖妇女、儿童的，处五年以上十年以下有期徒刑，并处罚金；有下列情形之一的，处十年以上有期徒刑或者无期徒刑，并处罚金或者没收财产；情节特别严重的，处死刑，并处没收财产：</w:t>
      </w:r>
    </w:p>
    <w:p>
      <w:pPr>
        <w:spacing w:line="240" w:lineRule="auto"/>
        <w:ind w:firstLine="640"/>
        <w:jc w:val="both"/>
      </w:pPr>
      <w:r>
        <w:rPr>
          <w:rFonts w:ascii="仿宋_GB2312" w:hAnsi="仿宋_GB2312" w:eastAsia="仿宋_GB2312" w:cs="仿宋_GB2312"/>
          <w:sz w:val="32"/>
        </w:rPr>
        <w:t>（一）拐卖妇女、儿童集团的首要分子；</w:t>
      </w:r>
    </w:p>
    <w:p>
      <w:pPr>
        <w:spacing w:line="240" w:lineRule="auto"/>
        <w:ind w:firstLine="640"/>
        <w:jc w:val="both"/>
      </w:pPr>
      <w:r>
        <w:rPr>
          <w:rFonts w:ascii="仿宋_GB2312" w:hAnsi="仿宋_GB2312" w:eastAsia="仿宋_GB2312" w:cs="仿宋_GB2312"/>
          <w:sz w:val="32"/>
        </w:rPr>
        <w:t>（二）拐卖妇女、儿童三人以上的；</w:t>
      </w:r>
    </w:p>
    <w:p>
      <w:pPr>
        <w:spacing w:line="240" w:lineRule="auto"/>
        <w:ind w:firstLine="640"/>
        <w:jc w:val="both"/>
      </w:pPr>
      <w:r>
        <w:rPr>
          <w:rFonts w:ascii="仿宋_GB2312" w:hAnsi="仿宋_GB2312" w:eastAsia="仿宋_GB2312" w:cs="仿宋_GB2312"/>
          <w:sz w:val="32"/>
        </w:rPr>
        <w:t>（三）奸淫被拐卖的妇女的；</w:t>
      </w:r>
    </w:p>
    <w:p>
      <w:pPr>
        <w:spacing w:line="240" w:lineRule="auto"/>
        <w:ind w:firstLine="640"/>
        <w:jc w:val="both"/>
      </w:pPr>
      <w:r>
        <w:rPr>
          <w:rFonts w:ascii="仿宋_GB2312" w:hAnsi="仿宋_GB2312" w:eastAsia="仿宋_GB2312" w:cs="仿宋_GB2312"/>
          <w:sz w:val="32"/>
        </w:rPr>
        <w:t>（四）诱骗、强迫被拐卖的妇女卖淫或者将被拐卖的妇女卖给他人迫使其卖淫的；</w:t>
      </w:r>
    </w:p>
    <w:p>
      <w:pPr>
        <w:spacing w:line="240" w:lineRule="auto"/>
        <w:ind w:firstLine="640"/>
        <w:jc w:val="both"/>
      </w:pPr>
      <w:r>
        <w:rPr>
          <w:rFonts w:ascii="仿宋_GB2312" w:hAnsi="仿宋_GB2312" w:eastAsia="仿宋_GB2312" w:cs="仿宋_GB2312"/>
          <w:sz w:val="32"/>
        </w:rPr>
        <w:t>（五）以出卖为目的，使用暴力、胁迫或者麻醉方法绑架妇女、儿童的；</w:t>
      </w:r>
    </w:p>
    <w:p>
      <w:pPr>
        <w:spacing w:line="240" w:lineRule="auto"/>
        <w:ind w:firstLine="640"/>
        <w:jc w:val="both"/>
      </w:pPr>
      <w:r>
        <w:rPr>
          <w:rFonts w:ascii="仿宋_GB2312" w:hAnsi="仿宋_GB2312" w:eastAsia="仿宋_GB2312" w:cs="仿宋_GB2312"/>
          <w:sz w:val="32"/>
        </w:rPr>
        <w:t>（六）以出卖为目的，偷盗婴幼儿的；</w:t>
      </w:r>
    </w:p>
    <w:p>
      <w:pPr>
        <w:spacing w:line="240" w:lineRule="auto"/>
        <w:ind w:firstLine="640"/>
        <w:jc w:val="both"/>
      </w:pPr>
      <w:r>
        <w:rPr>
          <w:rFonts w:ascii="仿宋_GB2312" w:hAnsi="仿宋_GB2312" w:eastAsia="仿宋_GB2312" w:cs="仿宋_GB2312"/>
          <w:sz w:val="32"/>
        </w:rPr>
        <w:t>（七）造成被拐卖的妇女、儿童或者其亲属重伤、死亡或者其他严重后果的；</w:t>
      </w:r>
    </w:p>
    <w:p>
      <w:pPr>
        <w:spacing w:line="240" w:lineRule="auto"/>
        <w:ind w:firstLine="640"/>
        <w:jc w:val="both"/>
      </w:pPr>
      <w:r>
        <w:rPr>
          <w:rFonts w:ascii="仿宋_GB2312" w:hAnsi="仿宋_GB2312" w:eastAsia="仿宋_GB2312" w:cs="仿宋_GB2312"/>
          <w:sz w:val="32"/>
        </w:rPr>
        <w:t>（八）将妇女、儿童卖往境外的。</w:t>
      </w:r>
    </w:p>
    <w:p>
      <w:pPr>
        <w:spacing w:line="240" w:lineRule="auto"/>
        <w:ind w:firstLine="640"/>
        <w:jc w:val="both"/>
      </w:pPr>
      <w:r>
        <w:rPr>
          <w:rFonts w:ascii="仿宋_GB2312" w:hAnsi="仿宋_GB2312" w:eastAsia="仿宋_GB2312" w:cs="仿宋_GB2312"/>
          <w:sz w:val="32"/>
        </w:rPr>
        <w:t>拐卖妇女、儿童是指以出卖为目的，有拐骗、绑架、收买、贩卖、接送、中转妇女、儿童的行为之一的。</w:t>
      </w:r>
    </w:p>
    <w:p>
      <w:pPr>
        <w:spacing w:line="240" w:lineRule="auto"/>
        <w:ind w:firstLine="640"/>
        <w:jc w:val="both"/>
      </w:pPr>
      <w:r>
        <w:rPr>
          <w:rFonts w:ascii="黑体" w:hAnsi="黑体" w:eastAsia="黑体" w:cs="黑体"/>
          <w:sz w:val="32"/>
        </w:rPr>
        <w:t>第二百四十一条</w:t>
      </w:r>
      <w:r>
        <w:rPr>
          <w:rFonts w:ascii="仿宋_GB2312" w:hAnsi="仿宋_GB2312" w:eastAsia="仿宋_GB2312" w:cs="仿宋_GB2312"/>
          <w:sz w:val="32"/>
        </w:rPr>
        <w:t>　收买被拐卖的妇女、儿童的，处三年以下有期徒刑、拘役或者管制。</w:t>
      </w:r>
    </w:p>
    <w:p>
      <w:pPr>
        <w:spacing w:line="240" w:lineRule="auto"/>
        <w:ind w:firstLine="640"/>
        <w:jc w:val="both"/>
      </w:pPr>
      <w:r>
        <w:rPr>
          <w:rFonts w:ascii="仿宋_GB2312" w:hAnsi="仿宋_GB2312" w:eastAsia="仿宋_GB2312" w:cs="仿宋_GB2312"/>
          <w:sz w:val="32"/>
        </w:rPr>
        <w:t>收买被拐卖的妇女，强行与其发生性关系的，依照本法第二百三十六条的规定定罪处罚。</w:t>
      </w:r>
    </w:p>
    <w:p>
      <w:pPr>
        <w:spacing w:line="240" w:lineRule="auto"/>
        <w:ind w:firstLine="640"/>
        <w:jc w:val="both"/>
      </w:pPr>
      <w:r>
        <w:rPr>
          <w:rFonts w:ascii="仿宋_GB2312" w:hAnsi="仿宋_GB2312" w:eastAsia="仿宋_GB2312" w:cs="仿宋_GB2312"/>
          <w:sz w:val="32"/>
        </w:rPr>
        <w:t>收买被拐卖的妇女、儿童，非法剥夺、限制其人身自由或者有伤害、侮辱等犯罪行为的，依照本法的有关规定定罪处罚。</w:t>
      </w:r>
    </w:p>
    <w:p>
      <w:pPr>
        <w:spacing w:line="240" w:lineRule="auto"/>
        <w:ind w:firstLine="640"/>
        <w:jc w:val="both"/>
      </w:pPr>
      <w:r>
        <w:rPr>
          <w:rFonts w:ascii="仿宋_GB2312" w:hAnsi="仿宋_GB2312" w:eastAsia="仿宋_GB2312" w:cs="仿宋_GB2312"/>
          <w:sz w:val="32"/>
        </w:rPr>
        <w:t>收买被拐卖的妇女、儿童，并有第二款、第三款规定的犯罪行为的，依照数罪并罚的规定处罚。</w:t>
      </w:r>
    </w:p>
    <w:p>
      <w:pPr>
        <w:spacing w:line="240" w:lineRule="auto"/>
        <w:ind w:firstLine="640"/>
        <w:jc w:val="both"/>
      </w:pPr>
      <w:r>
        <w:rPr>
          <w:rFonts w:ascii="仿宋_GB2312" w:hAnsi="仿宋_GB2312" w:eastAsia="仿宋_GB2312" w:cs="仿宋_GB2312"/>
          <w:sz w:val="32"/>
        </w:rPr>
        <w:t>收买被拐卖的妇女、儿童又出卖的，依照本法第二百四十条的规定定罪处罚。</w:t>
      </w:r>
    </w:p>
    <w:p>
      <w:pPr>
        <w:spacing w:line="240" w:lineRule="auto"/>
        <w:ind w:firstLine="640"/>
        <w:jc w:val="both"/>
      </w:pPr>
      <w:r>
        <w:rPr>
          <w:rFonts w:ascii="仿宋_GB2312" w:hAnsi="仿宋_GB2312" w:eastAsia="仿宋_GB2312" w:cs="仿宋_GB2312"/>
          <w:sz w:val="32"/>
        </w:rPr>
        <w:t>收买被拐卖的妇女、儿童，对被买儿童没有虐待行为，不阻碍对其进行解救的，可以从轻处罚；按照被买妇女的意愿，不阻碍其返回原居住地的，可以从轻或者减轻处罚。</w:t>
      </w:r>
    </w:p>
    <w:p>
      <w:pPr>
        <w:spacing w:line="240" w:lineRule="auto"/>
        <w:ind w:firstLine="640"/>
        <w:jc w:val="both"/>
      </w:pPr>
      <w:r>
        <w:rPr>
          <w:rFonts w:ascii="黑体" w:hAnsi="黑体" w:eastAsia="黑体" w:cs="黑体"/>
          <w:sz w:val="32"/>
        </w:rPr>
        <w:t>第二百四十二条</w:t>
      </w:r>
      <w:r>
        <w:rPr>
          <w:rFonts w:ascii="仿宋_GB2312" w:hAnsi="仿宋_GB2312" w:eastAsia="仿宋_GB2312" w:cs="仿宋_GB2312"/>
          <w:sz w:val="32"/>
        </w:rPr>
        <w:t>　以暴力、威胁方法阻碍国家机关工作人员解救被收买的妇女、儿童的，依照本法第二百七十七条的规定定罪处罚。</w:t>
      </w:r>
    </w:p>
    <w:p>
      <w:pPr>
        <w:spacing w:line="240" w:lineRule="auto"/>
        <w:ind w:firstLine="640"/>
        <w:jc w:val="both"/>
      </w:pPr>
      <w:r>
        <w:rPr>
          <w:rFonts w:ascii="仿宋_GB2312" w:hAnsi="仿宋_GB2312" w:eastAsia="仿宋_GB2312" w:cs="仿宋_GB2312"/>
          <w:sz w:val="32"/>
        </w:rPr>
        <w:t>聚众阻碍国家机关工作人员解救被收买的妇女、儿童的首要分子，处五年以下有期徒刑或者拘役；其他参与者使用暴力、威胁方法的，依照前款的规定处罚。</w:t>
      </w:r>
    </w:p>
    <w:p>
      <w:pPr>
        <w:spacing w:line="240" w:lineRule="auto"/>
        <w:ind w:firstLine="640"/>
        <w:jc w:val="both"/>
      </w:pPr>
      <w:r>
        <w:rPr>
          <w:rFonts w:ascii="黑体" w:hAnsi="黑体" w:eastAsia="黑体" w:cs="黑体"/>
          <w:sz w:val="32"/>
        </w:rPr>
        <w:t>第二百四十三条</w:t>
      </w:r>
      <w:r>
        <w:rPr>
          <w:rFonts w:ascii="仿宋_GB2312" w:hAnsi="仿宋_GB2312" w:eastAsia="仿宋_GB2312" w:cs="仿宋_GB2312"/>
          <w:sz w:val="32"/>
        </w:rPr>
        <w:t>　捏造事实诬告陷害他人，意图使他人受刑事追究，情节严重的，处三年以下有期徒刑、拘役或者管制；造成严重后果的，处三年以上十年以下有期徒刑。</w:t>
      </w:r>
    </w:p>
    <w:p>
      <w:pPr>
        <w:spacing w:line="240" w:lineRule="auto"/>
        <w:ind w:firstLine="640"/>
        <w:jc w:val="both"/>
      </w:pPr>
      <w:r>
        <w:rPr>
          <w:rFonts w:ascii="仿宋_GB2312" w:hAnsi="仿宋_GB2312" w:eastAsia="仿宋_GB2312" w:cs="仿宋_GB2312"/>
          <w:sz w:val="32"/>
        </w:rPr>
        <w:t>国家机关工作人员犯前款罪的，从重处罚。</w:t>
      </w:r>
    </w:p>
    <w:p>
      <w:pPr>
        <w:spacing w:line="240" w:lineRule="auto"/>
        <w:ind w:firstLine="640"/>
        <w:jc w:val="both"/>
      </w:pPr>
      <w:r>
        <w:rPr>
          <w:rFonts w:ascii="仿宋_GB2312" w:hAnsi="仿宋_GB2312" w:eastAsia="仿宋_GB2312" w:cs="仿宋_GB2312"/>
          <w:sz w:val="32"/>
        </w:rPr>
        <w:t>不是有意诬陷，而是错告，或者检举失实的，不适用前两款的规定。</w:t>
      </w:r>
    </w:p>
    <w:p>
      <w:pPr>
        <w:spacing w:line="240" w:lineRule="auto"/>
        <w:ind w:firstLine="640"/>
        <w:jc w:val="both"/>
      </w:pPr>
      <w:r>
        <w:rPr>
          <w:rFonts w:ascii="黑体" w:hAnsi="黑体" w:eastAsia="黑体" w:cs="黑体"/>
          <w:sz w:val="32"/>
        </w:rPr>
        <w:t>第二百四十四条</w:t>
      </w:r>
      <w:r>
        <w:rPr>
          <w:rFonts w:ascii="仿宋_GB2312" w:hAnsi="仿宋_GB2312" w:eastAsia="仿宋_GB2312" w:cs="仿宋_GB2312"/>
          <w:sz w:val="32"/>
        </w:rPr>
        <w:t>　以暴力、威胁或者限制人身自由的方法强迫他人劳动的，处三年以下有期徒刑或者拘役，并处罚金；情节严重的，处三年以上十年以下有期徒刑，并处罚金。</w:t>
      </w:r>
    </w:p>
    <w:p>
      <w:pPr>
        <w:spacing w:line="240" w:lineRule="auto"/>
        <w:ind w:firstLine="640"/>
        <w:jc w:val="both"/>
      </w:pPr>
      <w:r>
        <w:rPr>
          <w:rFonts w:ascii="仿宋_GB2312" w:hAnsi="仿宋_GB2312" w:eastAsia="仿宋_GB2312" w:cs="仿宋_GB2312"/>
          <w:sz w:val="32"/>
        </w:rPr>
        <w:t>明知他人实施前款行为，为其招募、运送人员或者有其他协助强迫他人劳动行为的，依照前款的规定处罚。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第二百四十四</w:t>
      </w:r>
      <w:r>
        <w:rPr>
          <w:rFonts w:hint="eastAsia" w:ascii="黑体" w:hAnsi="黑体" w:eastAsia="黑体" w:cs="黑体"/>
          <w:sz w:val="32"/>
          <w:lang w:eastAsia="zh-CN"/>
        </w:rPr>
        <w:t>条之一　</w:t>
      </w:r>
      <w:r>
        <w:rPr>
          <w:rFonts w:ascii="仿宋_GB2312" w:hAnsi="仿宋_GB2312" w:eastAsia="仿宋_GB2312" w:cs="仿宋_GB2312"/>
          <w:sz w:val="32"/>
        </w:rPr>
        <w:t>违反劳动管理法规，雇用未满十六周岁的未成年人从事超强度体力劳动的，或者从事高空、井下作业的，或者在爆炸性、易燃性、放射性、毒害性等危险环境下从事劳动，情节严重的，对直接责任人员，处三年以下有期徒刑或者拘役，并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有前款行为，造成事故，又构成其他犯罪的，依照数罪并罚的规定处罚。</w:t>
      </w:r>
    </w:p>
    <w:p>
      <w:pPr>
        <w:spacing w:line="240" w:lineRule="auto"/>
        <w:ind w:firstLine="640"/>
        <w:jc w:val="both"/>
      </w:pPr>
      <w:r>
        <w:rPr>
          <w:rFonts w:ascii="黑体" w:hAnsi="黑体" w:eastAsia="黑体" w:cs="黑体"/>
          <w:sz w:val="32"/>
        </w:rPr>
        <w:t>第二百四十五条</w:t>
      </w:r>
      <w:r>
        <w:rPr>
          <w:rFonts w:ascii="仿宋_GB2312" w:hAnsi="仿宋_GB2312" w:eastAsia="仿宋_GB2312" w:cs="仿宋_GB2312"/>
          <w:sz w:val="32"/>
        </w:rPr>
        <w:t>　非法搜查他人身体、住宅，或者非法侵入他人住宅的，处三年以下有期徒刑或者拘役。</w:t>
      </w:r>
    </w:p>
    <w:p>
      <w:pPr>
        <w:spacing w:line="240" w:lineRule="auto"/>
        <w:ind w:firstLine="640"/>
        <w:jc w:val="both"/>
      </w:pPr>
      <w:r>
        <w:rPr>
          <w:rFonts w:ascii="仿宋_GB2312" w:hAnsi="仿宋_GB2312" w:eastAsia="仿宋_GB2312" w:cs="仿宋_GB2312"/>
          <w:sz w:val="32"/>
        </w:rPr>
        <w:t>司法工作人员滥用职权，犯前款罪的，从重处罚。</w:t>
      </w:r>
    </w:p>
    <w:p>
      <w:pPr>
        <w:spacing w:line="240" w:lineRule="auto"/>
        <w:ind w:firstLine="640"/>
        <w:jc w:val="both"/>
      </w:pPr>
      <w:r>
        <w:rPr>
          <w:rFonts w:ascii="黑体" w:hAnsi="黑体" w:eastAsia="黑体" w:cs="黑体"/>
          <w:sz w:val="32"/>
        </w:rPr>
        <w:t>第二百四十六条</w:t>
      </w:r>
      <w:r>
        <w:rPr>
          <w:rFonts w:ascii="仿宋_GB2312" w:hAnsi="仿宋_GB2312" w:eastAsia="仿宋_GB2312" w:cs="仿宋_GB2312"/>
          <w:sz w:val="32"/>
        </w:rPr>
        <w:t>　以暴力或者其他方法公然侮辱他人或者捏造事实诽谤他人，情节严重的，处三年以下有期徒刑、拘役、管制或者剥夺政治权利。</w:t>
      </w:r>
    </w:p>
    <w:p>
      <w:pPr>
        <w:spacing w:line="240" w:lineRule="auto"/>
        <w:ind w:firstLine="640"/>
        <w:jc w:val="both"/>
      </w:pPr>
      <w:r>
        <w:rPr>
          <w:rFonts w:ascii="仿宋_GB2312" w:hAnsi="仿宋_GB2312" w:eastAsia="仿宋_GB2312" w:cs="仿宋_GB2312"/>
          <w:sz w:val="32"/>
        </w:rPr>
        <w:t>前款罪，告诉的才处理，但是严重危害社会秩序和国家利益的除外。</w:t>
      </w:r>
    </w:p>
    <w:p>
      <w:pPr>
        <w:spacing w:line="240" w:lineRule="auto"/>
        <w:ind w:firstLine="640"/>
        <w:jc w:val="both"/>
      </w:pPr>
      <w:r>
        <w:rPr>
          <w:rFonts w:ascii="仿宋_GB2312" w:hAnsi="仿宋_GB2312" w:eastAsia="仿宋_GB2312" w:cs="仿宋_GB2312"/>
          <w:sz w:val="32"/>
        </w:rPr>
        <w:t>通过信息网络实施第一款规定的行为，被害人向人民法院告诉，但提供证据确有困难的，人民法院可以要求公安机关提供协助。</w:t>
      </w:r>
    </w:p>
    <w:p>
      <w:pPr>
        <w:spacing w:line="240" w:lineRule="auto"/>
        <w:ind w:firstLine="640"/>
        <w:jc w:val="both"/>
      </w:pPr>
      <w:r>
        <w:rPr>
          <w:rFonts w:ascii="黑体" w:hAnsi="黑体" w:eastAsia="黑体" w:cs="黑体"/>
          <w:sz w:val="32"/>
        </w:rPr>
        <w:t>第二百四十七条</w:t>
      </w:r>
      <w:r>
        <w:rPr>
          <w:rFonts w:ascii="仿宋_GB2312" w:hAnsi="仿宋_GB2312" w:eastAsia="仿宋_GB2312" w:cs="仿宋_GB2312"/>
          <w:sz w:val="32"/>
        </w:rPr>
        <w:t>　司法工作人员对犯罪嫌疑人、被告人实行刑讯逼供或者使用暴力逼取证人证言的，处三年以下有期徒刑或者拘役。致人伤残、死亡的，依照本法第二百三十四条、第二百三十二条的规定定罪从重处罚。</w:t>
      </w:r>
    </w:p>
    <w:p>
      <w:pPr>
        <w:spacing w:line="240" w:lineRule="auto"/>
        <w:ind w:firstLine="640"/>
        <w:jc w:val="both"/>
      </w:pPr>
      <w:r>
        <w:rPr>
          <w:rFonts w:ascii="黑体" w:hAnsi="黑体" w:eastAsia="黑体" w:cs="黑体"/>
          <w:sz w:val="32"/>
        </w:rPr>
        <w:t>第二百四十八条</w:t>
      </w:r>
      <w:r>
        <w:rPr>
          <w:rFonts w:ascii="仿宋_GB2312" w:hAnsi="仿宋_GB2312" w:eastAsia="仿宋_GB2312" w:cs="仿宋_GB2312"/>
          <w:sz w:val="32"/>
        </w:rPr>
        <w:t>　监狱、拘留所、看守所等监管机构的监管人员对被监管人进行殴打或者体罚虐待，情节严重的，处三年以下有期徒刑或者拘役；情节特别严重的，处三年以上十年以下有期徒刑。致人伤残、死亡的，依照本法第二百三十四条、第二百三十二条的规定定罪从重处罚。</w:t>
      </w:r>
    </w:p>
    <w:p>
      <w:pPr>
        <w:spacing w:line="240" w:lineRule="auto"/>
        <w:ind w:firstLine="640"/>
        <w:jc w:val="both"/>
      </w:pPr>
      <w:r>
        <w:rPr>
          <w:rFonts w:ascii="仿宋_GB2312" w:hAnsi="仿宋_GB2312" w:eastAsia="仿宋_GB2312" w:cs="仿宋_GB2312"/>
          <w:sz w:val="32"/>
        </w:rPr>
        <w:t>监管人员指使被监管人殴打或者体罚虐待其他被监管人的，依照前款的规定处罚。</w:t>
      </w:r>
    </w:p>
    <w:p>
      <w:pPr>
        <w:spacing w:line="240" w:lineRule="auto"/>
        <w:ind w:firstLine="640"/>
        <w:jc w:val="both"/>
      </w:pPr>
      <w:r>
        <w:rPr>
          <w:rFonts w:ascii="黑体" w:hAnsi="黑体" w:eastAsia="黑体" w:cs="黑体"/>
          <w:sz w:val="32"/>
        </w:rPr>
        <w:t>第二百四十九条</w:t>
      </w:r>
      <w:r>
        <w:rPr>
          <w:rFonts w:ascii="仿宋_GB2312" w:hAnsi="仿宋_GB2312" w:eastAsia="仿宋_GB2312" w:cs="仿宋_GB2312"/>
          <w:sz w:val="32"/>
        </w:rPr>
        <w:t>　煽动民族仇恨、民族歧视，情节严重的，处三年以下有期徒刑、拘役、管制或者剥夺政治权利；情节特别严重的，处三年以上十年以下有期徒刑。</w:t>
      </w:r>
    </w:p>
    <w:p>
      <w:pPr>
        <w:spacing w:line="240" w:lineRule="auto"/>
        <w:ind w:firstLine="640"/>
        <w:jc w:val="both"/>
      </w:pPr>
      <w:r>
        <w:rPr>
          <w:rFonts w:ascii="黑体" w:hAnsi="黑体" w:eastAsia="黑体" w:cs="黑体"/>
          <w:sz w:val="32"/>
        </w:rPr>
        <w:t>第二百五十条</w:t>
      </w:r>
      <w:r>
        <w:rPr>
          <w:rFonts w:ascii="仿宋_GB2312" w:hAnsi="仿宋_GB2312" w:eastAsia="仿宋_GB2312" w:cs="仿宋_GB2312"/>
          <w:sz w:val="32"/>
        </w:rPr>
        <w:t>　在出版物中刊载歧视、侮辱少数民族的内容，情节恶劣，造成严重后果的，对直接责任人员，处三年以下有期徒刑、拘役或者管制。</w:t>
      </w:r>
    </w:p>
    <w:p>
      <w:pPr>
        <w:spacing w:line="240" w:lineRule="auto"/>
        <w:ind w:firstLine="640"/>
        <w:jc w:val="both"/>
      </w:pPr>
      <w:r>
        <w:rPr>
          <w:rFonts w:ascii="黑体" w:hAnsi="黑体" w:eastAsia="黑体" w:cs="黑体"/>
          <w:sz w:val="32"/>
        </w:rPr>
        <w:t>第二百五十一条</w:t>
      </w:r>
      <w:r>
        <w:rPr>
          <w:rFonts w:ascii="仿宋_GB2312" w:hAnsi="仿宋_GB2312" w:eastAsia="仿宋_GB2312" w:cs="仿宋_GB2312"/>
          <w:sz w:val="32"/>
        </w:rPr>
        <w:t>　国家机关工作人员非法剥夺公民的宗教信仰自由和侵犯少数民族风俗习惯，情节严重的，处二年以下有期徒刑或者拘役。</w:t>
      </w:r>
    </w:p>
    <w:p>
      <w:pPr>
        <w:spacing w:line="240" w:lineRule="auto"/>
        <w:ind w:firstLine="640"/>
        <w:jc w:val="both"/>
      </w:pPr>
      <w:r>
        <w:rPr>
          <w:rFonts w:ascii="黑体" w:hAnsi="黑体" w:eastAsia="黑体" w:cs="黑体"/>
          <w:sz w:val="32"/>
        </w:rPr>
        <w:t>第二百五十二条</w:t>
      </w:r>
      <w:r>
        <w:rPr>
          <w:rFonts w:ascii="仿宋_GB2312" w:hAnsi="仿宋_GB2312" w:eastAsia="仿宋_GB2312" w:cs="仿宋_GB2312"/>
          <w:sz w:val="32"/>
        </w:rPr>
        <w:t>　隐匿、毁弃或者非法开拆他人信件，侵犯公民通信自由权利，情节严重的，处一年以下有期徒刑或者拘役。</w:t>
      </w:r>
    </w:p>
    <w:p>
      <w:pPr>
        <w:spacing w:line="240" w:lineRule="auto"/>
        <w:ind w:firstLine="640"/>
        <w:jc w:val="both"/>
      </w:pPr>
      <w:r>
        <w:rPr>
          <w:rFonts w:ascii="黑体" w:hAnsi="黑体" w:eastAsia="黑体" w:cs="黑体"/>
          <w:sz w:val="32"/>
        </w:rPr>
        <w:t>第二百五十三条</w:t>
      </w:r>
      <w:r>
        <w:rPr>
          <w:rFonts w:ascii="仿宋_GB2312" w:hAnsi="仿宋_GB2312" w:eastAsia="仿宋_GB2312" w:cs="仿宋_GB2312"/>
          <w:sz w:val="32"/>
        </w:rPr>
        <w:t>　邮政工作人员私自开拆或者隐匿、毁弃邮件、电报的，处二年以下有期徒刑或者拘役。</w:t>
      </w:r>
    </w:p>
    <w:p>
      <w:pPr>
        <w:spacing w:line="240" w:lineRule="auto"/>
        <w:ind w:firstLine="640"/>
        <w:jc w:val="both"/>
      </w:pPr>
      <w:r>
        <w:rPr>
          <w:rFonts w:ascii="仿宋_GB2312" w:hAnsi="仿宋_GB2312" w:eastAsia="仿宋_GB2312" w:cs="仿宋_GB2312"/>
          <w:sz w:val="32"/>
        </w:rPr>
        <w:t>犯前款罪而窃取财物的，依照本法第二百六十四条的规定定罪从重处罚。</w:t>
      </w:r>
    </w:p>
    <w:p>
      <w:pPr>
        <w:spacing w:line="240" w:lineRule="auto"/>
        <w:ind w:firstLine="640"/>
        <w:jc w:val="both"/>
      </w:pPr>
      <w:r>
        <w:rPr>
          <w:rFonts w:ascii="黑体" w:hAnsi="黑体" w:eastAsia="黑体" w:cs="黑体"/>
          <w:sz w:val="32"/>
        </w:rPr>
        <w:t>第二百五十三</w:t>
      </w:r>
      <w:r>
        <w:rPr>
          <w:rFonts w:hint="eastAsia" w:ascii="黑体" w:hAnsi="黑体" w:eastAsia="黑体" w:cs="黑体"/>
          <w:sz w:val="32"/>
          <w:lang w:eastAsia="zh-CN"/>
        </w:rPr>
        <w:t>条之一　</w:t>
      </w:r>
      <w:r>
        <w:rPr>
          <w:rFonts w:ascii="仿宋_GB2312" w:hAnsi="仿宋_GB2312" w:eastAsia="仿宋_GB2312" w:cs="仿宋_GB2312"/>
          <w:sz w:val="32"/>
        </w:rPr>
        <w:t>违反国家有关规定，向他人出售或者提供公民个人信息，情节严重的，处三年以下有期徒刑或者拘役，并处或者单处罚金；情节特别严重的，处三年以上七年以下有期徒刑，并处罚金。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违反国家有关规定，将在履行职责或者提供服务过程中获得的公民个人信息，出售或者提供给他人的，依照前款的规定从重处罚。</w:t>
      </w:r>
    </w:p>
    <w:p>
      <w:pPr>
        <w:spacing w:line="240" w:lineRule="auto"/>
        <w:ind w:firstLine="640"/>
        <w:jc w:val="both"/>
      </w:pPr>
      <w:r>
        <w:rPr>
          <w:rFonts w:ascii="仿宋_GB2312" w:hAnsi="仿宋_GB2312" w:eastAsia="仿宋_GB2312" w:cs="仿宋_GB2312"/>
          <w:sz w:val="32"/>
        </w:rPr>
        <w:t>窃取或者以其他方法非法获取公民个人信息的，依照第一款的规定处罚。</w:t>
      </w:r>
    </w:p>
    <w:p>
      <w:pPr>
        <w:spacing w:line="240" w:lineRule="auto"/>
        <w:ind w:firstLine="640"/>
        <w:jc w:val="both"/>
      </w:pPr>
      <w:r>
        <w:rPr>
          <w:rFonts w:ascii="仿宋_GB2312" w:hAnsi="仿宋_GB2312" w:eastAsia="仿宋_GB2312" w:cs="仿宋_GB2312"/>
          <w:sz w:val="32"/>
        </w:rPr>
        <w:t>单位犯前三款罪的，对单位判处罚金，并对其直接负责的主管人员和其他直接责任人员，依照各该款的规定处罚。</w:t>
      </w:r>
    </w:p>
    <w:p>
      <w:pPr>
        <w:spacing w:line="240" w:lineRule="auto"/>
        <w:ind w:firstLine="640"/>
        <w:jc w:val="both"/>
      </w:pPr>
      <w:r>
        <w:rPr>
          <w:rFonts w:ascii="黑体" w:hAnsi="黑体" w:eastAsia="黑体" w:cs="黑体"/>
          <w:sz w:val="32"/>
        </w:rPr>
        <w:t>第二百五十四条</w:t>
      </w:r>
      <w:r>
        <w:rPr>
          <w:rFonts w:ascii="仿宋_GB2312" w:hAnsi="仿宋_GB2312" w:eastAsia="仿宋_GB2312" w:cs="仿宋_GB2312"/>
          <w:sz w:val="32"/>
        </w:rPr>
        <w:t>　国家机关工作人员滥用职权、假公济私，对控告人、申诉人、批评人、举报人实行报复陷害的，处二年以下有期徒刑或者拘役；情节严重的，处二年以上七年以下有期徒刑。</w:t>
      </w:r>
    </w:p>
    <w:p>
      <w:pPr>
        <w:spacing w:line="240" w:lineRule="auto"/>
        <w:ind w:firstLine="640"/>
        <w:jc w:val="both"/>
      </w:pPr>
      <w:r>
        <w:rPr>
          <w:rFonts w:ascii="黑体" w:hAnsi="黑体" w:eastAsia="黑体" w:cs="黑体"/>
          <w:sz w:val="32"/>
        </w:rPr>
        <w:t>第二百五十五条</w:t>
      </w:r>
      <w:r>
        <w:rPr>
          <w:rFonts w:ascii="仿宋_GB2312" w:hAnsi="仿宋_GB2312" w:eastAsia="仿宋_GB2312" w:cs="仿宋_GB2312"/>
          <w:sz w:val="32"/>
        </w:rPr>
        <w:t>　公司、企业、事业单位、机关、团体的领导人，对依法履行职责、抵制违反会计法、统计法行为的会计、统计人员实行打击报复，情节恶劣的，处三年以下有期徒刑或者拘役。</w:t>
      </w:r>
    </w:p>
    <w:p>
      <w:pPr>
        <w:spacing w:line="240" w:lineRule="auto"/>
        <w:ind w:firstLine="640"/>
        <w:jc w:val="both"/>
      </w:pPr>
      <w:r>
        <w:rPr>
          <w:rFonts w:ascii="黑体" w:hAnsi="黑体" w:eastAsia="黑体" w:cs="黑体"/>
          <w:sz w:val="32"/>
        </w:rPr>
        <w:t>第二百五十六条</w:t>
      </w:r>
      <w:r>
        <w:rPr>
          <w:rFonts w:ascii="仿宋_GB2312" w:hAnsi="仿宋_GB2312" w:eastAsia="仿宋_GB2312" w:cs="仿宋_GB2312"/>
          <w:sz w:val="32"/>
        </w:rPr>
        <w:t>　在选举各级人民代表大会代表和国家机关领导人员时，以暴力、威胁、欺骗、贿赂、伪造选举文件、虚报选举票数等手段破坏选举或者妨害选民和代表自由行使选举权和被选举权，情节严重的，处三年以下有期徒刑、拘役或者剥夺政治权利。</w:t>
      </w:r>
    </w:p>
    <w:p>
      <w:pPr>
        <w:spacing w:line="240" w:lineRule="auto"/>
        <w:ind w:firstLine="640"/>
        <w:jc w:val="both"/>
      </w:pPr>
      <w:r>
        <w:rPr>
          <w:rFonts w:ascii="黑体" w:hAnsi="黑体" w:eastAsia="黑体" w:cs="黑体"/>
          <w:sz w:val="32"/>
        </w:rPr>
        <w:t>第二百五十七条</w:t>
      </w:r>
      <w:r>
        <w:rPr>
          <w:rFonts w:ascii="仿宋_GB2312" w:hAnsi="仿宋_GB2312" w:eastAsia="仿宋_GB2312" w:cs="仿宋_GB2312"/>
          <w:sz w:val="32"/>
        </w:rPr>
        <w:t>　以暴力干涉他人婚姻自由的，处二年以下有期徒刑或者拘役。</w:t>
      </w:r>
    </w:p>
    <w:p>
      <w:pPr>
        <w:spacing w:line="240" w:lineRule="auto"/>
        <w:ind w:firstLine="640"/>
        <w:jc w:val="both"/>
      </w:pPr>
      <w:r>
        <w:rPr>
          <w:rFonts w:ascii="仿宋_GB2312" w:hAnsi="仿宋_GB2312" w:eastAsia="仿宋_GB2312" w:cs="仿宋_GB2312"/>
          <w:sz w:val="32"/>
        </w:rPr>
        <w:t>犯前款罪，致使被害人死亡的，处二年以上七年以下有期徒刑。</w:t>
      </w:r>
    </w:p>
    <w:p>
      <w:pPr>
        <w:spacing w:line="240" w:lineRule="auto"/>
        <w:ind w:firstLine="640"/>
        <w:jc w:val="both"/>
      </w:pPr>
      <w:r>
        <w:rPr>
          <w:rFonts w:ascii="仿宋_GB2312" w:hAnsi="仿宋_GB2312" w:eastAsia="仿宋_GB2312" w:cs="仿宋_GB2312"/>
          <w:sz w:val="32"/>
        </w:rPr>
        <w:t>第一款罪，告诉的才处理。</w:t>
      </w:r>
    </w:p>
    <w:p>
      <w:pPr>
        <w:spacing w:line="240" w:lineRule="auto"/>
        <w:ind w:firstLine="640"/>
        <w:jc w:val="both"/>
      </w:pPr>
      <w:r>
        <w:rPr>
          <w:rFonts w:ascii="黑体" w:hAnsi="黑体" w:eastAsia="黑体" w:cs="黑体"/>
          <w:sz w:val="32"/>
        </w:rPr>
        <w:t>第二百五十八条</w:t>
      </w:r>
      <w:r>
        <w:rPr>
          <w:rFonts w:ascii="仿宋_GB2312" w:hAnsi="仿宋_GB2312" w:eastAsia="仿宋_GB2312" w:cs="仿宋_GB2312"/>
          <w:sz w:val="32"/>
        </w:rPr>
        <w:t>　有配偶而重婚的，或者明知他人有配偶而与之结婚的，处二年以下有期徒刑或者拘役。</w:t>
      </w:r>
    </w:p>
    <w:p>
      <w:pPr>
        <w:spacing w:line="240" w:lineRule="auto"/>
        <w:ind w:firstLine="640"/>
        <w:jc w:val="both"/>
      </w:pPr>
      <w:r>
        <w:rPr>
          <w:rFonts w:ascii="黑体" w:hAnsi="黑体" w:eastAsia="黑体" w:cs="黑体"/>
          <w:sz w:val="32"/>
        </w:rPr>
        <w:t>第二百五十九条</w:t>
      </w:r>
      <w:r>
        <w:rPr>
          <w:rFonts w:ascii="仿宋_GB2312" w:hAnsi="仿宋_GB2312" w:eastAsia="仿宋_GB2312" w:cs="仿宋_GB2312"/>
          <w:sz w:val="32"/>
        </w:rPr>
        <w:t>　明知是现役军人的配偶而与之同居或者结婚的，处三年以下有期徒刑或者拘役。</w:t>
      </w:r>
    </w:p>
    <w:p>
      <w:pPr>
        <w:spacing w:line="240" w:lineRule="auto"/>
        <w:ind w:firstLine="640"/>
        <w:jc w:val="both"/>
      </w:pPr>
      <w:r>
        <w:rPr>
          <w:rFonts w:ascii="仿宋_GB2312" w:hAnsi="仿宋_GB2312" w:eastAsia="仿宋_GB2312" w:cs="仿宋_GB2312"/>
          <w:sz w:val="32"/>
        </w:rPr>
        <w:t>利用职权、从属关系，以胁迫手段奸淫现役军人的妻子的，依照本法第二百三十六条的规定定罪处罚。</w:t>
      </w:r>
    </w:p>
    <w:p>
      <w:pPr>
        <w:spacing w:line="240" w:lineRule="auto"/>
        <w:ind w:firstLine="640"/>
        <w:jc w:val="both"/>
      </w:pPr>
      <w:r>
        <w:rPr>
          <w:rFonts w:ascii="黑体" w:hAnsi="黑体" w:eastAsia="黑体" w:cs="黑体"/>
          <w:sz w:val="32"/>
        </w:rPr>
        <w:t>第二百六十条</w:t>
      </w:r>
      <w:r>
        <w:rPr>
          <w:rFonts w:ascii="仿宋_GB2312" w:hAnsi="仿宋_GB2312" w:eastAsia="仿宋_GB2312" w:cs="仿宋_GB2312"/>
          <w:sz w:val="32"/>
        </w:rPr>
        <w:t>　虐待家庭成员，情节恶劣的，处二年以下有期徒刑、拘役或者管制。</w:t>
      </w:r>
    </w:p>
    <w:p>
      <w:pPr>
        <w:spacing w:line="240" w:lineRule="auto"/>
        <w:ind w:firstLine="640"/>
        <w:jc w:val="both"/>
      </w:pPr>
      <w:r>
        <w:rPr>
          <w:rFonts w:ascii="仿宋_GB2312" w:hAnsi="仿宋_GB2312" w:eastAsia="仿宋_GB2312" w:cs="仿宋_GB2312"/>
          <w:sz w:val="32"/>
        </w:rPr>
        <w:t>犯前款罪，致使被害人重伤、死亡的，处二年以上七年以下有期徒刑。</w:t>
      </w:r>
    </w:p>
    <w:p>
      <w:pPr>
        <w:spacing w:line="240" w:lineRule="auto"/>
        <w:ind w:firstLine="640"/>
        <w:jc w:val="both"/>
      </w:pPr>
      <w:r>
        <w:rPr>
          <w:rFonts w:ascii="仿宋_GB2312" w:hAnsi="仿宋_GB2312" w:eastAsia="仿宋_GB2312" w:cs="仿宋_GB2312"/>
          <w:sz w:val="32"/>
        </w:rPr>
        <w:t>第一款罪，告诉的才处理，但被害人没有能力告诉，或者因受到强制、威吓无法告诉的除外。</w:t>
      </w:r>
    </w:p>
    <w:p>
      <w:pPr>
        <w:spacing w:line="240" w:lineRule="auto"/>
        <w:ind w:firstLine="640"/>
        <w:jc w:val="both"/>
      </w:pPr>
      <w:r>
        <w:rPr>
          <w:rFonts w:ascii="黑体" w:hAnsi="黑体" w:eastAsia="黑体" w:cs="黑体"/>
          <w:sz w:val="32"/>
        </w:rPr>
        <w:t>第二百六十</w:t>
      </w:r>
      <w:r>
        <w:rPr>
          <w:rFonts w:hint="eastAsia" w:ascii="黑体" w:hAnsi="黑体" w:eastAsia="黑体" w:cs="黑体"/>
          <w:sz w:val="32"/>
          <w:lang w:eastAsia="zh-CN"/>
        </w:rPr>
        <w:t>条之一　</w:t>
      </w:r>
      <w:r>
        <w:rPr>
          <w:rFonts w:ascii="仿宋_GB2312" w:hAnsi="仿宋_GB2312" w:eastAsia="仿宋_GB2312" w:cs="仿宋_GB2312"/>
          <w:sz w:val="32"/>
        </w:rPr>
        <w:t>对未成年人、老年人、患病的人、残疾人等负有监护、看护职责的人虐待被监护、看护的人，情节恶劣的，处三年以下有期徒刑或者拘役。</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有第一款行为，同时构成其他犯罪的，依照处罚较重的规定定罪处罚。</w:t>
      </w:r>
    </w:p>
    <w:p>
      <w:pPr>
        <w:spacing w:line="240" w:lineRule="auto"/>
        <w:ind w:firstLine="640"/>
        <w:jc w:val="both"/>
      </w:pPr>
      <w:r>
        <w:rPr>
          <w:rFonts w:ascii="黑体" w:hAnsi="黑体" w:eastAsia="黑体" w:cs="黑体"/>
          <w:sz w:val="32"/>
        </w:rPr>
        <w:t>第二百六十一条</w:t>
      </w:r>
      <w:r>
        <w:rPr>
          <w:rFonts w:ascii="仿宋_GB2312" w:hAnsi="仿宋_GB2312" w:eastAsia="仿宋_GB2312" w:cs="仿宋_GB2312"/>
          <w:sz w:val="32"/>
        </w:rPr>
        <w:t>　对于年老、年幼、患病或者其他没有独立生活能力的人，负有扶养义务而拒绝扶养，情节恶劣的，处五年以下有期徒刑、拘役或者管制。</w:t>
      </w:r>
    </w:p>
    <w:p>
      <w:pPr>
        <w:spacing w:line="240" w:lineRule="auto"/>
        <w:ind w:firstLine="640"/>
        <w:jc w:val="both"/>
      </w:pPr>
      <w:r>
        <w:rPr>
          <w:rFonts w:ascii="黑体" w:hAnsi="黑体" w:eastAsia="黑体" w:cs="黑体"/>
          <w:sz w:val="32"/>
        </w:rPr>
        <w:t>第二百六十二条</w:t>
      </w:r>
      <w:r>
        <w:rPr>
          <w:rFonts w:ascii="仿宋_GB2312" w:hAnsi="仿宋_GB2312" w:eastAsia="仿宋_GB2312" w:cs="仿宋_GB2312"/>
          <w:sz w:val="32"/>
        </w:rPr>
        <w:t>　拐骗不满十四周岁的未成年人，脱离家庭或者监护人的，处五年以下有期徒刑或者拘役。</w:t>
      </w:r>
    </w:p>
    <w:p>
      <w:pPr>
        <w:spacing w:line="240" w:lineRule="auto"/>
        <w:ind w:firstLine="640"/>
        <w:jc w:val="both"/>
      </w:pPr>
      <w:r>
        <w:rPr>
          <w:rFonts w:ascii="黑体" w:hAnsi="黑体" w:eastAsia="黑体" w:cs="黑体"/>
          <w:sz w:val="32"/>
        </w:rPr>
        <w:t>第二百六十二</w:t>
      </w:r>
      <w:r>
        <w:rPr>
          <w:rFonts w:hint="eastAsia" w:ascii="黑体" w:hAnsi="黑体" w:eastAsia="黑体" w:cs="黑体"/>
          <w:sz w:val="32"/>
          <w:lang w:eastAsia="zh-CN"/>
        </w:rPr>
        <w:t>条之一　</w:t>
      </w:r>
      <w:r>
        <w:rPr>
          <w:rFonts w:ascii="仿宋_GB2312" w:hAnsi="仿宋_GB2312" w:eastAsia="仿宋_GB2312" w:cs="仿宋_GB2312"/>
          <w:sz w:val="32"/>
        </w:rPr>
        <w:t>以暴力、胁迫手段组织残疾人或者不满十四周岁的未成年人乞讨的，处三年以下有期徒刑或者拘役，并处罚金；情节严重的，处三年以上七年以下有期徒刑，并处罚金。</w:t>
      </w:r>
    </w:p>
    <w:p>
      <w:pPr>
        <w:spacing w:line="240" w:lineRule="auto"/>
        <w:ind w:firstLine="640"/>
        <w:jc w:val="both"/>
      </w:pPr>
      <w:r>
        <w:rPr>
          <w:rFonts w:ascii="黑体" w:hAnsi="黑体" w:eastAsia="黑体" w:cs="黑体"/>
          <w:sz w:val="32"/>
        </w:rPr>
        <w:t>第二百六十二</w:t>
      </w:r>
      <w:r>
        <w:rPr>
          <w:rFonts w:hint="eastAsia" w:ascii="黑体" w:hAnsi="黑体" w:eastAsia="黑体" w:cs="黑体"/>
          <w:sz w:val="32"/>
          <w:lang w:eastAsia="zh-CN"/>
        </w:rPr>
        <w:t>条之二　</w:t>
      </w:r>
      <w:r>
        <w:rPr>
          <w:rFonts w:ascii="仿宋_GB2312" w:hAnsi="仿宋_GB2312" w:eastAsia="仿宋_GB2312" w:cs="仿宋_GB2312"/>
          <w:sz w:val="32"/>
        </w:rPr>
        <w:t>组织未成年人进行盗窃、诈骗、抢夺、敲诈勒索等违反治安管理活动的，处三年以下有期徒刑或者拘役，并处罚金；情节严重的，处三年以上七年以下有期徒刑，并处罚金。</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第五章　侵犯财产罪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第二百六十三条</w:t>
      </w:r>
      <w:r>
        <w:rPr>
          <w:rFonts w:ascii="仿宋_GB2312" w:hAnsi="仿宋_GB2312" w:eastAsia="仿宋_GB2312" w:cs="仿宋_GB2312"/>
          <w:sz w:val="32"/>
        </w:rPr>
        <w:t>　以暴力、胁迫或者其他方法抢劫公私财物的，处三年以上十年以下有期徒刑，并处罚金；有下列情形之一的，处十年以上有期徒刑、无期徒刑或者死刑，并处罚金或者没收财产：</w:t>
      </w:r>
    </w:p>
    <w:p>
      <w:pPr>
        <w:spacing w:line="240" w:lineRule="auto"/>
        <w:ind w:firstLine="640"/>
        <w:jc w:val="both"/>
      </w:pPr>
      <w:r>
        <w:rPr>
          <w:rFonts w:ascii="仿宋_GB2312" w:hAnsi="仿宋_GB2312" w:eastAsia="仿宋_GB2312" w:cs="仿宋_GB2312"/>
          <w:sz w:val="32"/>
        </w:rPr>
        <w:t>（一）入户抢劫的；</w:t>
      </w:r>
    </w:p>
    <w:p>
      <w:pPr>
        <w:spacing w:line="240" w:lineRule="auto"/>
        <w:ind w:firstLine="640"/>
        <w:jc w:val="both"/>
      </w:pPr>
      <w:r>
        <w:rPr>
          <w:rFonts w:ascii="仿宋_GB2312" w:hAnsi="仿宋_GB2312" w:eastAsia="仿宋_GB2312" w:cs="仿宋_GB2312"/>
          <w:sz w:val="32"/>
        </w:rPr>
        <w:t>（二）在公共交通工具上抢劫的；</w:t>
      </w:r>
    </w:p>
    <w:p>
      <w:pPr>
        <w:spacing w:line="240" w:lineRule="auto"/>
        <w:ind w:firstLine="640"/>
        <w:jc w:val="both"/>
      </w:pPr>
      <w:r>
        <w:rPr>
          <w:rFonts w:ascii="仿宋_GB2312" w:hAnsi="仿宋_GB2312" w:eastAsia="仿宋_GB2312" w:cs="仿宋_GB2312"/>
          <w:sz w:val="32"/>
        </w:rPr>
        <w:t>（三）抢劫银行或者其他金融机构的；</w:t>
      </w:r>
    </w:p>
    <w:p>
      <w:pPr>
        <w:spacing w:line="240" w:lineRule="auto"/>
        <w:ind w:firstLine="640"/>
        <w:jc w:val="both"/>
      </w:pPr>
      <w:r>
        <w:rPr>
          <w:rFonts w:ascii="仿宋_GB2312" w:hAnsi="仿宋_GB2312" w:eastAsia="仿宋_GB2312" w:cs="仿宋_GB2312"/>
          <w:sz w:val="32"/>
        </w:rPr>
        <w:t>（四）多次抢劫或者抢劫数额巨大的；</w:t>
      </w:r>
    </w:p>
    <w:p>
      <w:pPr>
        <w:spacing w:line="240" w:lineRule="auto"/>
        <w:ind w:firstLine="640"/>
        <w:jc w:val="both"/>
      </w:pPr>
      <w:r>
        <w:rPr>
          <w:rFonts w:ascii="仿宋_GB2312" w:hAnsi="仿宋_GB2312" w:eastAsia="仿宋_GB2312" w:cs="仿宋_GB2312"/>
          <w:sz w:val="32"/>
        </w:rPr>
        <w:t>（五）抢劫致人重伤、死亡的；</w:t>
      </w:r>
    </w:p>
    <w:p>
      <w:pPr>
        <w:spacing w:line="240" w:lineRule="auto"/>
        <w:ind w:firstLine="640"/>
        <w:jc w:val="both"/>
      </w:pPr>
      <w:r>
        <w:rPr>
          <w:rFonts w:ascii="仿宋_GB2312" w:hAnsi="仿宋_GB2312" w:eastAsia="仿宋_GB2312" w:cs="仿宋_GB2312"/>
          <w:sz w:val="32"/>
        </w:rPr>
        <w:t>（六）冒充军警人员抢劫的；</w:t>
      </w:r>
    </w:p>
    <w:p>
      <w:pPr>
        <w:spacing w:line="240" w:lineRule="auto"/>
        <w:ind w:firstLine="640"/>
        <w:jc w:val="both"/>
      </w:pPr>
      <w:r>
        <w:rPr>
          <w:rFonts w:ascii="仿宋_GB2312" w:hAnsi="仿宋_GB2312" w:eastAsia="仿宋_GB2312" w:cs="仿宋_GB2312"/>
          <w:sz w:val="32"/>
        </w:rPr>
        <w:t>（七）持枪抢劫的；</w:t>
      </w:r>
    </w:p>
    <w:p>
      <w:pPr>
        <w:spacing w:line="240" w:lineRule="auto"/>
        <w:ind w:firstLine="640"/>
        <w:jc w:val="both"/>
      </w:pPr>
      <w:r>
        <w:rPr>
          <w:rFonts w:ascii="仿宋_GB2312" w:hAnsi="仿宋_GB2312" w:eastAsia="仿宋_GB2312" w:cs="仿宋_GB2312"/>
          <w:sz w:val="32"/>
        </w:rPr>
        <w:t>（八）抢劫军用物资或者抢险、救灾、救济物资的。</w:t>
      </w:r>
    </w:p>
    <w:p>
      <w:pPr>
        <w:spacing w:line="240" w:lineRule="auto"/>
        <w:ind w:firstLine="640"/>
        <w:jc w:val="both"/>
      </w:pPr>
      <w:r>
        <w:rPr>
          <w:rFonts w:ascii="黑体" w:hAnsi="黑体" w:eastAsia="黑体" w:cs="黑体"/>
          <w:sz w:val="32"/>
        </w:rPr>
        <w:t>第二百六十四条</w:t>
      </w:r>
      <w:r>
        <w:rPr>
          <w:rFonts w:ascii="仿宋_GB2312" w:hAnsi="仿宋_GB2312" w:eastAsia="仿宋_GB2312" w:cs="仿宋_GB2312"/>
          <w:sz w:val="32"/>
        </w:rPr>
        <w:t>　盗窃公私财物，数额较大的，或者多次盗窃、入户盗窃、携带凶器盗窃、扒窃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p>
    <w:p>
      <w:pPr>
        <w:spacing w:line="240" w:lineRule="auto"/>
        <w:ind w:firstLine="640"/>
        <w:jc w:val="both"/>
      </w:pPr>
      <w:r>
        <w:rPr>
          <w:rFonts w:ascii="黑体" w:hAnsi="黑体" w:eastAsia="黑体" w:cs="黑体"/>
          <w:sz w:val="32"/>
        </w:rPr>
        <w:t>第二百六十五条</w:t>
      </w:r>
      <w:r>
        <w:rPr>
          <w:rFonts w:ascii="仿宋_GB2312" w:hAnsi="仿宋_GB2312" w:eastAsia="仿宋_GB2312" w:cs="仿宋_GB2312"/>
          <w:sz w:val="32"/>
        </w:rPr>
        <w:t>　以牟利为目的，盗接他人通信线路、复制他人电信码号或者明知是盗接、复制的电信设备、设施而使用的，依照本法第二百六十四条的规定定罪处罚。</w:t>
      </w:r>
    </w:p>
    <w:p>
      <w:pPr>
        <w:spacing w:line="240" w:lineRule="auto"/>
        <w:ind w:firstLine="640"/>
        <w:jc w:val="both"/>
      </w:pPr>
      <w:r>
        <w:rPr>
          <w:rFonts w:ascii="黑体" w:hAnsi="黑体" w:eastAsia="黑体" w:cs="黑体"/>
          <w:sz w:val="32"/>
        </w:rPr>
        <w:t>第二百六十六条</w:t>
      </w:r>
      <w:r>
        <w:rPr>
          <w:rFonts w:ascii="仿宋_GB2312" w:hAnsi="仿宋_GB2312" w:eastAsia="仿宋_GB2312" w:cs="仿宋_GB2312"/>
          <w:sz w:val="32"/>
        </w:rPr>
        <w:t>　诈骗公私财物，数额较大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本法另有规定的，依照规定。</w:t>
      </w:r>
    </w:p>
    <w:p>
      <w:pPr>
        <w:spacing w:line="240" w:lineRule="auto"/>
        <w:ind w:firstLine="640"/>
        <w:jc w:val="both"/>
      </w:pPr>
      <w:r>
        <w:rPr>
          <w:rFonts w:ascii="黑体" w:hAnsi="黑体" w:eastAsia="黑体" w:cs="黑体"/>
          <w:sz w:val="32"/>
        </w:rPr>
        <w:t>第二百六十七条</w:t>
      </w:r>
      <w:r>
        <w:rPr>
          <w:rFonts w:ascii="仿宋_GB2312" w:hAnsi="仿宋_GB2312" w:eastAsia="仿宋_GB2312" w:cs="仿宋_GB2312"/>
          <w:sz w:val="32"/>
        </w:rPr>
        <w:t>　抢夺公私财物，数额较大的，或者多次抢夺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p>
    <w:p>
      <w:pPr>
        <w:spacing w:line="240" w:lineRule="auto"/>
        <w:ind w:firstLine="640"/>
        <w:jc w:val="both"/>
      </w:pPr>
      <w:r>
        <w:rPr>
          <w:rFonts w:ascii="仿宋_GB2312" w:hAnsi="仿宋_GB2312" w:eastAsia="仿宋_GB2312" w:cs="仿宋_GB2312"/>
          <w:sz w:val="32"/>
        </w:rPr>
        <w:t>携带凶器抢夺的，依照本法第二百六十三条的规定定罪处罚。</w:t>
      </w:r>
    </w:p>
    <w:p>
      <w:pPr>
        <w:spacing w:line="240" w:lineRule="auto"/>
        <w:ind w:firstLine="640"/>
        <w:jc w:val="both"/>
      </w:pPr>
      <w:r>
        <w:rPr>
          <w:rFonts w:ascii="黑体" w:hAnsi="黑体" w:eastAsia="黑体" w:cs="黑体"/>
          <w:sz w:val="32"/>
        </w:rPr>
        <w:t>第二百六十八条</w:t>
      </w:r>
      <w:r>
        <w:rPr>
          <w:rFonts w:ascii="仿宋_GB2312" w:hAnsi="仿宋_GB2312" w:eastAsia="仿宋_GB2312" w:cs="仿宋_GB2312"/>
          <w:sz w:val="32"/>
        </w:rPr>
        <w:t>　聚众哄抢公私财物，数额较大或者有其他严重情节的，对首要分子和积极参加的，处三年以下有期徒刑、拘役或者管制，并处罚金；数额巨大或者有其他特别严重情节的，处三年以上十年以下有期徒刑，并处罚金。</w:t>
      </w:r>
    </w:p>
    <w:p>
      <w:pPr>
        <w:spacing w:line="240" w:lineRule="auto"/>
        <w:ind w:firstLine="640"/>
        <w:jc w:val="both"/>
      </w:pPr>
      <w:r>
        <w:rPr>
          <w:rFonts w:ascii="黑体" w:hAnsi="黑体" w:eastAsia="黑体" w:cs="黑体"/>
          <w:sz w:val="32"/>
        </w:rPr>
        <w:t>第二百六十九条</w:t>
      </w:r>
      <w:r>
        <w:rPr>
          <w:rFonts w:ascii="仿宋_GB2312" w:hAnsi="仿宋_GB2312" w:eastAsia="仿宋_GB2312" w:cs="仿宋_GB2312"/>
          <w:sz w:val="32"/>
        </w:rPr>
        <w:t>　犯盗窃、诈骗、抢夺罪，为窝藏赃物、抗拒抓捕或者毁灭罪证而当场使用暴力或者以暴力相威胁的，依照本法第二百六十三条的规定定罪处罚。</w:t>
      </w:r>
    </w:p>
    <w:p>
      <w:pPr>
        <w:spacing w:line="240" w:lineRule="auto"/>
        <w:ind w:firstLine="640"/>
        <w:jc w:val="both"/>
      </w:pPr>
      <w:r>
        <w:rPr>
          <w:rFonts w:ascii="黑体" w:hAnsi="黑体" w:eastAsia="黑体" w:cs="黑体"/>
          <w:sz w:val="32"/>
        </w:rPr>
        <w:t>第二百七十条</w:t>
      </w:r>
      <w:r>
        <w:rPr>
          <w:rFonts w:ascii="仿宋_GB2312" w:hAnsi="仿宋_GB2312" w:eastAsia="仿宋_GB2312" w:cs="仿宋_GB2312"/>
          <w:sz w:val="32"/>
        </w:rPr>
        <w:t>　将代为保管的他人财物非法占为己有，数额较大，拒不退还的，处二年以下有期徒刑、拘役或者罚金；数额巨大或者有其他严重情节的，处二年以上五年以下有期徒刑，并处罚金。</w:t>
      </w:r>
    </w:p>
    <w:p>
      <w:pPr>
        <w:spacing w:line="240" w:lineRule="auto"/>
        <w:ind w:firstLine="640"/>
        <w:jc w:val="both"/>
      </w:pPr>
      <w:r>
        <w:rPr>
          <w:rFonts w:ascii="仿宋_GB2312" w:hAnsi="仿宋_GB2312" w:eastAsia="仿宋_GB2312" w:cs="仿宋_GB2312"/>
          <w:sz w:val="32"/>
        </w:rPr>
        <w:t>将他人的遗忘物或者埋藏物非法占为己有，数额较大，拒不交出的，依照前款的规定处罚。</w:t>
      </w:r>
    </w:p>
    <w:p>
      <w:pPr>
        <w:spacing w:line="240" w:lineRule="auto"/>
        <w:ind w:firstLine="640"/>
        <w:jc w:val="both"/>
      </w:pPr>
      <w:r>
        <w:rPr>
          <w:rFonts w:ascii="仿宋_GB2312" w:hAnsi="仿宋_GB2312" w:eastAsia="仿宋_GB2312" w:cs="仿宋_GB2312"/>
          <w:sz w:val="32"/>
        </w:rPr>
        <w:t>本条罪，告诉的才处理。</w:t>
      </w:r>
    </w:p>
    <w:p>
      <w:pPr>
        <w:spacing w:line="240" w:lineRule="auto"/>
        <w:ind w:firstLine="640"/>
        <w:jc w:val="both"/>
      </w:pPr>
      <w:r>
        <w:rPr>
          <w:rFonts w:ascii="黑体" w:hAnsi="黑体" w:eastAsia="黑体" w:cs="黑体"/>
          <w:sz w:val="32"/>
        </w:rPr>
        <w:t>第二百七十一条</w:t>
      </w:r>
      <w:r>
        <w:rPr>
          <w:rFonts w:ascii="仿宋_GB2312" w:hAnsi="仿宋_GB2312" w:eastAsia="仿宋_GB2312" w:cs="仿宋_GB2312"/>
          <w:sz w:val="32"/>
        </w:rPr>
        <w:t>　公司、企业或者其他单位的工作人员，利用职务上的便利，将本单位财物非法占为己有，数额较大的，处三年以下有期徒刑或者拘役，并处罚金；数额巨大的，处三年以上十年以下有期徒刑，并处罚金；数额特别巨大的，处十年以上有期徒刑或者无期徒刑，并处罚金。</w:t>
      </w:r>
    </w:p>
    <w:p>
      <w:pPr>
        <w:spacing w:line="240" w:lineRule="auto"/>
        <w:ind w:firstLine="640"/>
        <w:jc w:val="both"/>
      </w:pPr>
      <w:r>
        <w:rPr>
          <w:rFonts w:ascii="仿宋_GB2312" w:hAnsi="仿宋_GB2312" w:eastAsia="仿宋_GB2312" w:cs="仿宋_GB2312"/>
          <w:sz w:val="32"/>
        </w:rPr>
        <w:t>国有公司、企业或者其他国有单位中从事公务的人员和国有公司、企业或者其他国有单位委派到非国有公司、企业以及其他单位从事公务的人员有前款行为的，依照本法第三百八十二条、第三百八十三条的规定定罪处罚。</w:t>
      </w:r>
    </w:p>
    <w:p>
      <w:pPr>
        <w:spacing w:line="240" w:lineRule="auto"/>
        <w:ind w:firstLine="640"/>
        <w:jc w:val="both"/>
      </w:pPr>
      <w:r>
        <w:rPr>
          <w:rFonts w:ascii="黑体" w:hAnsi="黑体" w:eastAsia="黑体" w:cs="黑体"/>
          <w:sz w:val="32"/>
        </w:rPr>
        <w:t>第二百七十二条</w:t>
      </w:r>
      <w:r>
        <w:rPr>
          <w:rFonts w:ascii="仿宋_GB2312" w:hAnsi="仿宋_GB2312" w:eastAsia="仿宋_GB2312" w:cs="仿宋_GB2312"/>
          <w:sz w:val="32"/>
        </w:rPr>
        <w:t>　公司、企业或者其他单位的工作人员，利用职务上的便利，挪用本单位资金归个人使用或者借贷给他人，数额较大、超过三个月未还的，或者虽未超过三个月，但数额较大、进行营利活动的，或者进行非法活动的，处三年以下有期徒刑或者拘役；挪用本单位资金数额巨大的，处三年以上七年以下有期徒刑；数额特别巨大的，处七年以上有期徒刑。</w:t>
      </w:r>
    </w:p>
    <w:p>
      <w:pPr>
        <w:spacing w:line="240" w:lineRule="auto"/>
        <w:ind w:firstLine="640"/>
        <w:jc w:val="both"/>
      </w:pPr>
      <w:r>
        <w:rPr>
          <w:rFonts w:ascii="仿宋_GB2312" w:hAnsi="仿宋_GB2312" w:eastAsia="仿宋_GB2312" w:cs="仿宋_GB2312"/>
          <w:sz w:val="32"/>
        </w:rPr>
        <w:t>国有公司、企业或者其他国有单位中从事公务的人员和国有公司、企业或者其他国有单位委派到非国有公司、企业以及其他单位从事公务的人员有前款行为的，依照本法第三百八十四条的规定定罪处罚。</w:t>
      </w:r>
    </w:p>
    <w:p>
      <w:pPr>
        <w:spacing w:line="240" w:lineRule="auto"/>
        <w:ind w:firstLine="640"/>
        <w:jc w:val="both"/>
      </w:pPr>
      <w:r>
        <w:rPr>
          <w:rFonts w:ascii="仿宋_GB2312" w:hAnsi="仿宋_GB2312" w:eastAsia="仿宋_GB2312" w:cs="仿宋_GB2312"/>
          <w:sz w:val="32"/>
        </w:rPr>
        <w:t>有第一款行为，在提起公诉前将挪用的资金退还的，可以从轻或者减轻处罚。其中，犯罪较轻的，可以减轻或者免除处罚。</w:t>
      </w:r>
    </w:p>
    <w:p>
      <w:pPr>
        <w:spacing w:line="240" w:lineRule="auto"/>
        <w:ind w:firstLine="640"/>
        <w:jc w:val="both"/>
      </w:pPr>
      <w:r>
        <w:rPr>
          <w:rFonts w:ascii="黑体" w:hAnsi="黑体" w:eastAsia="黑体" w:cs="黑体"/>
          <w:sz w:val="32"/>
        </w:rPr>
        <w:t>第二百七十三条</w:t>
      </w:r>
      <w:r>
        <w:rPr>
          <w:rFonts w:ascii="仿宋_GB2312" w:hAnsi="仿宋_GB2312" w:eastAsia="仿宋_GB2312" w:cs="仿宋_GB2312"/>
          <w:sz w:val="32"/>
        </w:rPr>
        <w:t>　挪用用于救灾、抢险、防汛、优抚、扶贫、移民、救济款物，情节严重，致使国家和人民群众利益遭受重大损害的，对直接责任人员，处三年以下有期徒刑或者拘役；情节特别严重的，处三年以上七年以下有期徒刑。</w:t>
      </w:r>
    </w:p>
    <w:p>
      <w:pPr>
        <w:spacing w:line="240" w:lineRule="auto"/>
        <w:ind w:firstLine="640"/>
        <w:jc w:val="both"/>
      </w:pPr>
      <w:r>
        <w:rPr>
          <w:rFonts w:ascii="黑体" w:hAnsi="黑体" w:eastAsia="黑体" w:cs="黑体"/>
          <w:sz w:val="32"/>
        </w:rPr>
        <w:t>第二百七十四条</w:t>
      </w:r>
      <w:r>
        <w:rPr>
          <w:rFonts w:ascii="仿宋_GB2312" w:hAnsi="仿宋_GB2312" w:eastAsia="仿宋_GB2312" w:cs="仿宋_GB2312"/>
          <w:sz w:val="32"/>
        </w:rPr>
        <w:t>　敲诈勒索公私财物，数额较大或者多次敲诈勒索的，处三年以下有期徒刑、拘役或者管制，并处或者单处罚金；数额巨大或者有其他严重情节的，处三年以上十年以下有期徒刑，并处罚金；数额特别巨大或者有其他特别严重情节的，处十年以上有期徒刑，并处罚金。</w:t>
      </w:r>
    </w:p>
    <w:p>
      <w:pPr>
        <w:spacing w:line="240" w:lineRule="auto"/>
        <w:ind w:firstLine="640"/>
        <w:jc w:val="both"/>
      </w:pPr>
      <w:r>
        <w:rPr>
          <w:rFonts w:ascii="黑体" w:hAnsi="黑体" w:eastAsia="黑体" w:cs="黑体"/>
          <w:sz w:val="32"/>
        </w:rPr>
        <w:t>第二百七十五条</w:t>
      </w:r>
      <w:r>
        <w:rPr>
          <w:rFonts w:ascii="仿宋_GB2312" w:hAnsi="仿宋_GB2312" w:eastAsia="仿宋_GB2312" w:cs="仿宋_GB2312"/>
          <w:sz w:val="32"/>
        </w:rPr>
        <w:t>　故意毁坏公私财物，数额较大或者有其他严重情节的，处三年以下有期徒刑、拘役或者罚金；数额巨大或者有其他特别严重情节的，处三年以上七年以下有期徒刑。</w:t>
      </w:r>
    </w:p>
    <w:p>
      <w:pPr>
        <w:spacing w:line="240" w:lineRule="auto"/>
        <w:ind w:firstLine="640"/>
        <w:jc w:val="both"/>
      </w:pPr>
      <w:r>
        <w:rPr>
          <w:rFonts w:ascii="黑体" w:hAnsi="黑体" w:eastAsia="黑体" w:cs="黑体"/>
          <w:sz w:val="32"/>
        </w:rPr>
        <w:t>第二百七十六条</w:t>
      </w:r>
      <w:r>
        <w:rPr>
          <w:rFonts w:ascii="仿宋_GB2312" w:hAnsi="仿宋_GB2312" w:eastAsia="仿宋_GB2312" w:cs="仿宋_GB2312"/>
          <w:sz w:val="32"/>
        </w:rPr>
        <w:t>　由于泄愤报复或者其他个人目的，毁坏机器设备、残害耕畜或者以其他方法破坏生产经营的，处三年以下有期徒刑、拘役或者管制；情节严重的，处三年以上七年以下有期徒刑。</w:t>
      </w:r>
    </w:p>
    <w:p>
      <w:pPr>
        <w:spacing w:line="240" w:lineRule="auto"/>
        <w:ind w:firstLine="640"/>
        <w:jc w:val="both"/>
      </w:pPr>
      <w:r>
        <w:rPr>
          <w:rFonts w:ascii="黑体" w:hAnsi="黑体" w:eastAsia="黑体" w:cs="黑体"/>
          <w:sz w:val="32"/>
        </w:rPr>
        <w:t>第二百七十六</w:t>
      </w:r>
      <w:r>
        <w:rPr>
          <w:rFonts w:hint="eastAsia" w:ascii="黑体" w:hAnsi="黑体" w:eastAsia="黑体" w:cs="黑体"/>
          <w:sz w:val="32"/>
          <w:lang w:eastAsia="zh-CN"/>
        </w:rPr>
        <w:t>条之一　</w:t>
      </w:r>
      <w:r>
        <w:rPr>
          <w:rFonts w:ascii="仿宋_GB2312" w:hAnsi="仿宋_GB2312" w:eastAsia="仿宋_GB2312" w:cs="仿宋_GB2312"/>
          <w:sz w:val="32"/>
        </w:rPr>
        <w:t>以转移财产、逃匿等方法逃避支付劳动者的劳动报酬或者有能力支付而不支付劳动者的劳动报酬，数额较大，经政府有关部门责令支付仍不支付的，处三年以下有期徒刑或者拘役，并处或者单处罚金；造成严重后果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有前两款行为，尚未造成严重后果，在提起公诉前支付劳动者的劳动报酬，并依法承担相应赔偿责任的，可以减轻或者免除处罚。</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第六章　妨害社会管理秩序罪</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扰乱公共秩序罪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第二百七十七条</w:t>
      </w:r>
      <w:r>
        <w:rPr>
          <w:rFonts w:ascii="仿宋_GB2312" w:hAnsi="仿宋_GB2312" w:eastAsia="仿宋_GB2312" w:cs="仿宋_GB2312"/>
          <w:sz w:val="32"/>
        </w:rPr>
        <w:t>　以暴力、威胁方法阻碍国家机关工作人员依法执行职务的，处三年以下有期徒刑、拘役、管制或者罚金。</w:t>
      </w:r>
    </w:p>
    <w:p>
      <w:pPr>
        <w:spacing w:line="240" w:lineRule="auto"/>
        <w:ind w:firstLine="640"/>
        <w:jc w:val="both"/>
      </w:pPr>
      <w:r>
        <w:rPr>
          <w:rFonts w:ascii="仿宋_GB2312" w:hAnsi="仿宋_GB2312" w:eastAsia="仿宋_GB2312" w:cs="仿宋_GB2312"/>
          <w:sz w:val="32"/>
        </w:rPr>
        <w:t>以暴力、威胁方法阻碍全国人民代表大会和地方各级人民代表大会代表依法执行代表职务的，依照前款的规定处罚。</w:t>
      </w:r>
    </w:p>
    <w:p>
      <w:pPr>
        <w:spacing w:line="240" w:lineRule="auto"/>
        <w:ind w:firstLine="640"/>
        <w:jc w:val="both"/>
      </w:pPr>
      <w:r>
        <w:rPr>
          <w:rFonts w:ascii="仿宋_GB2312" w:hAnsi="仿宋_GB2312" w:eastAsia="仿宋_GB2312" w:cs="仿宋_GB2312"/>
          <w:sz w:val="32"/>
        </w:rPr>
        <w:t>在自然灾害和突发事件中，以暴力、威胁方法阻碍红十字会工作人员依法履行职责的，依照第一款的规定处罚。</w:t>
      </w:r>
    </w:p>
    <w:p>
      <w:pPr>
        <w:spacing w:line="240" w:lineRule="auto"/>
        <w:ind w:firstLine="640"/>
        <w:jc w:val="both"/>
      </w:pPr>
      <w:r>
        <w:rPr>
          <w:rFonts w:ascii="仿宋_GB2312" w:hAnsi="仿宋_GB2312" w:eastAsia="仿宋_GB2312" w:cs="仿宋_GB2312"/>
          <w:sz w:val="32"/>
        </w:rPr>
        <w:t>故意阻碍国家安全机关、公安机关依法执行国家安全工作任务，未使用暴力、威胁方法，造成严重后果的，依照第一款的规定处罚。</w:t>
      </w:r>
    </w:p>
    <w:p>
      <w:pPr>
        <w:spacing w:line="240" w:lineRule="auto"/>
        <w:ind w:firstLine="640"/>
        <w:jc w:val="both"/>
      </w:pPr>
      <w:r>
        <w:rPr>
          <w:rFonts w:ascii="仿宋_GB2312" w:hAnsi="仿宋_GB2312" w:eastAsia="仿宋_GB2312" w:cs="仿宋_GB2312"/>
          <w:sz w:val="32"/>
        </w:rPr>
        <w:t>暴力袭击正在依法执行职务的人民警察的，处三年以下有期徒刑、拘役或者管制；使用枪支、管制刀具，或者以驾驶机动车撞击等手段，严重危及其人身安全的，处三年以上七年以下有期徒刑。</w:t>
      </w:r>
    </w:p>
    <w:p>
      <w:pPr>
        <w:spacing w:line="240" w:lineRule="auto"/>
        <w:ind w:firstLine="640"/>
        <w:jc w:val="both"/>
      </w:pPr>
      <w:r>
        <w:rPr>
          <w:rFonts w:ascii="黑体" w:hAnsi="黑体" w:eastAsia="黑体" w:cs="黑体"/>
          <w:sz w:val="32"/>
        </w:rPr>
        <w:t>第二百七十八条</w:t>
      </w:r>
      <w:r>
        <w:rPr>
          <w:rFonts w:ascii="仿宋_GB2312" w:hAnsi="仿宋_GB2312" w:eastAsia="仿宋_GB2312" w:cs="仿宋_GB2312"/>
          <w:sz w:val="32"/>
        </w:rPr>
        <w:t>　煽动群众暴力抗拒国家法律、行政法规实施的，处三年以下有期徒刑、拘役、管制或者剥夺政治权利；造成严重后果的，处三年以上七年以下有期徒刑。</w:t>
      </w:r>
    </w:p>
    <w:p>
      <w:pPr>
        <w:spacing w:line="240" w:lineRule="auto"/>
        <w:ind w:firstLine="640"/>
        <w:jc w:val="both"/>
      </w:pPr>
      <w:r>
        <w:rPr>
          <w:rFonts w:ascii="黑体" w:hAnsi="黑体" w:eastAsia="黑体" w:cs="黑体"/>
          <w:sz w:val="32"/>
        </w:rPr>
        <w:t>第二百七十九条</w:t>
      </w:r>
      <w:r>
        <w:rPr>
          <w:rFonts w:ascii="仿宋_GB2312" w:hAnsi="仿宋_GB2312" w:eastAsia="仿宋_GB2312" w:cs="仿宋_GB2312"/>
          <w:sz w:val="32"/>
        </w:rPr>
        <w:t>　冒充国家机关工作人员招摇撞骗的，处三年以下有期徒刑、拘役、管制或者剥夺政治权利；情节严重的，处三年以上十年以下有期徒刑。</w:t>
      </w:r>
    </w:p>
    <w:p>
      <w:pPr>
        <w:spacing w:line="240" w:lineRule="auto"/>
        <w:ind w:firstLine="640"/>
        <w:jc w:val="both"/>
      </w:pPr>
      <w:r>
        <w:rPr>
          <w:rFonts w:ascii="仿宋_GB2312" w:hAnsi="仿宋_GB2312" w:eastAsia="仿宋_GB2312" w:cs="仿宋_GB2312"/>
          <w:sz w:val="32"/>
        </w:rPr>
        <w:t>冒充人民警察招摇撞骗的，依照前款的规定从重处罚。</w:t>
      </w:r>
    </w:p>
    <w:p>
      <w:pPr>
        <w:spacing w:line="240" w:lineRule="auto"/>
        <w:ind w:firstLine="640"/>
        <w:jc w:val="both"/>
      </w:pPr>
      <w:r>
        <w:rPr>
          <w:rFonts w:ascii="黑体" w:hAnsi="黑体" w:eastAsia="黑体" w:cs="黑体"/>
          <w:sz w:val="32"/>
        </w:rPr>
        <w:t>第二百八十条</w:t>
      </w:r>
      <w:r>
        <w:rPr>
          <w:rFonts w:ascii="仿宋_GB2312" w:hAnsi="仿宋_GB2312" w:eastAsia="仿宋_GB2312" w:cs="仿宋_GB2312"/>
          <w:sz w:val="32"/>
        </w:rPr>
        <w:t>　伪造、变造、买卖或者盗窃、抢夺、毁灭国家机关的公文、证件、印章的，处三年以下有期徒刑、拘役、管制或者剥夺政治权利，并处罚金；情节严重的，处三年以上十年以下有期徒刑，并处罚金。</w:t>
      </w:r>
    </w:p>
    <w:p>
      <w:pPr>
        <w:spacing w:line="240" w:lineRule="auto"/>
        <w:ind w:firstLine="640"/>
        <w:jc w:val="both"/>
      </w:pPr>
      <w:r>
        <w:rPr>
          <w:rFonts w:ascii="仿宋_GB2312" w:hAnsi="仿宋_GB2312" w:eastAsia="仿宋_GB2312" w:cs="仿宋_GB2312"/>
          <w:sz w:val="32"/>
        </w:rPr>
        <w:t>伪造公司、企业、事业单位、人民团体的印章的，处三年以下有期徒刑、拘役、管制或者剥夺政治权利，并处罚金。</w:t>
      </w:r>
    </w:p>
    <w:p>
      <w:pPr>
        <w:spacing w:line="240" w:lineRule="auto"/>
        <w:ind w:firstLine="640"/>
        <w:jc w:val="both"/>
      </w:pPr>
      <w:r>
        <w:rPr>
          <w:rFonts w:ascii="仿宋_GB2312" w:hAnsi="仿宋_GB2312" w:eastAsia="仿宋_GB2312" w:cs="仿宋_GB2312"/>
          <w:sz w:val="32"/>
        </w:rPr>
        <w:t>伪造、变造、买卖居民身份证、护照、社会保障卡、驾驶证等依法可以用于证明身份的证件的，处三年以下有期徒刑、拘役、管制或者剥夺政治权利，并处罚金；情节严重的，处三年以上七年以下有期徒刑，并处罚金。</w:t>
      </w:r>
    </w:p>
    <w:p>
      <w:pPr>
        <w:spacing w:line="240" w:lineRule="auto"/>
        <w:ind w:firstLine="640"/>
        <w:jc w:val="both"/>
      </w:pPr>
      <w:r>
        <w:rPr>
          <w:rFonts w:ascii="黑体" w:hAnsi="黑体" w:eastAsia="黑体" w:cs="黑体"/>
          <w:sz w:val="32"/>
        </w:rPr>
        <w:t>第二百八十</w:t>
      </w:r>
      <w:r>
        <w:rPr>
          <w:rFonts w:hint="eastAsia" w:ascii="黑体" w:hAnsi="黑体" w:eastAsia="黑体" w:cs="黑体"/>
          <w:sz w:val="32"/>
          <w:lang w:eastAsia="zh-CN"/>
        </w:rPr>
        <w:t>条之一　</w:t>
      </w:r>
      <w:r>
        <w:rPr>
          <w:rFonts w:ascii="仿宋_GB2312" w:hAnsi="仿宋_GB2312" w:eastAsia="仿宋_GB2312" w:cs="仿宋_GB2312"/>
          <w:sz w:val="32"/>
        </w:rPr>
        <w:t>在依照国家规定应当提供身份证明的活动中，使用伪造、变造的或者盗用他人的居民身份证、护照、社会保障卡、驾驶证等依法可以用于证明身份的证件，情节严重的，处拘役或者管制，并处或者单处罚金。</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第二百八十</w:t>
      </w:r>
      <w:r>
        <w:rPr>
          <w:rFonts w:hint="eastAsia" w:ascii="黑体" w:hAnsi="黑体" w:eastAsia="黑体" w:cs="黑体"/>
          <w:sz w:val="32"/>
          <w:lang w:eastAsia="zh-CN"/>
        </w:rPr>
        <w:t>条之二　</w:t>
      </w:r>
      <w:r>
        <w:rPr>
          <w:rFonts w:ascii="仿宋_GB2312" w:hAnsi="仿宋_GB2312" w:eastAsia="仿宋_GB2312" w:cs="仿宋_GB2312"/>
          <w:sz w:val="32"/>
        </w:rPr>
        <w:t>盗用、冒用他人身份，顶替他人取得的高等学历教育入学资格、公务员录用资格、就业安置待遇的，处三年以下有期徒刑、拘役或者管制，并处罚金。</w:t>
      </w:r>
    </w:p>
    <w:p>
      <w:pPr>
        <w:spacing w:line="240" w:lineRule="auto"/>
        <w:ind w:firstLine="640"/>
        <w:jc w:val="both"/>
      </w:pPr>
      <w:r>
        <w:rPr>
          <w:rFonts w:ascii="仿宋_GB2312" w:hAnsi="仿宋_GB2312" w:eastAsia="仿宋_GB2312" w:cs="仿宋_GB2312"/>
          <w:sz w:val="32"/>
        </w:rPr>
        <w:t>组织、指使他人实施前款行为的，依照前款的规定从重处罚。</w:t>
      </w:r>
    </w:p>
    <w:p>
      <w:pPr>
        <w:spacing w:line="240" w:lineRule="auto"/>
        <w:ind w:firstLine="640"/>
        <w:jc w:val="both"/>
      </w:pPr>
      <w:r>
        <w:rPr>
          <w:rFonts w:ascii="仿宋_GB2312" w:hAnsi="仿宋_GB2312" w:eastAsia="仿宋_GB2312" w:cs="仿宋_GB2312"/>
          <w:sz w:val="32"/>
        </w:rPr>
        <w:t>国家工作人员有前两款行为，又构成其他犯罪的，依照数罪并罚的规定处罚。</w:t>
      </w:r>
    </w:p>
    <w:p>
      <w:pPr>
        <w:spacing w:line="240" w:lineRule="auto"/>
        <w:ind w:firstLine="640"/>
        <w:jc w:val="both"/>
      </w:pPr>
      <w:r>
        <w:rPr>
          <w:rFonts w:ascii="黑体" w:hAnsi="黑体" w:eastAsia="黑体" w:cs="黑体"/>
          <w:sz w:val="32"/>
        </w:rPr>
        <w:t>第二百八十一条</w:t>
      </w:r>
      <w:r>
        <w:rPr>
          <w:rFonts w:ascii="仿宋_GB2312" w:hAnsi="仿宋_GB2312" w:eastAsia="仿宋_GB2312" w:cs="仿宋_GB2312"/>
          <w:sz w:val="32"/>
        </w:rPr>
        <w:t>　非法生产、买卖人民警察制式服装、车辆号牌等专用标志、警械，情节严重的，处三年以下有期徒刑、拘役或者管制，并处或者单处罚金。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第二百八十二条</w:t>
      </w:r>
      <w:r>
        <w:rPr>
          <w:rFonts w:ascii="仿宋_GB2312" w:hAnsi="仿宋_GB2312" w:eastAsia="仿宋_GB2312" w:cs="仿宋_GB2312"/>
          <w:sz w:val="32"/>
        </w:rPr>
        <w:t>　以窃取、刺探、收买方法，非法获取国家秘密的，处三年以下有期徒刑、拘役、管制或者剥夺政治权利；情节严重的，处三年以上七年以下有期徒刑。</w:t>
      </w:r>
    </w:p>
    <w:p>
      <w:pPr>
        <w:spacing w:line="240" w:lineRule="auto"/>
        <w:ind w:firstLine="640"/>
        <w:jc w:val="both"/>
      </w:pPr>
      <w:r>
        <w:rPr>
          <w:rFonts w:ascii="仿宋_GB2312" w:hAnsi="仿宋_GB2312" w:eastAsia="仿宋_GB2312" w:cs="仿宋_GB2312"/>
          <w:sz w:val="32"/>
        </w:rPr>
        <w:t>非法持有属于国家绝密、机密的文件、资料或者其他物品，拒不说明来源与用途的，处三年以下有期徒刑、拘役或者管制。</w:t>
      </w:r>
    </w:p>
    <w:p>
      <w:pPr>
        <w:spacing w:line="240" w:lineRule="auto"/>
        <w:ind w:firstLine="640"/>
        <w:jc w:val="both"/>
      </w:pPr>
      <w:r>
        <w:rPr>
          <w:rFonts w:ascii="黑体" w:hAnsi="黑体" w:eastAsia="黑体" w:cs="黑体"/>
          <w:sz w:val="32"/>
        </w:rPr>
        <w:t>第二百八十三条</w:t>
      </w:r>
      <w:r>
        <w:rPr>
          <w:rFonts w:ascii="仿宋_GB2312" w:hAnsi="仿宋_GB2312" w:eastAsia="仿宋_GB2312" w:cs="仿宋_GB2312"/>
          <w:sz w:val="32"/>
        </w:rPr>
        <w:t>　非法生产、销售专用间谍器材或者窃听、窃照专用器材的，处三年以下有期徒刑、拘役或者管制，并处或者单处罚金；情节严重的，处三年以上七年以下有期徒刑，并处罚金。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第二百八十四条</w:t>
      </w:r>
      <w:r>
        <w:rPr>
          <w:rFonts w:ascii="仿宋_GB2312" w:hAnsi="仿宋_GB2312" w:eastAsia="仿宋_GB2312" w:cs="仿宋_GB2312"/>
          <w:sz w:val="32"/>
        </w:rPr>
        <w:t>　非法使用窃听、窃照专用器材，造成严重后果的，处二年以下有期徒刑、拘役或者管制。</w:t>
      </w:r>
    </w:p>
    <w:p>
      <w:pPr>
        <w:spacing w:line="240" w:lineRule="auto"/>
        <w:ind w:firstLine="640"/>
        <w:jc w:val="both"/>
      </w:pPr>
      <w:r>
        <w:rPr>
          <w:rFonts w:ascii="黑体" w:hAnsi="黑体" w:eastAsia="黑体" w:cs="黑体"/>
          <w:sz w:val="32"/>
        </w:rPr>
        <w:t>第二百八十四</w:t>
      </w:r>
      <w:r>
        <w:rPr>
          <w:rFonts w:hint="eastAsia" w:ascii="黑体" w:hAnsi="黑体" w:eastAsia="黑体" w:cs="黑体"/>
          <w:sz w:val="32"/>
          <w:lang w:eastAsia="zh-CN"/>
        </w:rPr>
        <w:t>条之一　</w:t>
      </w:r>
      <w:r>
        <w:rPr>
          <w:rFonts w:ascii="仿宋_GB2312" w:hAnsi="仿宋_GB2312" w:eastAsia="仿宋_GB2312" w:cs="仿宋_GB2312"/>
          <w:sz w:val="32"/>
        </w:rPr>
        <w:t>在法律规定的国家考试中，组织作弊的，处三年以下有期徒刑或者拘役，并处或者单处罚金；情节严重的，处三年以上七年以下有期徒刑，并处罚金。</w:t>
      </w:r>
    </w:p>
    <w:p>
      <w:pPr>
        <w:spacing w:line="240" w:lineRule="auto"/>
        <w:ind w:firstLine="640"/>
        <w:jc w:val="both"/>
      </w:pPr>
      <w:r>
        <w:rPr>
          <w:rFonts w:ascii="仿宋_GB2312" w:hAnsi="仿宋_GB2312" w:eastAsia="仿宋_GB2312" w:cs="仿宋_GB2312"/>
          <w:sz w:val="32"/>
        </w:rPr>
        <w:t>为他人实施前款犯罪提供作弊器材或者其他帮助的，依照前款的规定处罚。</w:t>
      </w:r>
    </w:p>
    <w:p>
      <w:pPr>
        <w:spacing w:line="240" w:lineRule="auto"/>
        <w:ind w:firstLine="640"/>
        <w:jc w:val="both"/>
      </w:pPr>
      <w:r>
        <w:rPr>
          <w:rFonts w:ascii="仿宋_GB2312" w:hAnsi="仿宋_GB2312" w:eastAsia="仿宋_GB2312" w:cs="仿宋_GB2312"/>
          <w:sz w:val="32"/>
        </w:rPr>
        <w:t>为实施考试作弊行为，向他人非法出售或者提供第一款规定的考试的试题、答案的，依照第一款的规定处罚。</w:t>
      </w:r>
    </w:p>
    <w:p>
      <w:pPr>
        <w:spacing w:line="240" w:lineRule="auto"/>
        <w:ind w:firstLine="640"/>
        <w:jc w:val="both"/>
      </w:pPr>
      <w:r>
        <w:rPr>
          <w:rFonts w:ascii="仿宋_GB2312" w:hAnsi="仿宋_GB2312" w:eastAsia="仿宋_GB2312" w:cs="仿宋_GB2312"/>
          <w:sz w:val="32"/>
        </w:rPr>
        <w:t>代替他人或者让他人代替自己参加第一款规定的考试的，处拘役或者管制，并处或者单处罚金。</w:t>
      </w:r>
    </w:p>
    <w:p>
      <w:pPr>
        <w:spacing w:line="240" w:lineRule="auto"/>
        <w:ind w:firstLine="640"/>
        <w:jc w:val="both"/>
      </w:pPr>
      <w:r>
        <w:rPr>
          <w:rFonts w:ascii="黑体" w:hAnsi="黑体" w:eastAsia="黑体" w:cs="黑体"/>
          <w:sz w:val="32"/>
        </w:rPr>
        <w:t>第二百八十五条</w:t>
      </w:r>
      <w:r>
        <w:rPr>
          <w:rFonts w:ascii="仿宋_GB2312" w:hAnsi="仿宋_GB2312" w:eastAsia="仿宋_GB2312" w:cs="仿宋_GB2312"/>
          <w:sz w:val="32"/>
        </w:rPr>
        <w:t>　违反国家规定，侵入国家事务、国防建设、尖端科学技术领域的计算机信息系统的，处三年以下有期徒刑或者拘役。</w:t>
      </w:r>
    </w:p>
    <w:p>
      <w:pPr>
        <w:spacing w:line="240" w:lineRule="auto"/>
        <w:ind w:firstLine="640"/>
        <w:jc w:val="both"/>
      </w:pPr>
      <w:r>
        <w:rPr>
          <w:rFonts w:ascii="仿宋_GB2312" w:hAnsi="仿宋_GB2312" w:eastAsia="仿宋_GB2312" w:cs="仿宋_GB2312"/>
          <w:sz w:val="32"/>
        </w:rPr>
        <w:t>违反国家规定，侵入前款规定以外的计算机信息系统或者采用其他技术手段，获取该计算机信息系统中存储、处理或者传输的数据，或者对该计算机信息系统实施非法控制，情节严重的，处三年以下有期徒刑或者拘役，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提供专门用于侵入、非法控制计算机信息系统的程序、工具，或者明知他人实施侵入、非法控制计算机信息系统的违法犯罪行为而为其提供程序、工具，情节严重的，依照前款的规定处罚。</w:t>
      </w:r>
    </w:p>
    <w:p>
      <w:pPr>
        <w:spacing w:line="240" w:lineRule="auto"/>
        <w:ind w:firstLine="640"/>
        <w:jc w:val="both"/>
      </w:pPr>
      <w:r>
        <w:rPr>
          <w:rFonts w:ascii="仿宋_GB2312" w:hAnsi="仿宋_GB2312" w:eastAsia="仿宋_GB2312" w:cs="仿宋_GB2312"/>
          <w:sz w:val="32"/>
        </w:rPr>
        <w:t>单位犯前三款罪的，对单位判处罚金，并对其直接负责的主管人员和其他直接责任人员，依照各该款的规定处罚。</w:t>
      </w:r>
    </w:p>
    <w:p>
      <w:pPr>
        <w:spacing w:line="240" w:lineRule="auto"/>
        <w:ind w:firstLine="640"/>
        <w:jc w:val="both"/>
      </w:pPr>
      <w:r>
        <w:rPr>
          <w:rFonts w:ascii="黑体" w:hAnsi="黑体" w:eastAsia="黑体" w:cs="黑体"/>
          <w:sz w:val="32"/>
        </w:rPr>
        <w:t>第二百八十六条</w:t>
      </w:r>
      <w:r>
        <w:rPr>
          <w:rFonts w:ascii="仿宋_GB2312" w:hAnsi="仿宋_GB2312" w:eastAsia="仿宋_GB2312" w:cs="仿宋_GB2312"/>
          <w:sz w:val="32"/>
        </w:rPr>
        <w:t>　违反国家规定，对计算机信息系统功能进行删除、修改、增加、干扰，造成计算机信息系统不能正常运行，后果严重的，处五年以下有期徒刑或者拘役；后果特别严重的，处五年以上有期徒刑。</w:t>
      </w:r>
    </w:p>
    <w:p>
      <w:pPr>
        <w:spacing w:line="240" w:lineRule="auto"/>
        <w:ind w:firstLine="640"/>
        <w:jc w:val="both"/>
      </w:pPr>
      <w:r>
        <w:rPr>
          <w:rFonts w:ascii="仿宋_GB2312" w:hAnsi="仿宋_GB2312" w:eastAsia="仿宋_GB2312" w:cs="仿宋_GB2312"/>
          <w:sz w:val="32"/>
        </w:rPr>
        <w:t>违反国家规定，对计算机信息系统中存储、处理或者传输的数据和应用程序进行删除、修改、增加的操作，后果严重的，依照前款的规定处罚。</w:t>
      </w:r>
    </w:p>
    <w:p>
      <w:pPr>
        <w:spacing w:line="240" w:lineRule="auto"/>
        <w:ind w:firstLine="640"/>
        <w:jc w:val="both"/>
      </w:pPr>
      <w:r>
        <w:rPr>
          <w:rFonts w:ascii="仿宋_GB2312" w:hAnsi="仿宋_GB2312" w:eastAsia="仿宋_GB2312" w:cs="仿宋_GB2312"/>
          <w:sz w:val="32"/>
        </w:rPr>
        <w:t>故意制作、传播计算机病毒等破坏性程序，影响计算机系统正常运行，后果严重的，依照第一款的规定处罚。</w:t>
      </w:r>
    </w:p>
    <w:p>
      <w:pPr>
        <w:spacing w:line="240" w:lineRule="auto"/>
        <w:ind w:firstLine="640"/>
        <w:jc w:val="both"/>
      </w:pPr>
      <w:r>
        <w:rPr>
          <w:rFonts w:ascii="仿宋_GB2312" w:hAnsi="仿宋_GB2312" w:eastAsia="仿宋_GB2312" w:cs="仿宋_GB2312"/>
          <w:sz w:val="32"/>
        </w:rPr>
        <w:t>单位犯前三款罪的，对单位判处罚金，并对其直接负责的主管人员和其他直接责任人员，依照第一款的规定处罚。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第二百八十六</w:t>
      </w:r>
      <w:r>
        <w:rPr>
          <w:rFonts w:hint="eastAsia" w:ascii="黑体" w:hAnsi="黑体" w:eastAsia="黑体" w:cs="黑体"/>
          <w:sz w:val="32"/>
          <w:lang w:eastAsia="zh-CN"/>
        </w:rPr>
        <w:t>条之一　</w:t>
      </w:r>
      <w:r>
        <w:rPr>
          <w:rFonts w:ascii="仿宋_GB2312" w:hAnsi="仿宋_GB2312" w:eastAsia="仿宋_GB2312" w:cs="仿宋_GB2312"/>
          <w:sz w:val="32"/>
        </w:rPr>
        <w:t>网络服务提供者不履行法律、行政法规规定的信息网络安全管理义务，经监管部门责令采取改正措施而拒不改正，有下列情形之一的，处三年以下有期徒刑、拘役或者管制，并处或者单处罚金：</w:t>
      </w:r>
    </w:p>
    <w:p>
      <w:pPr>
        <w:spacing w:line="240" w:lineRule="auto"/>
        <w:ind w:firstLine="640"/>
        <w:jc w:val="both"/>
      </w:pPr>
      <w:r>
        <w:rPr>
          <w:rFonts w:ascii="仿宋_GB2312" w:hAnsi="仿宋_GB2312" w:eastAsia="仿宋_GB2312" w:cs="仿宋_GB2312"/>
          <w:sz w:val="32"/>
        </w:rPr>
        <w:t>（一）致使违法信息大量传播的；</w:t>
      </w:r>
    </w:p>
    <w:p>
      <w:pPr>
        <w:spacing w:line="240" w:lineRule="auto"/>
        <w:ind w:firstLine="640"/>
        <w:jc w:val="both"/>
      </w:pPr>
      <w:r>
        <w:rPr>
          <w:rFonts w:ascii="仿宋_GB2312" w:hAnsi="仿宋_GB2312" w:eastAsia="仿宋_GB2312" w:cs="仿宋_GB2312"/>
          <w:sz w:val="32"/>
        </w:rPr>
        <w:t>（二）致使用户信息泄露，造成严重后果的；</w:t>
      </w:r>
    </w:p>
    <w:p>
      <w:pPr>
        <w:spacing w:line="240" w:lineRule="auto"/>
        <w:ind w:firstLine="640"/>
        <w:jc w:val="both"/>
      </w:pPr>
      <w:r>
        <w:rPr>
          <w:rFonts w:ascii="仿宋_GB2312" w:hAnsi="仿宋_GB2312" w:eastAsia="仿宋_GB2312" w:cs="仿宋_GB2312"/>
          <w:sz w:val="32"/>
        </w:rPr>
        <w:t>（三）致使刑事案件证据灭失，情节严重的；</w:t>
      </w:r>
    </w:p>
    <w:p>
      <w:pPr>
        <w:spacing w:line="240" w:lineRule="auto"/>
        <w:ind w:firstLine="640"/>
        <w:jc w:val="both"/>
      </w:pPr>
      <w:r>
        <w:rPr>
          <w:rFonts w:ascii="仿宋_GB2312" w:hAnsi="仿宋_GB2312" w:eastAsia="仿宋_GB2312" w:cs="仿宋_GB2312"/>
          <w:sz w:val="32"/>
        </w:rPr>
        <w:t>（四）有其他严重情节的。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第二百八十七条</w:t>
      </w:r>
      <w:r>
        <w:rPr>
          <w:rFonts w:ascii="仿宋_GB2312" w:hAnsi="仿宋_GB2312" w:eastAsia="仿宋_GB2312" w:cs="仿宋_GB2312"/>
          <w:sz w:val="32"/>
        </w:rPr>
        <w:t>　利用计算机实施金融诈骗、盗窃、贪污、挪用公款、窃取国家秘密或者其他犯罪的，依照本法有关规定定罪处罚。</w:t>
      </w:r>
    </w:p>
    <w:p>
      <w:pPr>
        <w:spacing w:line="240" w:lineRule="auto"/>
        <w:ind w:firstLine="640"/>
        <w:jc w:val="both"/>
      </w:pPr>
      <w:r>
        <w:rPr>
          <w:rFonts w:ascii="黑体" w:hAnsi="黑体" w:eastAsia="黑体" w:cs="黑体"/>
          <w:sz w:val="32"/>
        </w:rPr>
        <w:t>第二百八十七</w:t>
      </w:r>
      <w:r>
        <w:rPr>
          <w:rFonts w:hint="eastAsia" w:ascii="黑体" w:hAnsi="黑体" w:eastAsia="黑体" w:cs="黑体"/>
          <w:sz w:val="32"/>
          <w:lang w:eastAsia="zh-CN"/>
        </w:rPr>
        <w:t>条之一　</w:t>
      </w:r>
      <w:r>
        <w:rPr>
          <w:rFonts w:ascii="仿宋_GB2312" w:hAnsi="仿宋_GB2312" w:eastAsia="仿宋_GB2312" w:cs="仿宋_GB2312"/>
          <w:sz w:val="32"/>
        </w:rPr>
        <w:t>利用信息网络实施下列行为之一，情节严重的，处三年以下有期徒刑或者拘役，并处或者单处罚金：</w:t>
      </w:r>
    </w:p>
    <w:p>
      <w:pPr>
        <w:spacing w:line="240" w:lineRule="auto"/>
        <w:ind w:firstLine="640"/>
        <w:jc w:val="both"/>
      </w:pPr>
      <w:r>
        <w:rPr>
          <w:rFonts w:ascii="仿宋_GB2312" w:hAnsi="仿宋_GB2312" w:eastAsia="仿宋_GB2312" w:cs="仿宋_GB2312"/>
          <w:sz w:val="32"/>
        </w:rPr>
        <w:t>（一）设立用于实施诈骗、传授犯罪方法、制作或者销售违禁物品、管制物品等违法犯罪活动的网站、通讯群组的；</w:t>
      </w:r>
    </w:p>
    <w:p>
      <w:pPr>
        <w:spacing w:line="240" w:lineRule="auto"/>
        <w:ind w:firstLine="640"/>
        <w:jc w:val="both"/>
      </w:pPr>
      <w:r>
        <w:rPr>
          <w:rFonts w:ascii="仿宋_GB2312" w:hAnsi="仿宋_GB2312" w:eastAsia="仿宋_GB2312" w:cs="仿宋_GB2312"/>
          <w:sz w:val="32"/>
        </w:rPr>
        <w:t>（二）发布有关制作或者销售毒品、枪支、淫秽物品等违禁物品、管制物品或者其他违法犯罪信息的；</w:t>
      </w:r>
    </w:p>
    <w:p>
      <w:pPr>
        <w:spacing w:line="240" w:lineRule="auto"/>
        <w:ind w:firstLine="640"/>
        <w:jc w:val="both"/>
      </w:pPr>
      <w:r>
        <w:rPr>
          <w:rFonts w:ascii="仿宋_GB2312" w:hAnsi="仿宋_GB2312" w:eastAsia="仿宋_GB2312" w:cs="仿宋_GB2312"/>
          <w:sz w:val="32"/>
        </w:rPr>
        <w:t>（三）为实施诈骗等违法犯罪活动发布信息的。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单位犯前款罪的，对单位判处罚金，并对其直接负责的主管人员和其他直接责任人员，依照第一款的规定处罚。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第二百八十七</w:t>
      </w:r>
      <w:r>
        <w:rPr>
          <w:rFonts w:hint="eastAsia" w:ascii="黑体" w:hAnsi="黑体" w:eastAsia="黑体" w:cs="黑体"/>
          <w:sz w:val="32"/>
          <w:lang w:eastAsia="zh-CN"/>
        </w:rPr>
        <w:t>条之二　</w:t>
      </w:r>
      <w:r>
        <w:rPr>
          <w:rFonts w:ascii="仿宋_GB2312" w:hAnsi="仿宋_GB2312" w:eastAsia="仿宋_GB2312" w:cs="仿宋_GB2312"/>
          <w:sz w:val="32"/>
        </w:rPr>
        <w:t>明知他人利用信息网络实施犯罪，为其犯罪提供互联网接入、服务器托管、网络存储、通讯传输等技术支持，或者提供广告推广、支付结算等帮助，情节严重的，处三年以下有期徒刑或者拘役，并处或者单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单位犯前款罪的，对单位判处罚金，并对其直接负责的主管人员和其他直接责任人员，依照第一款的规定处罚。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第二百八十八条</w:t>
      </w:r>
      <w:r>
        <w:rPr>
          <w:rFonts w:ascii="仿宋_GB2312" w:hAnsi="仿宋_GB2312" w:eastAsia="仿宋_GB2312" w:cs="仿宋_GB2312"/>
          <w:sz w:val="32"/>
        </w:rPr>
        <w:t>　违反国家规定，擅自设置、使用无线电台（站），或者擅自使用无线电频率，干扰无线电通讯秩序，情节严重的，处三年以下有期徒刑、拘役或者管制，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第二百八十九条</w:t>
      </w:r>
      <w:r>
        <w:rPr>
          <w:rFonts w:ascii="仿宋_GB2312" w:hAnsi="仿宋_GB2312" w:eastAsia="仿宋_GB2312" w:cs="仿宋_GB2312"/>
          <w:sz w:val="32"/>
        </w:rPr>
        <w:t>　聚众“打砸抢”，致人伤残、死亡的，依照本法第二百三十四条、第二百三十二条的规定定罪处罚。毁坏或者抢走公私财物的，除判令退赔外，对首要分子，依照本法第二百六十三条的规定定罪处罚。</w:t>
      </w:r>
    </w:p>
    <w:p>
      <w:pPr>
        <w:spacing w:line="240" w:lineRule="auto"/>
        <w:ind w:firstLine="640"/>
        <w:jc w:val="both"/>
      </w:pPr>
      <w:r>
        <w:rPr>
          <w:rFonts w:ascii="黑体" w:hAnsi="黑体" w:eastAsia="黑体" w:cs="黑体"/>
          <w:sz w:val="32"/>
        </w:rPr>
        <w:t>第二百九十条</w:t>
      </w:r>
      <w:r>
        <w:rPr>
          <w:rFonts w:ascii="仿宋_GB2312" w:hAnsi="仿宋_GB2312" w:eastAsia="仿宋_GB2312" w:cs="仿宋_GB2312"/>
          <w:sz w:val="32"/>
        </w:rPr>
        <w:t>　聚众扰乱社会秩序，情节严重，致使工作、生产、营业和教学、科研、医疗无法进行，造成严重损失的，对首要分子，处三年以上七年以下有期徒刑；对其他积极参加的，处三年以下有期徒刑、拘役、管制或者剥夺政治权利。</w:t>
      </w:r>
    </w:p>
    <w:p>
      <w:pPr>
        <w:spacing w:line="240" w:lineRule="auto"/>
        <w:ind w:firstLine="640"/>
        <w:jc w:val="both"/>
      </w:pPr>
      <w:r>
        <w:rPr>
          <w:rFonts w:ascii="仿宋_GB2312" w:hAnsi="仿宋_GB2312" w:eastAsia="仿宋_GB2312" w:cs="仿宋_GB2312"/>
          <w:sz w:val="32"/>
        </w:rPr>
        <w:t>聚众冲击国家机关，致使国家机关工作无法进行，造成严重损失的，对首要分子，处五年以上十年以下有期徒刑；对其他积极参加的，处五年以下有期徒刑、拘役、管制或者剥夺政治权利。</w:t>
      </w:r>
    </w:p>
    <w:p>
      <w:pPr>
        <w:spacing w:line="240" w:lineRule="auto"/>
        <w:ind w:firstLine="640"/>
        <w:jc w:val="both"/>
      </w:pPr>
      <w:r>
        <w:rPr>
          <w:rFonts w:ascii="仿宋_GB2312" w:hAnsi="仿宋_GB2312" w:eastAsia="仿宋_GB2312" w:cs="仿宋_GB2312"/>
          <w:sz w:val="32"/>
        </w:rPr>
        <w:t>多次扰乱国家机关工作秩序，经行政处罚后仍不改正，造成严重后果的，处三年以下有期徒刑、拘役或者管制。</w:t>
      </w:r>
    </w:p>
    <w:p>
      <w:pPr>
        <w:spacing w:line="240" w:lineRule="auto"/>
        <w:ind w:firstLine="640"/>
        <w:jc w:val="both"/>
      </w:pPr>
      <w:r>
        <w:rPr>
          <w:rFonts w:ascii="仿宋_GB2312" w:hAnsi="仿宋_GB2312" w:eastAsia="仿宋_GB2312" w:cs="仿宋_GB2312"/>
          <w:sz w:val="32"/>
        </w:rPr>
        <w:t>多次组织、资助他人非法聚集，扰乱社会秩序，情节严重的，依照前款的规定处罚。</w:t>
      </w:r>
    </w:p>
    <w:p>
      <w:pPr>
        <w:spacing w:line="240" w:lineRule="auto"/>
        <w:ind w:firstLine="640"/>
        <w:jc w:val="both"/>
      </w:pPr>
      <w:r>
        <w:rPr>
          <w:rFonts w:ascii="黑体" w:hAnsi="黑体" w:eastAsia="黑体" w:cs="黑体"/>
          <w:sz w:val="32"/>
        </w:rPr>
        <w:t>第二百九十一条</w:t>
      </w:r>
      <w:r>
        <w:rPr>
          <w:rFonts w:ascii="仿宋_GB2312" w:hAnsi="仿宋_GB2312" w:eastAsia="仿宋_GB2312" w:cs="仿宋_GB2312"/>
          <w:sz w:val="32"/>
        </w:rPr>
        <w:t>　聚众扰乱车站、码头、民用航空站、商场、公园、影剧院、展览会、运动场或者其他公共场所秩序，聚众堵塞交通或者破坏交通秩序，抗拒、阻碍国家治安管理工作人员依法执行职务，情节严重的，对首要分子，处五年以下有期徒刑、拘役或者管制。</w:t>
      </w:r>
    </w:p>
    <w:p>
      <w:pPr>
        <w:spacing w:line="240" w:lineRule="auto"/>
        <w:ind w:firstLine="640"/>
        <w:jc w:val="both"/>
      </w:pPr>
      <w:r>
        <w:rPr>
          <w:rFonts w:ascii="黑体" w:hAnsi="黑体" w:eastAsia="黑体" w:cs="黑体"/>
          <w:sz w:val="32"/>
        </w:rPr>
        <w:t>第二百九十一</w:t>
      </w:r>
      <w:r>
        <w:rPr>
          <w:rFonts w:hint="eastAsia" w:ascii="黑体" w:hAnsi="黑体" w:eastAsia="黑体" w:cs="黑体"/>
          <w:sz w:val="32"/>
          <w:lang w:eastAsia="zh-CN"/>
        </w:rPr>
        <w:t>条之一　</w:t>
      </w:r>
      <w:r>
        <w:rPr>
          <w:rFonts w:ascii="仿宋_GB2312" w:hAnsi="仿宋_GB2312" w:eastAsia="仿宋_GB2312" w:cs="仿宋_GB2312"/>
          <w:sz w:val="32"/>
        </w:rPr>
        <w:t>投放虚假的爆炸性、毒害性、放射性、传染病病原体等物质，或者编造爆炸威胁、生化威胁、放射威胁等恐怖信息，或者明知是编造的恐怖信息而故意传播，严重扰乱社会秩序的，处五年以下有期徒刑、拘役或者管制；造成严重后果的，处五年以上有期徒刑。</w:t>
      </w:r>
    </w:p>
    <w:p>
      <w:pPr>
        <w:spacing w:line="240" w:lineRule="auto"/>
        <w:ind w:firstLine="640"/>
        <w:jc w:val="both"/>
      </w:pPr>
      <w:r>
        <w:rPr>
          <w:rFonts w:ascii="仿宋_GB2312" w:hAnsi="仿宋_GB2312" w:eastAsia="仿宋_GB2312" w:cs="仿宋_GB2312"/>
          <w:sz w:val="32"/>
        </w:rPr>
        <w:t>编造虚假的险情、疫情、灾情、警情，在信息网络或者其他媒体上传播，或者明知是上述虚假信息，故意在信息网络或者其他媒体上传播，严重扰乱社会秩序的，处三年以下有期徒刑、拘役或者管制；造成严重后果的，处三年以上七年以下有期徒刑。</w:t>
      </w:r>
    </w:p>
    <w:p>
      <w:pPr>
        <w:spacing w:line="240" w:lineRule="auto"/>
        <w:ind w:firstLine="640"/>
        <w:jc w:val="both"/>
      </w:pPr>
      <w:r>
        <w:rPr>
          <w:rFonts w:ascii="黑体" w:hAnsi="黑体" w:eastAsia="黑体" w:cs="黑体"/>
          <w:sz w:val="32"/>
        </w:rPr>
        <w:t>第二百九十一</w:t>
      </w:r>
      <w:r>
        <w:rPr>
          <w:rFonts w:hint="eastAsia" w:ascii="黑体" w:hAnsi="黑体" w:eastAsia="黑体" w:cs="黑体"/>
          <w:sz w:val="32"/>
          <w:lang w:eastAsia="zh-CN"/>
        </w:rPr>
        <w:t>条之二　</w:t>
      </w:r>
      <w:r>
        <w:rPr>
          <w:rFonts w:ascii="仿宋_GB2312" w:hAnsi="仿宋_GB2312" w:eastAsia="仿宋_GB2312" w:cs="仿宋_GB2312"/>
          <w:sz w:val="32"/>
        </w:rPr>
        <w:t>从建筑物或者其他高空抛掷物品，情节严重的，处一年以下有期徒刑、拘役或者管制，并处或者单处罚金。</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第二百九十二条</w:t>
      </w:r>
      <w:r>
        <w:rPr>
          <w:rFonts w:ascii="仿宋_GB2312" w:hAnsi="仿宋_GB2312" w:eastAsia="仿宋_GB2312" w:cs="仿宋_GB2312"/>
          <w:sz w:val="32"/>
        </w:rPr>
        <w:t>　聚众斗殴的，对首要分子和其他积极参加的，处三年以下有期徒刑、拘役或者管制；有下列情形之一的，对首要分子和其他积极参加的，处三年以上十年以下有期徒刑：</w:t>
      </w:r>
    </w:p>
    <w:p>
      <w:pPr>
        <w:spacing w:line="240" w:lineRule="auto"/>
        <w:ind w:firstLine="640"/>
        <w:jc w:val="both"/>
      </w:pPr>
      <w:r>
        <w:rPr>
          <w:rFonts w:ascii="仿宋_GB2312" w:hAnsi="仿宋_GB2312" w:eastAsia="仿宋_GB2312" w:cs="仿宋_GB2312"/>
          <w:sz w:val="32"/>
        </w:rPr>
        <w:t>（一）多次聚众斗殴的；</w:t>
      </w:r>
    </w:p>
    <w:p>
      <w:pPr>
        <w:spacing w:line="240" w:lineRule="auto"/>
        <w:ind w:firstLine="640"/>
        <w:jc w:val="both"/>
      </w:pPr>
      <w:r>
        <w:rPr>
          <w:rFonts w:ascii="仿宋_GB2312" w:hAnsi="仿宋_GB2312" w:eastAsia="仿宋_GB2312" w:cs="仿宋_GB2312"/>
          <w:sz w:val="32"/>
        </w:rPr>
        <w:t>（二）聚众斗殴人数多，规模大，社会影响恶劣的；</w:t>
      </w:r>
    </w:p>
    <w:p>
      <w:pPr>
        <w:spacing w:line="240" w:lineRule="auto"/>
        <w:ind w:firstLine="640"/>
        <w:jc w:val="both"/>
      </w:pPr>
      <w:r>
        <w:rPr>
          <w:rFonts w:ascii="仿宋_GB2312" w:hAnsi="仿宋_GB2312" w:eastAsia="仿宋_GB2312" w:cs="仿宋_GB2312"/>
          <w:sz w:val="32"/>
        </w:rPr>
        <w:t>（三）在公共场所或者交通要道聚众斗殴，造成社会秩序严重混乱的；</w:t>
      </w:r>
    </w:p>
    <w:p>
      <w:pPr>
        <w:spacing w:line="240" w:lineRule="auto"/>
        <w:ind w:firstLine="640"/>
        <w:jc w:val="both"/>
      </w:pPr>
      <w:r>
        <w:rPr>
          <w:rFonts w:ascii="仿宋_GB2312" w:hAnsi="仿宋_GB2312" w:eastAsia="仿宋_GB2312" w:cs="仿宋_GB2312"/>
          <w:sz w:val="32"/>
        </w:rPr>
        <w:t>（四）持械聚众斗殴的。</w:t>
      </w:r>
    </w:p>
    <w:p>
      <w:pPr>
        <w:spacing w:line="240" w:lineRule="auto"/>
        <w:ind w:firstLine="640"/>
        <w:jc w:val="both"/>
      </w:pPr>
      <w:r>
        <w:rPr>
          <w:rFonts w:ascii="仿宋_GB2312" w:hAnsi="仿宋_GB2312" w:eastAsia="仿宋_GB2312" w:cs="仿宋_GB2312"/>
          <w:sz w:val="32"/>
        </w:rPr>
        <w:t>聚众斗殴，致人重伤、死亡的，依照本法第二百三十四条、第二百三十二条的规定定罪处罚。</w:t>
      </w:r>
    </w:p>
    <w:p>
      <w:pPr>
        <w:spacing w:line="240" w:lineRule="auto"/>
        <w:ind w:firstLine="640"/>
        <w:jc w:val="both"/>
      </w:pPr>
      <w:r>
        <w:rPr>
          <w:rFonts w:ascii="黑体" w:hAnsi="黑体" w:eastAsia="黑体" w:cs="黑体"/>
          <w:sz w:val="32"/>
        </w:rPr>
        <w:t>第二百九十三条</w:t>
      </w:r>
      <w:r>
        <w:rPr>
          <w:rFonts w:ascii="仿宋_GB2312" w:hAnsi="仿宋_GB2312" w:eastAsia="仿宋_GB2312" w:cs="仿宋_GB2312"/>
          <w:sz w:val="32"/>
        </w:rPr>
        <w:t>　有下列寻衅滋事行为之一，破坏社会秩序的，处五年以下有期徒刑、拘役或者管制：</w:t>
      </w:r>
    </w:p>
    <w:p>
      <w:pPr>
        <w:spacing w:line="240" w:lineRule="auto"/>
        <w:ind w:firstLine="640"/>
        <w:jc w:val="both"/>
      </w:pPr>
      <w:r>
        <w:rPr>
          <w:rFonts w:ascii="仿宋_GB2312" w:hAnsi="仿宋_GB2312" w:eastAsia="仿宋_GB2312" w:cs="仿宋_GB2312"/>
          <w:sz w:val="32"/>
        </w:rPr>
        <w:t>（一）随意殴打他人，情节恶劣的；</w:t>
      </w:r>
    </w:p>
    <w:p>
      <w:pPr>
        <w:spacing w:line="240" w:lineRule="auto"/>
        <w:ind w:firstLine="640"/>
        <w:jc w:val="both"/>
      </w:pPr>
      <w:r>
        <w:rPr>
          <w:rFonts w:ascii="仿宋_GB2312" w:hAnsi="仿宋_GB2312" w:eastAsia="仿宋_GB2312" w:cs="仿宋_GB2312"/>
          <w:sz w:val="32"/>
        </w:rPr>
        <w:t>（二）追逐、拦截、辱骂、恐吓他人，情节恶劣的；</w:t>
      </w:r>
    </w:p>
    <w:p>
      <w:pPr>
        <w:spacing w:line="240" w:lineRule="auto"/>
        <w:ind w:firstLine="640"/>
        <w:jc w:val="both"/>
      </w:pPr>
      <w:r>
        <w:rPr>
          <w:rFonts w:ascii="仿宋_GB2312" w:hAnsi="仿宋_GB2312" w:eastAsia="仿宋_GB2312" w:cs="仿宋_GB2312"/>
          <w:sz w:val="32"/>
        </w:rPr>
        <w:t>（三）强拿硬要或者任意损毁、占用公私财物，情节严重的；</w:t>
      </w:r>
    </w:p>
    <w:p>
      <w:pPr>
        <w:spacing w:line="240" w:lineRule="auto"/>
        <w:ind w:firstLine="640"/>
        <w:jc w:val="both"/>
      </w:pPr>
      <w:r>
        <w:rPr>
          <w:rFonts w:ascii="仿宋_GB2312" w:hAnsi="仿宋_GB2312" w:eastAsia="仿宋_GB2312" w:cs="仿宋_GB2312"/>
          <w:sz w:val="32"/>
        </w:rPr>
        <w:t>（四）在公共场所起哄闹事，造成公共场所秩序严重混乱的。</w:t>
      </w:r>
    </w:p>
    <w:p>
      <w:pPr>
        <w:spacing w:line="240" w:lineRule="auto"/>
        <w:ind w:firstLine="640"/>
        <w:jc w:val="both"/>
      </w:pPr>
      <w:r>
        <w:rPr>
          <w:rFonts w:ascii="仿宋_GB2312" w:hAnsi="仿宋_GB2312" w:eastAsia="仿宋_GB2312" w:cs="仿宋_GB2312"/>
          <w:sz w:val="32"/>
        </w:rPr>
        <w:t>纠集他人多次实施前款行为，严重破坏社会秩序的，处五年以上十年以下有期徒刑，可以并处罚金。</w:t>
      </w:r>
    </w:p>
    <w:p>
      <w:pPr>
        <w:spacing w:line="240" w:lineRule="auto"/>
        <w:ind w:firstLine="640"/>
        <w:jc w:val="both"/>
      </w:pPr>
      <w:r>
        <w:rPr>
          <w:rFonts w:ascii="黑体" w:hAnsi="黑体" w:eastAsia="黑体" w:cs="黑体"/>
          <w:sz w:val="32"/>
        </w:rPr>
        <w:t>第二百九十三</w:t>
      </w:r>
      <w:r>
        <w:rPr>
          <w:rFonts w:hint="eastAsia" w:ascii="黑体" w:hAnsi="黑体" w:eastAsia="黑体" w:cs="黑体"/>
          <w:sz w:val="32"/>
          <w:lang w:eastAsia="zh-CN"/>
        </w:rPr>
        <w:t>条之一　</w:t>
      </w:r>
      <w:r>
        <w:rPr>
          <w:rFonts w:ascii="仿宋_GB2312" w:hAnsi="仿宋_GB2312" w:eastAsia="仿宋_GB2312" w:cs="仿宋_GB2312"/>
          <w:sz w:val="32"/>
        </w:rPr>
        <w:t>有下列情形之一，催收高利放贷等产生的非法债务，情节严重的，处三年以下有期徒刑、拘役或者管制，并处或者单处罚金：</w:t>
      </w:r>
    </w:p>
    <w:p>
      <w:pPr>
        <w:spacing w:line="240" w:lineRule="auto"/>
        <w:ind w:firstLine="640"/>
        <w:jc w:val="both"/>
      </w:pPr>
      <w:r>
        <w:rPr>
          <w:rFonts w:ascii="仿宋_GB2312" w:hAnsi="仿宋_GB2312" w:eastAsia="仿宋_GB2312" w:cs="仿宋_GB2312"/>
          <w:sz w:val="32"/>
        </w:rPr>
        <w:t>（一）使用暴力、胁迫方法的；</w:t>
      </w:r>
    </w:p>
    <w:p>
      <w:pPr>
        <w:spacing w:line="240" w:lineRule="auto"/>
        <w:ind w:firstLine="640"/>
        <w:jc w:val="both"/>
      </w:pPr>
      <w:r>
        <w:rPr>
          <w:rFonts w:ascii="仿宋_GB2312" w:hAnsi="仿宋_GB2312" w:eastAsia="仿宋_GB2312" w:cs="仿宋_GB2312"/>
          <w:sz w:val="32"/>
        </w:rPr>
        <w:t>（二）限制他人人身自由或者侵入他人住宅的；</w:t>
      </w:r>
    </w:p>
    <w:p>
      <w:pPr>
        <w:spacing w:line="240" w:lineRule="auto"/>
        <w:ind w:firstLine="640"/>
        <w:jc w:val="both"/>
      </w:pPr>
      <w:r>
        <w:rPr>
          <w:rFonts w:ascii="仿宋_GB2312" w:hAnsi="仿宋_GB2312" w:eastAsia="仿宋_GB2312" w:cs="仿宋_GB2312"/>
          <w:sz w:val="32"/>
        </w:rPr>
        <w:t>（三）恐吓、跟踪、骚扰他人的。</w:t>
      </w:r>
    </w:p>
    <w:p>
      <w:pPr>
        <w:spacing w:line="240" w:lineRule="auto"/>
        <w:ind w:firstLine="640"/>
        <w:jc w:val="both"/>
      </w:pPr>
      <w:r>
        <w:rPr>
          <w:rFonts w:ascii="黑体" w:hAnsi="黑体" w:eastAsia="黑体" w:cs="黑体"/>
          <w:sz w:val="32"/>
        </w:rPr>
        <w:t>第二百九十四条</w:t>
      </w:r>
      <w:r>
        <w:rPr>
          <w:rFonts w:ascii="仿宋_GB2312" w:hAnsi="仿宋_GB2312" w:eastAsia="仿宋_GB2312" w:cs="仿宋_GB2312"/>
          <w:sz w:val="32"/>
        </w:rPr>
        <w:t>　组织、领导黑社会性质的组织的，处七年以上有期徒刑，并处没收财产；积极参加的，处三年以上七年以下有期徒刑，可以并处罚金或者没收财产；其他参加的，处三年以下有期徒刑、拘役、管制或者剥夺政治权利，可以并处罚金。</w:t>
      </w:r>
    </w:p>
    <w:p>
      <w:pPr>
        <w:spacing w:line="240" w:lineRule="auto"/>
        <w:ind w:firstLine="640"/>
        <w:jc w:val="both"/>
      </w:pPr>
      <w:r>
        <w:rPr>
          <w:rFonts w:ascii="仿宋_GB2312" w:hAnsi="仿宋_GB2312" w:eastAsia="仿宋_GB2312" w:cs="仿宋_GB2312"/>
          <w:sz w:val="32"/>
        </w:rPr>
        <w:t>境外的黑社会组织的人员到中华人民共和国境内发展组织成员的，处三年以上十年以下有期徒刑。</w:t>
      </w:r>
    </w:p>
    <w:p>
      <w:pPr>
        <w:spacing w:line="240" w:lineRule="auto"/>
        <w:ind w:firstLine="640"/>
        <w:jc w:val="both"/>
      </w:pPr>
      <w:r>
        <w:rPr>
          <w:rFonts w:ascii="仿宋_GB2312" w:hAnsi="仿宋_GB2312" w:eastAsia="仿宋_GB2312" w:cs="仿宋_GB2312"/>
          <w:sz w:val="32"/>
        </w:rPr>
        <w:t>国家机关工作人员包庇黑社会性质的组织，或者纵容黑社会性质的组织进行违法犯罪活动的，处五年以下有期徒刑；情节严重的，处五年以上有期徒刑。</w:t>
      </w:r>
    </w:p>
    <w:p>
      <w:pPr>
        <w:spacing w:line="240" w:lineRule="auto"/>
        <w:ind w:firstLine="640"/>
        <w:jc w:val="both"/>
      </w:pPr>
      <w:r>
        <w:rPr>
          <w:rFonts w:ascii="仿宋_GB2312" w:hAnsi="仿宋_GB2312" w:eastAsia="仿宋_GB2312" w:cs="仿宋_GB2312"/>
          <w:sz w:val="32"/>
        </w:rPr>
        <w:t>犯前三款罪又有其他犯罪行为的，依照数罪并罚的规定处罚。</w:t>
      </w:r>
    </w:p>
    <w:p>
      <w:pPr>
        <w:spacing w:line="240" w:lineRule="auto"/>
        <w:ind w:firstLine="640"/>
        <w:jc w:val="both"/>
      </w:pPr>
      <w:r>
        <w:rPr>
          <w:rFonts w:ascii="仿宋_GB2312" w:hAnsi="仿宋_GB2312" w:eastAsia="仿宋_GB2312" w:cs="仿宋_GB2312"/>
          <w:sz w:val="32"/>
        </w:rPr>
        <w:t>黑社会性质的组织应当同时具备以下特征：</w:t>
      </w:r>
    </w:p>
    <w:p>
      <w:pPr>
        <w:spacing w:line="240" w:lineRule="auto"/>
        <w:ind w:firstLine="640"/>
        <w:jc w:val="both"/>
      </w:pPr>
      <w:r>
        <w:rPr>
          <w:rFonts w:ascii="仿宋_GB2312" w:hAnsi="仿宋_GB2312" w:eastAsia="仿宋_GB2312" w:cs="仿宋_GB2312"/>
          <w:sz w:val="32"/>
        </w:rPr>
        <w:t>（一）形成较稳定的犯罪组织，人数较多，有明确的组织者、领导者，骨干成员基本固定；</w:t>
      </w:r>
    </w:p>
    <w:p>
      <w:pPr>
        <w:spacing w:line="240" w:lineRule="auto"/>
        <w:ind w:firstLine="640"/>
        <w:jc w:val="both"/>
      </w:pPr>
      <w:r>
        <w:rPr>
          <w:rFonts w:ascii="仿宋_GB2312" w:hAnsi="仿宋_GB2312" w:eastAsia="仿宋_GB2312" w:cs="仿宋_GB2312"/>
          <w:sz w:val="32"/>
        </w:rPr>
        <w:t>（二）有组织地通过违法犯罪活动或者其他手段获取经济利益，具有一定的经济实力，以支持该组织的活动；</w:t>
      </w:r>
    </w:p>
    <w:p>
      <w:pPr>
        <w:spacing w:line="240" w:lineRule="auto"/>
        <w:ind w:firstLine="640"/>
        <w:jc w:val="both"/>
      </w:pPr>
      <w:r>
        <w:rPr>
          <w:rFonts w:ascii="仿宋_GB2312" w:hAnsi="仿宋_GB2312" w:eastAsia="仿宋_GB2312" w:cs="仿宋_GB2312"/>
          <w:sz w:val="32"/>
        </w:rPr>
        <w:t>（三）以暴力、威胁或者其他手段，有组织地多次进行违法犯罪活动，为非作恶，欺压、残害群众；</w:t>
      </w:r>
    </w:p>
    <w:p>
      <w:pPr>
        <w:spacing w:line="240" w:lineRule="auto"/>
        <w:ind w:firstLine="640"/>
        <w:jc w:val="both"/>
      </w:pPr>
      <w:r>
        <w:rPr>
          <w:rFonts w:ascii="仿宋_GB2312" w:hAnsi="仿宋_GB2312" w:eastAsia="仿宋_GB2312" w:cs="仿宋_GB2312"/>
          <w:sz w:val="32"/>
        </w:rPr>
        <w:t>（四）通过实施违法犯罪活动，或者利用国家工作人员的包庇或者纵容，称霸一方，在一定区域或者行业内，形成非法控制或者重大影响，严重破坏经济、社会生活秩序。</w:t>
      </w:r>
    </w:p>
    <w:p>
      <w:pPr>
        <w:spacing w:line="240" w:lineRule="auto"/>
        <w:ind w:firstLine="640"/>
        <w:jc w:val="both"/>
      </w:pPr>
      <w:r>
        <w:rPr>
          <w:rFonts w:ascii="黑体" w:hAnsi="黑体" w:eastAsia="黑体" w:cs="黑体"/>
          <w:sz w:val="32"/>
        </w:rPr>
        <w:t>第二百九十五条</w:t>
      </w:r>
      <w:r>
        <w:rPr>
          <w:rFonts w:ascii="仿宋_GB2312" w:hAnsi="仿宋_GB2312" w:eastAsia="仿宋_GB2312" w:cs="仿宋_GB2312"/>
          <w:sz w:val="32"/>
        </w:rPr>
        <w:t>　传授犯罪方法的，处五年以下有期徒刑、拘役或者管制；情节严重的，处五年以上十年以下有期徒刑；情节特别严重的，处十年以上有期徒刑或者无期徒刑。</w:t>
      </w:r>
    </w:p>
    <w:p>
      <w:pPr>
        <w:spacing w:line="240" w:lineRule="auto"/>
        <w:ind w:firstLine="640"/>
        <w:jc w:val="both"/>
      </w:pPr>
      <w:r>
        <w:rPr>
          <w:rFonts w:ascii="黑体" w:hAnsi="黑体" w:eastAsia="黑体" w:cs="黑体"/>
          <w:sz w:val="32"/>
        </w:rPr>
        <w:t>第二百九十六条</w:t>
      </w:r>
      <w:r>
        <w:rPr>
          <w:rFonts w:ascii="仿宋_GB2312" w:hAnsi="仿宋_GB2312" w:eastAsia="仿宋_GB2312" w:cs="仿宋_GB2312"/>
          <w:sz w:val="32"/>
        </w:rPr>
        <w:t>　举行集会、游行、示威，未依照法律规定申请或者申请未获许可，或者未按照主管机关许可的起止时间、地点、路线进行，又拒不服从解散命令，严重破坏社会秩序的，对集会、游行、示威的负责人和直接责任人员，处五年以下有期徒刑、拘役、管制或者剥夺政治权利。</w:t>
      </w:r>
    </w:p>
    <w:p>
      <w:pPr>
        <w:spacing w:line="240" w:lineRule="auto"/>
        <w:ind w:firstLine="640"/>
        <w:jc w:val="both"/>
      </w:pPr>
      <w:r>
        <w:rPr>
          <w:rFonts w:ascii="黑体" w:hAnsi="黑体" w:eastAsia="黑体" w:cs="黑体"/>
          <w:sz w:val="32"/>
        </w:rPr>
        <w:t>第二百九十七条</w:t>
      </w:r>
      <w:r>
        <w:rPr>
          <w:rFonts w:ascii="仿宋_GB2312" w:hAnsi="仿宋_GB2312" w:eastAsia="仿宋_GB2312" w:cs="仿宋_GB2312"/>
          <w:sz w:val="32"/>
        </w:rPr>
        <w:t>　违反法律规定，携带武器、管制刀具或者爆炸物参加集会、游行、示威的，处三年以下有期徒刑、拘役、管制或者剥夺政治权利。</w:t>
      </w:r>
    </w:p>
    <w:p>
      <w:pPr>
        <w:spacing w:line="240" w:lineRule="auto"/>
        <w:ind w:firstLine="640"/>
        <w:jc w:val="both"/>
      </w:pPr>
      <w:r>
        <w:rPr>
          <w:rFonts w:ascii="黑体" w:hAnsi="黑体" w:eastAsia="黑体" w:cs="黑体"/>
          <w:sz w:val="32"/>
        </w:rPr>
        <w:t>第二百九十八条</w:t>
      </w:r>
      <w:r>
        <w:rPr>
          <w:rFonts w:ascii="仿宋_GB2312" w:hAnsi="仿宋_GB2312" w:eastAsia="仿宋_GB2312" w:cs="仿宋_GB2312"/>
          <w:sz w:val="32"/>
        </w:rPr>
        <w:t>　扰乱、冲击或者以其他方法破坏依法举行的集会、游行、示威，造成公共秩序混乱的，处五年以下有期徒刑、拘役、管制或者剥夺政治权利。</w:t>
      </w:r>
    </w:p>
    <w:p>
      <w:pPr>
        <w:spacing w:line="240" w:lineRule="auto"/>
        <w:ind w:firstLine="640"/>
        <w:jc w:val="both"/>
      </w:pPr>
      <w:r>
        <w:rPr>
          <w:rFonts w:ascii="黑体" w:hAnsi="黑体" w:eastAsia="黑体" w:cs="黑体"/>
          <w:sz w:val="32"/>
        </w:rPr>
        <w:t>第二百九十九条</w:t>
      </w:r>
      <w:r>
        <w:rPr>
          <w:rFonts w:ascii="仿宋_GB2312" w:hAnsi="仿宋_GB2312" w:eastAsia="仿宋_GB2312" w:cs="仿宋_GB2312"/>
          <w:sz w:val="32"/>
        </w:rPr>
        <w:t>　在公共场合，故意以焚烧、毁损、涂划、玷污、践踏等方式侮辱中华人民共和国国旗、国徽的，处三年以下有期徒刑、拘役、管制或者剥夺政治权利。</w:t>
      </w:r>
    </w:p>
    <w:p>
      <w:pPr>
        <w:spacing w:line="240" w:lineRule="auto"/>
        <w:ind w:firstLine="640"/>
        <w:jc w:val="both"/>
      </w:pPr>
      <w:r>
        <w:rPr>
          <w:rFonts w:ascii="仿宋_GB2312" w:hAnsi="仿宋_GB2312" w:eastAsia="仿宋_GB2312" w:cs="仿宋_GB2312"/>
          <w:sz w:val="32"/>
        </w:rPr>
        <w:t>在公共场合，故意篡改中华人民共和国国歌歌词、曲谱，以歪曲、贬损方式奏唱国歌，或者以其他方式侮辱国歌，情节严重的，依照前款的规定处罚。</w:t>
      </w:r>
    </w:p>
    <w:p>
      <w:pPr>
        <w:spacing w:line="240" w:lineRule="auto"/>
        <w:ind w:firstLine="640"/>
        <w:jc w:val="both"/>
      </w:pPr>
      <w:r>
        <w:rPr>
          <w:rFonts w:ascii="黑体" w:hAnsi="黑体" w:eastAsia="黑体" w:cs="黑体"/>
          <w:sz w:val="32"/>
        </w:rPr>
        <w:t>第二百九十九</w:t>
      </w:r>
      <w:r>
        <w:rPr>
          <w:rFonts w:hint="eastAsia" w:ascii="黑体" w:hAnsi="黑体" w:eastAsia="黑体" w:cs="黑体"/>
          <w:sz w:val="32"/>
          <w:lang w:eastAsia="zh-CN"/>
        </w:rPr>
        <w:t>条之一　</w:t>
      </w:r>
      <w:r>
        <w:rPr>
          <w:rFonts w:ascii="仿宋_GB2312" w:hAnsi="仿宋_GB2312" w:eastAsia="仿宋_GB2312" w:cs="仿宋_GB2312"/>
          <w:sz w:val="32"/>
        </w:rPr>
        <w:t>侮辱、诽谤或者以其他方式侵害英雄烈士的名誉、荣誉，损害社会公共利益，情节严重的，处三年以下有期徒刑、拘役、管制或者剥夺政治权利。</w:t>
      </w:r>
    </w:p>
    <w:p>
      <w:pPr>
        <w:spacing w:line="240" w:lineRule="auto"/>
        <w:ind w:firstLine="640"/>
        <w:jc w:val="both"/>
      </w:pPr>
      <w:r>
        <w:rPr>
          <w:rFonts w:ascii="黑体" w:hAnsi="黑体" w:eastAsia="黑体" w:cs="黑体"/>
          <w:sz w:val="32"/>
        </w:rPr>
        <w:t>第三百条</w:t>
      </w:r>
      <w:r>
        <w:rPr>
          <w:rFonts w:ascii="仿宋_GB2312" w:hAnsi="仿宋_GB2312" w:eastAsia="仿宋_GB2312" w:cs="仿宋_GB2312"/>
          <w:sz w:val="32"/>
        </w:rPr>
        <w:t>　组织、利用会道门、邪教组织或者利用迷信破坏国家法律、行政法规实施的，处三年以上七年以下有期徒刑，并处罚金；情节特别严重的，处七年以上有期徒刑或者无期徒刑，并处罚金或者没收财产；情节较轻的，处三年以下有期徒刑、拘役、管制或者剥夺政治权利，并处或者单处罚金。</w:t>
      </w:r>
    </w:p>
    <w:p>
      <w:pPr>
        <w:spacing w:line="240" w:lineRule="auto"/>
        <w:ind w:firstLine="640"/>
        <w:jc w:val="both"/>
      </w:pPr>
      <w:r>
        <w:rPr>
          <w:rFonts w:ascii="仿宋_GB2312" w:hAnsi="仿宋_GB2312" w:eastAsia="仿宋_GB2312" w:cs="仿宋_GB2312"/>
          <w:sz w:val="32"/>
        </w:rPr>
        <w:t>组织、利用会道门、邪教组织或者利用迷信蒙骗他人，致人重伤、死亡的，依照前款的规定处罚。</w:t>
      </w:r>
    </w:p>
    <w:p>
      <w:pPr>
        <w:spacing w:line="240" w:lineRule="auto"/>
        <w:ind w:firstLine="640"/>
        <w:jc w:val="both"/>
      </w:pPr>
      <w:r>
        <w:rPr>
          <w:rFonts w:ascii="仿宋_GB2312" w:hAnsi="仿宋_GB2312" w:eastAsia="仿宋_GB2312" w:cs="仿宋_GB2312"/>
          <w:sz w:val="32"/>
        </w:rPr>
        <w:t>犯第一款罪又有奸淫妇女、诈骗财物等犯罪行为的，依照数罪并罚的规定处罚。</w:t>
      </w:r>
    </w:p>
    <w:p>
      <w:pPr>
        <w:spacing w:line="240" w:lineRule="auto"/>
        <w:ind w:firstLine="640"/>
        <w:jc w:val="both"/>
      </w:pPr>
      <w:r>
        <w:rPr>
          <w:rFonts w:ascii="黑体" w:hAnsi="黑体" w:eastAsia="黑体" w:cs="黑体"/>
          <w:sz w:val="32"/>
        </w:rPr>
        <w:t>第三百零一条</w:t>
      </w:r>
      <w:r>
        <w:rPr>
          <w:rFonts w:ascii="仿宋_GB2312" w:hAnsi="仿宋_GB2312" w:eastAsia="仿宋_GB2312" w:cs="仿宋_GB2312"/>
          <w:sz w:val="32"/>
        </w:rPr>
        <w:t>　聚众进行淫乱活动的，对首要分子或者多次参加的，处五年以下有期徒刑、拘役或者管制。</w:t>
      </w:r>
    </w:p>
    <w:p>
      <w:pPr>
        <w:spacing w:line="240" w:lineRule="auto"/>
        <w:ind w:firstLine="640"/>
        <w:jc w:val="both"/>
      </w:pPr>
      <w:r>
        <w:rPr>
          <w:rFonts w:ascii="仿宋_GB2312" w:hAnsi="仿宋_GB2312" w:eastAsia="仿宋_GB2312" w:cs="仿宋_GB2312"/>
          <w:sz w:val="32"/>
        </w:rPr>
        <w:t>引诱未成年人参加聚众淫乱活动的，依照前款的规定从重处罚。</w:t>
      </w:r>
    </w:p>
    <w:p>
      <w:pPr>
        <w:spacing w:line="240" w:lineRule="auto"/>
        <w:ind w:firstLine="640"/>
        <w:jc w:val="both"/>
      </w:pPr>
      <w:r>
        <w:rPr>
          <w:rFonts w:ascii="黑体" w:hAnsi="黑体" w:eastAsia="黑体" w:cs="黑体"/>
          <w:sz w:val="32"/>
        </w:rPr>
        <w:t>第三百零二条</w:t>
      </w:r>
      <w:r>
        <w:rPr>
          <w:rFonts w:ascii="仿宋_GB2312" w:hAnsi="仿宋_GB2312" w:eastAsia="仿宋_GB2312" w:cs="仿宋_GB2312"/>
          <w:sz w:val="32"/>
        </w:rPr>
        <w:t>　盗窃、侮辱、故意毁坏尸体、尸骨、骨灰的，处三年以下有期徒刑、拘役或者管制。</w:t>
      </w:r>
    </w:p>
    <w:p>
      <w:pPr>
        <w:spacing w:line="240" w:lineRule="auto"/>
        <w:ind w:firstLine="640"/>
        <w:jc w:val="both"/>
      </w:pPr>
      <w:r>
        <w:rPr>
          <w:rFonts w:ascii="黑体" w:hAnsi="黑体" w:eastAsia="黑体" w:cs="黑体"/>
          <w:sz w:val="32"/>
        </w:rPr>
        <w:t>第三百零三条</w:t>
      </w:r>
      <w:r>
        <w:rPr>
          <w:rFonts w:ascii="仿宋_GB2312" w:hAnsi="仿宋_GB2312" w:eastAsia="仿宋_GB2312" w:cs="仿宋_GB2312"/>
          <w:sz w:val="32"/>
        </w:rPr>
        <w:t>　以营利为目的，聚众赌博或者以赌博为业的，处三年以下有期徒刑、拘役或者管制，并处罚金。</w:t>
      </w:r>
    </w:p>
    <w:p>
      <w:pPr>
        <w:spacing w:line="240" w:lineRule="auto"/>
        <w:ind w:firstLine="640"/>
        <w:jc w:val="both"/>
      </w:pPr>
      <w:r>
        <w:rPr>
          <w:rFonts w:ascii="仿宋_GB2312" w:hAnsi="仿宋_GB2312" w:eastAsia="仿宋_GB2312" w:cs="仿宋_GB2312"/>
          <w:sz w:val="32"/>
        </w:rPr>
        <w:t>开设赌场的，处五年以下有期徒刑、拘役或者管制，并处罚金；情节严重的，处五年以上十年以下有期徒刑，并处罚金。</w:t>
      </w:r>
    </w:p>
    <w:p>
      <w:pPr>
        <w:spacing w:line="240" w:lineRule="auto"/>
        <w:ind w:firstLine="640"/>
        <w:jc w:val="both"/>
      </w:pPr>
      <w:r>
        <w:rPr>
          <w:rFonts w:ascii="仿宋_GB2312" w:hAnsi="仿宋_GB2312" w:eastAsia="仿宋_GB2312" w:cs="仿宋_GB2312"/>
          <w:sz w:val="32"/>
        </w:rPr>
        <w:t>组织中华人民共和国公民参与国（境）外赌博，数额巨大或者有其他严重情节的，依照前款的规定处罚。</w:t>
      </w:r>
    </w:p>
    <w:p>
      <w:pPr>
        <w:spacing w:line="240" w:lineRule="auto"/>
        <w:ind w:firstLine="640"/>
        <w:jc w:val="both"/>
      </w:pPr>
      <w:r>
        <w:rPr>
          <w:rFonts w:ascii="黑体" w:hAnsi="黑体" w:eastAsia="黑体" w:cs="黑体"/>
          <w:sz w:val="32"/>
        </w:rPr>
        <w:t>第三百零四条</w:t>
      </w:r>
      <w:r>
        <w:rPr>
          <w:rFonts w:ascii="仿宋_GB2312" w:hAnsi="仿宋_GB2312" w:eastAsia="仿宋_GB2312" w:cs="仿宋_GB2312"/>
          <w:sz w:val="32"/>
        </w:rPr>
        <w:t>　邮政工作人员严重不负责任，故意延误投递邮件，致使公共财产、国家和人民利益遭受重大损失的，处二年以下有期徒刑或者拘役。</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妨害司法罪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第三百零五条</w:t>
      </w:r>
      <w:r>
        <w:rPr>
          <w:rFonts w:ascii="仿宋_GB2312" w:hAnsi="仿宋_GB2312" w:eastAsia="仿宋_GB2312" w:cs="仿宋_GB2312"/>
          <w:sz w:val="32"/>
        </w:rPr>
        <w:t>　在刑事诉讼中，证人、鉴定人、记录人、翻译人对与案件有重要关系的情节，故意作虚假证明、鉴定、记录、翻译，意图陷害他人或者隐匿罪证的，处三年以下有期徒刑或者拘役；情节严重的，处三年以上七年以下有期徒刑。</w:t>
      </w:r>
    </w:p>
    <w:p>
      <w:pPr>
        <w:spacing w:line="240" w:lineRule="auto"/>
        <w:ind w:firstLine="640"/>
        <w:jc w:val="both"/>
      </w:pPr>
      <w:r>
        <w:rPr>
          <w:rFonts w:ascii="黑体" w:hAnsi="黑体" w:eastAsia="黑体" w:cs="黑体"/>
          <w:sz w:val="32"/>
        </w:rPr>
        <w:t>第三百零六条</w:t>
      </w:r>
      <w:r>
        <w:rPr>
          <w:rFonts w:ascii="仿宋_GB2312" w:hAnsi="仿宋_GB2312" w:eastAsia="仿宋_GB2312" w:cs="仿宋_GB2312"/>
          <w:sz w:val="32"/>
        </w:rPr>
        <w:t>　在刑事诉讼中，辩护人、诉讼代理人毁灭、伪造证据，帮助当事人毁灭、伪造证据，威胁、引诱证人违背事实改变证言或者作伪证的，处三年以下有期徒刑或者拘役；情节严重的，处三年以上七年以下有期徒刑。</w:t>
      </w:r>
    </w:p>
    <w:p>
      <w:pPr>
        <w:spacing w:line="240" w:lineRule="auto"/>
        <w:ind w:firstLine="640"/>
        <w:jc w:val="both"/>
      </w:pPr>
      <w:r>
        <w:rPr>
          <w:rFonts w:ascii="仿宋_GB2312" w:hAnsi="仿宋_GB2312" w:eastAsia="仿宋_GB2312" w:cs="仿宋_GB2312"/>
          <w:sz w:val="32"/>
        </w:rPr>
        <w:t>辩护人、诉讼代理人提供、出示、引用的证人证言或者其他证据失实，不是有意伪造的，不属于伪造证据。</w:t>
      </w:r>
    </w:p>
    <w:p>
      <w:pPr>
        <w:spacing w:line="240" w:lineRule="auto"/>
        <w:ind w:firstLine="640"/>
        <w:jc w:val="both"/>
      </w:pPr>
      <w:r>
        <w:rPr>
          <w:rFonts w:ascii="黑体" w:hAnsi="黑体" w:eastAsia="黑体" w:cs="黑体"/>
          <w:sz w:val="32"/>
        </w:rPr>
        <w:t>第三百零七条</w:t>
      </w:r>
      <w:r>
        <w:rPr>
          <w:rFonts w:ascii="仿宋_GB2312" w:hAnsi="仿宋_GB2312" w:eastAsia="仿宋_GB2312" w:cs="仿宋_GB2312"/>
          <w:sz w:val="32"/>
        </w:rPr>
        <w:t>　以暴力、威胁、贿买等方法阻止证人作证或者指使他人作伪证的，处三年以下有期徒刑或者拘役；情节严重的，处三年以上七年以下有期徒刑。</w:t>
      </w:r>
    </w:p>
    <w:p>
      <w:pPr>
        <w:spacing w:line="240" w:lineRule="auto"/>
        <w:ind w:firstLine="640"/>
        <w:jc w:val="both"/>
      </w:pPr>
      <w:r>
        <w:rPr>
          <w:rFonts w:ascii="仿宋_GB2312" w:hAnsi="仿宋_GB2312" w:eastAsia="仿宋_GB2312" w:cs="仿宋_GB2312"/>
          <w:sz w:val="32"/>
        </w:rPr>
        <w:t>帮助当事人毁灭、伪造证据，情节严重的，处三年以下有期徒刑或者拘役。</w:t>
      </w:r>
    </w:p>
    <w:p>
      <w:pPr>
        <w:spacing w:line="240" w:lineRule="auto"/>
        <w:ind w:firstLine="640"/>
        <w:jc w:val="both"/>
      </w:pPr>
      <w:r>
        <w:rPr>
          <w:rFonts w:ascii="仿宋_GB2312" w:hAnsi="仿宋_GB2312" w:eastAsia="仿宋_GB2312" w:cs="仿宋_GB2312"/>
          <w:sz w:val="32"/>
        </w:rPr>
        <w:t>司法工作人员犯前两款罪的，从重处罚。</w:t>
      </w:r>
    </w:p>
    <w:p>
      <w:pPr>
        <w:spacing w:line="240" w:lineRule="auto"/>
        <w:ind w:firstLine="640"/>
        <w:jc w:val="both"/>
      </w:pPr>
      <w:r>
        <w:rPr>
          <w:rFonts w:ascii="黑体" w:hAnsi="黑体" w:eastAsia="黑体" w:cs="黑体"/>
          <w:sz w:val="32"/>
        </w:rPr>
        <w:t>第三百零七</w:t>
      </w:r>
      <w:r>
        <w:rPr>
          <w:rFonts w:hint="eastAsia" w:ascii="黑体" w:hAnsi="黑体" w:eastAsia="黑体" w:cs="黑体"/>
          <w:sz w:val="32"/>
          <w:lang w:eastAsia="zh-CN"/>
        </w:rPr>
        <w:t>条之一　</w:t>
      </w:r>
      <w:r>
        <w:rPr>
          <w:rFonts w:ascii="仿宋_GB2312" w:hAnsi="仿宋_GB2312" w:eastAsia="仿宋_GB2312" w:cs="仿宋_GB2312"/>
          <w:sz w:val="32"/>
        </w:rPr>
        <w:t>以捏造的事实提起民事诉讼，妨害司法秩序或者严重侵害他人合法权益的，处三年以下有期徒刑、拘役或者管制，并处或者单处罚金；情节严重的，处三年以上七年以下有期徒刑，并处罚金。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有第一款行为，非法占有他人财产或者逃避合法债务，又构成其他犯罪的，依照处罚较重的规定定罪从重处罚。</w:t>
      </w:r>
    </w:p>
    <w:p>
      <w:pPr>
        <w:spacing w:line="240" w:lineRule="auto"/>
        <w:ind w:firstLine="640"/>
        <w:jc w:val="both"/>
      </w:pPr>
      <w:r>
        <w:rPr>
          <w:rFonts w:ascii="仿宋_GB2312" w:hAnsi="仿宋_GB2312" w:eastAsia="仿宋_GB2312" w:cs="仿宋_GB2312"/>
          <w:sz w:val="32"/>
        </w:rPr>
        <w:t>司法工作人员利用职权，与他人共同实施前三款行为的，从重处罚；同时构成其他犯罪的，依照处罚较重的规定定罪从重处罚。</w:t>
      </w:r>
    </w:p>
    <w:p>
      <w:pPr>
        <w:spacing w:line="240" w:lineRule="auto"/>
        <w:ind w:firstLine="640"/>
        <w:jc w:val="both"/>
      </w:pPr>
      <w:r>
        <w:rPr>
          <w:rFonts w:ascii="黑体" w:hAnsi="黑体" w:eastAsia="黑体" w:cs="黑体"/>
          <w:sz w:val="32"/>
        </w:rPr>
        <w:t>第三百零八条</w:t>
      </w:r>
      <w:r>
        <w:rPr>
          <w:rFonts w:ascii="仿宋_GB2312" w:hAnsi="仿宋_GB2312" w:eastAsia="仿宋_GB2312" w:cs="仿宋_GB2312"/>
          <w:sz w:val="32"/>
        </w:rPr>
        <w:t>　对证人进行打击报复的，处三年以下有期徒刑或者拘役；情节严重的，处三年以上七年以下有期徒刑。</w:t>
      </w:r>
    </w:p>
    <w:p>
      <w:pPr>
        <w:spacing w:line="240" w:lineRule="auto"/>
        <w:ind w:firstLine="640"/>
        <w:jc w:val="both"/>
      </w:pPr>
      <w:r>
        <w:rPr>
          <w:rFonts w:ascii="黑体" w:hAnsi="黑体" w:eastAsia="黑体" w:cs="黑体"/>
          <w:sz w:val="32"/>
        </w:rPr>
        <w:t>第三百零八</w:t>
      </w:r>
      <w:r>
        <w:rPr>
          <w:rFonts w:hint="eastAsia" w:ascii="黑体" w:hAnsi="黑体" w:eastAsia="黑体" w:cs="黑体"/>
          <w:sz w:val="32"/>
          <w:lang w:eastAsia="zh-CN"/>
        </w:rPr>
        <w:t>条之一　</w:t>
      </w:r>
      <w:r>
        <w:rPr>
          <w:rFonts w:ascii="仿宋_GB2312" w:hAnsi="仿宋_GB2312" w:eastAsia="仿宋_GB2312" w:cs="仿宋_GB2312"/>
          <w:sz w:val="32"/>
        </w:rPr>
        <w:t>司法工作人员、辩护人、诉讼代理人或者其他诉讼参与人，泄露依法不公开审理的案件中不应当公开的信息，造成信息公开传播或者其他严重后果的，处三年以下有期徒刑、拘役或者管制，并处或者单处罚金。</w:t>
      </w:r>
    </w:p>
    <w:p>
      <w:pPr>
        <w:spacing w:line="240" w:lineRule="auto"/>
        <w:ind w:firstLine="640"/>
        <w:jc w:val="both"/>
      </w:pPr>
      <w:r>
        <w:rPr>
          <w:rFonts w:ascii="仿宋_GB2312" w:hAnsi="仿宋_GB2312" w:eastAsia="仿宋_GB2312" w:cs="仿宋_GB2312"/>
          <w:sz w:val="32"/>
        </w:rPr>
        <w:t>有前款行为，泄露国家秘密的，依照本法第三百九十八条的规定定罪处罚。</w:t>
      </w:r>
    </w:p>
    <w:p>
      <w:pPr>
        <w:spacing w:line="240" w:lineRule="auto"/>
        <w:ind w:firstLine="640"/>
        <w:jc w:val="both"/>
      </w:pPr>
      <w:r>
        <w:rPr>
          <w:rFonts w:ascii="仿宋_GB2312" w:hAnsi="仿宋_GB2312" w:eastAsia="仿宋_GB2312" w:cs="仿宋_GB2312"/>
          <w:sz w:val="32"/>
        </w:rPr>
        <w:t>公开披露、报道第一款规定的案件信息，情节严重的，依照第一款的规定处罚。</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第三百零九条</w:t>
      </w:r>
      <w:r>
        <w:rPr>
          <w:rFonts w:ascii="仿宋_GB2312" w:hAnsi="仿宋_GB2312" w:eastAsia="仿宋_GB2312" w:cs="仿宋_GB2312"/>
          <w:sz w:val="32"/>
        </w:rPr>
        <w:t>　有下列扰乱法庭秩序情形之一的，处三年以下有期徒刑、拘役、管制或者罚金：</w:t>
      </w:r>
    </w:p>
    <w:p>
      <w:pPr>
        <w:spacing w:line="240" w:lineRule="auto"/>
        <w:ind w:firstLine="640"/>
        <w:jc w:val="both"/>
      </w:pPr>
      <w:r>
        <w:rPr>
          <w:rFonts w:ascii="仿宋_GB2312" w:hAnsi="仿宋_GB2312" w:eastAsia="仿宋_GB2312" w:cs="仿宋_GB2312"/>
          <w:sz w:val="32"/>
        </w:rPr>
        <w:t>（一）聚众哄闹、冲击法庭的；</w:t>
      </w:r>
    </w:p>
    <w:p>
      <w:pPr>
        <w:spacing w:line="240" w:lineRule="auto"/>
        <w:ind w:firstLine="640"/>
        <w:jc w:val="both"/>
      </w:pPr>
      <w:r>
        <w:rPr>
          <w:rFonts w:ascii="仿宋_GB2312" w:hAnsi="仿宋_GB2312" w:eastAsia="仿宋_GB2312" w:cs="仿宋_GB2312"/>
          <w:sz w:val="32"/>
        </w:rPr>
        <w:t>（二）殴打司法工作人员或者诉讼参与人的；</w:t>
      </w:r>
    </w:p>
    <w:p>
      <w:pPr>
        <w:spacing w:line="240" w:lineRule="auto"/>
        <w:ind w:firstLine="640"/>
        <w:jc w:val="both"/>
      </w:pPr>
      <w:r>
        <w:rPr>
          <w:rFonts w:ascii="仿宋_GB2312" w:hAnsi="仿宋_GB2312" w:eastAsia="仿宋_GB2312" w:cs="仿宋_GB2312"/>
          <w:sz w:val="32"/>
        </w:rPr>
        <w:t>（三）侮辱、诽谤、威胁司法工作人员或者诉讼参与人，不听法庭制止，严重扰乱法庭秩序的；</w:t>
      </w:r>
    </w:p>
    <w:p>
      <w:pPr>
        <w:spacing w:line="240" w:lineRule="auto"/>
        <w:ind w:firstLine="640"/>
        <w:jc w:val="both"/>
      </w:pPr>
      <w:r>
        <w:rPr>
          <w:rFonts w:ascii="仿宋_GB2312" w:hAnsi="仿宋_GB2312" w:eastAsia="仿宋_GB2312" w:cs="仿宋_GB2312"/>
          <w:sz w:val="32"/>
        </w:rPr>
        <w:t>（四）有毁坏法庭设施，抢夺、损毁诉讼文书、证据等扰乱法庭秩序行为，情节严重的。</w:t>
      </w:r>
    </w:p>
    <w:p>
      <w:pPr>
        <w:spacing w:line="240" w:lineRule="auto"/>
        <w:ind w:firstLine="640"/>
        <w:jc w:val="both"/>
      </w:pPr>
      <w:r>
        <w:rPr>
          <w:rFonts w:ascii="黑体" w:hAnsi="黑体" w:eastAsia="黑体" w:cs="黑体"/>
          <w:sz w:val="32"/>
        </w:rPr>
        <w:t>第三百一十条</w:t>
      </w:r>
      <w:r>
        <w:rPr>
          <w:rFonts w:ascii="仿宋_GB2312" w:hAnsi="仿宋_GB2312" w:eastAsia="仿宋_GB2312" w:cs="仿宋_GB2312"/>
          <w:sz w:val="32"/>
        </w:rPr>
        <w:t>　明知是犯罪的人而为其提供隐藏处所、财物，帮助其逃匿或者作假证明包庇的，处三年以下有期徒刑、拘役或者管制；情节严重的，处三年以上十年以下有期徒刑。</w:t>
      </w:r>
    </w:p>
    <w:p>
      <w:pPr>
        <w:spacing w:line="240" w:lineRule="auto"/>
        <w:ind w:firstLine="640"/>
        <w:jc w:val="both"/>
      </w:pPr>
      <w:r>
        <w:rPr>
          <w:rFonts w:ascii="仿宋_GB2312" w:hAnsi="仿宋_GB2312" w:eastAsia="仿宋_GB2312" w:cs="仿宋_GB2312"/>
          <w:sz w:val="32"/>
        </w:rPr>
        <w:t>犯前款罪，事前通谋的，以共同犯罪论处。</w:t>
      </w:r>
    </w:p>
    <w:p>
      <w:pPr>
        <w:spacing w:line="240" w:lineRule="auto"/>
        <w:ind w:firstLine="640"/>
        <w:jc w:val="both"/>
      </w:pPr>
      <w:r>
        <w:rPr>
          <w:rFonts w:ascii="黑体" w:hAnsi="黑体" w:eastAsia="黑体" w:cs="黑体"/>
          <w:sz w:val="32"/>
        </w:rPr>
        <w:t>第三百一十一条</w:t>
      </w:r>
      <w:r>
        <w:rPr>
          <w:rFonts w:ascii="仿宋_GB2312" w:hAnsi="仿宋_GB2312" w:eastAsia="仿宋_GB2312" w:cs="仿宋_GB2312"/>
          <w:sz w:val="32"/>
        </w:rPr>
        <w:t>　明知他人有间谍犯罪或者恐怖主义、极端主义犯罪行为，在司法机关向其调查有关情况、收集有关证据时，拒绝提供，情节严重的，处三年以下有期徒刑、拘役或者管制。</w:t>
      </w:r>
    </w:p>
    <w:p>
      <w:pPr>
        <w:spacing w:line="240" w:lineRule="auto"/>
        <w:ind w:firstLine="640"/>
        <w:jc w:val="both"/>
      </w:pPr>
      <w:r>
        <w:rPr>
          <w:rFonts w:ascii="黑体" w:hAnsi="黑体" w:eastAsia="黑体" w:cs="黑体"/>
          <w:sz w:val="32"/>
        </w:rPr>
        <w:t>第三百一十二条</w:t>
      </w:r>
      <w:r>
        <w:rPr>
          <w:rFonts w:ascii="仿宋_GB2312" w:hAnsi="仿宋_GB2312" w:eastAsia="仿宋_GB2312" w:cs="仿宋_GB2312"/>
          <w:sz w:val="32"/>
        </w:rPr>
        <w:t>　明知是犯罪所得及其产生的收益而予以窝藏、转移、收购、代为销售或者以其他方法掩饰、隐瞒的，处三年以下有期徒刑、拘役或者管制，并处或者单处罚金；情节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第三百一十三条</w:t>
      </w:r>
      <w:r>
        <w:rPr>
          <w:rFonts w:ascii="仿宋_GB2312" w:hAnsi="仿宋_GB2312" w:eastAsia="仿宋_GB2312" w:cs="仿宋_GB2312"/>
          <w:sz w:val="32"/>
        </w:rPr>
        <w:t>　对人民法院的判决、裁定有能力执行而拒不执行，情节严重的，处三年以下有期徒刑、拘役或者罚金；情节特别严重的，处三年以上七年以下有期徒刑，并处罚金。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第三百一十四条</w:t>
      </w:r>
      <w:r>
        <w:rPr>
          <w:rFonts w:ascii="仿宋_GB2312" w:hAnsi="仿宋_GB2312" w:eastAsia="仿宋_GB2312" w:cs="仿宋_GB2312"/>
          <w:sz w:val="32"/>
        </w:rPr>
        <w:t>　隐藏、转移、变卖、故意毁损已被司法机关查封、扣押、冻结的财产，情节严重的，处三年以下有期徒刑、拘役或者罚金。</w:t>
      </w:r>
    </w:p>
    <w:p>
      <w:pPr>
        <w:spacing w:line="240" w:lineRule="auto"/>
        <w:ind w:firstLine="640"/>
        <w:jc w:val="both"/>
      </w:pPr>
      <w:r>
        <w:rPr>
          <w:rFonts w:ascii="黑体" w:hAnsi="黑体" w:eastAsia="黑体" w:cs="黑体"/>
          <w:sz w:val="32"/>
        </w:rPr>
        <w:t>第三百一十五条</w:t>
      </w:r>
      <w:r>
        <w:rPr>
          <w:rFonts w:ascii="仿宋_GB2312" w:hAnsi="仿宋_GB2312" w:eastAsia="仿宋_GB2312" w:cs="仿宋_GB2312"/>
          <w:sz w:val="32"/>
        </w:rPr>
        <w:t>　依法被关押的罪犯，有下列破坏监管秩序行为之一，情节严重的，处三年以下有期徒刑：</w:t>
      </w:r>
    </w:p>
    <w:p>
      <w:pPr>
        <w:spacing w:line="240" w:lineRule="auto"/>
        <w:ind w:firstLine="640"/>
        <w:jc w:val="both"/>
      </w:pPr>
      <w:r>
        <w:rPr>
          <w:rFonts w:ascii="仿宋_GB2312" w:hAnsi="仿宋_GB2312" w:eastAsia="仿宋_GB2312" w:cs="仿宋_GB2312"/>
          <w:sz w:val="32"/>
        </w:rPr>
        <w:t>（一）殴打监管人员的；</w:t>
      </w:r>
    </w:p>
    <w:p>
      <w:pPr>
        <w:spacing w:line="240" w:lineRule="auto"/>
        <w:ind w:firstLine="640"/>
        <w:jc w:val="both"/>
      </w:pPr>
      <w:r>
        <w:rPr>
          <w:rFonts w:ascii="仿宋_GB2312" w:hAnsi="仿宋_GB2312" w:eastAsia="仿宋_GB2312" w:cs="仿宋_GB2312"/>
          <w:sz w:val="32"/>
        </w:rPr>
        <w:t>（二）组织其他被监管人破坏监管秩序的；</w:t>
      </w:r>
    </w:p>
    <w:p>
      <w:pPr>
        <w:spacing w:line="240" w:lineRule="auto"/>
        <w:ind w:firstLine="640"/>
        <w:jc w:val="both"/>
      </w:pPr>
      <w:r>
        <w:rPr>
          <w:rFonts w:ascii="仿宋_GB2312" w:hAnsi="仿宋_GB2312" w:eastAsia="仿宋_GB2312" w:cs="仿宋_GB2312"/>
          <w:sz w:val="32"/>
        </w:rPr>
        <w:t>（三）聚众闹事，扰乱正常监管秩序的；</w:t>
      </w:r>
    </w:p>
    <w:p>
      <w:pPr>
        <w:spacing w:line="240" w:lineRule="auto"/>
        <w:ind w:firstLine="640"/>
        <w:jc w:val="both"/>
      </w:pPr>
      <w:r>
        <w:rPr>
          <w:rFonts w:ascii="仿宋_GB2312" w:hAnsi="仿宋_GB2312" w:eastAsia="仿宋_GB2312" w:cs="仿宋_GB2312"/>
          <w:sz w:val="32"/>
        </w:rPr>
        <w:t>（四）殴打、体罚或者指使他人殴打、体罚其他被监管人的。</w:t>
      </w:r>
    </w:p>
    <w:p>
      <w:pPr>
        <w:spacing w:line="240" w:lineRule="auto"/>
        <w:ind w:firstLine="640"/>
        <w:jc w:val="both"/>
      </w:pPr>
      <w:r>
        <w:rPr>
          <w:rFonts w:ascii="黑体" w:hAnsi="黑体" w:eastAsia="黑体" w:cs="黑体"/>
          <w:sz w:val="32"/>
        </w:rPr>
        <w:t>第三百一十六条</w:t>
      </w:r>
      <w:r>
        <w:rPr>
          <w:rFonts w:ascii="仿宋_GB2312" w:hAnsi="仿宋_GB2312" w:eastAsia="仿宋_GB2312" w:cs="仿宋_GB2312"/>
          <w:sz w:val="32"/>
        </w:rPr>
        <w:t>　依法被关押的罪犯、被告人、犯罪嫌疑人脱逃的，处五年以下有期徒刑或者拘役。</w:t>
      </w:r>
    </w:p>
    <w:p>
      <w:pPr>
        <w:spacing w:line="240" w:lineRule="auto"/>
        <w:ind w:firstLine="640"/>
        <w:jc w:val="both"/>
      </w:pPr>
      <w:r>
        <w:rPr>
          <w:rFonts w:ascii="仿宋_GB2312" w:hAnsi="仿宋_GB2312" w:eastAsia="仿宋_GB2312" w:cs="仿宋_GB2312"/>
          <w:sz w:val="32"/>
        </w:rPr>
        <w:t>劫夺押解途中的罪犯、被告人、犯罪嫌疑人的，处三年以上七年以下有期徒刑；情节严重的，处七年以上有期徒刑。</w:t>
      </w:r>
    </w:p>
    <w:p>
      <w:pPr>
        <w:spacing w:line="240" w:lineRule="auto"/>
        <w:ind w:firstLine="640"/>
        <w:jc w:val="both"/>
      </w:pPr>
      <w:r>
        <w:rPr>
          <w:rFonts w:ascii="黑体" w:hAnsi="黑体" w:eastAsia="黑体" w:cs="黑体"/>
          <w:sz w:val="32"/>
        </w:rPr>
        <w:t>第三百一十七条</w:t>
      </w:r>
      <w:r>
        <w:rPr>
          <w:rFonts w:ascii="仿宋_GB2312" w:hAnsi="仿宋_GB2312" w:eastAsia="仿宋_GB2312" w:cs="仿宋_GB2312"/>
          <w:sz w:val="32"/>
        </w:rPr>
        <w:t>　组织越狱的首要分子和积极参加的，处五年以上有期徒刑；其他参加的，处五年以下有期徒刑或者拘役。</w:t>
      </w:r>
    </w:p>
    <w:p>
      <w:pPr>
        <w:spacing w:line="240" w:lineRule="auto"/>
        <w:ind w:firstLine="640"/>
        <w:jc w:val="both"/>
      </w:pPr>
      <w:r>
        <w:rPr>
          <w:rFonts w:ascii="仿宋_GB2312" w:hAnsi="仿宋_GB2312" w:eastAsia="仿宋_GB2312" w:cs="仿宋_GB2312"/>
          <w:sz w:val="32"/>
        </w:rPr>
        <w:t>暴动越狱或者聚众持械劫狱的首要分子和积极参加的，处十年以上有期徒刑或者无期徒刑；情节特别严重的，处死刑；其他参加的，处三年以上十年以下有期徒刑。</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妨害国（边）境管理罪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第三百一十八条</w:t>
      </w:r>
      <w:r>
        <w:rPr>
          <w:rFonts w:ascii="仿宋_GB2312" w:hAnsi="仿宋_GB2312" w:eastAsia="仿宋_GB2312" w:cs="仿宋_GB2312"/>
          <w:sz w:val="32"/>
        </w:rPr>
        <w:t>　组织他人偷越国（边）境的，处二年以上七年以下有期徒刑，并处罚金；有下列情形之一的，处七年以上有期徒刑或者无期徒刑，并处罚金或者没收财产：</w:t>
      </w:r>
    </w:p>
    <w:p>
      <w:pPr>
        <w:spacing w:line="240" w:lineRule="auto"/>
        <w:ind w:firstLine="640"/>
        <w:jc w:val="both"/>
      </w:pPr>
      <w:r>
        <w:rPr>
          <w:rFonts w:ascii="仿宋_GB2312" w:hAnsi="仿宋_GB2312" w:eastAsia="仿宋_GB2312" w:cs="仿宋_GB2312"/>
          <w:sz w:val="32"/>
        </w:rPr>
        <w:t>（一）组织他人偷越国（边）境集团的首要分子；</w:t>
      </w:r>
    </w:p>
    <w:p>
      <w:pPr>
        <w:spacing w:line="240" w:lineRule="auto"/>
        <w:ind w:firstLine="640"/>
        <w:jc w:val="both"/>
      </w:pPr>
      <w:r>
        <w:rPr>
          <w:rFonts w:ascii="仿宋_GB2312" w:hAnsi="仿宋_GB2312" w:eastAsia="仿宋_GB2312" w:cs="仿宋_GB2312"/>
          <w:sz w:val="32"/>
        </w:rPr>
        <w:t>（二）多次组织他人偷越国（边）境或者组织他人偷越国（边）境人数众多的；</w:t>
      </w:r>
    </w:p>
    <w:p>
      <w:pPr>
        <w:spacing w:line="240" w:lineRule="auto"/>
        <w:ind w:firstLine="640"/>
        <w:jc w:val="both"/>
      </w:pPr>
      <w:r>
        <w:rPr>
          <w:rFonts w:ascii="仿宋_GB2312" w:hAnsi="仿宋_GB2312" w:eastAsia="仿宋_GB2312" w:cs="仿宋_GB2312"/>
          <w:sz w:val="32"/>
        </w:rPr>
        <w:t>（三）造成被组织人重伤、死亡的；</w:t>
      </w:r>
    </w:p>
    <w:p>
      <w:pPr>
        <w:spacing w:line="240" w:lineRule="auto"/>
        <w:ind w:firstLine="640"/>
        <w:jc w:val="both"/>
      </w:pPr>
      <w:r>
        <w:rPr>
          <w:rFonts w:ascii="仿宋_GB2312" w:hAnsi="仿宋_GB2312" w:eastAsia="仿宋_GB2312" w:cs="仿宋_GB2312"/>
          <w:sz w:val="32"/>
        </w:rPr>
        <w:t>（四）剥夺或者限制被组织人人身自由的；</w:t>
      </w:r>
    </w:p>
    <w:p>
      <w:pPr>
        <w:spacing w:line="240" w:lineRule="auto"/>
        <w:ind w:firstLine="640"/>
        <w:jc w:val="both"/>
      </w:pPr>
      <w:r>
        <w:rPr>
          <w:rFonts w:ascii="仿宋_GB2312" w:hAnsi="仿宋_GB2312" w:eastAsia="仿宋_GB2312" w:cs="仿宋_GB2312"/>
          <w:sz w:val="32"/>
        </w:rPr>
        <w:t>（五）以暴力、威胁方法抗拒检查的；</w:t>
      </w:r>
    </w:p>
    <w:p>
      <w:pPr>
        <w:spacing w:line="240" w:lineRule="auto"/>
        <w:ind w:firstLine="640"/>
        <w:jc w:val="both"/>
      </w:pPr>
      <w:r>
        <w:rPr>
          <w:rFonts w:ascii="仿宋_GB2312" w:hAnsi="仿宋_GB2312" w:eastAsia="仿宋_GB2312" w:cs="仿宋_GB2312"/>
          <w:sz w:val="32"/>
        </w:rPr>
        <w:t>（六）违法所得数额巨大的；</w:t>
      </w:r>
    </w:p>
    <w:p>
      <w:pPr>
        <w:spacing w:line="240" w:lineRule="auto"/>
        <w:ind w:firstLine="640"/>
        <w:jc w:val="both"/>
      </w:pPr>
      <w:r>
        <w:rPr>
          <w:rFonts w:ascii="仿宋_GB2312" w:hAnsi="仿宋_GB2312" w:eastAsia="仿宋_GB2312" w:cs="仿宋_GB2312"/>
          <w:sz w:val="32"/>
        </w:rPr>
        <w:t>（七）有其他特别严重情节的。</w:t>
      </w:r>
    </w:p>
    <w:p>
      <w:pPr>
        <w:spacing w:line="240" w:lineRule="auto"/>
        <w:ind w:firstLine="640"/>
        <w:jc w:val="both"/>
      </w:pPr>
      <w:r>
        <w:rPr>
          <w:rFonts w:ascii="仿宋_GB2312" w:hAnsi="仿宋_GB2312" w:eastAsia="仿宋_GB2312" w:cs="仿宋_GB2312"/>
          <w:sz w:val="32"/>
        </w:rPr>
        <w:t>犯前款罪，对被组织人有杀害、伤害、强奸、拐卖等犯罪行为，或者对检查人员有杀害、伤害等犯罪行为的，依照数罪并罚的规定处罚。</w:t>
      </w:r>
    </w:p>
    <w:p>
      <w:pPr>
        <w:spacing w:line="240" w:lineRule="auto"/>
        <w:ind w:firstLine="640"/>
        <w:jc w:val="both"/>
      </w:pPr>
      <w:r>
        <w:rPr>
          <w:rFonts w:ascii="黑体" w:hAnsi="黑体" w:eastAsia="黑体" w:cs="黑体"/>
          <w:sz w:val="32"/>
        </w:rPr>
        <w:t>第三百一十九条</w:t>
      </w:r>
      <w:r>
        <w:rPr>
          <w:rFonts w:ascii="仿宋_GB2312" w:hAnsi="仿宋_GB2312" w:eastAsia="仿宋_GB2312" w:cs="仿宋_GB2312"/>
          <w:sz w:val="32"/>
        </w:rPr>
        <w:t>　以劳务输出、经贸往来或者其他名义，弄虚作假，骗取护照、签证等出境证件，为组织他人偷越国（边）境使用的，处三年以下有期徒刑，并处罚金；情节严重的，处三年以上十年以下有期徒刑，并处罚金。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第三百二十条</w:t>
      </w:r>
      <w:r>
        <w:rPr>
          <w:rFonts w:ascii="仿宋_GB2312" w:hAnsi="仿宋_GB2312" w:eastAsia="仿宋_GB2312" w:cs="仿宋_GB2312"/>
          <w:sz w:val="32"/>
        </w:rPr>
        <w:t>　为他人提供伪造、变造的护照、签证等出入境证件，或者出售护照、签证等出入境证件的，处五年以下有期徒刑，并处罚金；情节严重的，处五年以上有期徒刑，并处罚金。</w:t>
      </w:r>
    </w:p>
    <w:p>
      <w:pPr>
        <w:spacing w:line="240" w:lineRule="auto"/>
        <w:ind w:firstLine="640"/>
        <w:jc w:val="both"/>
      </w:pPr>
      <w:r>
        <w:rPr>
          <w:rFonts w:ascii="黑体" w:hAnsi="黑体" w:eastAsia="黑体" w:cs="黑体"/>
          <w:sz w:val="32"/>
        </w:rPr>
        <w:t>第三百二十一条</w:t>
      </w:r>
      <w:r>
        <w:rPr>
          <w:rFonts w:ascii="仿宋_GB2312" w:hAnsi="仿宋_GB2312" w:eastAsia="仿宋_GB2312" w:cs="仿宋_GB2312"/>
          <w:sz w:val="32"/>
        </w:rPr>
        <w:t>　运送他人偷越国（边）境的，处五年以下有期徒刑、拘役或者管制，并处罚金；有下列情形之一的，处五年以上十年以下有期徒刑，并处罚金：</w:t>
      </w:r>
    </w:p>
    <w:p>
      <w:pPr>
        <w:spacing w:line="240" w:lineRule="auto"/>
        <w:ind w:firstLine="640"/>
        <w:jc w:val="both"/>
      </w:pPr>
      <w:r>
        <w:rPr>
          <w:rFonts w:ascii="仿宋_GB2312" w:hAnsi="仿宋_GB2312" w:eastAsia="仿宋_GB2312" w:cs="仿宋_GB2312"/>
          <w:sz w:val="32"/>
        </w:rPr>
        <w:t>（一）多次实施运送行为或者运送人数众多的；</w:t>
      </w:r>
    </w:p>
    <w:p>
      <w:pPr>
        <w:spacing w:line="240" w:lineRule="auto"/>
        <w:ind w:firstLine="640"/>
        <w:jc w:val="both"/>
      </w:pPr>
      <w:r>
        <w:rPr>
          <w:rFonts w:ascii="仿宋_GB2312" w:hAnsi="仿宋_GB2312" w:eastAsia="仿宋_GB2312" w:cs="仿宋_GB2312"/>
          <w:sz w:val="32"/>
        </w:rPr>
        <w:t>（二）所使用的船只、车辆等交通工具不具备必要的安全条件，足以造成严重后果的；</w:t>
      </w:r>
    </w:p>
    <w:p>
      <w:pPr>
        <w:spacing w:line="240" w:lineRule="auto"/>
        <w:ind w:firstLine="640"/>
        <w:jc w:val="both"/>
      </w:pPr>
      <w:r>
        <w:rPr>
          <w:rFonts w:ascii="仿宋_GB2312" w:hAnsi="仿宋_GB2312" w:eastAsia="仿宋_GB2312" w:cs="仿宋_GB2312"/>
          <w:sz w:val="32"/>
        </w:rPr>
        <w:t>（三）违法所得数额巨大的；</w:t>
      </w:r>
    </w:p>
    <w:p>
      <w:pPr>
        <w:spacing w:line="240" w:lineRule="auto"/>
        <w:ind w:firstLine="640"/>
        <w:jc w:val="both"/>
      </w:pPr>
      <w:r>
        <w:rPr>
          <w:rFonts w:ascii="仿宋_GB2312" w:hAnsi="仿宋_GB2312" w:eastAsia="仿宋_GB2312" w:cs="仿宋_GB2312"/>
          <w:sz w:val="32"/>
        </w:rPr>
        <w:t>（四）有其他特别严重情节的。</w:t>
      </w:r>
    </w:p>
    <w:p>
      <w:pPr>
        <w:spacing w:line="240" w:lineRule="auto"/>
        <w:ind w:firstLine="640"/>
        <w:jc w:val="both"/>
      </w:pPr>
      <w:r>
        <w:rPr>
          <w:rFonts w:ascii="仿宋_GB2312" w:hAnsi="仿宋_GB2312" w:eastAsia="仿宋_GB2312" w:cs="仿宋_GB2312"/>
          <w:sz w:val="32"/>
        </w:rPr>
        <w:t>在运送他人偷越国（边）境中造成被运送人重伤、死亡，或者以暴力、威胁方法抗拒检查的，处七年以上有期徒刑，并处罚金。</w:t>
      </w:r>
    </w:p>
    <w:p>
      <w:pPr>
        <w:spacing w:line="240" w:lineRule="auto"/>
        <w:ind w:firstLine="640"/>
        <w:jc w:val="both"/>
      </w:pPr>
      <w:r>
        <w:rPr>
          <w:rFonts w:ascii="仿宋_GB2312" w:hAnsi="仿宋_GB2312" w:eastAsia="仿宋_GB2312" w:cs="仿宋_GB2312"/>
          <w:sz w:val="32"/>
        </w:rPr>
        <w:t>犯前两款罪，对被运送人有杀害、伤害、强奸、拐卖等犯罪行为，或者对检查人员有杀害、伤害等犯罪行为的，依照数罪并罚的规定处罚。</w:t>
      </w:r>
    </w:p>
    <w:p>
      <w:pPr>
        <w:spacing w:line="240" w:lineRule="auto"/>
        <w:ind w:firstLine="640"/>
        <w:jc w:val="both"/>
      </w:pPr>
      <w:r>
        <w:rPr>
          <w:rFonts w:ascii="黑体" w:hAnsi="黑体" w:eastAsia="黑体" w:cs="黑体"/>
          <w:sz w:val="32"/>
        </w:rPr>
        <w:t>第三百二十二条</w:t>
      </w:r>
      <w:r>
        <w:rPr>
          <w:rFonts w:ascii="仿宋_GB2312" w:hAnsi="仿宋_GB2312" w:eastAsia="仿宋_GB2312" w:cs="仿宋_GB2312"/>
          <w:sz w:val="32"/>
        </w:rPr>
        <w:t>　违反国（边）境管理法规，偷越国（边）境，情节严重的，处一年以下有期徒刑、拘役或者管制，并处罚金；为参加恐怖活动组织、接受恐怖活动培训或者实施恐怖活动，偷越国（边）境的，处一年以上三年以下有期徒刑，并处罚金。</w:t>
      </w:r>
    </w:p>
    <w:p>
      <w:pPr>
        <w:spacing w:line="240" w:lineRule="auto"/>
        <w:ind w:firstLine="640"/>
        <w:jc w:val="both"/>
      </w:pPr>
      <w:r>
        <w:rPr>
          <w:rFonts w:ascii="黑体" w:hAnsi="黑体" w:eastAsia="黑体" w:cs="黑体"/>
          <w:sz w:val="32"/>
        </w:rPr>
        <w:t>第三百二十三条</w:t>
      </w:r>
      <w:r>
        <w:rPr>
          <w:rFonts w:ascii="仿宋_GB2312" w:hAnsi="仿宋_GB2312" w:eastAsia="仿宋_GB2312" w:cs="仿宋_GB2312"/>
          <w:sz w:val="32"/>
        </w:rPr>
        <w:t>　故意破坏国家边境的界碑、界桩或者永久性测量标志的，处三年以下有期徒刑或者拘役。</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妨害文物管理罪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第三百二十四条</w:t>
      </w:r>
      <w:r>
        <w:rPr>
          <w:rFonts w:ascii="仿宋_GB2312" w:hAnsi="仿宋_GB2312" w:eastAsia="仿宋_GB2312" w:cs="仿宋_GB2312"/>
          <w:sz w:val="32"/>
        </w:rPr>
        <w:t>　故意损毁国家保护的珍贵文物或者被确定为全国重点文物保护单位、省级文物保护单位的文物的，处三年以下有期徒刑或者拘役，并处或者单处罚金；情节严重的，处三年以上十年以下有期徒刑，并处罚金。</w:t>
      </w:r>
    </w:p>
    <w:p>
      <w:pPr>
        <w:spacing w:line="240" w:lineRule="auto"/>
        <w:ind w:firstLine="640"/>
        <w:jc w:val="both"/>
      </w:pPr>
      <w:r>
        <w:rPr>
          <w:rFonts w:ascii="仿宋_GB2312" w:hAnsi="仿宋_GB2312" w:eastAsia="仿宋_GB2312" w:cs="仿宋_GB2312"/>
          <w:sz w:val="32"/>
        </w:rPr>
        <w:t>故意损毁国家保护的名胜古迹，情节严重的，处五年以下有期徒刑或者拘役，并处或者单处罚金。</w:t>
      </w:r>
    </w:p>
    <w:p>
      <w:pPr>
        <w:spacing w:line="240" w:lineRule="auto"/>
        <w:ind w:firstLine="640"/>
        <w:jc w:val="both"/>
      </w:pPr>
      <w:r>
        <w:rPr>
          <w:rFonts w:ascii="仿宋_GB2312" w:hAnsi="仿宋_GB2312" w:eastAsia="仿宋_GB2312" w:cs="仿宋_GB2312"/>
          <w:sz w:val="32"/>
        </w:rPr>
        <w:t>过失损毁国家保护的珍贵文物或者被确定为全国重点文物保护单位、省级文物保护单位的文物，造成严重后果的，处三年以下有期徒刑或者拘役。</w:t>
      </w:r>
    </w:p>
    <w:p>
      <w:pPr>
        <w:spacing w:line="240" w:lineRule="auto"/>
        <w:ind w:firstLine="640"/>
        <w:jc w:val="both"/>
      </w:pPr>
      <w:r>
        <w:rPr>
          <w:rFonts w:ascii="黑体" w:hAnsi="黑体" w:eastAsia="黑体" w:cs="黑体"/>
          <w:sz w:val="32"/>
        </w:rPr>
        <w:t>第三百二十五条</w:t>
      </w:r>
      <w:r>
        <w:rPr>
          <w:rFonts w:ascii="仿宋_GB2312" w:hAnsi="仿宋_GB2312" w:eastAsia="仿宋_GB2312" w:cs="仿宋_GB2312"/>
          <w:sz w:val="32"/>
        </w:rPr>
        <w:t>　违反文物保护法规，将收藏的国家禁止出口的珍贵文物私自出售或者私自赠送给外国人的，处五年以下有期徒刑或者拘役，可以并处罚金。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第三百二十六条</w:t>
      </w:r>
      <w:r>
        <w:rPr>
          <w:rFonts w:ascii="仿宋_GB2312" w:hAnsi="仿宋_GB2312" w:eastAsia="仿宋_GB2312" w:cs="仿宋_GB2312"/>
          <w:sz w:val="32"/>
        </w:rPr>
        <w:t>　以牟利为目的，倒卖国家禁止经营的文物，情节严重的，处五年以下有期徒刑或者拘役，并处罚金；情节特别严重的，处五年以上十年以下有期徒刑，并处罚金。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第三百二十七条</w:t>
      </w:r>
      <w:r>
        <w:rPr>
          <w:rFonts w:ascii="仿宋_GB2312" w:hAnsi="仿宋_GB2312" w:eastAsia="仿宋_GB2312" w:cs="仿宋_GB2312"/>
          <w:sz w:val="32"/>
        </w:rPr>
        <w:t>　违反文物保护法规，国有博物馆、图书馆等单位将国家保护的文物藏品出售或者私自送给非国有单位或者个人的，对单位判处罚金，并对其直接负责的主管人员和其他直接责任人员，处三年以下有期徒刑或者拘役。</w:t>
      </w:r>
    </w:p>
    <w:p>
      <w:pPr>
        <w:spacing w:line="240" w:lineRule="auto"/>
        <w:ind w:firstLine="640"/>
        <w:jc w:val="both"/>
      </w:pPr>
      <w:r>
        <w:rPr>
          <w:rFonts w:ascii="黑体" w:hAnsi="黑体" w:eastAsia="黑体" w:cs="黑体"/>
          <w:sz w:val="32"/>
        </w:rPr>
        <w:t>第三百二十八条</w:t>
      </w:r>
      <w:r>
        <w:rPr>
          <w:rFonts w:ascii="仿宋_GB2312" w:hAnsi="仿宋_GB2312" w:eastAsia="仿宋_GB2312" w:cs="仿宋_GB2312"/>
          <w:sz w:val="32"/>
        </w:rPr>
        <w:t>　盗掘具有历史、艺术、科学价值的古文化遗址、古墓葬的，处三年以上十年以下有期徒刑，并处罚金；情节较轻的，处三年以下有期徒刑、拘役或者管制，并处罚金；有下列情形之一的，处十年以上有期徒刑或者无期徒刑，并处罚金或者没收财产：</w:t>
      </w:r>
    </w:p>
    <w:p>
      <w:pPr>
        <w:spacing w:line="240" w:lineRule="auto"/>
        <w:ind w:firstLine="640"/>
        <w:jc w:val="both"/>
      </w:pPr>
      <w:r>
        <w:rPr>
          <w:rFonts w:ascii="仿宋_GB2312" w:hAnsi="仿宋_GB2312" w:eastAsia="仿宋_GB2312" w:cs="仿宋_GB2312"/>
          <w:sz w:val="32"/>
        </w:rPr>
        <w:t>（一）盗掘确定为全国重点文物保护单位和省级文物保护单位的古文化遗址、古墓葬的；</w:t>
      </w:r>
    </w:p>
    <w:p>
      <w:pPr>
        <w:spacing w:line="240" w:lineRule="auto"/>
        <w:ind w:firstLine="640"/>
        <w:jc w:val="both"/>
      </w:pPr>
      <w:r>
        <w:rPr>
          <w:rFonts w:ascii="仿宋_GB2312" w:hAnsi="仿宋_GB2312" w:eastAsia="仿宋_GB2312" w:cs="仿宋_GB2312"/>
          <w:sz w:val="32"/>
        </w:rPr>
        <w:t>（二）盗掘古文化遗址、古墓葬集团的首要分子；</w:t>
      </w:r>
    </w:p>
    <w:p>
      <w:pPr>
        <w:spacing w:line="240" w:lineRule="auto"/>
        <w:ind w:firstLine="640"/>
        <w:jc w:val="both"/>
      </w:pPr>
      <w:r>
        <w:rPr>
          <w:rFonts w:ascii="仿宋_GB2312" w:hAnsi="仿宋_GB2312" w:eastAsia="仿宋_GB2312" w:cs="仿宋_GB2312"/>
          <w:sz w:val="32"/>
        </w:rPr>
        <w:t>（三）多次盗掘古文化遗址、古墓葬的；</w:t>
      </w:r>
    </w:p>
    <w:p>
      <w:pPr>
        <w:spacing w:line="240" w:lineRule="auto"/>
        <w:ind w:firstLine="640"/>
        <w:jc w:val="both"/>
      </w:pPr>
      <w:r>
        <w:rPr>
          <w:rFonts w:ascii="仿宋_GB2312" w:hAnsi="仿宋_GB2312" w:eastAsia="仿宋_GB2312" w:cs="仿宋_GB2312"/>
          <w:sz w:val="32"/>
        </w:rPr>
        <w:t>（四）盗掘古文化遗址、古墓葬，并盗窃珍贵文物或者造成珍贵文物严重破坏的。</w:t>
      </w:r>
    </w:p>
    <w:p>
      <w:pPr>
        <w:spacing w:line="240" w:lineRule="auto"/>
        <w:ind w:firstLine="640"/>
        <w:jc w:val="both"/>
      </w:pPr>
      <w:r>
        <w:rPr>
          <w:rFonts w:ascii="仿宋_GB2312" w:hAnsi="仿宋_GB2312" w:eastAsia="仿宋_GB2312" w:cs="仿宋_GB2312"/>
          <w:sz w:val="32"/>
        </w:rPr>
        <w:t>盗掘国家保护的具有科学价值的古人类化石和古脊椎动物化石的，依照前款的规定处罚。</w:t>
      </w:r>
    </w:p>
    <w:p>
      <w:pPr>
        <w:spacing w:line="240" w:lineRule="auto"/>
        <w:ind w:firstLine="640"/>
        <w:jc w:val="both"/>
      </w:pPr>
      <w:r>
        <w:rPr>
          <w:rFonts w:ascii="黑体" w:hAnsi="黑体" w:eastAsia="黑体" w:cs="黑体"/>
          <w:sz w:val="32"/>
        </w:rPr>
        <w:t>第三百二十九条</w:t>
      </w:r>
      <w:r>
        <w:rPr>
          <w:rFonts w:ascii="仿宋_GB2312" w:hAnsi="仿宋_GB2312" w:eastAsia="仿宋_GB2312" w:cs="仿宋_GB2312"/>
          <w:sz w:val="32"/>
        </w:rPr>
        <w:t>　抢夺、窃取国家所有的档案的，处五年以下有期徒刑或者拘役。</w:t>
      </w:r>
    </w:p>
    <w:p>
      <w:pPr>
        <w:spacing w:line="240" w:lineRule="auto"/>
        <w:ind w:firstLine="640"/>
        <w:jc w:val="both"/>
      </w:pPr>
      <w:r>
        <w:rPr>
          <w:rFonts w:ascii="仿宋_GB2312" w:hAnsi="仿宋_GB2312" w:eastAsia="仿宋_GB2312" w:cs="仿宋_GB2312"/>
          <w:sz w:val="32"/>
        </w:rPr>
        <w:t>违反档案法的规定，擅自出卖、转让国家所有的档案，情节严重的，处三年以下有期徒刑或者拘役。</w:t>
      </w:r>
    </w:p>
    <w:p>
      <w:pPr>
        <w:spacing w:line="240" w:lineRule="auto"/>
        <w:ind w:firstLine="640"/>
        <w:jc w:val="both"/>
      </w:pPr>
      <w:r>
        <w:rPr>
          <w:rFonts w:ascii="仿宋_GB2312" w:hAnsi="仿宋_GB2312" w:eastAsia="仿宋_GB2312" w:cs="仿宋_GB2312"/>
          <w:sz w:val="32"/>
        </w:rPr>
        <w:t>有前两款行为，同时又构成本法规定的其他犯罪的，依照处罚较重的规定定罪处罚。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第五节　危害公共卫生罪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第三百三十条</w:t>
      </w:r>
      <w:r>
        <w:rPr>
          <w:rFonts w:ascii="仿宋_GB2312" w:hAnsi="仿宋_GB2312" w:eastAsia="仿宋_GB2312" w:cs="仿宋_GB2312"/>
          <w:sz w:val="32"/>
        </w:rPr>
        <w:t>　违反传染病防治法的规定，有下列情形之一，引起甲类传染病以及依法确定采取甲类传染病预防、控制措施的传染病传播或者有传播严重危险的，处三年以下有期徒刑或者拘役；后果特别严重的，处三年以上七年以下有期徒刑：</w:t>
      </w:r>
    </w:p>
    <w:p>
      <w:pPr>
        <w:spacing w:line="240" w:lineRule="auto"/>
        <w:ind w:firstLine="640"/>
        <w:jc w:val="both"/>
      </w:pPr>
      <w:r>
        <w:rPr>
          <w:rFonts w:ascii="仿宋_GB2312" w:hAnsi="仿宋_GB2312" w:eastAsia="仿宋_GB2312" w:cs="仿宋_GB2312"/>
          <w:sz w:val="32"/>
        </w:rPr>
        <w:t>（一）供水单位供应的饮用水不符合国家规定的卫生标准的；</w:t>
      </w:r>
    </w:p>
    <w:p>
      <w:pPr>
        <w:spacing w:line="240" w:lineRule="auto"/>
        <w:ind w:firstLine="640"/>
        <w:jc w:val="both"/>
      </w:pPr>
      <w:r>
        <w:rPr>
          <w:rFonts w:ascii="仿宋_GB2312" w:hAnsi="仿宋_GB2312" w:eastAsia="仿宋_GB2312" w:cs="仿宋_GB2312"/>
          <w:sz w:val="32"/>
        </w:rPr>
        <w:t>（二）拒绝按照疾病预防控制机构提出的卫生要求，对传染病病原体污染的污水、污物、场所和物品进行消毒处理的；</w:t>
      </w:r>
    </w:p>
    <w:p>
      <w:pPr>
        <w:spacing w:line="240" w:lineRule="auto"/>
        <w:ind w:firstLine="640"/>
        <w:jc w:val="both"/>
      </w:pPr>
      <w:r>
        <w:rPr>
          <w:rFonts w:ascii="仿宋_GB2312" w:hAnsi="仿宋_GB2312" w:eastAsia="仿宋_GB2312" w:cs="仿宋_GB2312"/>
          <w:sz w:val="32"/>
        </w:rPr>
        <w:t>（三）准许或者纵容传染病病人、病原携带者和疑似传染病病人从事国务院卫生行政部门规定禁止从事的易使该传染病扩散的工作的；</w:t>
      </w:r>
    </w:p>
    <w:p>
      <w:pPr>
        <w:spacing w:line="240" w:lineRule="auto"/>
        <w:ind w:firstLine="640"/>
        <w:jc w:val="both"/>
      </w:pPr>
      <w:r>
        <w:rPr>
          <w:rFonts w:ascii="仿宋_GB2312" w:hAnsi="仿宋_GB2312" w:eastAsia="仿宋_GB2312" w:cs="仿宋_GB2312"/>
          <w:sz w:val="32"/>
        </w:rPr>
        <w:t>（四）出售、运输疫区中被传染病病原体污染或者可能被传染病病原体污染的物品，未进行消毒处理的；</w:t>
      </w:r>
    </w:p>
    <w:p>
      <w:pPr>
        <w:spacing w:line="240" w:lineRule="auto"/>
        <w:ind w:firstLine="640"/>
        <w:jc w:val="both"/>
      </w:pPr>
      <w:r>
        <w:rPr>
          <w:rFonts w:ascii="仿宋_GB2312" w:hAnsi="仿宋_GB2312" w:eastAsia="仿宋_GB2312" w:cs="仿宋_GB2312"/>
          <w:sz w:val="32"/>
        </w:rPr>
        <w:t>（五）拒绝执行县级以上人民政府、疾病预防控制机构依照传染病防治法提出的预防、控制措施的。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甲类传染病的范围，依照《中华人民共和国传染病防治法》和国务院有关规定确定。</w:t>
      </w:r>
    </w:p>
    <w:p>
      <w:pPr>
        <w:spacing w:line="240" w:lineRule="auto"/>
        <w:ind w:firstLine="640"/>
        <w:jc w:val="both"/>
      </w:pPr>
      <w:r>
        <w:rPr>
          <w:rFonts w:ascii="黑体" w:hAnsi="黑体" w:eastAsia="黑体" w:cs="黑体"/>
          <w:sz w:val="32"/>
        </w:rPr>
        <w:t>第三百三十一条</w:t>
      </w:r>
      <w:r>
        <w:rPr>
          <w:rFonts w:ascii="仿宋_GB2312" w:hAnsi="仿宋_GB2312" w:eastAsia="仿宋_GB2312" w:cs="仿宋_GB2312"/>
          <w:sz w:val="32"/>
        </w:rPr>
        <w:t>　从事实验、保藏、携带、运输传染病菌种、毒种的人员，违反国务院卫生行政部门的有关规定，造成传染病菌种、毒种扩散，后果严重的，处三年以下有期徒刑或者拘役；后果特别严重的，处三年以上七年以下有期徒刑。</w:t>
      </w:r>
    </w:p>
    <w:p>
      <w:pPr>
        <w:spacing w:line="240" w:lineRule="auto"/>
        <w:ind w:firstLine="640"/>
        <w:jc w:val="both"/>
      </w:pPr>
      <w:r>
        <w:rPr>
          <w:rFonts w:ascii="黑体" w:hAnsi="黑体" w:eastAsia="黑体" w:cs="黑体"/>
          <w:sz w:val="32"/>
        </w:rPr>
        <w:t>第三百三十二条</w:t>
      </w:r>
      <w:r>
        <w:rPr>
          <w:rFonts w:ascii="仿宋_GB2312" w:hAnsi="仿宋_GB2312" w:eastAsia="仿宋_GB2312" w:cs="仿宋_GB2312"/>
          <w:sz w:val="32"/>
        </w:rPr>
        <w:t>　违反国境卫生检疫规定，引起检疫传染病传播或者有传播严重危险的，处三年以下有期徒刑或者拘役，并处或者单处罚金。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第三百三十三条</w:t>
      </w:r>
      <w:r>
        <w:rPr>
          <w:rFonts w:ascii="仿宋_GB2312" w:hAnsi="仿宋_GB2312" w:eastAsia="仿宋_GB2312" w:cs="仿宋_GB2312"/>
          <w:sz w:val="32"/>
        </w:rPr>
        <w:t>　非法组织他人出卖血液的，处五年以下有期徒刑，并处罚金；以暴力、威胁方法强迫他人出卖血液的，处五年以上十年以下有期徒刑，并处罚金。</w:t>
      </w:r>
    </w:p>
    <w:p>
      <w:pPr>
        <w:spacing w:line="240" w:lineRule="auto"/>
        <w:ind w:firstLine="640"/>
        <w:jc w:val="both"/>
      </w:pPr>
      <w:r>
        <w:rPr>
          <w:rFonts w:ascii="仿宋_GB2312" w:hAnsi="仿宋_GB2312" w:eastAsia="仿宋_GB2312" w:cs="仿宋_GB2312"/>
          <w:sz w:val="32"/>
        </w:rPr>
        <w:t>有前款行为，对他人造成伤害的，依照本法第二百三十四条的规定定罪处罚。</w:t>
      </w:r>
    </w:p>
    <w:p>
      <w:pPr>
        <w:spacing w:line="240" w:lineRule="auto"/>
        <w:ind w:firstLine="640"/>
        <w:jc w:val="both"/>
      </w:pPr>
      <w:r>
        <w:rPr>
          <w:rFonts w:ascii="黑体" w:hAnsi="黑体" w:eastAsia="黑体" w:cs="黑体"/>
          <w:sz w:val="32"/>
        </w:rPr>
        <w:t>第三百三十四条</w:t>
      </w:r>
      <w:r>
        <w:rPr>
          <w:rFonts w:ascii="仿宋_GB2312" w:hAnsi="仿宋_GB2312" w:eastAsia="仿宋_GB2312" w:cs="仿宋_GB2312"/>
          <w:sz w:val="32"/>
        </w:rPr>
        <w:t>　非法采集、供应血液或者制作、供应血液制品，不符合国家规定的标准，足以危害人体健康的，处五年以下有期徒刑或者拘役，并处罚金；对人体健康造成严重危害的，处五年以上十年以下有期徒刑，并处罚金；造成特别严重后果的，处十年以上有期徒刑或者无期徒刑，并处罚金或者没收财产。</w:t>
      </w:r>
    </w:p>
    <w:p>
      <w:pPr>
        <w:spacing w:line="240" w:lineRule="auto"/>
        <w:ind w:firstLine="640"/>
        <w:jc w:val="both"/>
      </w:pPr>
      <w:r>
        <w:rPr>
          <w:rFonts w:ascii="仿宋_GB2312" w:hAnsi="仿宋_GB2312" w:eastAsia="仿宋_GB2312" w:cs="仿宋_GB2312"/>
          <w:sz w:val="32"/>
        </w:rPr>
        <w:t>经国家主管部门批准采集、供应血液或者制作、供应血液制品的部门，不依照规定进行检测或者违背其他操作规定，造成危害他人身体健康后果的，对单位判处罚金，并对其直接负责的主管人员和其他直接责任人员，处五年以下有期徒刑或者拘役。</w:t>
      </w:r>
    </w:p>
    <w:p>
      <w:pPr>
        <w:spacing w:line="240" w:lineRule="auto"/>
        <w:ind w:firstLine="640"/>
        <w:jc w:val="both"/>
      </w:pPr>
      <w:r>
        <w:rPr>
          <w:rFonts w:ascii="黑体" w:hAnsi="黑体" w:eastAsia="黑体" w:cs="黑体"/>
          <w:sz w:val="32"/>
        </w:rPr>
        <w:t>第三百三十四</w:t>
      </w:r>
      <w:r>
        <w:rPr>
          <w:rFonts w:hint="eastAsia" w:ascii="黑体" w:hAnsi="黑体" w:eastAsia="黑体" w:cs="黑体"/>
          <w:sz w:val="32"/>
          <w:lang w:eastAsia="zh-CN"/>
        </w:rPr>
        <w:t>条之一　</w:t>
      </w:r>
      <w:r>
        <w:rPr>
          <w:rFonts w:ascii="仿宋_GB2312" w:hAnsi="仿宋_GB2312" w:eastAsia="仿宋_GB2312" w:cs="仿宋_GB2312"/>
          <w:sz w:val="32"/>
        </w:rPr>
        <w:t>违反国家有关规定，非法采集我国人类遗传资源或者非法运送、邮寄、携带我国人类遗传资源材料出境，危害公众健康或者社会公共利益，情节严重的，处三年以下有期徒刑、拘役或者管制，并处或者单处罚金；情节特别严重的，处三年以上七年以下有期徒刑，并处罚金。</w:t>
      </w:r>
    </w:p>
    <w:p>
      <w:pPr>
        <w:spacing w:line="240" w:lineRule="auto"/>
        <w:ind w:firstLine="640"/>
        <w:jc w:val="both"/>
      </w:pPr>
      <w:r>
        <w:rPr>
          <w:rFonts w:ascii="黑体" w:hAnsi="黑体" w:eastAsia="黑体" w:cs="黑体"/>
          <w:sz w:val="32"/>
        </w:rPr>
        <w:t>第三百三十五条</w:t>
      </w:r>
      <w:r>
        <w:rPr>
          <w:rFonts w:ascii="仿宋_GB2312" w:hAnsi="仿宋_GB2312" w:eastAsia="仿宋_GB2312" w:cs="仿宋_GB2312"/>
          <w:sz w:val="32"/>
        </w:rPr>
        <w:t>　医务人员由于严重不负责任，造成就诊人死亡或者严重损害就诊人身体健康的，处三年以下有期徒刑或者拘役。</w:t>
      </w:r>
    </w:p>
    <w:p>
      <w:pPr>
        <w:spacing w:line="240" w:lineRule="auto"/>
        <w:ind w:firstLine="640"/>
        <w:jc w:val="both"/>
      </w:pPr>
      <w:r>
        <w:rPr>
          <w:rFonts w:ascii="黑体" w:hAnsi="黑体" w:eastAsia="黑体" w:cs="黑体"/>
          <w:sz w:val="32"/>
        </w:rPr>
        <w:t>第三百三十六条</w:t>
      </w:r>
      <w:r>
        <w:rPr>
          <w:rFonts w:ascii="仿宋_GB2312" w:hAnsi="仿宋_GB2312" w:eastAsia="仿宋_GB2312" w:cs="仿宋_GB2312"/>
          <w:sz w:val="32"/>
        </w:rPr>
        <w:t>　未取得医生执业资格的人非法行医，情节严重的，处三年以下有期徒刑、拘役或者管制，并处或者单处罚金；严重损害就诊人身体健康的，处三年以上十年以下有期徒刑，并处罚金；造成就诊人死亡的，处十年以上有期徒刑，并处罚金。</w:t>
      </w:r>
    </w:p>
    <w:p>
      <w:pPr>
        <w:spacing w:line="240" w:lineRule="auto"/>
        <w:ind w:firstLine="640"/>
        <w:jc w:val="both"/>
      </w:pPr>
      <w:r>
        <w:rPr>
          <w:rFonts w:ascii="仿宋_GB2312" w:hAnsi="仿宋_GB2312" w:eastAsia="仿宋_GB2312" w:cs="仿宋_GB2312"/>
          <w:sz w:val="32"/>
        </w:rPr>
        <w:t>未取得医生执业资格的人擅自为他人进行节育复通手术、假节育手术、终止妊娠手术或者摘取宫内节育器，情节严重的，处三年以下有期徒刑、拘役或者管制，并处或者单处罚金；严重损害就诊人身体健康的，处三年以上十年以下有期徒刑，并处罚金；造成就诊人死亡的，处十年以上有期徒刑，并处罚金。</w:t>
      </w:r>
    </w:p>
    <w:p>
      <w:pPr>
        <w:spacing w:line="240" w:lineRule="auto"/>
        <w:ind w:firstLine="640"/>
        <w:jc w:val="both"/>
      </w:pPr>
      <w:r>
        <w:rPr>
          <w:rFonts w:ascii="黑体" w:hAnsi="黑体" w:eastAsia="黑体" w:cs="黑体"/>
          <w:sz w:val="32"/>
        </w:rPr>
        <w:t>第三百三十六</w:t>
      </w:r>
      <w:r>
        <w:rPr>
          <w:rFonts w:hint="eastAsia" w:ascii="黑体" w:hAnsi="黑体" w:eastAsia="黑体" w:cs="黑体"/>
          <w:sz w:val="32"/>
          <w:lang w:eastAsia="zh-CN"/>
        </w:rPr>
        <w:t>条之一　</w:t>
      </w:r>
      <w:r>
        <w:rPr>
          <w:rFonts w:ascii="仿宋_GB2312" w:hAnsi="仿宋_GB2312" w:eastAsia="仿宋_GB2312" w:cs="仿宋_GB2312"/>
          <w:sz w:val="32"/>
        </w:rPr>
        <w:t>将基因编辑、克隆的人类胚胎植入人体或者动物体内，或者将基因编辑、克隆的动物胚胎植入人体内，情节严重的，处三年以下有期徒刑或者拘役，并处罚金；情节特别严重的，处三年以上七年以下有期徒刑，并处罚金。</w:t>
      </w:r>
    </w:p>
    <w:p>
      <w:pPr>
        <w:spacing w:line="240" w:lineRule="auto"/>
        <w:ind w:firstLine="640"/>
        <w:jc w:val="both"/>
      </w:pPr>
      <w:r>
        <w:rPr>
          <w:rFonts w:ascii="黑体" w:hAnsi="黑体" w:eastAsia="黑体" w:cs="黑体"/>
          <w:sz w:val="32"/>
        </w:rPr>
        <w:t>第三百三十七条</w:t>
      </w:r>
      <w:r>
        <w:rPr>
          <w:rFonts w:ascii="仿宋_GB2312" w:hAnsi="仿宋_GB2312" w:eastAsia="仿宋_GB2312" w:cs="仿宋_GB2312"/>
          <w:sz w:val="32"/>
        </w:rPr>
        <w:t>　违反有关动植物防疫、检疫的国家规定，引起重大动植物疫情的，或者有引起重大动植物疫情危险，情节严重的，处三年以下有期徒刑或者拘役，并处或者单处罚金。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第六节　破坏环境资源保护罪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第三百三十八条</w:t>
      </w:r>
      <w:r>
        <w:rPr>
          <w:rFonts w:ascii="仿宋_GB2312" w:hAnsi="仿宋_GB2312" w:eastAsia="仿宋_GB2312" w:cs="仿宋_GB2312"/>
          <w:sz w:val="32"/>
        </w:rPr>
        <w:t>　违反国家规定，排放、倾倒或者处置有放射性的废物、含传染病病原体的废物、有毒物质或者其他有害物质，严重污染环境的，处三年以下有期徒刑或者拘役，并处或者单处罚金；情节严重的，处三年以上七年以下有期徒刑，并处罚金；有下列情形之一的，处七年以上有期徒刑，并处罚金：</w:t>
      </w:r>
    </w:p>
    <w:p>
      <w:pPr>
        <w:spacing w:line="240" w:lineRule="auto"/>
        <w:ind w:firstLine="640"/>
        <w:jc w:val="both"/>
      </w:pPr>
      <w:r>
        <w:rPr>
          <w:rFonts w:ascii="仿宋_GB2312" w:hAnsi="仿宋_GB2312" w:eastAsia="仿宋_GB2312" w:cs="仿宋_GB2312"/>
          <w:sz w:val="32"/>
        </w:rPr>
        <w:t>（一）在饮用水水源保护区、自然保护地核心保护区等依法确定的重点保护区域排放、倾倒、处置有放射性的废物、含传染病病原体的废物、有毒物质，情节特别严重的；</w:t>
      </w:r>
    </w:p>
    <w:p>
      <w:pPr>
        <w:spacing w:line="240" w:lineRule="auto"/>
        <w:ind w:firstLine="640"/>
        <w:jc w:val="both"/>
      </w:pPr>
      <w:r>
        <w:rPr>
          <w:rFonts w:ascii="仿宋_GB2312" w:hAnsi="仿宋_GB2312" w:eastAsia="仿宋_GB2312" w:cs="仿宋_GB2312"/>
          <w:sz w:val="32"/>
        </w:rPr>
        <w:t>（二）向国家确定的重要江河、湖泊水域排放、倾倒、处置有放射性的废物、含传染病病原体的废物、有毒物质，情节特别严重的；</w:t>
      </w:r>
    </w:p>
    <w:p>
      <w:pPr>
        <w:spacing w:line="240" w:lineRule="auto"/>
        <w:ind w:firstLine="640"/>
        <w:jc w:val="both"/>
      </w:pPr>
      <w:r>
        <w:rPr>
          <w:rFonts w:ascii="仿宋_GB2312" w:hAnsi="仿宋_GB2312" w:eastAsia="仿宋_GB2312" w:cs="仿宋_GB2312"/>
          <w:sz w:val="32"/>
        </w:rPr>
        <w:t>（三）致使大量永久基本农田基本功能丧失或者遭受永久性破坏的；</w:t>
      </w:r>
    </w:p>
    <w:p>
      <w:pPr>
        <w:spacing w:line="240" w:lineRule="auto"/>
        <w:ind w:firstLine="640"/>
        <w:jc w:val="both"/>
      </w:pPr>
      <w:r>
        <w:rPr>
          <w:rFonts w:ascii="仿宋_GB2312" w:hAnsi="仿宋_GB2312" w:eastAsia="仿宋_GB2312" w:cs="仿宋_GB2312"/>
          <w:sz w:val="32"/>
        </w:rPr>
        <w:t>（四）致使多人重伤、严重疾病，或者致人严重残疾、死亡的。</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第三百三十九条</w:t>
      </w:r>
      <w:r>
        <w:rPr>
          <w:rFonts w:ascii="仿宋_GB2312" w:hAnsi="仿宋_GB2312" w:eastAsia="仿宋_GB2312" w:cs="仿宋_GB2312"/>
          <w:sz w:val="32"/>
        </w:rPr>
        <w:t>　违反国家规定，将境外的固体废物进境倾倒、堆放、处置的，处五年以下有期徒刑或者拘役，并处罚金；造成重大环境污染事故，致使公私财产遭受重大损失或者严重危害人体健康的，处五年以上十年以下有期徒刑，并处罚金；后果特别严重的，处十年以上有期徒刑，并处罚金。</w:t>
      </w:r>
    </w:p>
    <w:p>
      <w:pPr>
        <w:spacing w:line="240" w:lineRule="auto"/>
        <w:ind w:firstLine="640"/>
        <w:jc w:val="both"/>
      </w:pPr>
      <w:r>
        <w:rPr>
          <w:rFonts w:ascii="仿宋_GB2312" w:hAnsi="仿宋_GB2312" w:eastAsia="仿宋_GB2312" w:cs="仿宋_GB2312"/>
          <w:sz w:val="32"/>
        </w:rPr>
        <w:t>未经国务院有关主管部门许可，擅自进口固体废物用作原料，造成重大环境污染事故，致使公私财产遭受重大损失或者严重危害人体健康的，处五年以下有期徒刑或者拘役，并处罚金；后果特别严重的，处五年以上十年以下有期徒刑，并处罚金。</w:t>
      </w:r>
    </w:p>
    <w:p>
      <w:pPr>
        <w:spacing w:line="240" w:lineRule="auto"/>
        <w:ind w:firstLine="640"/>
        <w:jc w:val="both"/>
      </w:pPr>
      <w:r>
        <w:rPr>
          <w:rFonts w:ascii="仿宋_GB2312" w:hAnsi="仿宋_GB2312" w:eastAsia="仿宋_GB2312" w:cs="仿宋_GB2312"/>
          <w:sz w:val="32"/>
        </w:rPr>
        <w:t>以原料利用为名，进口不能用作原料的固体废物、液态废物和气态废物的，依照本法第一百五十二条第二款、第三款的规定定罪处罚。</w:t>
      </w:r>
    </w:p>
    <w:p>
      <w:pPr>
        <w:spacing w:line="240" w:lineRule="auto"/>
        <w:ind w:firstLine="640"/>
        <w:jc w:val="both"/>
      </w:pPr>
      <w:r>
        <w:rPr>
          <w:rFonts w:ascii="黑体" w:hAnsi="黑体" w:eastAsia="黑体" w:cs="黑体"/>
          <w:sz w:val="32"/>
        </w:rPr>
        <w:t>第三百四十条</w:t>
      </w:r>
      <w:r>
        <w:rPr>
          <w:rFonts w:ascii="仿宋_GB2312" w:hAnsi="仿宋_GB2312" w:eastAsia="仿宋_GB2312" w:cs="仿宋_GB2312"/>
          <w:sz w:val="32"/>
        </w:rPr>
        <w:t>　违反保护水产资源法规，在禁渔区、禁渔期或者使用禁用的工具、方法捕捞水产品，情节严重的，处三年以下有期徒刑、拘役、管制或者罚金。</w:t>
      </w:r>
    </w:p>
    <w:p>
      <w:pPr>
        <w:spacing w:line="240" w:lineRule="auto"/>
        <w:ind w:firstLine="640"/>
        <w:jc w:val="both"/>
      </w:pPr>
      <w:r>
        <w:rPr>
          <w:rFonts w:ascii="黑体" w:hAnsi="黑体" w:eastAsia="黑体" w:cs="黑体"/>
          <w:sz w:val="32"/>
        </w:rPr>
        <w:t>第三百四十一条</w:t>
      </w:r>
      <w:r>
        <w:rPr>
          <w:rFonts w:ascii="仿宋_GB2312" w:hAnsi="仿宋_GB2312" w:eastAsia="仿宋_GB2312" w:cs="仿宋_GB2312"/>
          <w:sz w:val="32"/>
        </w:rPr>
        <w:t>　非法猎捕、杀害国家重点保护的珍贵、濒危野生动物的，或者非法收购、运输、出售国家重点保护的珍贵、濒危野生动物及其制品的，处五年以下有期徒刑或者拘役，并处罚金；情节严重的，处五年以上十年以下有期徒刑，并处罚金；情节特别严重的，处十年以上有期徒刑，并处罚金或者没收财产。</w:t>
      </w:r>
    </w:p>
    <w:p>
      <w:pPr>
        <w:spacing w:line="240" w:lineRule="auto"/>
        <w:ind w:firstLine="640"/>
        <w:jc w:val="both"/>
      </w:pPr>
      <w:r>
        <w:rPr>
          <w:rFonts w:ascii="仿宋_GB2312" w:hAnsi="仿宋_GB2312" w:eastAsia="仿宋_GB2312" w:cs="仿宋_GB2312"/>
          <w:sz w:val="32"/>
        </w:rPr>
        <w:t>违反狩猎法规，在禁猎区、禁猎期或者使用禁用的工具、方法进行狩猎，破坏野生动物资源，情节严重的，处三年以下有期徒刑、拘役、管制或者罚金。</w:t>
      </w:r>
    </w:p>
    <w:p>
      <w:pPr>
        <w:spacing w:line="240" w:lineRule="auto"/>
        <w:ind w:firstLine="640"/>
        <w:jc w:val="both"/>
      </w:pPr>
      <w:r>
        <w:rPr>
          <w:rFonts w:ascii="仿宋_GB2312" w:hAnsi="仿宋_GB2312" w:eastAsia="仿宋_GB2312" w:cs="仿宋_GB2312"/>
          <w:sz w:val="32"/>
        </w:rPr>
        <w:t>违反野生动物保护管理法规，以食用为目的非法猎捕、收购、运输、出售第一款规定以外的在野外环境自然生长繁殖的陆生野生动物，情节严重的，依照前款的规定处罚。</w:t>
      </w:r>
    </w:p>
    <w:p>
      <w:pPr>
        <w:spacing w:line="240" w:lineRule="auto"/>
        <w:ind w:firstLine="640"/>
        <w:jc w:val="both"/>
      </w:pPr>
      <w:r>
        <w:rPr>
          <w:rFonts w:ascii="黑体" w:hAnsi="黑体" w:eastAsia="黑体" w:cs="黑体"/>
          <w:sz w:val="32"/>
        </w:rPr>
        <w:t>第三百四十二条</w:t>
      </w:r>
      <w:r>
        <w:rPr>
          <w:rFonts w:ascii="仿宋_GB2312" w:hAnsi="仿宋_GB2312" w:eastAsia="仿宋_GB2312" w:cs="仿宋_GB2312"/>
          <w:sz w:val="32"/>
        </w:rPr>
        <w:t>　违反土地管理法规，非法占用耕地、林地等农用地，改变被占用土地用途，数量较大，造成耕地、林地等农用地大量毁坏的，处五年以下有期徒刑或者拘役，并处或者单处罚金。</w:t>
      </w:r>
    </w:p>
    <w:p>
      <w:pPr>
        <w:spacing w:line="240" w:lineRule="auto"/>
        <w:ind w:firstLine="640"/>
        <w:jc w:val="both"/>
      </w:pPr>
      <w:r>
        <w:rPr>
          <w:rFonts w:ascii="黑体" w:hAnsi="黑体" w:eastAsia="黑体" w:cs="黑体"/>
          <w:sz w:val="32"/>
        </w:rPr>
        <w:t>第三百四十二</w:t>
      </w:r>
      <w:r>
        <w:rPr>
          <w:rFonts w:hint="eastAsia" w:ascii="黑体" w:hAnsi="黑体" w:eastAsia="黑体" w:cs="黑体"/>
          <w:sz w:val="32"/>
          <w:lang w:eastAsia="zh-CN"/>
        </w:rPr>
        <w:t>条之一　</w:t>
      </w:r>
      <w:r>
        <w:rPr>
          <w:rFonts w:ascii="仿宋_GB2312" w:hAnsi="仿宋_GB2312" w:eastAsia="仿宋_GB2312" w:cs="仿宋_GB2312"/>
          <w:sz w:val="32"/>
        </w:rPr>
        <w:t>违反自然保护地管理法规，在国家公园、国家级自然保护区进行开垦、开发活动或者修建建筑物，造成严重后果或者有其他恶劣情节的，处五年以下有期徒刑或者拘役，并处或者单处罚金。</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第三百四十三条</w:t>
      </w:r>
      <w:r>
        <w:rPr>
          <w:rFonts w:ascii="仿宋_GB2312" w:hAnsi="仿宋_GB2312" w:eastAsia="仿宋_GB2312" w:cs="仿宋_GB2312"/>
          <w:sz w:val="32"/>
        </w:rPr>
        <w:t>　违反矿产资源法的规定，未取得采矿许可证擅自采矿，擅自进入国家规划矿区、对国民经济具有重要价值的矿区和他人矿区范围采矿，或者擅自开采国家规定实行保护性开采的特定矿种，情节严重的，处三年以下有期徒刑、拘役或者管制，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违反矿产资源法的规定，采取破坏性的开采方法开采矿产资源，造成矿产资源严重破坏的，处五年以下有期徒刑或者拘役，并处罚金。</w:t>
      </w:r>
    </w:p>
    <w:p>
      <w:pPr>
        <w:spacing w:line="240" w:lineRule="auto"/>
        <w:ind w:firstLine="640"/>
        <w:jc w:val="both"/>
      </w:pPr>
      <w:r>
        <w:rPr>
          <w:rFonts w:ascii="黑体" w:hAnsi="黑体" w:eastAsia="黑体" w:cs="黑体"/>
          <w:sz w:val="32"/>
        </w:rPr>
        <w:t>第三百四十四条</w:t>
      </w:r>
      <w:r>
        <w:rPr>
          <w:rFonts w:ascii="仿宋_GB2312" w:hAnsi="仿宋_GB2312" w:eastAsia="仿宋_GB2312" w:cs="仿宋_GB2312"/>
          <w:sz w:val="32"/>
        </w:rPr>
        <w:t>　违反国家规定，非法采伐、毁坏珍贵树木或者国家重点保护的其他植物的，或者非法收购、运输、加工、出售珍贵树木或者国家重点保护的其他植物及其制品的，处三年以下有期徒刑、拘役或者管制，并处罚金；情节严重的，处三年以上七年以下有期徒刑，并处罚金。</w:t>
      </w:r>
    </w:p>
    <w:p>
      <w:pPr>
        <w:spacing w:line="240" w:lineRule="auto"/>
        <w:ind w:firstLine="640"/>
        <w:jc w:val="both"/>
      </w:pPr>
      <w:r>
        <w:rPr>
          <w:rFonts w:ascii="黑体" w:hAnsi="黑体" w:eastAsia="黑体" w:cs="黑体"/>
          <w:sz w:val="32"/>
        </w:rPr>
        <w:t>第三百四十四</w:t>
      </w:r>
      <w:r>
        <w:rPr>
          <w:rFonts w:hint="eastAsia" w:ascii="黑体" w:hAnsi="黑体" w:eastAsia="黑体" w:cs="黑体"/>
          <w:sz w:val="32"/>
          <w:lang w:eastAsia="zh-CN"/>
        </w:rPr>
        <w:t>条之一　</w:t>
      </w:r>
      <w:r>
        <w:rPr>
          <w:rFonts w:ascii="仿宋_GB2312" w:hAnsi="仿宋_GB2312" w:eastAsia="仿宋_GB2312" w:cs="仿宋_GB2312"/>
          <w:sz w:val="32"/>
        </w:rPr>
        <w:t>违反国家规定，非法引进、释放或者丢弃外来入侵物种，情节严重的，处三年以下有期徒刑或者拘役，并处或者单处罚金。</w:t>
      </w:r>
    </w:p>
    <w:p>
      <w:pPr>
        <w:spacing w:line="240" w:lineRule="auto"/>
        <w:ind w:firstLine="640"/>
        <w:jc w:val="both"/>
      </w:pPr>
      <w:r>
        <w:rPr>
          <w:rFonts w:ascii="黑体" w:hAnsi="黑体" w:eastAsia="黑体" w:cs="黑体"/>
          <w:sz w:val="32"/>
        </w:rPr>
        <w:t>第三百四十五条</w:t>
      </w:r>
      <w:r>
        <w:rPr>
          <w:rFonts w:ascii="仿宋_GB2312" w:hAnsi="仿宋_GB2312" w:eastAsia="仿宋_GB2312" w:cs="仿宋_GB2312"/>
          <w:sz w:val="32"/>
        </w:rPr>
        <w:t>　盗伐森林或者其他林木，数量较大的，处三年以下有期徒刑、拘役或者管制，并处或者单处罚金；数量巨大的，处三年以上七年以下有期徒刑，并处罚金；数量特别巨大的，处七年以上有期徒刑，并处罚金。</w:t>
      </w:r>
    </w:p>
    <w:p>
      <w:pPr>
        <w:spacing w:line="240" w:lineRule="auto"/>
        <w:ind w:firstLine="640"/>
        <w:jc w:val="both"/>
      </w:pPr>
      <w:r>
        <w:rPr>
          <w:rFonts w:ascii="仿宋_GB2312" w:hAnsi="仿宋_GB2312" w:eastAsia="仿宋_GB2312" w:cs="仿宋_GB2312"/>
          <w:sz w:val="32"/>
        </w:rPr>
        <w:t>违反森林法的规定，滥伐森林或者其他林木，数量较大的，处三年以下有期徒刑、拘役或者管制，并处或者单处罚金；数量巨大的，处三年以上七年以下有期徒刑，并处罚金。</w:t>
      </w:r>
    </w:p>
    <w:p>
      <w:pPr>
        <w:spacing w:line="240" w:lineRule="auto"/>
        <w:ind w:firstLine="640"/>
        <w:jc w:val="both"/>
      </w:pPr>
      <w:r>
        <w:rPr>
          <w:rFonts w:ascii="仿宋_GB2312" w:hAnsi="仿宋_GB2312" w:eastAsia="仿宋_GB2312" w:cs="仿宋_GB2312"/>
          <w:sz w:val="32"/>
        </w:rPr>
        <w:t>非法收购、运输明知是盗伐、滥伐的林木，情节严重的，处三年以下有期徒刑、拘役或者管制，并处或者单处罚金；情节特别严重的，处三年以上七年以下有期徒刑，并处罚金。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盗伐、滥伐国家级自然保护区内的森林或者其他林木的，从重处罚。</w:t>
      </w:r>
    </w:p>
    <w:p>
      <w:pPr>
        <w:spacing w:line="240" w:lineRule="auto"/>
        <w:ind w:firstLine="640"/>
        <w:jc w:val="both"/>
      </w:pPr>
      <w:r>
        <w:rPr>
          <w:rFonts w:ascii="黑体" w:hAnsi="黑体" w:eastAsia="黑体" w:cs="黑体"/>
          <w:sz w:val="32"/>
        </w:rPr>
        <w:t>第三百四十六条</w:t>
      </w:r>
      <w:r>
        <w:rPr>
          <w:rFonts w:ascii="仿宋_GB2312" w:hAnsi="仿宋_GB2312" w:eastAsia="仿宋_GB2312" w:cs="仿宋_GB2312"/>
          <w:sz w:val="32"/>
        </w:rPr>
        <w:t>　单位犯本节第三百三十八条至第三百四十五条规定之罪的，对单位判处罚金，并对其直接负责的主管人员和其他直接责任人员，依照本节各该条的规定处罚。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第七节　走私、贩卖、运输、制造毒品罪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第三百四十七条</w:t>
      </w:r>
      <w:r>
        <w:rPr>
          <w:rFonts w:ascii="仿宋_GB2312" w:hAnsi="仿宋_GB2312" w:eastAsia="仿宋_GB2312" w:cs="仿宋_GB2312"/>
          <w:sz w:val="32"/>
        </w:rPr>
        <w:t>　走私、贩卖、运输、制造毒品，无论数量多少，都应当追究刑事责任，予以刑事处罚。</w:t>
      </w:r>
    </w:p>
    <w:p>
      <w:pPr>
        <w:spacing w:line="240" w:lineRule="auto"/>
        <w:ind w:firstLine="640"/>
        <w:jc w:val="both"/>
      </w:pPr>
      <w:r>
        <w:rPr>
          <w:rFonts w:ascii="仿宋_GB2312" w:hAnsi="仿宋_GB2312" w:eastAsia="仿宋_GB2312" w:cs="仿宋_GB2312"/>
          <w:sz w:val="32"/>
        </w:rPr>
        <w:t>走私、贩卖、运输、制造毒品，有下列情形之一的，处十五年有期徒刑、无期徒刑或者死刑，并处没收财产：</w:t>
      </w:r>
    </w:p>
    <w:p>
      <w:pPr>
        <w:spacing w:line="240" w:lineRule="auto"/>
        <w:ind w:firstLine="640"/>
        <w:jc w:val="both"/>
      </w:pPr>
      <w:r>
        <w:rPr>
          <w:rFonts w:ascii="仿宋_GB2312" w:hAnsi="仿宋_GB2312" w:eastAsia="仿宋_GB2312" w:cs="仿宋_GB2312"/>
          <w:sz w:val="32"/>
        </w:rPr>
        <w:t>（一）走私、贩卖、运输、制造鸦片一千克以上、海洛因或者甲基苯丙胺五十克以上或者其他毒品数量大的；</w:t>
      </w:r>
    </w:p>
    <w:p>
      <w:pPr>
        <w:spacing w:line="240" w:lineRule="auto"/>
        <w:ind w:firstLine="640"/>
        <w:jc w:val="both"/>
      </w:pPr>
      <w:r>
        <w:rPr>
          <w:rFonts w:ascii="仿宋_GB2312" w:hAnsi="仿宋_GB2312" w:eastAsia="仿宋_GB2312" w:cs="仿宋_GB2312"/>
          <w:sz w:val="32"/>
        </w:rPr>
        <w:t>（二）走私、贩卖、运输、制造毒品集团的首要分子；</w:t>
      </w:r>
    </w:p>
    <w:p>
      <w:pPr>
        <w:spacing w:line="240" w:lineRule="auto"/>
        <w:ind w:firstLine="640"/>
        <w:jc w:val="both"/>
      </w:pPr>
      <w:r>
        <w:rPr>
          <w:rFonts w:ascii="仿宋_GB2312" w:hAnsi="仿宋_GB2312" w:eastAsia="仿宋_GB2312" w:cs="仿宋_GB2312"/>
          <w:sz w:val="32"/>
        </w:rPr>
        <w:t>（三）武装掩护走私、贩卖、运输、制造毒品的；</w:t>
      </w:r>
    </w:p>
    <w:p>
      <w:pPr>
        <w:spacing w:line="240" w:lineRule="auto"/>
        <w:ind w:firstLine="640"/>
        <w:jc w:val="both"/>
      </w:pPr>
      <w:r>
        <w:rPr>
          <w:rFonts w:ascii="仿宋_GB2312" w:hAnsi="仿宋_GB2312" w:eastAsia="仿宋_GB2312" w:cs="仿宋_GB2312"/>
          <w:sz w:val="32"/>
        </w:rPr>
        <w:t>（四）以暴力抗拒检查、拘留、逮捕，情节严重的；</w:t>
      </w:r>
    </w:p>
    <w:p>
      <w:pPr>
        <w:spacing w:line="240" w:lineRule="auto"/>
        <w:ind w:firstLine="640"/>
        <w:jc w:val="both"/>
      </w:pPr>
      <w:r>
        <w:rPr>
          <w:rFonts w:ascii="仿宋_GB2312" w:hAnsi="仿宋_GB2312" w:eastAsia="仿宋_GB2312" w:cs="仿宋_GB2312"/>
          <w:sz w:val="32"/>
        </w:rPr>
        <w:t>（五）参与有组织的国际贩毒活动的。</w:t>
      </w:r>
    </w:p>
    <w:p>
      <w:pPr>
        <w:spacing w:line="240" w:lineRule="auto"/>
        <w:ind w:firstLine="640"/>
        <w:jc w:val="both"/>
      </w:pPr>
      <w:r>
        <w:rPr>
          <w:rFonts w:ascii="仿宋_GB2312" w:hAnsi="仿宋_GB2312" w:eastAsia="仿宋_GB2312" w:cs="仿宋_GB2312"/>
          <w:sz w:val="32"/>
        </w:rPr>
        <w:t>走私、贩卖、运输、制造鸦片二百克以上不满一千克、海洛因或者甲基苯丙胺十克以上不满五十克或者其他毒品数量较大的，处七年以上有期徒刑，并处罚金。</w:t>
      </w:r>
    </w:p>
    <w:p>
      <w:pPr>
        <w:spacing w:line="240" w:lineRule="auto"/>
        <w:ind w:firstLine="640"/>
        <w:jc w:val="both"/>
      </w:pPr>
      <w:r>
        <w:rPr>
          <w:rFonts w:ascii="仿宋_GB2312" w:hAnsi="仿宋_GB2312" w:eastAsia="仿宋_GB2312" w:cs="仿宋_GB2312"/>
          <w:sz w:val="32"/>
        </w:rPr>
        <w:t>走私、贩卖、运输、制造鸦片不满二百克、海洛因或者甲基苯丙胺不满十克或者其他少量毒品的，处三年以下有期徒刑、拘役或者管制，并处罚金；情节严重的，处三年以上七年以下有期徒刑，并处罚金。</w:t>
      </w:r>
    </w:p>
    <w:p>
      <w:pPr>
        <w:spacing w:line="240" w:lineRule="auto"/>
        <w:ind w:firstLine="640"/>
        <w:jc w:val="both"/>
      </w:pPr>
      <w:r>
        <w:rPr>
          <w:rFonts w:ascii="仿宋_GB2312" w:hAnsi="仿宋_GB2312" w:eastAsia="仿宋_GB2312" w:cs="仿宋_GB2312"/>
          <w:sz w:val="32"/>
        </w:rPr>
        <w:t>单位犯第二款、第三款、第四款罪的，对单位判处罚金，并对其直接负责的主管人员和其他直接责任人员，依照各该款的规定处罚。</w:t>
      </w:r>
    </w:p>
    <w:p>
      <w:pPr>
        <w:spacing w:line="240" w:lineRule="auto"/>
        <w:ind w:firstLine="640"/>
        <w:jc w:val="both"/>
      </w:pPr>
      <w:r>
        <w:rPr>
          <w:rFonts w:ascii="仿宋_GB2312" w:hAnsi="仿宋_GB2312" w:eastAsia="仿宋_GB2312" w:cs="仿宋_GB2312"/>
          <w:sz w:val="32"/>
        </w:rPr>
        <w:t>利用、教唆未成年人走私、贩卖、运输、制造毒品，或者向未成年人出售毒品的，从重处罚。</w:t>
      </w:r>
    </w:p>
    <w:p>
      <w:pPr>
        <w:spacing w:line="240" w:lineRule="auto"/>
        <w:ind w:firstLine="640"/>
        <w:jc w:val="both"/>
      </w:pPr>
      <w:r>
        <w:rPr>
          <w:rFonts w:ascii="仿宋_GB2312" w:hAnsi="仿宋_GB2312" w:eastAsia="仿宋_GB2312" w:cs="仿宋_GB2312"/>
          <w:sz w:val="32"/>
        </w:rPr>
        <w:t>对多次走私、贩卖、运输、制造毒品，未经处理的，毒品数量累计计算。</w:t>
      </w:r>
    </w:p>
    <w:p>
      <w:pPr>
        <w:spacing w:line="240" w:lineRule="auto"/>
        <w:ind w:firstLine="640"/>
        <w:jc w:val="both"/>
      </w:pPr>
      <w:r>
        <w:rPr>
          <w:rFonts w:ascii="黑体" w:hAnsi="黑体" w:eastAsia="黑体" w:cs="黑体"/>
          <w:sz w:val="32"/>
        </w:rPr>
        <w:t>第三百四十八条</w:t>
      </w:r>
      <w:r>
        <w:rPr>
          <w:rFonts w:ascii="仿宋_GB2312" w:hAnsi="仿宋_GB2312" w:eastAsia="仿宋_GB2312" w:cs="仿宋_GB2312"/>
          <w:sz w:val="32"/>
        </w:rPr>
        <w:t>　非法持有鸦片一千克以上、海洛因或者甲基苯丙胺五十克以上或者其他毒品数量大的，处七年以上有期徒刑或者无期徒刑，并处罚金；非法持有鸦片二百克以上不满一千克、海洛因或者甲基苯丙胺十克以上不满五十克或者其他毒品数量较大的，处三年以下有期徒刑、拘役或者管制，并处罚金；情节严重的，处三年以上七年以下有期徒刑，并处罚金。</w:t>
      </w:r>
    </w:p>
    <w:p>
      <w:pPr>
        <w:spacing w:line="240" w:lineRule="auto"/>
        <w:ind w:firstLine="640"/>
        <w:jc w:val="both"/>
      </w:pPr>
      <w:r>
        <w:rPr>
          <w:rFonts w:ascii="黑体" w:hAnsi="黑体" w:eastAsia="黑体" w:cs="黑体"/>
          <w:sz w:val="32"/>
        </w:rPr>
        <w:t>第三百四十九条</w:t>
      </w:r>
      <w:r>
        <w:rPr>
          <w:rFonts w:ascii="仿宋_GB2312" w:hAnsi="仿宋_GB2312" w:eastAsia="仿宋_GB2312" w:cs="仿宋_GB2312"/>
          <w:sz w:val="32"/>
        </w:rPr>
        <w:t>　包庇走私、贩卖、运输、制造毒品的犯罪分子的，为犯罪分子窝藏、转移、隐瞒毒品或者犯罪所得的财物的，处三年以下有期徒刑、拘役或者管制；情节严重的，处三年以上十年以下有期徒刑。</w:t>
      </w:r>
    </w:p>
    <w:p>
      <w:pPr>
        <w:spacing w:line="240" w:lineRule="auto"/>
        <w:ind w:firstLine="640"/>
        <w:jc w:val="both"/>
      </w:pPr>
      <w:r>
        <w:rPr>
          <w:rFonts w:ascii="仿宋_GB2312" w:hAnsi="仿宋_GB2312" w:eastAsia="仿宋_GB2312" w:cs="仿宋_GB2312"/>
          <w:sz w:val="32"/>
        </w:rPr>
        <w:t>缉毒人员或者其他国家机关工作人员掩护、包庇走私、贩卖、运输、制造毒品的犯罪分子的，依照前款的规定从重处罚。</w:t>
      </w:r>
    </w:p>
    <w:p>
      <w:pPr>
        <w:spacing w:line="240" w:lineRule="auto"/>
        <w:ind w:firstLine="640"/>
        <w:jc w:val="both"/>
      </w:pPr>
      <w:r>
        <w:rPr>
          <w:rFonts w:ascii="仿宋_GB2312" w:hAnsi="仿宋_GB2312" w:eastAsia="仿宋_GB2312" w:cs="仿宋_GB2312"/>
          <w:sz w:val="32"/>
        </w:rPr>
        <w:t>犯前两款罪，事先通谋的，以走私、贩卖、运输、制造毒品罪的共犯论处。</w:t>
      </w:r>
    </w:p>
    <w:p>
      <w:pPr>
        <w:spacing w:line="240" w:lineRule="auto"/>
        <w:ind w:firstLine="640"/>
        <w:jc w:val="both"/>
      </w:pPr>
      <w:r>
        <w:rPr>
          <w:rFonts w:ascii="黑体" w:hAnsi="黑体" w:eastAsia="黑体" w:cs="黑体"/>
          <w:sz w:val="32"/>
        </w:rPr>
        <w:t>第三百五十条</w:t>
      </w:r>
      <w:r>
        <w:rPr>
          <w:rFonts w:ascii="仿宋_GB2312" w:hAnsi="仿宋_GB2312" w:eastAsia="仿宋_GB2312" w:cs="仿宋_GB2312"/>
          <w:sz w:val="32"/>
        </w:rPr>
        <w:t>　违反国家规定，非法生产、买卖、运输醋酸酐、乙醚、三氯甲烷或者其他用于制造毒品的原料、配剂，或者携带上述物品进出境，情节较重的，处三年以下有期徒刑、拘役或者管制，并处罚金；情节严重的，处三年以上七年以下有期徒刑，并处罚金；情节特别严重的，处七年以上有期徒刑，并处罚金或者没收财产。</w:t>
      </w:r>
    </w:p>
    <w:p>
      <w:pPr>
        <w:spacing w:line="240" w:lineRule="auto"/>
        <w:ind w:firstLine="640"/>
        <w:jc w:val="both"/>
      </w:pPr>
      <w:r>
        <w:rPr>
          <w:rFonts w:ascii="仿宋_GB2312" w:hAnsi="仿宋_GB2312" w:eastAsia="仿宋_GB2312" w:cs="仿宋_GB2312"/>
          <w:sz w:val="32"/>
        </w:rPr>
        <w:t>明知他人制造毒品而为其生产、买卖、运输前款规定的物品的，以制造毒品罪的共犯论处。</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单位犯前两款罪的，对单位判处罚金，并对其直接负责的主管人员和其他直接责任人员，依照前两款的规定处罚。</w:t>
      </w:r>
    </w:p>
    <w:p>
      <w:pPr>
        <w:spacing w:line="240" w:lineRule="auto"/>
        <w:ind w:firstLine="640"/>
        <w:jc w:val="both"/>
      </w:pPr>
      <w:r>
        <w:rPr>
          <w:rFonts w:ascii="黑体" w:hAnsi="黑体" w:eastAsia="黑体" w:cs="黑体"/>
          <w:sz w:val="32"/>
        </w:rPr>
        <w:t>第三百五十一条</w:t>
      </w:r>
      <w:r>
        <w:rPr>
          <w:rFonts w:ascii="仿宋_GB2312" w:hAnsi="仿宋_GB2312" w:eastAsia="仿宋_GB2312" w:cs="仿宋_GB2312"/>
          <w:sz w:val="32"/>
        </w:rPr>
        <w:t>　非法种植罂粟、大麻等毒品原植物的，一律强制铲除。有下列情形之一的，处五年以下有期徒刑、拘役或者管制，并处罚金：</w:t>
      </w:r>
    </w:p>
    <w:p>
      <w:pPr>
        <w:spacing w:line="240" w:lineRule="auto"/>
        <w:ind w:firstLine="640"/>
        <w:jc w:val="both"/>
      </w:pPr>
      <w:r>
        <w:rPr>
          <w:rFonts w:ascii="仿宋_GB2312" w:hAnsi="仿宋_GB2312" w:eastAsia="仿宋_GB2312" w:cs="仿宋_GB2312"/>
          <w:sz w:val="32"/>
        </w:rPr>
        <w:t>（一）种植罂粟五百株以上不满三千株或者其他毒品原植物数量较大的；</w:t>
      </w:r>
    </w:p>
    <w:p>
      <w:pPr>
        <w:spacing w:line="240" w:lineRule="auto"/>
        <w:ind w:firstLine="640"/>
        <w:jc w:val="both"/>
      </w:pPr>
      <w:r>
        <w:rPr>
          <w:rFonts w:ascii="仿宋_GB2312" w:hAnsi="仿宋_GB2312" w:eastAsia="仿宋_GB2312" w:cs="仿宋_GB2312"/>
          <w:sz w:val="32"/>
        </w:rPr>
        <w:t>（二）经公安机关处理后又种植的；</w:t>
      </w:r>
    </w:p>
    <w:p>
      <w:pPr>
        <w:spacing w:line="240" w:lineRule="auto"/>
        <w:ind w:firstLine="640"/>
        <w:jc w:val="both"/>
      </w:pPr>
      <w:r>
        <w:rPr>
          <w:rFonts w:ascii="仿宋_GB2312" w:hAnsi="仿宋_GB2312" w:eastAsia="仿宋_GB2312" w:cs="仿宋_GB2312"/>
          <w:sz w:val="32"/>
        </w:rPr>
        <w:t>（三）抗拒铲除的。</w:t>
      </w:r>
    </w:p>
    <w:p>
      <w:pPr>
        <w:spacing w:line="240" w:lineRule="auto"/>
        <w:ind w:firstLine="640"/>
        <w:jc w:val="both"/>
      </w:pPr>
      <w:r>
        <w:rPr>
          <w:rFonts w:ascii="仿宋_GB2312" w:hAnsi="仿宋_GB2312" w:eastAsia="仿宋_GB2312" w:cs="仿宋_GB2312"/>
          <w:sz w:val="32"/>
        </w:rPr>
        <w:t>非法种植罂粟三千株以上或者其他毒品原植物数量大的，处五年以上有期徒刑，并处罚金或者没收财产。</w:t>
      </w:r>
    </w:p>
    <w:p>
      <w:pPr>
        <w:spacing w:line="240" w:lineRule="auto"/>
        <w:ind w:firstLine="640"/>
        <w:jc w:val="both"/>
      </w:pPr>
      <w:r>
        <w:rPr>
          <w:rFonts w:ascii="仿宋_GB2312" w:hAnsi="仿宋_GB2312" w:eastAsia="仿宋_GB2312" w:cs="仿宋_GB2312"/>
          <w:sz w:val="32"/>
        </w:rPr>
        <w:t>非法种植罂粟或者其他毒品原植物，在收获前自动铲除的，可以免除处罚。</w:t>
      </w:r>
    </w:p>
    <w:p>
      <w:pPr>
        <w:spacing w:line="240" w:lineRule="auto"/>
        <w:ind w:firstLine="640"/>
        <w:jc w:val="both"/>
      </w:pPr>
      <w:r>
        <w:rPr>
          <w:rFonts w:ascii="黑体" w:hAnsi="黑体" w:eastAsia="黑体" w:cs="黑体"/>
          <w:sz w:val="32"/>
        </w:rPr>
        <w:t>第三百五十二条</w:t>
      </w:r>
      <w:r>
        <w:rPr>
          <w:rFonts w:ascii="仿宋_GB2312" w:hAnsi="仿宋_GB2312" w:eastAsia="仿宋_GB2312" w:cs="仿宋_GB2312"/>
          <w:sz w:val="32"/>
        </w:rPr>
        <w:t>　非法买卖、运输、携带、持有未经灭活的罂粟等毒品原植物种子或者幼苗，数量较大的，处三年以下有期徒刑、拘役或者管制，并处或者单处罚金。</w:t>
      </w:r>
    </w:p>
    <w:p>
      <w:pPr>
        <w:spacing w:line="240" w:lineRule="auto"/>
        <w:ind w:firstLine="640"/>
        <w:jc w:val="both"/>
      </w:pPr>
      <w:r>
        <w:rPr>
          <w:rFonts w:ascii="黑体" w:hAnsi="黑体" w:eastAsia="黑体" w:cs="黑体"/>
          <w:sz w:val="32"/>
        </w:rPr>
        <w:t>第三百五十三条</w:t>
      </w:r>
      <w:r>
        <w:rPr>
          <w:rFonts w:ascii="仿宋_GB2312" w:hAnsi="仿宋_GB2312" w:eastAsia="仿宋_GB2312" w:cs="仿宋_GB2312"/>
          <w:sz w:val="32"/>
        </w:rPr>
        <w:t>　引诱、教唆、欺骗他人吸食、注射毒品的，处三年以下有期徒刑、拘役或者管制，并处罚金；情节严重的，处三年以上七年以下有期徒刑，并处罚金。</w:t>
      </w:r>
    </w:p>
    <w:p>
      <w:pPr>
        <w:spacing w:line="240" w:lineRule="auto"/>
        <w:ind w:firstLine="640"/>
        <w:jc w:val="both"/>
      </w:pPr>
      <w:r>
        <w:rPr>
          <w:rFonts w:ascii="仿宋_GB2312" w:hAnsi="仿宋_GB2312" w:eastAsia="仿宋_GB2312" w:cs="仿宋_GB2312"/>
          <w:sz w:val="32"/>
        </w:rPr>
        <w:t>强迫他人吸食、注射毒品的，处三年以上十年以下有期徒刑，并处罚金。</w:t>
      </w:r>
    </w:p>
    <w:p>
      <w:pPr>
        <w:spacing w:line="240" w:lineRule="auto"/>
        <w:ind w:firstLine="640"/>
        <w:jc w:val="both"/>
      </w:pPr>
      <w:r>
        <w:rPr>
          <w:rFonts w:ascii="仿宋_GB2312" w:hAnsi="仿宋_GB2312" w:eastAsia="仿宋_GB2312" w:cs="仿宋_GB2312"/>
          <w:sz w:val="32"/>
        </w:rPr>
        <w:t>引诱、教唆、欺骗或者强迫未成年人吸食、注射毒品的，从重处罚。</w:t>
      </w:r>
    </w:p>
    <w:p>
      <w:pPr>
        <w:spacing w:line="240" w:lineRule="auto"/>
        <w:ind w:firstLine="640"/>
        <w:jc w:val="both"/>
      </w:pPr>
      <w:r>
        <w:rPr>
          <w:rFonts w:ascii="黑体" w:hAnsi="黑体" w:eastAsia="黑体" w:cs="黑体"/>
          <w:sz w:val="32"/>
        </w:rPr>
        <w:t>第三百五十四条</w:t>
      </w:r>
      <w:r>
        <w:rPr>
          <w:rFonts w:ascii="仿宋_GB2312" w:hAnsi="仿宋_GB2312" w:eastAsia="仿宋_GB2312" w:cs="仿宋_GB2312"/>
          <w:sz w:val="32"/>
        </w:rPr>
        <w:t>　容留他人吸食、注射毒品的，处三年以下有期徒刑、拘役或者管制，并处罚金。</w:t>
      </w:r>
    </w:p>
    <w:p>
      <w:pPr>
        <w:spacing w:line="240" w:lineRule="auto"/>
        <w:ind w:firstLine="640"/>
        <w:jc w:val="both"/>
      </w:pPr>
      <w:r>
        <w:rPr>
          <w:rFonts w:ascii="黑体" w:hAnsi="黑体" w:eastAsia="黑体" w:cs="黑体"/>
          <w:sz w:val="32"/>
        </w:rPr>
        <w:t>第三百五十五条</w:t>
      </w:r>
      <w:r>
        <w:rPr>
          <w:rFonts w:ascii="仿宋_GB2312" w:hAnsi="仿宋_GB2312" w:eastAsia="仿宋_GB2312" w:cs="仿宋_GB2312"/>
          <w:sz w:val="32"/>
        </w:rPr>
        <w:t>　依法从事生产、运输、管理、使用国家管制的麻醉药品、精神药品的人员，违反国家规定，向吸食、注射毒品的人提供国家规定管制的能够使人形成瘾癖的麻醉药品、精神药品的，处三年以下有期徒刑或者拘役，并处罚金；情节严重的，处三年以上七年以下有期徒刑，并处罚金。向走私、贩卖毒品的犯罪分子或者以牟利为目的，向吸食、注射毒品的人提供国家规定管制的能够使人形成瘾癖的麻醉药品、精神药品的，依照本法第三百四十七条的规定定罪处罚。</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第三百五十五</w:t>
      </w:r>
      <w:r>
        <w:rPr>
          <w:rFonts w:hint="eastAsia" w:ascii="黑体" w:hAnsi="黑体" w:eastAsia="黑体" w:cs="黑体"/>
          <w:sz w:val="32"/>
          <w:lang w:eastAsia="zh-CN"/>
        </w:rPr>
        <w:t>条之一　</w:t>
      </w:r>
      <w:r>
        <w:rPr>
          <w:rFonts w:ascii="仿宋_GB2312" w:hAnsi="仿宋_GB2312" w:eastAsia="仿宋_GB2312" w:cs="仿宋_GB2312"/>
          <w:sz w:val="32"/>
        </w:rPr>
        <w:t>引诱、教唆、欺骗运动员使用兴奋剂参加国内、国际重大体育竞赛，或者明知运动员参加上述竞赛而向其提供兴奋剂，情节严重的，处三年以下有期徒刑或者拘役，并处罚金。</w:t>
      </w:r>
    </w:p>
    <w:p>
      <w:pPr>
        <w:spacing w:line="240" w:lineRule="auto"/>
        <w:ind w:firstLine="640"/>
        <w:jc w:val="both"/>
      </w:pPr>
      <w:r>
        <w:rPr>
          <w:rFonts w:ascii="仿宋_GB2312" w:hAnsi="仿宋_GB2312" w:eastAsia="仿宋_GB2312" w:cs="仿宋_GB2312"/>
          <w:sz w:val="32"/>
        </w:rPr>
        <w:t>组织、强迫运动员使用兴奋剂参加国内、国际重大体育竞赛的，依照前款的规定从重处罚。</w:t>
      </w:r>
    </w:p>
    <w:p>
      <w:pPr>
        <w:spacing w:line="240" w:lineRule="auto"/>
        <w:ind w:firstLine="640"/>
        <w:jc w:val="both"/>
      </w:pPr>
      <w:r>
        <w:rPr>
          <w:rFonts w:ascii="黑体" w:hAnsi="黑体" w:eastAsia="黑体" w:cs="黑体"/>
          <w:sz w:val="32"/>
        </w:rPr>
        <w:t>第三百五十六条</w:t>
      </w:r>
      <w:r>
        <w:rPr>
          <w:rFonts w:ascii="仿宋_GB2312" w:hAnsi="仿宋_GB2312" w:eastAsia="仿宋_GB2312" w:cs="仿宋_GB2312"/>
          <w:sz w:val="32"/>
        </w:rPr>
        <w:t>　因走私、贩卖、运输、制造、非法持有毒品罪被判过刑，又犯本节规定之罪的，从重处罚。</w:t>
      </w:r>
    </w:p>
    <w:p>
      <w:pPr>
        <w:spacing w:line="240" w:lineRule="auto"/>
        <w:ind w:firstLine="640"/>
        <w:jc w:val="both"/>
      </w:pPr>
      <w:r>
        <w:rPr>
          <w:rFonts w:ascii="黑体" w:hAnsi="黑体" w:eastAsia="黑体" w:cs="黑体"/>
          <w:sz w:val="32"/>
        </w:rPr>
        <w:t>第三百五十七条</w:t>
      </w:r>
      <w:r>
        <w:rPr>
          <w:rFonts w:ascii="仿宋_GB2312" w:hAnsi="仿宋_GB2312" w:eastAsia="仿宋_GB2312" w:cs="仿宋_GB2312"/>
          <w:sz w:val="32"/>
        </w:rPr>
        <w:t>　本法所称的毒品，是指鸦片、海洛因、甲基苯丙胺（冰毒）、吗啡、大麻、可卡因以及国家规定管制的其他能够使人形成瘾癖的麻醉药品和精神药品。</w:t>
      </w:r>
    </w:p>
    <w:p>
      <w:pPr>
        <w:spacing w:line="240" w:lineRule="auto"/>
        <w:ind w:firstLine="640"/>
        <w:jc w:val="both"/>
      </w:pPr>
      <w:r>
        <w:rPr>
          <w:rFonts w:ascii="仿宋_GB2312" w:hAnsi="仿宋_GB2312" w:eastAsia="仿宋_GB2312" w:cs="仿宋_GB2312"/>
          <w:sz w:val="32"/>
        </w:rPr>
        <w:t>毒品的数量以查证属实的走私、贩卖、运输、制造、非法持有毒品的数量计算，不以纯度折算。</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第八节　组织、强迫、引诱、容留、介绍卖淫罪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第三百五十八条</w:t>
      </w:r>
      <w:r>
        <w:rPr>
          <w:rFonts w:ascii="仿宋_GB2312" w:hAnsi="仿宋_GB2312" w:eastAsia="仿宋_GB2312" w:cs="仿宋_GB2312"/>
          <w:sz w:val="32"/>
        </w:rPr>
        <w:t>　组织、强迫他人卖淫的，处五年以上十年以下有期徒刑，并处罚金；情节严重的，处十年以上有期徒刑或者无期徒刑，并处罚金或者没收财产。</w:t>
      </w:r>
    </w:p>
    <w:p>
      <w:pPr>
        <w:spacing w:line="240" w:lineRule="auto"/>
        <w:ind w:firstLine="640"/>
        <w:jc w:val="both"/>
      </w:pPr>
      <w:r>
        <w:rPr>
          <w:rFonts w:ascii="仿宋_GB2312" w:hAnsi="仿宋_GB2312" w:eastAsia="仿宋_GB2312" w:cs="仿宋_GB2312"/>
          <w:sz w:val="32"/>
        </w:rPr>
        <w:t>组织、强迫未成年人卖淫的，依照前款的规定从重处罚。</w:t>
      </w:r>
    </w:p>
    <w:p>
      <w:pPr>
        <w:spacing w:line="240" w:lineRule="auto"/>
        <w:ind w:firstLine="640"/>
        <w:jc w:val="both"/>
      </w:pPr>
      <w:r>
        <w:rPr>
          <w:rFonts w:ascii="仿宋_GB2312" w:hAnsi="仿宋_GB2312" w:eastAsia="仿宋_GB2312" w:cs="仿宋_GB2312"/>
          <w:sz w:val="32"/>
        </w:rPr>
        <w:t>犯前两款罪，并有杀害、伤害、强奸、绑架等犯罪行为的，依照数罪并罚的规定处罚。</w:t>
      </w:r>
    </w:p>
    <w:p>
      <w:pPr>
        <w:spacing w:line="240" w:lineRule="auto"/>
        <w:ind w:firstLine="640"/>
        <w:jc w:val="both"/>
      </w:pPr>
      <w:r>
        <w:rPr>
          <w:rFonts w:ascii="仿宋_GB2312" w:hAnsi="仿宋_GB2312" w:eastAsia="仿宋_GB2312" w:cs="仿宋_GB2312"/>
          <w:sz w:val="32"/>
        </w:rPr>
        <w:t>为组织卖淫的人招募、运送人员或者有其他协助组织他人卖淫行为的，处五年以下有期徒刑，并处罚金；情节严重的，处五年以上十年以下有期徒刑，并处罚金。</w:t>
      </w:r>
    </w:p>
    <w:p>
      <w:pPr>
        <w:spacing w:line="240" w:lineRule="auto"/>
        <w:ind w:firstLine="640"/>
        <w:jc w:val="both"/>
      </w:pPr>
      <w:r>
        <w:rPr>
          <w:rFonts w:ascii="黑体" w:hAnsi="黑体" w:eastAsia="黑体" w:cs="黑体"/>
          <w:sz w:val="32"/>
        </w:rPr>
        <w:t>第三百五十九条</w:t>
      </w:r>
      <w:r>
        <w:rPr>
          <w:rFonts w:ascii="仿宋_GB2312" w:hAnsi="仿宋_GB2312" w:eastAsia="仿宋_GB2312" w:cs="仿宋_GB2312"/>
          <w:sz w:val="32"/>
        </w:rPr>
        <w:t>　引诱、容留、介绍他人卖淫的，处五年以下有期徒刑、拘役或者管制，并处罚金；情节严重的，处五年以上有期徒刑，并处罚金。</w:t>
      </w:r>
    </w:p>
    <w:p>
      <w:pPr>
        <w:spacing w:line="240" w:lineRule="auto"/>
        <w:ind w:firstLine="640"/>
        <w:jc w:val="both"/>
      </w:pPr>
      <w:r>
        <w:rPr>
          <w:rFonts w:ascii="仿宋_GB2312" w:hAnsi="仿宋_GB2312" w:eastAsia="仿宋_GB2312" w:cs="仿宋_GB2312"/>
          <w:sz w:val="32"/>
        </w:rPr>
        <w:t>引诱不满十四周岁的幼女卖淫的，处五年以上有期徒刑，并处罚金。</w:t>
      </w:r>
    </w:p>
    <w:p>
      <w:pPr>
        <w:spacing w:line="240" w:lineRule="auto"/>
        <w:ind w:firstLine="640"/>
        <w:jc w:val="both"/>
      </w:pPr>
      <w:r>
        <w:rPr>
          <w:rFonts w:ascii="黑体" w:hAnsi="黑体" w:eastAsia="黑体" w:cs="黑体"/>
          <w:sz w:val="32"/>
        </w:rPr>
        <w:t>第三百六十条</w:t>
      </w:r>
      <w:r>
        <w:rPr>
          <w:rFonts w:ascii="仿宋_GB2312" w:hAnsi="仿宋_GB2312" w:eastAsia="仿宋_GB2312" w:cs="仿宋_GB2312"/>
          <w:sz w:val="32"/>
        </w:rPr>
        <w:t>　明知自己患有梅毒、淋病等严重性病卖淫、嫖娼的，处五年以下有期徒刑、拘役或者管制，并处罚金。</w:t>
      </w:r>
    </w:p>
    <w:p>
      <w:pPr>
        <w:spacing w:line="240" w:lineRule="auto"/>
        <w:ind w:firstLine="640"/>
        <w:jc w:val="both"/>
      </w:pPr>
      <w:r>
        <w:rPr>
          <w:rFonts w:ascii="黑体" w:hAnsi="黑体" w:eastAsia="黑体" w:cs="黑体"/>
          <w:sz w:val="32"/>
        </w:rPr>
        <w:t>第三百六十一条</w:t>
      </w:r>
      <w:r>
        <w:rPr>
          <w:rFonts w:ascii="仿宋_GB2312" w:hAnsi="仿宋_GB2312" w:eastAsia="仿宋_GB2312" w:cs="仿宋_GB2312"/>
          <w:sz w:val="32"/>
        </w:rPr>
        <w:t>　旅馆业、饮食服务业、文化娱乐业、出租汽车业等单位的人员，利用本单位的条件，组织、强迫、引诱、容留、介绍他人卖淫的，依照本法第三百五十八条、第三百五十九条的规定定罪处罚。</w:t>
      </w:r>
    </w:p>
    <w:p>
      <w:pPr>
        <w:spacing w:line="240" w:lineRule="auto"/>
        <w:ind w:firstLine="640"/>
        <w:jc w:val="both"/>
      </w:pPr>
      <w:r>
        <w:rPr>
          <w:rFonts w:ascii="仿宋_GB2312" w:hAnsi="仿宋_GB2312" w:eastAsia="仿宋_GB2312" w:cs="仿宋_GB2312"/>
          <w:sz w:val="32"/>
        </w:rPr>
        <w:t>前款所列单位的主要负责人，犯前款罪的，从重处罚。</w:t>
      </w:r>
    </w:p>
    <w:p>
      <w:pPr>
        <w:spacing w:line="240" w:lineRule="auto"/>
        <w:ind w:firstLine="640"/>
        <w:jc w:val="both"/>
      </w:pPr>
      <w:r>
        <w:rPr>
          <w:rFonts w:ascii="黑体" w:hAnsi="黑体" w:eastAsia="黑体" w:cs="黑体"/>
          <w:sz w:val="32"/>
        </w:rPr>
        <w:t>第三百六十二条</w:t>
      </w:r>
      <w:r>
        <w:rPr>
          <w:rFonts w:ascii="仿宋_GB2312" w:hAnsi="仿宋_GB2312" w:eastAsia="仿宋_GB2312" w:cs="仿宋_GB2312"/>
          <w:sz w:val="32"/>
        </w:rPr>
        <w:t>　旅馆业、饮食服务业、文化娱乐业、出租汽车业等单位的人员，在公安机关查处卖淫、嫖娼活动时，为违法犯罪分子通风报信，情节严重的，依照本法第三百一十条的规定定罪处罚。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第九节　制作、贩卖、传播淫秽物品罪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第三百六十三条</w:t>
      </w:r>
      <w:r>
        <w:rPr>
          <w:rFonts w:ascii="仿宋_GB2312" w:hAnsi="仿宋_GB2312" w:eastAsia="仿宋_GB2312" w:cs="仿宋_GB2312"/>
          <w:sz w:val="32"/>
        </w:rPr>
        <w:t>　以牟利为目的，制作、复制、出版、贩卖、传播淫秽物品的，处三年以下有期徒刑、拘役或者管制，并处罚金；情节严重的，处三年以上十年以下有期徒刑，并处罚金；情节特别严重的，处十年以上有期徒刑或者无期徒刑，并处罚金或者没收财产。</w:t>
      </w:r>
    </w:p>
    <w:p>
      <w:pPr>
        <w:spacing w:line="240" w:lineRule="auto"/>
        <w:ind w:firstLine="640"/>
        <w:jc w:val="both"/>
      </w:pPr>
      <w:r>
        <w:rPr>
          <w:rFonts w:ascii="仿宋_GB2312" w:hAnsi="仿宋_GB2312" w:eastAsia="仿宋_GB2312" w:cs="仿宋_GB2312"/>
          <w:sz w:val="32"/>
        </w:rPr>
        <w:t>为他人提供书号，出版淫秽书刊的，处三年以下有期徒刑、拘役或者管制，并处或者单处罚金；明知他人用于出版淫秽书刊而提供书号的，依照前款的规定处罚。</w:t>
      </w:r>
    </w:p>
    <w:p>
      <w:pPr>
        <w:spacing w:line="240" w:lineRule="auto"/>
        <w:ind w:firstLine="640"/>
        <w:jc w:val="both"/>
      </w:pPr>
      <w:r>
        <w:rPr>
          <w:rFonts w:ascii="黑体" w:hAnsi="黑体" w:eastAsia="黑体" w:cs="黑体"/>
          <w:sz w:val="32"/>
        </w:rPr>
        <w:t>第三百六十四条</w:t>
      </w:r>
      <w:r>
        <w:rPr>
          <w:rFonts w:ascii="仿宋_GB2312" w:hAnsi="仿宋_GB2312" w:eastAsia="仿宋_GB2312" w:cs="仿宋_GB2312"/>
          <w:sz w:val="32"/>
        </w:rPr>
        <w:t>　传播淫秽的书刊、影片、音像、图片或者其他淫秽物品，情节严重的，处二年以下有期徒刑、拘役或者管制。</w:t>
      </w:r>
    </w:p>
    <w:p>
      <w:pPr>
        <w:spacing w:line="240" w:lineRule="auto"/>
        <w:ind w:firstLine="640"/>
        <w:jc w:val="both"/>
      </w:pPr>
      <w:r>
        <w:rPr>
          <w:rFonts w:ascii="仿宋_GB2312" w:hAnsi="仿宋_GB2312" w:eastAsia="仿宋_GB2312" w:cs="仿宋_GB2312"/>
          <w:sz w:val="32"/>
        </w:rPr>
        <w:t>组织播放淫秽的电影、录像等音像制品的，处三年以下有期徒刑、拘役或者管制，并处罚金；情节严重的，处三年以上十年以下有期徒刑，并处罚金。</w:t>
      </w:r>
    </w:p>
    <w:p>
      <w:pPr>
        <w:spacing w:line="240" w:lineRule="auto"/>
        <w:ind w:firstLine="640"/>
        <w:jc w:val="both"/>
      </w:pPr>
      <w:r>
        <w:rPr>
          <w:rFonts w:ascii="仿宋_GB2312" w:hAnsi="仿宋_GB2312" w:eastAsia="仿宋_GB2312" w:cs="仿宋_GB2312"/>
          <w:sz w:val="32"/>
        </w:rPr>
        <w:t>制作、复制淫秽的电影、录像等音像制品组织播放的，依照第二款的规定从重处罚。</w:t>
      </w:r>
    </w:p>
    <w:p>
      <w:pPr>
        <w:spacing w:line="240" w:lineRule="auto"/>
        <w:ind w:firstLine="640"/>
        <w:jc w:val="both"/>
      </w:pPr>
      <w:r>
        <w:rPr>
          <w:rFonts w:ascii="仿宋_GB2312" w:hAnsi="仿宋_GB2312" w:eastAsia="仿宋_GB2312" w:cs="仿宋_GB2312"/>
          <w:sz w:val="32"/>
        </w:rPr>
        <w:t>向不满十八周岁的未成年人传播淫秽物品的，从重处罚。</w:t>
      </w:r>
    </w:p>
    <w:p>
      <w:pPr>
        <w:spacing w:line="240" w:lineRule="auto"/>
        <w:ind w:firstLine="640"/>
        <w:jc w:val="both"/>
      </w:pPr>
      <w:r>
        <w:rPr>
          <w:rFonts w:ascii="黑体" w:hAnsi="黑体" w:eastAsia="黑体" w:cs="黑体"/>
          <w:sz w:val="32"/>
        </w:rPr>
        <w:t>第三百六十五条</w:t>
      </w:r>
      <w:r>
        <w:rPr>
          <w:rFonts w:ascii="仿宋_GB2312" w:hAnsi="仿宋_GB2312" w:eastAsia="仿宋_GB2312" w:cs="仿宋_GB2312"/>
          <w:sz w:val="32"/>
        </w:rPr>
        <w:t>　组织进行淫秽表演的，处三年以下有期徒刑、拘役或者管制，并处罚金；情节严重的，处三年以上十年以下有期徒刑，并处罚金。</w:t>
      </w:r>
    </w:p>
    <w:p>
      <w:pPr>
        <w:spacing w:line="240" w:lineRule="auto"/>
        <w:ind w:firstLine="640"/>
        <w:jc w:val="both"/>
      </w:pPr>
      <w:r>
        <w:rPr>
          <w:rFonts w:ascii="黑体" w:hAnsi="黑体" w:eastAsia="黑体" w:cs="黑体"/>
          <w:sz w:val="32"/>
        </w:rPr>
        <w:t>第三百六十六条</w:t>
      </w:r>
      <w:r>
        <w:rPr>
          <w:rFonts w:ascii="仿宋_GB2312" w:hAnsi="仿宋_GB2312" w:eastAsia="仿宋_GB2312" w:cs="仿宋_GB2312"/>
          <w:sz w:val="32"/>
        </w:rPr>
        <w:t>　单位犯本节第三百六十三条、第三百六十四条、第三百六十五条规定之罪的，对单位判处罚金，并对其直接负责的主管人员和其他直接责任人员，依照各该条的规定处罚。</w:t>
      </w:r>
    </w:p>
    <w:p>
      <w:pPr>
        <w:spacing w:line="240" w:lineRule="auto"/>
        <w:ind w:firstLine="640"/>
        <w:jc w:val="both"/>
      </w:pPr>
      <w:r>
        <w:rPr>
          <w:rFonts w:ascii="黑体" w:hAnsi="黑体" w:eastAsia="黑体" w:cs="黑体"/>
          <w:sz w:val="32"/>
        </w:rPr>
        <w:t>第三百六十七条</w:t>
      </w:r>
      <w:r>
        <w:rPr>
          <w:rFonts w:ascii="仿宋_GB2312" w:hAnsi="仿宋_GB2312" w:eastAsia="仿宋_GB2312" w:cs="仿宋_GB2312"/>
          <w:sz w:val="32"/>
        </w:rPr>
        <w:t>　本法所称淫秽物品，是指具体描绘性行为或者露骨宣扬色情的诲淫性的书刊、影片、录像带、录音带、图片及其他淫秽物品。</w:t>
      </w:r>
    </w:p>
    <w:p>
      <w:pPr>
        <w:spacing w:line="240" w:lineRule="auto"/>
        <w:ind w:firstLine="640"/>
        <w:jc w:val="both"/>
      </w:pPr>
      <w:r>
        <w:rPr>
          <w:rFonts w:ascii="仿宋_GB2312" w:hAnsi="仿宋_GB2312" w:eastAsia="仿宋_GB2312" w:cs="仿宋_GB2312"/>
          <w:sz w:val="32"/>
        </w:rPr>
        <w:t>有关人体生理、医学知识的科学著作不是淫秽物品。</w:t>
      </w:r>
    </w:p>
    <w:p>
      <w:pPr>
        <w:spacing w:line="240" w:lineRule="auto"/>
        <w:ind w:firstLine="640"/>
        <w:jc w:val="both"/>
      </w:pPr>
      <w:r>
        <w:rPr>
          <w:rFonts w:ascii="仿宋_GB2312" w:hAnsi="仿宋_GB2312" w:eastAsia="仿宋_GB2312" w:cs="仿宋_GB2312"/>
          <w:sz w:val="32"/>
        </w:rPr>
        <w:t>包含有色情内容的有艺术价值的文学、艺术作品不视为淫秽物品。</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第七章　危害国防利益罪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第三百六十八条</w:t>
      </w:r>
      <w:r>
        <w:rPr>
          <w:rFonts w:ascii="仿宋_GB2312" w:hAnsi="仿宋_GB2312" w:eastAsia="仿宋_GB2312" w:cs="仿宋_GB2312"/>
          <w:sz w:val="32"/>
        </w:rPr>
        <w:t>　以暴力、威胁方法阻碍军人依法执行职务的，处三年以下有期徒刑、拘役、管制或者罚金。</w:t>
      </w:r>
    </w:p>
    <w:p>
      <w:pPr>
        <w:spacing w:line="240" w:lineRule="auto"/>
        <w:ind w:firstLine="640"/>
        <w:jc w:val="both"/>
      </w:pPr>
      <w:r>
        <w:rPr>
          <w:rFonts w:ascii="仿宋_GB2312" w:hAnsi="仿宋_GB2312" w:eastAsia="仿宋_GB2312" w:cs="仿宋_GB2312"/>
          <w:sz w:val="32"/>
        </w:rPr>
        <w:t>故意阻碍武装部队军事行动，造成严重后果的，处五年以下有期徒刑或者拘役。</w:t>
      </w:r>
    </w:p>
    <w:p>
      <w:pPr>
        <w:spacing w:line="240" w:lineRule="auto"/>
        <w:ind w:firstLine="640"/>
        <w:jc w:val="both"/>
      </w:pPr>
      <w:r>
        <w:rPr>
          <w:rFonts w:ascii="黑体" w:hAnsi="黑体" w:eastAsia="黑体" w:cs="黑体"/>
          <w:sz w:val="32"/>
        </w:rPr>
        <w:t>第三百六十九条</w:t>
      </w:r>
      <w:r>
        <w:rPr>
          <w:rFonts w:ascii="仿宋_GB2312" w:hAnsi="仿宋_GB2312" w:eastAsia="仿宋_GB2312" w:cs="仿宋_GB2312"/>
          <w:sz w:val="32"/>
        </w:rPr>
        <w:t>　破坏武器装备、军事设施、军事通信的，处三年以下有期徒刑、拘役或者管制；破坏重要武器装备、军事设施、军事通信的，处三年以上十年以下有期徒刑；情节特别严重的，处十年以上有期徒刑、无期徒刑或者死刑。</w:t>
      </w:r>
    </w:p>
    <w:p>
      <w:pPr>
        <w:spacing w:line="240" w:lineRule="auto"/>
        <w:ind w:firstLine="640"/>
        <w:jc w:val="both"/>
      </w:pPr>
      <w:r>
        <w:rPr>
          <w:rFonts w:ascii="仿宋_GB2312" w:hAnsi="仿宋_GB2312" w:eastAsia="仿宋_GB2312" w:cs="仿宋_GB2312"/>
          <w:sz w:val="32"/>
        </w:rPr>
        <w:t>过失犯前款罪，造成严重后果的，处三年以下有期徒刑或者拘役；造成特别严重后果的，处三年以上七年以下有期徒刑。</w:t>
      </w:r>
    </w:p>
    <w:p>
      <w:pPr>
        <w:spacing w:line="240" w:lineRule="auto"/>
        <w:ind w:firstLine="640"/>
        <w:jc w:val="both"/>
      </w:pPr>
      <w:r>
        <w:rPr>
          <w:rFonts w:ascii="仿宋_GB2312" w:hAnsi="仿宋_GB2312" w:eastAsia="仿宋_GB2312" w:cs="仿宋_GB2312"/>
          <w:sz w:val="32"/>
        </w:rPr>
        <w:t>战时犯前两款罪的，从重处罚。</w:t>
      </w:r>
    </w:p>
    <w:p>
      <w:pPr>
        <w:spacing w:line="240" w:lineRule="auto"/>
        <w:ind w:firstLine="640"/>
        <w:jc w:val="both"/>
      </w:pPr>
      <w:r>
        <w:rPr>
          <w:rFonts w:ascii="黑体" w:hAnsi="黑体" w:eastAsia="黑体" w:cs="黑体"/>
          <w:sz w:val="32"/>
        </w:rPr>
        <w:t>第三百七十条</w:t>
      </w:r>
      <w:r>
        <w:rPr>
          <w:rFonts w:ascii="仿宋_GB2312" w:hAnsi="仿宋_GB2312" w:eastAsia="仿宋_GB2312" w:cs="仿宋_GB2312"/>
          <w:sz w:val="32"/>
        </w:rPr>
        <w:t>　明知是不合格的武器装备、军事设施而提供给武装部队的，处五年以下有期徒刑或者拘役；情节严重的，处五年以上十年以下有期徒刑；情节特别严重的，处十年以上有期徒刑、无期徒刑或者死刑。</w:t>
      </w:r>
    </w:p>
    <w:p>
      <w:pPr>
        <w:spacing w:line="240" w:lineRule="auto"/>
        <w:ind w:firstLine="640"/>
        <w:jc w:val="both"/>
      </w:pPr>
      <w:r>
        <w:rPr>
          <w:rFonts w:ascii="仿宋_GB2312" w:hAnsi="仿宋_GB2312" w:eastAsia="仿宋_GB2312" w:cs="仿宋_GB2312"/>
          <w:sz w:val="32"/>
        </w:rPr>
        <w:t>过失犯前款罪，造成严重后果的，处三年以下有期徒刑或者拘役；造成特别严重后果的，处三年以上七年以下有期徒刑。</w:t>
      </w:r>
    </w:p>
    <w:p>
      <w:pPr>
        <w:spacing w:line="240" w:lineRule="auto"/>
        <w:ind w:firstLine="640"/>
        <w:jc w:val="both"/>
      </w:pPr>
      <w:r>
        <w:rPr>
          <w:rFonts w:ascii="仿宋_GB2312" w:hAnsi="仿宋_GB2312" w:eastAsia="仿宋_GB2312" w:cs="仿宋_GB2312"/>
          <w:sz w:val="32"/>
        </w:rPr>
        <w:t>单位犯第一款罪的，对单位判处罚金，并对其直接负责的主管人员和其他直接责任人员，依照第一款的规定处罚。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第三百七十一条</w:t>
      </w:r>
      <w:r>
        <w:rPr>
          <w:rFonts w:ascii="仿宋_GB2312" w:hAnsi="仿宋_GB2312" w:eastAsia="仿宋_GB2312" w:cs="仿宋_GB2312"/>
          <w:sz w:val="32"/>
        </w:rPr>
        <w:t>　聚众冲击军事禁区，严重扰乱军事禁区秩序的，对首要分子，处五年以上十年以下有期徒刑；对其他积极参加的，处五年以下有期徒刑、拘役、管制或者剥夺政治权利。</w:t>
      </w:r>
    </w:p>
    <w:p>
      <w:pPr>
        <w:spacing w:line="240" w:lineRule="auto"/>
        <w:ind w:firstLine="640"/>
        <w:jc w:val="both"/>
      </w:pPr>
      <w:r>
        <w:rPr>
          <w:rFonts w:ascii="仿宋_GB2312" w:hAnsi="仿宋_GB2312" w:eastAsia="仿宋_GB2312" w:cs="仿宋_GB2312"/>
          <w:sz w:val="32"/>
        </w:rPr>
        <w:t>聚众扰乱军事管理区秩序，情节严重，致使军事管理区工作无法进行，造成严重损失的，对首要分子，处三年以上七年以下有期徒刑；对其他积极参加的，处三年以下有期徒刑、拘役、管制或者剥夺政治权利。</w:t>
      </w:r>
    </w:p>
    <w:p>
      <w:pPr>
        <w:spacing w:line="240" w:lineRule="auto"/>
        <w:ind w:firstLine="640"/>
        <w:jc w:val="both"/>
      </w:pPr>
      <w:r>
        <w:rPr>
          <w:rFonts w:ascii="黑体" w:hAnsi="黑体" w:eastAsia="黑体" w:cs="黑体"/>
          <w:sz w:val="32"/>
        </w:rPr>
        <w:t>第三百七十二条</w:t>
      </w:r>
      <w:r>
        <w:rPr>
          <w:rFonts w:ascii="仿宋_GB2312" w:hAnsi="仿宋_GB2312" w:eastAsia="仿宋_GB2312" w:cs="仿宋_GB2312"/>
          <w:sz w:val="32"/>
        </w:rPr>
        <w:t>　冒充军人招摇撞骗的，处三年以下有期徒刑、拘役、管制或者剥夺政治权利；情节严重的，处三年以上十年以下有期徒刑。</w:t>
      </w:r>
    </w:p>
    <w:p>
      <w:pPr>
        <w:spacing w:line="240" w:lineRule="auto"/>
        <w:ind w:firstLine="640"/>
        <w:jc w:val="both"/>
      </w:pPr>
      <w:r>
        <w:rPr>
          <w:rFonts w:ascii="黑体" w:hAnsi="黑体" w:eastAsia="黑体" w:cs="黑体"/>
          <w:sz w:val="32"/>
        </w:rPr>
        <w:t>第三百七十三条</w:t>
      </w:r>
      <w:r>
        <w:rPr>
          <w:rFonts w:ascii="仿宋_GB2312" w:hAnsi="仿宋_GB2312" w:eastAsia="仿宋_GB2312" w:cs="仿宋_GB2312"/>
          <w:sz w:val="32"/>
        </w:rPr>
        <w:t>　煽动军人逃离部队或者明知是逃离部队的军人而雇用，情节严重的，处三年以下有期徒刑、拘役或者管制。</w:t>
      </w:r>
    </w:p>
    <w:p>
      <w:pPr>
        <w:spacing w:line="240" w:lineRule="auto"/>
        <w:ind w:firstLine="640"/>
        <w:jc w:val="both"/>
      </w:pPr>
      <w:r>
        <w:rPr>
          <w:rFonts w:ascii="黑体" w:hAnsi="黑体" w:eastAsia="黑体" w:cs="黑体"/>
          <w:sz w:val="32"/>
        </w:rPr>
        <w:t>第三百七十四条</w:t>
      </w:r>
      <w:r>
        <w:rPr>
          <w:rFonts w:ascii="仿宋_GB2312" w:hAnsi="仿宋_GB2312" w:eastAsia="仿宋_GB2312" w:cs="仿宋_GB2312"/>
          <w:sz w:val="32"/>
        </w:rPr>
        <w:t>　在征兵工作中徇私舞弊，接送不合格兵员，情节严重的，处三年以下有期徒刑或者拘役；造成特别严重后果的，处三年以上七年以下有期徒刑。</w:t>
      </w:r>
    </w:p>
    <w:p>
      <w:pPr>
        <w:spacing w:line="240" w:lineRule="auto"/>
        <w:ind w:firstLine="640"/>
        <w:jc w:val="both"/>
      </w:pPr>
      <w:r>
        <w:rPr>
          <w:rFonts w:ascii="黑体" w:hAnsi="黑体" w:eastAsia="黑体" w:cs="黑体"/>
          <w:sz w:val="32"/>
        </w:rPr>
        <w:t>第三百七十五条</w:t>
      </w:r>
      <w:r>
        <w:rPr>
          <w:rFonts w:ascii="仿宋_GB2312" w:hAnsi="仿宋_GB2312" w:eastAsia="仿宋_GB2312" w:cs="仿宋_GB2312"/>
          <w:sz w:val="32"/>
        </w:rPr>
        <w:t>　伪造、变造、买卖或者盗窃、抢夺武装部队公文、证件、印章的，处三年以下有期徒刑、拘役、管制或者剥夺政治权利；情节严重的，处三年以上十年以下有期徒刑。</w:t>
      </w:r>
    </w:p>
    <w:p>
      <w:pPr>
        <w:spacing w:line="240" w:lineRule="auto"/>
        <w:ind w:firstLine="640"/>
        <w:jc w:val="both"/>
      </w:pPr>
      <w:r>
        <w:rPr>
          <w:rFonts w:ascii="仿宋_GB2312" w:hAnsi="仿宋_GB2312" w:eastAsia="仿宋_GB2312" w:cs="仿宋_GB2312"/>
          <w:sz w:val="32"/>
        </w:rPr>
        <w:t>非法生产、买卖武装部队制式服装，情节严重的，处三年以下有期徒刑、拘役或者管制，并处或者单处罚金。</w:t>
      </w:r>
    </w:p>
    <w:p>
      <w:pPr>
        <w:spacing w:line="240" w:lineRule="auto"/>
        <w:ind w:firstLine="640"/>
        <w:jc w:val="both"/>
      </w:pPr>
      <w:r>
        <w:rPr>
          <w:rFonts w:ascii="仿宋_GB2312" w:hAnsi="仿宋_GB2312" w:eastAsia="仿宋_GB2312" w:cs="仿宋_GB2312"/>
          <w:sz w:val="32"/>
        </w:rPr>
        <w:t>伪造、盗窃、买卖或者非法提供、使用武装部队车辆号牌等专用标志，情节严重的，处三年以下有期徒刑、拘役或者管制，并处或者单处罚金；情节特别严重的，处三年以上七年以下有期徒刑，并处罚金。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单位犯第二款、第三款罪的，对单位判处罚金，并对其直接负责的主管人员和其他直接责任人员，依照各该款的规定处罚。</w:t>
      </w:r>
    </w:p>
    <w:p>
      <w:pPr>
        <w:spacing w:line="240" w:lineRule="auto"/>
        <w:ind w:firstLine="640"/>
        <w:jc w:val="both"/>
      </w:pPr>
      <w:r>
        <w:rPr>
          <w:rFonts w:ascii="黑体" w:hAnsi="黑体" w:eastAsia="黑体" w:cs="黑体"/>
          <w:sz w:val="32"/>
        </w:rPr>
        <w:t>第三百七十六条</w:t>
      </w:r>
      <w:r>
        <w:rPr>
          <w:rFonts w:ascii="仿宋_GB2312" w:hAnsi="仿宋_GB2312" w:eastAsia="仿宋_GB2312" w:cs="仿宋_GB2312"/>
          <w:sz w:val="32"/>
        </w:rPr>
        <w:t>　预备役人员战时拒绝、逃避征召或者军事训练，情节严重的，处三年以下有期徒刑或者拘役。</w:t>
      </w:r>
    </w:p>
    <w:p>
      <w:pPr>
        <w:spacing w:line="240" w:lineRule="auto"/>
        <w:ind w:firstLine="640"/>
        <w:jc w:val="both"/>
      </w:pPr>
      <w:r>
        <w:rPr>
          <w:rFonts w:ascii="仿宋_GB2312" w:hAnsi="仿宋_GB2312" w:eastAsia="仿宋_GB2312" w:cs="仿宋_GB2312"/>
          <w:sz w:val="32"/>
        </w:rPr>
        <w:t>公民战时拒绝、逃避服役，情节严重的，处二年以下有期徒刑或者拘役。</w:t>
      </w:r>
    </w:p>
    <w:p>
      <w:pPr>
        <w:spacing w:line="240" w:lineRule="auto"/>
        <w:ind w:firstLine="640"/>
        <w:jc w:val="both"/>
      </w:pPr>
      <w:r>
        <w:rPr>
          <w:rFonts w:ascii="黑体" w:hAnsi="黑体" w:eastAsia="黑体" w:cs="黑体"/>
          <w:sz w:val="32"/>
        </w:rPr>
        <w:t>第三百七十七条</w:t>
      </w:r>
      <w:r>
        <w:rPr>
          <w:rFonts w:ascii="仿宋_GB2312" w:hAnsi="仿宋_GB2312" w:eastAsia="仿宋_GB2312" w:cs="仿宋_GB2312"/>
          <w:sz w:val="32"/>
        </w:rPr>
        <w:t>　战时故意向武装部队提供虚假敌情，造成严重后果的，处三年以上十年以下有期徒刑；造成特别严重后果的，处十年以上有期徒刑或者无期徒刑。</w:t>
      </w:r>
    </w:p>
    <w:p>
      <w:pPr>
        <w:spacing w:line="240" w:lineRule="auto"/>
        <w:ind w:firstLine="640"/>
        <w:jc w:val="both"/>
      </w:pPr>
      <w:r>
        <w:rPr>
          <w:rFonts w:ascii="黑体" w:hAnsi="黑体" w:eastAsia="黑体" w:cs="黑体"/>
          <w:sz w:val="32"/>
        </w:rPr>
        <w:t>第三百七十八条</w:t>
      </w:r>
      <w:r>
        <w:rPr>
          <w:rFonts w:ascii="仿宋_GB2312" w:hAnsi="仿宋_GB2312" w:eastAsia="仿宋_GB2312" w:cs="仿宋_GB2312"/>
          <w:sz w:val="32"/>
        </w:rPr>
        <w:t>　战时造谣惑众，扰乱军心的，处三年以下有期徒刑、拘役或者管制；情节严重的，处三年以上十年以下有期徒刑。</w:t>
      </w:r>
    </w:p>
    <w:p>
      <w:pPr>
        <w:spacing w:line="240" w:lineRule="auto"/>
        <w:ind w:firstLine="640"/>
        <w:jc w:val="both"/>
      </w:pPr>
      <w:r>
        <w:rPr>
          <w:rFonts w:ascii="黑体" w:hAnsi="黑体" w:eastAsia="黑体" w:cs="黑体"/>
          <w:sz w:val="32"/>
        </w:rPr>
        <w:t>第三百七十九条</w:t>
      </w:r>
      <w:r>
        <w:rPr>
          <w:rFonts w:ascii="仿宋_GB2312" w:hAnsi="仿宋_GB2312" w:eastAsia="仿宋_GB2312" w:cs="仿宋_GB2312"/>
          <w:sz w:val="32"/>
        </w:rPr>
        <w:t>　战时明知是逃离部队的军人而为其提供隐蔽处所、财物，情节严重的，处三年以下有期徒刑或者拘役。</w:t>
      </w:r>
    </w:p>
    <w:p>
      <w:pPr>
        <w:spacing w:line="240" w:lineRule="auto"/>
        <w:ind w:firstLine="640"/>
        <w:jc w:val="both"/>
      </w:pPr>
      <w:r>
        <w:rPr>
          <w:rFonts w:ascii="黑体" w:hAnsi="黑体" w:eastAsia="黑体" w:cs="黑体"/>
          <w:sz w:val="32"/>
        </w:rPr>
        <w:t>第三百八十条</w:t>
      </w:r>
      <w:r>
        <w:rPr>
          <w:rFonts w:ascii="仿宋_GB2312" w:hAnsi="仿宋_GB2312" w:eastAsia="仿宋_GB2312" w:cs="仿宋_GB2312"/>
          <w:sz w:val="32"/>
        </w:rPr>
        <w:t>　战时拒绝或者故意延误军事订货，情节严重的，对单位判处罚金，并对其直接负责的主管人员和其他直接责任人员，处五年以下有期徒刑或者拘役；造成严重后果的，处五年以上有期徒刑。</w:t>
      </w:r>
    </w:p>
    <w:p>
      <w:pPr>
        <w:spacing w:line="240" w:lineRule="auto"/>
        <w:ind w:firstLine="640"/>
        <w:jc w:val="both"/>
      </w:pPr>
      <w:r>
        <w:rPr>
          <w:rFonts w:ascii="黑体" w:hAnsi="黑体" w:eastAsia="黑体" w:cs="黑体"/>
          <w:sz w:val="32"/>
        </w:rPr>
        <w:t>第三百八十一条</w:t>
      </w:r>
      <w:r>
        <w:rPr>
          <w:rFonts w:ascii="仿宋_GB2312" w:hAnsi="仿宋_GB2312" w:eastAsia="仿宋_GB2312" w:cs="仿宋_GB2312"/>
          <w:sz w:val="32"/>
        </w:rPr>
        <w:t>　战时拒绝军事征收、征用，情节严重的，处三年以下有期徒刑或者拘役。</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第八章　贪污贿赂罪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第三百八十二条</w:t>
      </w:r>
      <w:r>
        <w:rPr>
          <w:rFonts w:ascii="仿宋_GB2312" w:hAnsi="仿宋_GB2312" w:eastAsia="仿宋_GB2312" w:cs="仿宋_GB2312"/>
          <w:sz w:val="32"/>
        </w:rPr>
        <w:t>　国家工作人员利用职务上的便利，侵吞、窃取、骗取或者以其他手段非法占有公共财物的，是贪污罪。</w:t>
      </w:r>
    </w:p>
    <w:p>
      <w:pPr>
        <w:spacing w:line="240" w:lineRule="auto"/>
        <w:ind w:firstLine="640"/>
        <w:jc w:val="both"/>
      </w:pPr>
      <w:r>
        <w:rPr>
          <w:rFonts w:ascii="仿宋_GB2312" w:hAnsi="仿宋_GB2312" w:eastAsia="仿宋_GB2312" w:cs="仿宋_GB2312"/>
          <w:sz w:val="32"/>
        </w:rPr>
        <w:t>受国家机关、国有公司、企业、事业单位、人民团体委托管理、经营国有财产的人员，利用职务上的便利，侵吞、窃取、骗取或者以其他手段非法占有国有财物的，以贪污论。</w:t>
      </w:r>
    </w:p>
    <w:p>
      <w:pPr>
        <w:spacing w:line="240" w:lineRule="auto"/>
        <w:ind w:firstLine="640"/>
        <w:jc w:val="both"/>
      </w:pPr>
      <w:r>
        <w:rPr>
          <w:rFonts w:ascii="仿宋_GB2312" w:hAnsi="仿宋_GB2312" w:eastAsia="仿宋_GB2312" w:cs="仿宋_GB2312"/>
          <w:sz w:val="32"/>
        </w:rPr>
        <w:t>与前两款所列人员勾结，伙同贪污的，以共犯论处。</w:t>
      </w:r>
    </w:p>
    <w:p>
      <w:pPr>
        <w:spacing w:line="240" w:lineRule="auto"/>
        <w:ind w:firstLine="640"/>
        <w:jc w:val="both"/>
      </w:pPr>
      <w:r>
        <w:rPr>
          <w:rFonts w:ascii="黑体" w:hAnsi="黑体" w:eastAsia="黑体" w:cs="黑体"/>
          <w:sz w:val="32"/>
        </w:rPr>
        <w:t>第三百八十三条</w:t>
      </w:r>
      <w:r>
        <w:rPr>
          <w:rFonts w:ascii="仿宋_GB2312" w:hAnsi="仿宋_GB2312" w:eastAsia="仿宋_GB2312" w:cs="仿宋_GB2312"/>
          <w:sz w:val="32"/>
        </w:rPr>
        <w:t>　对犯贪污罪的，根据情节轻重，分别依照下列规定处罚：</w:t>
      </w:r>
    </w:p>
    <w:p>
      <w:pPr>
        <w:spacing w:line="240" w:lineRule="auto"/>
        <w:ind w:firstLine="640"/>
        <w:jc w:val="both"/>
      </w:pPr>
      <w:r>
        <w:rPr>
          <w:rFonts w:ascii="仿宋_GB2312" w:hAnsi="仿宋_GB2312" w:eastAsia="仿宋_GB2312" w:cs="仿宋_GB2312"/>
          <w:sz w:val="32"/>
        </w:rPr>
        <w:t>（一）贪污数额较大或者有其他较重情节的，处三年以下有期徒刑或者拘役，并处罚金。</w:t>
      </w:r>
    </w:p>
    <w:p>
      <w:pPr>
        <w:spacing w:line="240" w:lineRule="auto"/>
        <w:ind w:firstLine="640"/>
        <w:jc w:val="both"/>
      </w:pPr>
      <w:r>
        <w:rPr>
          <w:rFonts w:ascii="仿宋_GB2312" w:hAnsi="仿宋_GB2312" w:eastAsia="仿宋_GB2312" w:cs="仿宋_GB2312"/>
          <w:sz w:val="32"/>
        </w:rPr>
        <w:t>（二）贪污数额巨大或者有其他严重情节的，处三年以上十年以下有期徒刑，并处罚金或者没收财产。</w:t>
      </w:r>
    </w:p>
    <w:p>
      <w:pPr>
        <w:spacing w:line="240" w:lineRule="auto"/>
        <w:ind w:firstLine="640"/>
        <w:jc w:val="both"/>
      </w:pPr>
      <w:r>
        <w:rPr>
          <w:rFonts w:ascii="仿宋_GB2312" w:hAnsi="仿宋_GB2312" w:eastAsia="仿宋_GB2312" w:cs="仿宋_GB2312"/>
          <w:sz w:val="32"/>
        </w:rPr>
        <w:t>（三）贪污数额特别巨大或者有其他特别严重情节的，处十年以上有期徒刑或者无期徒刑，并处罚金或者没收财产；数额特别巨大，并使国家和人民利益遭受特别重大损失的，处无期徒刑或者死刑，并处没收财产。</w:t>
      </w:r>
    </w:p>
    <w:p>
      <w:pPr>
        <w:spacing w:line="240" w:lineRule="auto"/>
        <w:ind w:firstLine="640"/>
        <w:jc w:val="both"/>
      </w:pPr>
      <w:r>
        <w:rPr>
          <w:rFonts w:ascii="仿宋_GB2312" w:hAnsi="仿宋_GB2312" w:eastAsia="仿宋_GB2312" w:cs="仿宋_GB2312"/>
          <w:sz w:val="32"/>
        </w:rPr>
        <w:t>对多次贪污未经处理的，按照累计贪污数额处罚。</w:t>
      </w:r>
    </w:p>
    <w:p>
      <w:pPr>
        <w:spacing w:line="240" w:lineRule="auto"/>
        <w:ind w:firstLine="640"/>
        <w:jc w:val="both"/>
      </w:pPr>
      <w:r>
        <w:rPr>
          <w:rFonts w:ascii="仿宋_GB2312" w:hAnsi="仿宋_GB2312" w:eastAsia="仿宋_GB2312" w:cs="仿宋_GB2312"/>
          <w:sz w:val="32"/>
        </w:rPr>
        <w:t>犯第一款罪，在提起公诉前如实供述自己罪行、真诚悔罪、积极退赃，避免、减少损害结果的发生，有第一项规定情形的，可以从轻、减轻或者免除处罚；有第二项、第三项规定情形的，可以从轻处罚。</w:t>
      </w:r>
    </w:p>
    <w:p>
      <w:pPr>
        <w:spacing w:line="240" w:lineRule="auto"/>
        <w:ind w:firstLine="640"/>
        <w:jc w:val="both"/>
      </w:pPr>
      <w:r>
        <w:rPr>
          <w:rFonts w:ascii="仿宋_GB2312" w:hAnsi="仿宋_GB2312" w:eastAsia="仿宋_GB2312" w:cs="仿宋_GB2312"/>
          <w:sz w:val="32"/>
        </w:rPr>
        <w:t>犯第一款罪，有第三项规定情形被判处死刑缓期执行的，人民法院根据犯罪情节等情况可以同时决定在其死刑缓期执行二年期满依法减为无期徒刑后，终身监禁，不得减刑、假释。</w:t>
      </w:r>
    </w:p>
    <w:p>
      <w:pPr>
        <w:spacing w:line="240" w:lineRule="auto"/>
        <w:ind w:firstLine="640"/>
        <w:jc w:val="both"/>
      </w:pPr>
      <w:r>
        <w:rPr>
          <w:rFonts w:ascii="黑体" w:hAnsi="黑体" w:eastAsia="黑体" w:cs="黑体"/>
          <w:sz w:val="32"/>
        </w:rPr>
        <w:t>第三百八十四条</w:t>
      </w:r>
      <w:r>
        <w:rPr>
          <w:rFonts w:ascii="仿宋_GB2312" w:hAnsi="仿宋_GB2312" w:eastAsia="仿宋_GB2312" w:cs="仿宋_GB2312"/>
          <w:sz w:val="32"/>
        </w:rPr>
        <w:t>　国家工作人员利用职务上的便利，挪用公款归个人使用，进行非法活动的，或者挪用公款数额较大、进行营利活动的，或者挪用公款数额较大、超过三个月未还的，是挪用公款罪，处五年以下有期徒刑或者拘役；情节严重的，处五年以上有期徒刑。挪用公款数额巨大不退还的，处十年以上有期徒刑或者无期徒刑。</w:t>
      </w:r>
    </w:p>
    <w:p>
      <w:pPr>
        <w:spacing w:line="240" w:lineRule="auto"/>
        <w:ind w:firstLine="640"/>
        <w:jc w:val="both"/>
      </w:pPr>
      <w:r>
        <w:rPr>
          <w:rFonts w:ascii="仿宋_GB2312" w:hAnsi="仿宋_GB2312" w:eastAsia="仿宋_GB2312" w:cs="仿宋_GB2312"/>
          <w:sz w:val="32"/>
        </w:rPr>
        <w:t>挪用用于救灾、抢险、防汛、优抚、扶贫、移民、救济款物归个人使用的，从重处罚。</w:t>
      </w:r>
    </w:p>
    <w:p>
      <w:pPr>
        <w:spacing w:line="240" w:lineRule="auto"/>
        <w:ind w:firstLine="640"/>
        <w:jc w:val="both"/>
      </w:pPr>
      <w:r>
        <w:rPr>
          <w:rFonts w:ascii="黑体" w:hAnsi="黑体" w:eastAsia="黑体" w:cs="黑体"/>
          <w:sz w:val="32"/>
        </w:rPr>
        <w:t>第三百八十五条</w:t>
      </w:r>
      <w:r>
        <w:rPr>
          <w:rFonts w:ascii="仿宋_GB2312" w:hAnsi="仿宋_GB2312" w:eastAsia="仿宋_GB2312" w:cs="仿宋_GB2312"/>
          <w:sz w:val="32"/>
        </w:rPr>
        <w:t>　国家工作人员利用职务上的便利，索取他人财物的，或者非法收受他人财物，为他人谋取利益的，是受贿罪。</w:t>
      </w:r>
    </w:p>
    <w:p>
      <w:pPr>
        <w:spacing w:line="240" w:lineRule="auto"/>
        <w:ind w:firstLine="640"/>
        <w:jc w:val="both"/>
      </w:pPr>
      <w:r>
        <w:rPr>
          <w:rFonts w:ascii="仿宋_GB2312" w:hAnsi="仿宋_GB2312" w:eastAsia="仿宋_GB2312" w:cs="仿宋_GB2312"/>
          <w:sz w:val="32"/>
        </w:rPr>
        <w:t>国家工作人员在经济往来中，违反国家规定，收受各种名义的回扣、手续费，归个人所有的，以受贿论处。</w:t>
      </w:r>
    </w:p>
    <w:p>
      <w:pPr>
        <w:spacing w:line="240" w:lineRule="auto"/>
        <w:ind w:firstLine="640"/>
        <w:jc w:val="both"/>
      </w:pPr>
      <w:r>
        <w:rPr>
          <w:rFonts w:ascii="黑体" w:hAnsi="黑体" w:eastAsia="黑体" w:cs="黑体"/>
          <w:sz w:val="32"/>
        </w:rPr>
        <w:t>第三百八十六条</w:t>
      </w:r>
      <w:r>
        <w:rPr>
          <w:rFonts w:ascii="仿宋_GB2312" w:hAnsi="仿宋_GB2312" w:eastAsia="仿宋_GB2312" w:cs="仿宋_GB2312"/>
          <w:sz w:val="32"/>
        </w:rPr>
        <w:t>　对犯受贿罪的，根据受贿所得数额及情节，依照本法第三百八十三条的规定处罚。索贿的从重处罚。</w:t>
      </w:r>
    </w:p>
    <w:p>
      <w:pPr>
        <w:spacing w:line="240" w:lineRule="auto"/>
        <w:ind w:firstLine="640"/>
        <w:jc w:val="both"/>
      </w:pPr>
      <w:r>
        <w:rPr>
          <w:rFonts w:ascii="黑体" w:hAnsi="黑体" w:eastAsia="黑体" w:cs="黑体"/>
          <w:sz w:val="32"/>
        </w:rPr>
        <w:t>第三百八十七条</w:t>
      </w:r>
      <w:r>
        <w:rPr>
          <w:rFonts w:ascii="仿宋_GB2312" w:hAnsi="仿宋_GB2312" w:eastAsia="仿宋_GB2312" w:cs="仿宋_GB2312"/>
          <w:sz w:val="32"/>
        </w:rPr>
        <w:t>　国家机关、国有公司、企业、事业单位、人民团体，索取、非法收受他人财物，为他人谋取利益，情节严重的，对单位判处罚金，并对其直接负责的主管人员和其他直接责任人员，处五年以下有期徒刑或者拘役。</w:t>
      </w:r>
    </w:p>
    <w:p>
      <w:pPr>
        <w:spacing w:line="240" w:lineRule="auto"/>
        <w:ind w:firstLine="640"/>
        <w:jc w:val="both"/>
      </w:pPr>
      <w:r>
        <w:rPr>
          <w:rFonts w:ascii="仿宋_GB2312" w:hAnsi="仿宋_GB2312" w:eastAsia="仿宋_GB2312" w:cs="仿宋_GB2312"/>
          <w:sz w:val="32"/>
        </w:rPr>
        <w:t>前款所列单位，在经济往来中，在帐外暗中收受各种名义的回扣、手续费的，以受贿论，依照前款的规定处罚。</w:t>
      </w:r>
    </w:p>
    <w:p>
      <w:pPr>
        <w:spacing w:line="240" w:lineRule="auto"/>
        <w:ind w:firstLine="640"/>
        <w:jc w:val="both"/>
      </w:pPr>
      <w:r>
        <w:rPr>
          <w:rFonts w:ascii="黑体" w:hAnsi="黑体" w:eastAsia="黑体" w:cs="黑体"/>
          <w:sz w:val="32"/>
        </w:rPr>
        <w:t>第三百八十八条</w:t>
      </w:r>
      <w:r>
        <w:rPr>
          <w:rFonts w:ascii="仿宋_GB2312" w:hAnsi="仿宋_GB2312" w:eastAsia="仿宋_GB2312" w:cs="仿宋_GB2312"/>
          <w:sz w:val="32"/>
        </w:rPr>
        <w:t>　国家工作人员利用本人职权或者地位形成的便利条件，通过其他国家工作人员职务上的行为，为请托人谋取不正当利益，索取请托人财物或者收受请托人财物的，以受贿论处。</w:t>
      </w:r>
    </w:p>
    <w:p>
      <w:pPr>
        <w:spacing w:line="240" w:lineRule="auto"/>
        <w:ind w:firstLine="640"/>
        <w:jc w:val="both"/>
      </w:pPr>
      <w:r>
        <w:rPr>
          <w:rFonts w:ascii="黑体" w:hAnsi="黑体" w:eastAsia="黑体" w:cs="黑体"/>
          <w:sz w:val="32"/>
        </w:rPr>
        <w:t>第三百八十八</w:t>
      </w:r>
      <w:r>
        <w:rPr>
          <w:rFonts w:hint="eastAsia" w:ascii="黑体" w:hAnsi="黑体" w:eastAsia="黑体" w:cs="黑体"/>
          <w:sz w:val="32"/>
          <w:lang w:eastAsia="zh-CN"/>
        </w:rPr>
        <w:t>条之一　</w:t>
      </w:r>
      <w:r>
        <w:rPr>
          <w:rFonts w:ascii="仿宋_GB2312" w:hAnsi="仿宋_GB2312" w:eastAsia="仿宋_GB2312" w:cs="仿宋_GB2312"/>
          <w:sz w:val="32"/>
        </w:rPr>
        <w:t>国家工作人员的近亲属或者其他与该国家工作人员关系密切的人，通过该国家工作人员职务上的行为，或者利用该国家工作人员职权或者地位形成的便利条件，通过其他国家工作人员职务上的行为，为请托人谋取不正当利益，索取请托人财物或者收受请托人财物，数额较大或者有其他较重情节的，处三年以下有期徒刑或者拘役，并处罚金；数额巨大或者有其他严重情节的，处三年以上七年以下有期徒刑，并处罚金；数额特别巨大或者有其他特别严重情节的，处七年以上有期徒刑，并处罚金或者没收财产。</w:t>
      </w:r>
    </w:p>
    <w:p>
      <w:pPr>
        <w:spacing w:line="240" w:lineRule="auto"/>
        <w:ind w:firstLine="640"/>
        <w:jc w:val="both"/>
      </w:pPr>
      <w:r>
        <w:rPr>
          <w:rFonts w:ascii="仿宋_GB2312" w:hAnsi="仿宋_GB2312" w:eastAsia="仿宋_GB2312" w:cs="仿宋_GB2312"/>
          <w:sz w:val="32"/>
        </w:rPr>
        <w:t>离职的国家工作人员或者其近亲属以及其他与其关系密切的人，利用该离职的国家工作人员原职权或者地位形成的便利条件实施前款行为的，依照前款的规定定罪处罚。</w:t>
      </w:r>
    </w:p>
    <w:p>
      <w:pPr>
        <w:spacing w:line="240" w:lineRule="auto"/>
        <w:ind w:firstLine="640"/>
        <w:jc w:val="both"/>
      </w:pPr>
      <w:r>
        <w:rPr>
          <w:rFonts w:ascii="黑体" w:hAnsi="黑体" w:eastAsia="黑体" w:cs="黑体"/>
          <w:sz w:val="32"/>
        </w:rPr>
        <w:t>第三百八十九条</w:t>
      </w:r>
      <w:r>
        <w:rPr>
          <w:rFonts w:ascii="仿宋_GB2312" w:hAnsi="仿宋_GB2312" w:eastAsia="仿宋_GB2312" w:cs="仿宋_GB2312"/>
          <w:sz w:val="32"/>
        </w:rPr>
        <w:t>　为谋取不正当利益，给予国家工作人员以财物的，是行贿罪。</w:t>
      </w:r>
    </w:p>
    <w:p>
      <w:pPr>
        <w:spacing w:line="240" w:lineRule="auto"/>
        <w:ind w:firstLine="640"/>
        <w:jc w:val="both"/>
      </w:pPr>
      <w:r>
        <w:rPr>
          <w:rFonts w:ascii="仿宋_GB2312" w:hAnsi="仿宋_GB2312" w:eastAsia="仿宋_GB2312" w:cs="仿宋_GB2312"/>
          <w:sz w:val="32"/>
        </w:rPr>
        <w:t>在经济往来中，违反国家规定，给予国家工作人员以财物，数额较大的，或者违反国家规定，给予国家工作人员以各种名义的回扣、手续费的，以行贿论处。</w:t>
      </w:r>
    </w:p>
    <w:p>
      <w:pPr>
        <w:spacing w:line="240" w:lineRule="auto"/>
        <w:ind w:firstLine="640"/>
        <w:jc w:val="both"/>
      </w:pPr>
      <w:r>
        <w:rPr>
          <w:rFonts w:ascii="仿宋_GB2312" w:hAnsi="仿宋_GB2312" w:eastAsia="仿宋_GB2312" w:cs="仿宋_GB2312"/>
          <w:sz w:val="32"/>
        </w:rPr>
        <w:t>因被勒索给予国家工作人员以财物，没有获得不正当利益的，不是行贿。</w:t>
      </w:r>
    </w:p>
    <w:p>
      <w:pPr>
        <w:spacing w:line="240" w:lineRule="auto"/>
        <w:ind w:firstLine="640"/>
        <w:jc w:val="both"/>
      </w:pPr>
      <w:r>
        <w:rPr>
          <w:rFonts w:ascii="黑体" w:hAnsi="黑体" w:eastAsia="黑体" w:cs="黑体"/>
          <w:sz w:val="32"/>
        </w:rPr>
        <w:t>第三百九十条</w:t>
      </w:r>
      <w:r>
        <w:rPr>
          <w:rFonts w:ascii="仿宋_GB2312" w:hAnsi="仿宋_GB2312" w:eastAsia="仿宋_GB2312" w:cs="仿宋_GB2312"/>
          <w:sz w:val="32"/>
        </w:rPr>
        <w:t>　对犯行贿罪的，处五年以下有期徒刑或者拘役，并处罚金；因行贿谋取不正当利益，情节严重的，或者使国家利益遭受重大损失的，处五年以上十年以下有期徒刑，并处罚金；情节特别严重的，或者使国家利益遭受特别重大损失的，处十年以上有期徒刑或者无期徒刑，并处罚金或者没收财产。</w:t>
      </w:r>
    </w:p>
    <w:p>
      <w:pPr>
        <w:spacing w:line="240" w:lineRule="auto"/>
        <w:ind w:firstLine="640"/>
        <w:jc w:val="both"/>
      </w:pPr>
      <w:r>
        <w:rPr>
          <w:rFonts w:ascii="仿宋_GB2312" w:hAnsi="仿宋_GB2312" w:eastAsia="仿宋_GB2312" w:cs="仿宋_GB2312"/>
          <w:sz w:val="32"/>
        </w:rPr>
        <w:t>行贿人在被追诉前主动交待行贿行为的，可以从轻或者减轻处罚。其中，犯罪较轻的，对侦破重大案件起关键作用的，或者有重大立功表现的，可以减轻或者免除处罚。</w:t>
      </w:r>
    </w:p>
    <w:p>
      <w:pPr>
        <w:spacing w:line="240" w:lineRule="auto"/>
        <w:ind w:firstLine="640"/>
        <w:jc w:val="both"/>
      </w:pPr>
      <w:r>
        <w:rPr>
          <w:rFonts w:ascii="黑体" w:hAnsi="黑体" w:eastAsia="黑体" w:cs="黑体"/>
          <w:sz w:val="32"/>
        </w:rPr>
        <w:t>第三百九十</w:t>
      </w:r>
      <w:r>
        <w:rPr>
          <w:rFonts w:hint="eastAsia" w:ascii="黑体" w:hAnsi="黑体" w:eastAsia="黑体" w:cs="黑体"/>
          <w:sz w:val="32"/>
          <w:lang w:eastAsia="zh-CN"/>
        </w:rPr>
        <w:t>条之一　</w:t>
      </w:r>
      <w:r>
        <w:rPr>
          <w:rFonts w:ascii="仿宋_GB2312" w:hAnsi="仿宋_GB2312" w:eastAsia="仿宋_GB2312" w:cs="仿宋_GB2312"/>
          <w:sz w:val="32"/>
        </w:rPr>
        <w:t>为谋取不正当利益，向国家工作人员的近亲属或者其他与该国家工作人员关系密切的人，或者向离职的国家工作人员或者其近亲属以及其他与其关系密切的人行贿的，处三年以下有期徒刑或者拘役，并处罚金；情节严重的，或者使国家利益遭受重大损失的，处三年以上七年以下有期徒刑，并处罚金；情节特别严重的，或者使国家利益遭受特别重大损失的，处七年以上十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单位犯前款罪的，对单位判处罚金，并对其直接负责的主管人员和其他直接责任人员，处三年以下有期徒刑或者拘役，并处罚金。</w:t>
      </w:r>
    </w:p>
    <w:p>
      <w:pPr>
        <w:spacing w:line="240" w:lineRule="auto"/>
        <w:ind w:firstLine="640"/>
        <w:jc w:val="both"/>
      </w:pPr>
      <w:r>
        <w:rPr>
          <w:rFonts w:ascii="黑体" w:hAnsi="黑体" w:eastAsia="黑体" w:cs="黑体"/>
          <w:sz w:val="32"/>
        </w:rPr>
        <w:t>第三百九十一条</w:t>
      </w:r>
      <w:r>
        <w:rPr>
          <w:rFonts w:ascii="仿宋_GB2312" w:hAnsi="仿宋_GB2312" w:eastAsia="仿宋_GB2312" w:cs="仿宋_GB2312"/>
          <w:sz w:val="32"/>
        </w:rPr>
        <w:t>　为谋取不正当利益，给予国家机关、国有公司、企业、事业单位、人民团体以财物的，或者在经济往来中，违反国家规定，给予各种名义的回扣、手续费的，处三年以下有期徒刑或者拘役，并处罚金。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第三百九十二条</w:t>
      </w:r>
      <w:r>
        <w:rPr>
          <w:rFonts w:ascii="仿宋_GB2312" w:hAnsi="仿宋_GB2312" w:eastAsia="仿宋_GB2312" w:cs="仿宋_GB2312"/>
          <w:sz w:val="32"/>
        </w:rPr>
        <w:t>　向国家工作人员介绍贿赂，情节严重的，处三年以下有期徒刑或者拘役，并处罚金。</w:t>
      </w:r>
    </w:p>
    <w:p>
      <w:pPr>
        <w:spacing w:line="240" w:lineRule="auto"/>
        <w:ind w:firstLine="640"/>
        <w:jc w:val="both"/>
      </w:pPr>
      <w:r>
        <w:rPr>
          <w:rFonts w:ascii="仿宋_GB2312" w:hAnsi="仿宋_GB2312" w:eastAsia="仿宋_GB2312" w:cs="仿宋_GB2312"/>
          <w:sz w:val="32"/>
        </w:rPr>
        <w:t>介绍贿赂人在被追诉前主动交待介绍贿赂行为的，可以减轻处罚或者免除处罚。</w:t>
      </w:r>
    </w:p>
    <w:p>
      <w:pPr>
        <w:spacing w:line="240" w:lineRule="auto"/>
        <w:ind w:firstLine="640"/>
        <w:jc w:val="both"/>
      </w:pPr>
      <w:r>
        <w:rPr>
          <w:rFonts w:ascii="黑体" w:hAnsi="黑体" w:eastAsia="黑体" w:cs="黑体"/>
          <w:sz w:val="32"/>
        </w:rPr>
        <w:t>第三百九十三条</w:t>
      </w:r>
      <w:r>
        <w:rPr>
          <w:rFonts w:ascii="仿宋_GB2312" w:hAnsi="仿宋_GB2312" w:eastAsia="仿宋_GB2312" w:cs="仿宋_GB2312"/>
          <w:sz w:val="32"/>
        </w:rPr>
        <w:t>　单位为谋取不正当利益而行贿，或者违反国家规定，给予国家工作人员以回扣、手续费，情节严重的，对单位判处罚金，并对其直接负责的主管人员和其他直接责任人员，处五年以下有期徒刑或者拘役，并处罚金。因行贿取得的违法所得归个人所有的，依照本法第三百八十九条、第三百九十条的规定定罪处罚。</w:t>
      </w:r>
    </w:p>
    <w:p>
      <w:pPr>
        <w:spacing w:line="240" w:lineRule="auto"/>
        <w:ind w:firstLine="640"/>
        <w:jc w:val="both"/>
      </w:pPr>
      <w:r>
        <w:rPr>
          <w:rFonts w:ascii="黑体" w:hAnsi="黑体" w:eastAsia="黑体" w:cs="黑体"/>
          <w:sz w:val="32"/>
        </w:rPr>
        <w:t>第三百九十四条</w:t>
      </w:r>
      <w:r>
        <w:rPr>
          <w:rFonts w:ascii="仿宋_GB2312" w:hAnsi="仿宋_GB2312" w:eastAsia="仿宋_GB2312" w:cs="仿宋_GB2312"/>
          <w:sz w:val="32"/>
        </w:rPr>
        <w:t>　国家工作人员在国内公务活动或者对外交往中接受礼物，依照国家规定应当交公而不交公，数额较大的，依照本法第三百八十二条、第三百八十三条的规定定罪处罚。</w:t>
      </w:r>
    </w:p>
    <w:p>
      <w:pPr>
        <w:spacing w:line="240" w:lineRule="auto"/>
        <w:ind w:firstLine="640"/>
        <w:jc w:val="both"/>
      </w:pPr>
      <w:r>
        <w:rPr>
          <w:rFonts w:ascii="黑体" w:hAnsi="黑体" w:eastAsia="黑体" w:cs="黑体"/>
          <w:sz w:val="32"/>
        </w:rPr>
        <w:t>第三百九十五条</w:t>
      </w:r>
      <w:r>
        <w:rPr>
          <w:rFonts w:ascii="仿宋_GB2312" w:hAnsi="仿宋_GB2312" w:eastAsia="仿宋_GB2312" w:cs="仿宋_GB2312"/>
          <w:sz w:val="32"/>
        </w:rPr>
        <w:t>　国家工作人员的财产、支出明显超过合法收入，差额巨大的，可以责令该国家工作人员说明来源，不能说明来源的，差额部分以非法所得论，处五年以下有期徒刑或者拘役；差额特别巨大的，处五年以上十年以下有期徒刑。财产的差额部分予以追缴。</w:t>
      </w:r>
    </w:p>
    <w:p>
      <w:pPr>
        <w:spacing w:line="240" w:lineRule="auto"/>
        <w:ind w:firstLine="640"/>
        <w:jc w:val="both"/>
      </w:pPr>
      <w:r>
        <w:rPr>
          <w:rFonts w:ascii="仿宋_GB2312" w:hAnsi="仿宋_GB2312" w:eastAsia="仿宋_GB2312" w:cs="仿宋_GB2312"/>
          <w:sz w:val="32"/>
        </w:rPr>
        <w:t>国家工作人员在境外的存款，应当依照国家规定申报。数额较大、隐瞒不报的，处二年以下有期徒刑或者拘役；情节较轻的，由其所在单位或者上级主管机关酌情给予行政处分。</w:t>
      </w:r>
    </w:p>
    <w:p>
      <w:pPr>
        <w:spacing w:line="240" w:lineRule="auto"/>
        <w:ind w:firstLine="640"/>
        <w:jc w:val="both"/>
      </w:pPr>
      <w:r>
        <w:rPr>
          <w:rFonts w:ascii="黑体" w:hAnsi="黑体" w:eastAsia="黑体" w:cs="黑体"/>
          <w:sz w:val="32"/>
        </w:rPr>
        <w:t>第三百九十六条</w:t>
      </w:r>
      <w:r>
        <w:rPr>
          <w:rFonts w:ascii="仿宋_GB2312" w:hAnsi="仿宋_GB2312" w:eastAsia="仿宋_GB2312" w:cs="仿宋_GB2312"/>
          <w:sz w:val="32"/>
        </w:rPr>
        <w:t>　国家机关、国有公司、企业、事业单位、人民团体，违反国家规定，以单位名义将国有资产集体私分给个人，数额较大的，对其直接负责的主管人员和其他直接责任人员，处三年以下有期徒刑或者拘役，并处或者单处罚金；数额巨大的，处三年以上七年以下有期徒刑，并处罚金。</w:t>
      </w:r>
    </w:p>
    <w:p>
      <w:pPr>
        <w:spacing w:line="240" w:lineRule="auto"/>
        <w:ind w:firstLine="640"/>
        <w:jc w:val="both"/>
      </w:pPr>
      <w:r>
        <w:rPr>
          <w:rFonts w:ascii="仿宋_GB2312" w:hAnsi="仿宋_GB2312" w:eastAsia="仿宋_GB2312" w:cs="仿宋_GB2312"/>
          <w:sz w:val="32"/>
        </w:rPr>
        <w:t>司法机关、行政执法机关违反国家规定，将应当上缴国家的罚没财物，以单位名义集体私分给个人的，依照前款的规定处罚。</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第九章　渎职罪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第三百九十七条</w:t>
      </w:r>
      <w:r>
        <w:rPr>
          <w:rFonts w:ascii="仿宋_GB2312" w:hAnsi="仿宋_GB2312" w:eastAsia="仿宋_GB2312" w:cs="仿宋_GB2312"/>
          <w:sz w:val="32"/>
        </w:rPr>
        <w:t>　国家机关工作人员滥用职权或者玩忽职守，致使公共财产、国家和人民利益遭受重大损失的，处三年以下有期徒刑或者拘役；情节特别严重的，处三年以上七年以下有期徒刑。本法另有规定的，依照规定。</w:t>
      </w:r>
    </w:p>
    <w:p>
      <w:pPr>
        <w:spacing w:line="240" w:lineRule="auto"/>
        <w:ind w:firstLine="640"/>
        <w:jc w:val="both"/>
      </w:pPr>
      <w:r>
        <w:rPr>
          <w:rFonts w:ascii="仿宋_GB2312" w:hAnsi="仿宋_GB2312" w:eastAsia="仿宋_GB2312" w:cs="仿宋_GB2312"/>
          <w:sz w:val="32"/>
        </w:rPr>
        <w:t>国家机关工作人员徇私舞弊，犯前款罪的，处五年以下有期徒刑或者拘役；情节特别严重的，处五年以上十年以下有期徒刑。本法另有规定的，依照规定。</w:t>
      </w:r>
    </w:p>
    <w:p>
      <w:pPr>
        <w:spacing w:line="240" w:lineRule="auto"/>
        <w:ind w:firstLine="640"/>
        <w:jc w:val="both"/>
      </w:pPr>
      <w:r>
        <w:rPr>
          <w:rFonts w:ascii="黑体" w:hAnsi="黑体" w:eastAsia="黑体" w:cs="黑体"/>
          <w:sz w:val="32"/>
        </w:rPr>
        <w:t>第三百九十八条</w:t>
      </w:r>
      <w:r>
        <w:rPr>
          <w:rFonts w:ascii="仿宋_GB2312" w:hAnsi="仿宋_GB2312" w:eastAsia="仿宋_GB2312" w:cs="仿宋_GB2312"/>
          <w:sz w:val="32"/>
        </w:rPr>
        <w:t>　国家机关工作人员违反保守国家秘密法的规定，故意或者过失泄露国家秘密，情节严重的，处三年以下有期徒刑或者拘役；情节特别严重的，处三年以上七年以下有期徒刑。</w:t>
      </w:r>
    </w:p>
    <w:p>
      <w:pPr>
        <w:spacing w:line="240" w:lineRule="auto"/>
        <w:ind w:firstLine="640"/>
        <w:jc w:val="both"/>
      </w:pPr>
      <w:r>
        <w:rPr>
          <w:rFonts w:ascii="仿宋_GB2312" w:hAnsi="仿宋_GB2312" w:eastAsia="仿宋_GB2312" w:cs="仿宋_GB2312"/>
          <w:sz w:val="32"/>
        </w:rPr>
        <w:t>非国家机关工作人员犯前款罪的，依照前款的规定酌情处罚。</w:t>
      </w:r>
    </w:p>
    <w:p>
      <w:pPr>
        <w:spacing w:line="240" w:lineRule="auto"/>
        <w:ind w:firstLine="640"/>
        <w:jc w:val="both"/>
      </w:pPr>
      <w:r>
        <w:rPr>
          <w:rFonts w:ascii="黑体" w:hAnsi="黑体" w:eastAsia="黑体" w:cs="黑体"/>
          <w:sz w:val="32"/>
        </w:rPr>
        <w:t>第三百九十九条</w:t>
      </w:r>
      <w:r>
        <w:rPr>
          <w:rFonts w:ascii="仿宋_GB2312" w:hAnsi="仿宋_GB2312" w:eastAsia="仿宋_GB2312" w:cs="仿宋_GB2312"/>
          <w:sz w:val="32"/>
        </w:rPr>
        <w:t>　司法工作人员徇私枉法、徇情枉法，对明知是无罪的人而使他受追诉、对明知是有罪的人而故意包庇不使他受追诉，或者在刑事审判活动中故意违背事实和法律作枉法裁判的，处五年以下有期徒刑或者拘役；情节严重的，处五年以上十年以下有期徒刑；情节特别严重的，处十年以上有期徒刑。</w:t>
      </w:r>
    </w:p>
    <w:p>
      <w:pPr>
        <w:spacing w:line="240" w:lineRule="auto"/>
        <w:ind w:firstLine="640"/>
        <w:jc w:val="both"/>
      </w:pPr>
      <w:r>
        <w:rPr>
          <w:rFonts w:ascii="仿宋_GB2312" w:hAnsi="仿宋_GB2312" w:eastAsia="仿宋_GB2312" w:cs="仿宋_GB2312"/>
          <w:sz w:val="32"/>
        </w:rPr>
        <w:t>在民事、行政审判活动中故意违背事实和法律作枉法裁判，情节严重的，处五年以下有期徒刑或者拘役；情节特别严重的，处五年以上十年以下有期徒刑。</w:t>
      </w:r>
    </w:p>
    <w:p>
      <w:pPr>
        <w:spacing w:line="240" w:lineRule="auto"/>
        <w:ind w:firstLine="640"/>
        <w:jc w:val="both"/>
      </w:pPr>
      <w:r>
        <w:rPr>
          <w:rFonts w:ascii="仿宋_GB2312" w:hAnsi="仿宋_GB2312" w:eastAsia="仿宋_GB2312" w:cs="仿宋_GB2312"/>
          <w:sz w:val="32"/>
        </w:rPr>
        <w:t>在执行判决、裁定活动中，严重不负责任或者滥用职权，不依法采取诉讼保全措施、不履行法定执行职责，或者违法采取诉讼保全措施、强制执行措施，致使当事人或者其他人的利益遭受重大损失的，处五年以下有期徒刑或者拘役；致使当事人或者其他人的利益遭受特别重大损失的，处五年以上十年以下有期徒刑。</w:t>
      </w:r>
    </w:p>
    <w:p>
      <w:pPr>
        <w:spacing w:line="240" w:lineRule="auto"/>
        <w:ind w:firstLine="640"/>
        <w:jc w:val="both"/>
      </w:pPr>
      <w:r>
        <w:rPr>
          <w:rFonts w:ascii="仿宋_GB2312" w:hAnsi="仿宋_GB2312" w:eastAsia="仿宋_GB2312" w:cs="仿宋_GB2312"/>
          <w:sz w:val="32"/>
        </w:rPr>
        <w:t>司法工作人员收受贿赂，有前三款行为的，同时又构成本法第三百八十五条规定之罪的，依照处罚较重的规定定罪处罚。</w:t>
      </w:r>
    </w:p>
    <w:p>
      <w:pPr>
        <w:spacing w:line="240" w:lineRule="auto"/>
        <w:ind w:firstLine="640"/>
        <w:jc w:val="both"/>
      </w:pPr>
      <w:r>
        <w:rPr>
          <w:rFonts w:ascii="黑体" w:hAnsi="黑体" w:eastAsia="黑体" w:cs="黑体"/>
          <w:sz w:val="32"/>
        </w:rPr>
        <w:t>第三百九十九</w:t>
      </w:r>
      <w:r>
        <w:rPr>
          <w:rFonts w:hint="eastAsia" w:ascii="黑体" w:hAnsi="黑体" w:eastAsia="黑体" w:cs="黑体"/>
          <w:sz w:val="32"/>
          <w:lang w:eastAsia="zh-CN"/>
        </w:rPr>
        <w:t>条之一　</w:t>
      </w:r>
      <w:r>
        <w:rPr>
          <w:rFonts w:ascii="仿宋_GB2312" w:hAnsi="仿宋_GB2312" w:eastAsia="仿宋_GB2312" w:cs="仿宋_GB2312"/>
          <w:sz w:val="32"/>
        </w:rPr>
        <w:t>依法承担仲裁职责的人员，在仲裁活动中故意违背事实和法律作枉法裁决，情节严重的，处三年以下有期徒刑或者拘役；情节特别严重的，处三年以上七年以下有期徒刑。</w:t>
      </w:r>
    </w:p>
    <w:p>
      <w:pPr>
        <w:spacing w:line="240" w:lineRule="auto"/>
        <w:ind w:firstLine="640"/>
        <w:jc w:val="both"/>
      </w:pPr>
      <w:r>
        <w:rPr>
          <w:rFonts w:ascii="黑体" w:hAnsi="黑体" w:eastAsia="黑体" w:cs="黑体"/>
          <w:sz w:val="32"/>
        </w:rPr>
        <w:t>第四百条</w:t>
      </w:r>
      <w:r>
        <w:rPr>
          <w:rFonts w:ascii="仿宋_GB2312" w:hAnsi="仿宋_GB2312" w:eastAsia="仿宋_GB2312" w:cs="仿宋_GB2312"/>
          <w:sz w:val="32"/>
        </w:rPr>
        <w:t>　司法工作人员私放在押的犯罪嫌疑人、被告人或者罪犯的，处五年以下有期徒刑或者拘役；情节严重的，处五年以上十年以下有期徒刑；情节特别严重的，处十年以上有期徒刑。</w:t>
      </w:r>
    </w:p>
    <w:p>
      <w:pPr>
        <w:spacing w:line="240" w:lineRule="auto"/>
        <w:ind w:firstLine="640"/>
        <w:jc w:val="both"/>
      </w:pPr>
      <w:r>
        <w:rPr>
          <w:rFonts w:ascii="仿宋_GB2312" w:hAnsi="仿宋_GB2312" w:eastAsia="仿宋_GB2312" w:cs="仿宋_GB2312"/>
          <w:sz w:val="32"/>
        </w:rPr>
        <w:t>司法工作人员由于严重不负责任，致使在押的犯罪嫌疑人、被告人或者罪犯脱逃，造成严重后果的，处三年以下有期徒刑或者拘役；造成特别严重后果的，处三年以上十年以下有期徒刑。</w:t>
      </w:r>
    </w:p>
    <w:p>
      <w:pPr>
        <w:spacing w:line="240" w:lineRule="auto"/>
        <w:ind w:firstLine="640"/>
        <w:jc w:val="both"/>
      </w:pPr>
      <w:r>
        <w:rPr>
          <w:rFonts w:ascii="黑体" w:hAnsi="黑体" w:eastAsia="黑体" w:cs="黑体"/>
          <w:sz w:val="32"/>
        </w:rPr>
        <w:t>第四百零一条</w:t>
      </w:r>
      <w:r>
        <w:rPr>
          <w:rFonts w:ascii="仿宋_GB2312" w:hAnsi="仿宋_GB2312" w:eastAsia="仿宋_GB2312" w:cs="仿宋_GB2312"/>
          <w:sz w:val="32"/>
        </w:rPr>
        <w:t>　司法工作人员徇私舞弊，对不符合减刑、假释、暂予监外执行条件的罪犯，予以减刑、假释或者暂予监外执行的，处三年以下有期徒刑或者拘役；情节严重的，处三年以上七年以下有期徒刑。</w:t>
      </w:r>
    </w:p>
    <w:p>
      <w:pPr>
        <w:spacing w:line="240" w:lineRule="auto"/>
        <w:ind w:firstLine="640"/>
        <w:jc w:val="both"/>
      </w:pPr>
      <w:r>
        <w:rPr>
          <w:rFonts w:ascii="黑体" w:hAnsi="黑体" w:eastAsia="黑体" w:cs="黑体"/>
          <w:sz w:val="32"/>
        </w:rPr>
        <w:t>第四百零二条</w:t>
      </w:r>
      <w:r>
        <w:rPr>
          <w:rFonts w:ascii="仿宋_GB2312" w:hAnsi="仿宋_GB2312" w:eastAsia="仿宋_GB2312" w:cs="仿宋_GB2312"/>
          <w:sz w:val="32"/>
        </w:rPr>
        <w:t>　行政执法人员徇私舞弊，对依法应当移交司法机关追究刑事责任的不移交，情节严重的，处三年以下有期徒刑或者拘役；造成严重后果的，处三年以上七年以下有期徒刑。</w:t>
      </w:r>
    </w:p>
    <w:p>
      <w:pPr>
        <w:spacing w:line="240" w:lineRule="auto"/>
        <w:ind w:firstLine="640"/>
        <w:jc w:val="both"/>
      </w:pPr>
      <w:r>
        <w:rPr>
          <w:rFonts w:ascii="黑体" w:hAnsi="黑体" w:eastAsia="黑体" w:cs="黑体"/>
          <w:sz w:val="32"/>
        </w:rPr>
        <w:t>第四百零三条</w:t>
      </w:r>
      <w:r>
        <w:rPr>
          <w:rFonts w:ascii="仿宋_GB2312" w:hAnsi="仿宋_GB2312" w:eastAsia="仿宋_GB2312" w:cs="仿宋_GB2312"/>
          <w:sz w:val="32"/>
        </w:rPr>
        <w:t>　国家有关主管部门的国家机关工作人员，徇私舞弊，滥用职权，对不符合法律规定条件的公司设立、登记申请或者股票、债券发行、上市申请，予以批准或者登记，致使公共财产、国家和人民利益遭受重大损失的，处五年以下有期徒刑或者拘役。</w:t>
      </w:r>
    </w:p>
    <w:p>
      <w:pPr>
        <w:spacing w:line="240" w:lineRule="auto"/>
        <w:ind w:firstLine="640"/>
        <w:jc w:val="both"/>
      </w:pPr>
      <w:r>
        <w:rPr>
          <w:rFonts w:ascii="仿宋_GB2312" w:hAnsi="仿宋_GB2312" w:eastAsia="仿宋_GB2312" w:cs="仿宋_GB2312"/>
          <w:sz w:val="32"/>
        </w:rPr>
        <w:t>上级部门强令登记机关及其工作人员实施前款行为的，对其直接负责的主管人员，依照前款的规定处罚。</w:t>
      </w:r>
    </w:p>
    <w:p>
      <w:pPr>
        <w:spacing w:line="240" w:lineRule="auto"/>
        <w:ind w:firstLine="640"/>
        <w:jc w:val="both"/>
      </w:pPr>
      <w:r>
        <w:rPr>
          <w:rFonts w:ascii="黑体" w:hAnsi="黑体" w:eastAsia="黑体" w:cs="黑体"/>
          <w:sz w:val="32"/>
        </w:rPr>
        <w:t>第四百零四条</w:t>
      </w:r>
      <w:r>
        <w:rPr>
          <w:rFonts w:ascii="仿宋_GB2312" w:hAnsi="仿宋_GB2312" w:eastAsia="仿宋_GB2312" w:cs="仿宋_GB2312"/>
          <w:sz w:val="32"/>
        </w:rPr>
        <w:t>　税务机关的工作人员徇私舞弊，不征或者少征应征税款，致使国家税收遭受重大损失的，处五年以下有期徒刑或者拘役；造成特别重大损失的，处五年以上有期徒刑。</w:t>
      </w:r>
    </w:p>
    <w:p>
      <w:pPr>
        <w:spacing w:line="240" w:lineRule="auto"/>
        <w:ind w:firstLine="640"/>
        <w:jc w:val="both"/>
      </w:pPr>
      <w:r>
        <w:rPr>
          <w:rFonts w:ascii="黑体" w:hAnsi="黑体" w:eastAsia="黑体" w:cs="黑体"/>
          <w:sz w:val="32"/>
        </w:rPr>
        <w:t>第四百零五条</w:t>
      </w:r>
      <w:r>
        <w:rPr>
          <w:rFonts w:ascii="仿宋_GB2312" w:hAnsi="仿宋_GB2312" w:eastAsia="仿宋_GB2312" w:cs="仿宋_GB2312"/>
          <w:sz w:val="32"/>
        </w:rPr>
        <w:t>　税务机关的工作人员违反法律、行政法规的规定，在办理发售发票、抵扣税款、出口退税工作中，徇私舞弊，致使国家利益遭受重大损失的，处五年以下有期徒刑或者拘役；致使国家利益遭受特别重大损失的，处五年以上有期徒刑。</w:t>
      </w:r>
    </w:p>
    <w:p>
      <w:pPr>
        <w:spacing w:line="240" w:lineRule="auto"/>
        <w:ind w:firstLine="640"/>
        <w:jc w:val="both"/>
      </w:pPr>
      <w:r>
        <w:rPr>
          <w:rFonts w:ascii="仿宋_GB2312" w:hAnsi="仿宋_GB2312" w:eastAsia="仿宋_GB2312" w:cs="仿宋_GB2312"/>
          <w:sz w:val="32"/>
        </w:rPr>
        <w:t>其他国家机关工作人员违反国家规定，在提供出口货物报关单、出口收汇核销单等出口退税凭证的工作中，徇私舞弊，致使国家利益遭受重大损失的，依照前款的规定处罚。</w:t>
      </w:r>
    </w:p>
    <w:p>
      <w:pPr>
        <w:spacing w:line="240" w:lineRule="auto"/>
        <w:ind w:firstLine="640"/>
        <w:jc w:val="both"/>
      </w:pPr>
      <w:r>
        <w:rPr>
          <w:rFonts w:ascii="黑体" w:hAnsi="黑体" w:eastAsia="黑体" w:cs="黑体"/>
          <w:sz w:val="32"/>
        </w:rPr>
        <w:t>第四百零六条</w:t>
      </w:r>
      <w:r>
        <w:rPr>
          <w:rFonts w:ascii="仿宋_GB2312" w:hAnsi="仿宋_GB2312" w:eastAsia="仿宋_GB2312" w:cs="仿宋_GB2312"/>
          <w:sz w:val="32"/>
        </w:rPr>
        <w:t>　国家机关工作人员在签订、履行合同过程中，因严重不负责任被诈骗，致使国家利益遭受重大损失的，处三年以下有期徒刑或者拘役；致使国家利益遭受特别重大损失的，处三年以上七年以下有期徒刑。</w:t>
      </w:r>
    </w:p>
    <w:p>
      <w:pPr>
        <w:spacing w:line="240" w:lineRule="auto"/>
        <w:ind w:firstLine="640"/>
        <w:jc w:val="both"/>
      </w:pPr>
      <w:r>
        <w:rPr>
          <w:rFonts w:ascii="黑体" w:hAnsi="黑体" w:eastAsia="黑体" w:cs="黑体"/>
          <w:sz w:val="32"/>
        </w:rPr>
        <w:t>第四百零七条</w:t>
      </w:r>
      <w:r>
        <w:rPr>
          <w:rFonts w:ascii="仿宋_GB2312" w:hAnsi="仿宋_GB2312" w:eastAsia="仿宋_GB2312" w:cs="仿宋_GB2312"/>
          <w:sz w:val="32"/>
        </w:rPr>
        <w:t>　林业主管部门的工作人员违反森林法的规定，超过批准的年采伐限额发放林木采伐许可证或者违反规定滥发林木采伐许可证，情节严重，致使森林遭受严重破坏的，处三年以下有期徒刑或者拘役。</w:t>
      </w:r>
    </w:p>
    <w:p>
      <w:pPr>
        <w:spacing w:line="240" w:lineRule="auto"/>
        <w:ind w:firstLine="640"/>
        <w:jc w:val="both"/>
      </w:pPr>
      <w:r>
        <w:rPr>
          <w:rFonts w:ascii="黑体" w:hAnsi="黑体" w:eastAsia="黑体" w:cs="黑体"/>
          <w:sz w:val="32"/>
        </w:rPr>
        <w:t>第四百零八条</w:t>
      </w:r>
      <w:r>
        <w:rPr>
          <w:rFonts w:ascii="仿宋_GB2312" w:hAnsi="仿宋_GB2312" w:eastAsia="仿宋_GB2312" w:cs="仿宋_GB2312"/>
          <w:sz w:val="32"/>
        </w:rPr>
        <w:t>　负有环境保护监督管理职责的国家机关工作人员严重不负责任，导致发生重大环境污染事故，致使公私财产遭受重大损失或者造成人身伤亡的严重后果的，处三年以下有期徒刑或者拘役。</w:t>
      </w:r>
    </w:p>
    <w:p>
      <w:pPr>
        <w:spacing w:line="240" w:lineRule="auto"/>
        <w:ind w:firstLine="640"/>
        <w:jc w:val="both"/>
      </w:pPr>
      <w:r>
        <w:rPr>
          <w:rFonts w:ascii="黑体" w:hAnsi="黑体" w:eastAsia="黑体" w:cs="黑体"/>
          <w:sz w:val="32"/>
        </w:rPr>
        <w:t>第四百零八</w:t>
      </w:r>
      <w:r>
        <w:rPr>
          <w:rFonts w:hint="eastAsia" w:ascii="黑体" w:hAnsi="黑体" w:eastAsia="黑体" w:cs="黑体"/>
          <w:sz w:val="32"/>
          <w:lang w:eastAsia="zh-CN"/>
        </w:rPr>
        <w:t>条之一　</w:t>
      </w:r>
      <w:r>
        <w:rPr>
          <w:rFonts w:ascii="仿宋_GB2312" w:hAnsi="仿宋_GB2312" w:eastAsia="仿宋_GB2312" w:cs="仿宋_GB2312"/>
          <w:sz w:val="32"/>
        </w:rPr>
        <w:t>负有食品药品安全监督管理职责的国家机关工作人员，滥用职权或者玩忽职守，有下列情形之一，造成严重后果或者有其他严重情节的，处五年以下有期徒刑或者拘役；造成特别严重后果或者有其他特别严重情节的，处五年以上十年以下有期徒刑：</w:t>
      </w:r>
    </w:p>
    <w:p>
      <w:pPr>
        <w:spacing w:line="240" w:lineRule="auto"/>
        <w:ind w:firstLine="640"/>
        <w:jc w:val="both"/>
      </w:pPr>
      <w:r>
        <w:rPr>
          <w:rFonts w:ascii="仿宋_GB2312" w:hAnsi="仿宋_GB2312" w:eastAsia="仿宋_GB2312" w:cs="仿宋_GB2312"/>
          <w:sz w:val="32"/>
        </w:rPr>
        <w:t>（一）瞒报、谎报食品安全事故、药品安全事件的；</w:t>
      </w:r>
    </w:p>
    <w:p>
      <w:pPr>
        <w:spacing w:line="240" w:lineRule="auto"/>
        <w:ind w:firstLine="640"/>
        <w:jc w:val="both"/>
      </w:pPr>
      <w:r>
        <w:rPr>
          <w:rFonts w:ascii="仿宋_GB2312" w:hAnsi="仿宋_GB2312" w:eastAsia="仿宋_GB2312" w:cs="仿宋_GB2312"/>
          <w:sz w:val="32"/>
        </w:rPr>
        <w:t>（二）对发现的严重食品药品安全违法行为未按规定查处的；</w:t>
      </w:r>
    </w:p>
    <w:p>
      <w:pPr>
        <w:spacing w:line="240" w:lineRule="auto"/>
        <w:ind w:firstLine="640"/>
        <w:jc w:val="both"/>
      </w:pPr>
      <w:r>
        <w:rPr>
          <w:rFonts w:ascii="仿宋_GB2312" w:hAnsi="仿宋_GB2312" w:eastAsia="仿宋_GB2312" w:cs="仿宋_GB2312"/>
          <w:sz w:val="32"/>
        </w:rPr>
        <w:t>（三）在药品和特殊食品审批审评过程中，对不符合条件的申请准予许可的；</w:t>
      </w:r>
    </w:p>
    <w:p>
      <w:pPr>
        <w:spacing w:line="240" w:lineRule="auto"/>
        <w:ind w:firstLine="640"/>
        <w:jc w:val="both"/>
      </w:pPr>
      <w:r>
        <w:rPr>
          <w:rFonts w:ascii="仿宋_GB2312" w:hAnsi="仿宋_GB2312" w:eastAsia="仿宋_GB2312" w:cs="仿宋_GB2312"/>
          <w:sz w:val="32"/>
        </w:rPr>
        <w:t>（四）依法应当移交司法机关追究刑事责任不移交的；</w:t>
      </w:r>
    </w:p>
    <w:p>
      <w:pPr>
        <w:spacing w:line="240" w:lineRule="auto"/>
        <w:ind w:firstLine="640"/>
        <w:jc w:val="both"/>
      </w:pPr>
      <w:r>
        <w:rPr>
          <w:rFonts w:ascii="仿宋_GB2312" w:hAnsi="仿宋_GB2312" w:eastAsia="仿宋_GB2312" w:cs="仿宋_GB2312"/>
          <w:sz w:val="32"/>
        </w:rPr>
        <w:t>（五）有其他滥用职权或者玩忽职守行为的。</w:t>
      </w:r>
    </w:p>
    <w:p>
      <w:pPr>
        <w:spacing w:line="240" w:lineRule="auto"/>
        <w:ind w:firstLine="640"/>
        <w:jc w:val="both"/>
      </w:pPr>
      <w:r>
        <w:rPr>
          <w:rFonts w:ascii="仿宋_GB2312" w:hAnsi="仿宋_GB2312" w:eastAsia="仿宋_GB2312" w:cs="仿宋_GB2312"/>
          <w:sz w:val="32"/>
        </w:rPr>
        <w:t>徇私舞弊犯前款罪的，从重处罚。</w:t>
      </w:r>
    </w:p>
    <w:p>
      <w:pPr>
        <w:spacing w:line="240" w:lineRule="auto"/>
        <w:ind w:firstLine="640"/>
        <w:jc w:val="both"/>
      </w:pPr>
      <w:r>
        <w:rPr>
          <w:rFonts w:ascii="黑体" w:hAnsi="黑体" w:eastAsia="黑体" w:cs="黑体"/>
          <w:sz w:val="32"/>
        </w:rPr>
        <w:t>第四百零九条</w:t>
      </w:r>
      <w:r>
        <w:rPr>
          <w:rFonts w:ascii="仿宋_GB2312" w:hAnsi="仿宋_GB2312" w:eastAsia="仿宋_GB2312" w:cs="仿宋_GB2312"/>
          <w:sz w:val="32"/>
        </w:rPr>
        <w:t>　从事传染病防治的政府卫生行政部门的工作人员严重不负责任，导致传染病传播或者流行，情节严重的，处三年以下有期徒刑或者拘役。</w:t>
      </w:r>
    </w:p>
    <w:p>
      <w:pPr>
        <w:spacing w:line="240" w:lineRule="auto"/>
        <w:ind w:firstLine="640"/>
        <w:jc w:val="both"/>
      </w:pPr>
      <w:r>
        <w:rPr>
          <w:rFonts w:ascii="黑体" w:hAnsi="黑体" w:eastAsia="黑体" w:cs="黑体"/>
          <w:sz w:val="32"/>
        </w:rPr>
        <w:t>第四百一十条</w:t>
      </w:r>
      <w:r>
        <w:rPr>
          <w:rFonts w:ascii="仿宋_GB2312" w:hAnsi="仿宋_GB2312" w:eastAsia="仿宋_GB2312" w:cs="仿宋_GB2312"/>
          <w:sz w:val="32"/>
        </w:rPr>
        <w:t>　国家机关工作人员徇私舞弊，违反土地管理法规，滥用职权，非法批准征收、征用、占用土地，或者非法低价出让国有土地使用权，情节严重的，处三年以下有期徒刑或者拘役；致使国家或者集体利益遭受特别重大损失的，处三年以上七年以下有期徒刑。</w:t>
      </w:r>
    </w:p>
    <w:p>
      <w:pPr>
        <w:spacing w:line="240" w:lineRule="auto"/>
        <w:ind w:firstLine="640"/>
        <w:jc w:val="both"/>
      </w:pPr>
      <w:r>
        <w:rPr>
          <w:rFonts w:ascii="黑体" w:hAnsi="黑体" w:eastAsia="黑体" w:cs="黑体"/>
          <w:sz w:val="32"/>
        </w:rPr>
        <w:t>第四百一十一条</w:t>
      </w:r>
      <w:r>
        <w:rPr>
          <w:rFonts w:ascii="仿宋_GB2312" w:hAnsi="仿宋_GB2312" w:eastAsia="仿宋_GB2312" w:cs="仿宋_GB2312"/>
          <w:sz w:val="32"/>
        </w:rPr>
        <w:t>　海关工作人员徇私舞弊，放纵走私，情节严重的，处五年以下有期徒刑或者拘役；情节特别严重的，处五年以上有期徒刑。</w:t>
      </w:r>
    </w:p>
    <w:p>
      <w:pPr>
        <w:spacing w:line="240" w:lineRule="auto"/>
        <w:ind w:firstLine="640"/>
        <w:jc w:val="both"/>
      </w:pPr>
      <w:r>
        <w:rPr>
          <w:rFonts w:ascii="黑体" w:hAnsi="黑体" w:eastAsia="黑体" w:cs="黑体"/>
          <w:sz w:val="32"/>
        </w:rPr>
        <w:t>第四百一十二条</w:t>
      </w:r>
      <w:r>
        <w:rPr>
          <w:rFonts w:ascii="仿宋_GB2312" w:hAnsi="仿宋_GB2312" w:eastAsia="仿宋_GB2312" w:cs="仿宋_GB2312"/>
          <w:sz w:val="32"/>
        </w:rPr>
        <w:t>　国家商检部门、商检机构的工作人员徇私舞弊，伪造检验结果的，处五年以下有期徒刑或者拘役；造成严重后果的，处五年以上十年以下有期徒刑。</w:t>
      </w:r>
    </w:p>
    <w:p>
      <w:pPr>
        <w:spacing w:line="240" w:lineRule="auto"/>
        <w:ind w:firstLine="640"/>
        <w:jc w:val="both"/>
      </w:pPr>
      <w:r>
        <w:rPr>
          <w:rFonts w:ascii="仿宋_GB2312" w:hAnsi="仿宋_GB2312" w:eastAsia="仿宋_GB2312" w:cs="仿宋_GB2312"/>
          <w:sz w:val="32"/>
        </w:rPr>
        <w:t>前款所列人员严重不负责任，对应当检验的物品不检验，或者延误检验出证、错误出证，致使国家利益遭受重大损失的，处三年以下有期徒刑或者拘役。</w:t>
      </w:r>
    </w:p>
    <w:p>
      <w:pPr>
        <w:spacing w:line="240" w:lineRule="auto"/>
        <w:ind w:firstLine="640"/>
        <w:jc w:val="both"/>
      </w:pPr>
      <w:r>
        <w:rPr>
          <w:rFonts w:ascii="黑体" w:hAnsi="黑体" w:eastAsia="黑体" w:cs="黑体"/>
          <w:sz w:val="32"/>
        </w:rPr>
        <w:t>第四百一十三条</w:t>
      </w:r>
      <w:r>
        <w:rPr>
          <w:rFonts w:ascii="仿宋_GB2312" w:hAnsi="仿宋_GB2312" w:eastAsia="仿宋_GB2312" w:cs="仿宋_GB2312"/>
          <w:sz w:val="32"/>
        </w:rPr>
        <w:t>　动植物检疫机关的检疫人员徇私舞弊，伪造检疫结果的，处五年以下有期徒刑或者拘役；造成严重后果的，处五年以上十年以下有期徒刑。</w:t>
      </w:r>
    </w:p>
    <w:p>
      <w:pPr>
        <w:spacing w:line="240" w:lineRule="auto"/>
        <w:ind w:firstLine="640"/>
        <w:jc w:val="both"/>
      </w:pPr>
      <w:r>
        <w:rPr>
          <w:rFonts w:ascii="仿宋_GB2312" w:hAnsi="仿宋_GB2312" w:eastAsia="仿宋_GB2312" w:cs="仿宋_GB2312"/>
          <w:sz w:val="32"/>
        </w:rPr>
        <w:t>前款所列人员严重不负责任，对应当检疫的检疫物不检疫，或者延误检疫出证、错误出证，致使国家利益遭受重大损失的，处三年以下有期徒刑或者拘役。</w:t>
      </w:r>
    </w:p>
    <w:p>
      <w:pPr>
        <w:spacing w:line="240" w:lineRule="auto"/>
        <w:ind w:firstLine="640"/>
        <w:jc w:val="both"/>
      </w:pPr>
      <w:r>
        <w:rPr>
          <w:rFonts w:ascii="黑体" w:hAnsi="黑体" w:eastAsia="黑体" w:cs="黑体"/>
          <w:sz w:val="32"/>
        </w:rPr>
        <w:t>第四百一十四条</w:t>
      </w:r>
      <w:r>
        <w:rPr>
          <w:rFonts w:ascii="仿宋_GB2312" w:hAnsi="仿宋_GB2312" w:eastAsia="仿宋_GB2312" w:cs="仿宋_GB2312"/>
          <w:sz w:val="32"/>
        </w:rPr>
        <w:t>　对生产、销售伪劣商品犯罪行为负有追究责任的国家机关工作人员，徇私舞弊，不履行法律规定的追究职责，情节严重的，处五年以下有期徒刑或者拘役。</w:t>
      </w:r>
    </w:p>
    <w:p>
      <w:pPr>
        <w:spacing w:line="240" w:lineRule="auto"/>
        <w:ind w:firstLine="640"/>
        <w:jc w:val="both"/>
      </w:pPr>
      <w:r>
        <w:rPr>
          <w:rFonts w:ascii="黑体" w:hAnsi="黑体" w:eastAsia="黑体" w:cs="黑体"/>
          <w:sz w:val="32"/>
        </w:rPr>
        <w:t>第四百一十五条</w:t>
      </w:r>
      <w:r>
        <w:rPr>
          <w:rFonts w:ascii="仿宋_GB2312" w:hAnsi="仿宋_GB2312" w:eastAsia="仿宋_GB2312" w:cs="仿宋_GB2312"/>
          <w:sz w:val="32"/>
        </w:rPr>
        <w:t>　负责办理护照、签证以及其他出入境证件的国家机关工作人员，对明知是企图偷越国（边）境的人员，予以办理出入境证件的，或者边防、海关等国家机关工作人员，对明知是偷越国（边）境的人员，予以放行的，处三年以下有期徒刑或者拘役；情节严重的，处三年以上七年以下有期徒刑。</w:t>
      </w:r>
    </w:p>
    <w:p>
      <w:pPr>
        <w:spacing w:line="240" w:lineRule="auto"/>
        <w:ind w:firstLine="640"/>
        <w:jc w:val="both"/>
      </w:pPr>
      <w:r>
        <w:rPr>
          <w:rFonts w:ascii="黑体" w:hAnsi="黑体" w:eastAsia="黑体" w:cs="黑体"/>
          <w:sz w:val="32"/>
        </w:rPr>
        <w:t>第四百一十六条</w:t>
      </w:r>
      <w:r>
        <w:rPr>
          <w:rFonts w:ascii="仿宋_GB2312" w:hAnsi="仿宋_GB2312" w:eastAsia="仿宋_GB2312" w:cs="仿宋_GB2312"/>
          <w:sz w:val="32"/>
        </w:rPr>
        <w:t>　对被拐卖、绑架的妇女、儿童负有解救职责的国家机关工作人员，接到被拐卖、绑架的妇女、儿童及其家属的解救要求或者接到其他人的举报，而对被拐卖、绑架的妇女、儿童不进行解救，造成严重后果的，处五年以下有期徒刑或者拘役。</w:t>
      </w:r>
    </w:p>
    <w:p>
      <w:pPr>
        <w:spacing w:line="240" w:lineRule="auto"/>
        <w:ind w:firstLine="640"/>
        <w:jc w:val="both"/>
      </w:pPr>
      <w:r>
        <w:rPr>
          <w:rFonts w:ascii="仿宋_GB2312" w:hAnsi="仿宋_GB2312" w:eastAsia="仿宋_GB2312" w:cs="仿宋_GB2312"/>
          <w:sz w:val="32"/>
        </w:rPr>
        <w:t>负有解救职责的国家机关工作人员利用职务阻碍解救的，处二年以上七年以下有期徒刑；情节较轻的，处二年以下有期徒刑或者拘役。</w:t>
      </w:r>
    </w:p>
    <w:p>
      <w:pPr>
        <w:spacing w:line="240" w:lineRule="auto"/>
        <w:ind w:firstLine="640"/>
        <w:jc w:val="both"/>
      </w:pPr>
      <w:r>
        <w:rPr>
          <w:rFonts w:ascii="黑体" w:hAnsi="黑体" w:eastAsia="黑体" w:cs="黑体"/>
          <w:sz w:val="32"/>
        </w:rPr>
        <w:t>第四百一十七条</w:t>
      </w:r>
      <w:r>
        <w:rPr>
          <w:rFonts w:ascii="仿宋_GB2312" w:hAnsi="仿宋_GB2312" w:eastAsia="仿宋_GB2312" w:cs="仿宋_GB2312"/>
          <w:sz w:val="32"/>
        </w:rPr>
        <w:t>　有查禁犯罪活动职责的国家机关工作人员，向犯罪分子通风报信、提供便利，帮助犯罪分子逃避处罚的，处三年以下有期徒刑或者拘役；情节严重的，处三年以上十年以下有期徒刑。</w:t>
      </w:r>
    </w:p>
    <w:p>
      <w:pPr>
        <w:spacing w:line="240" w:lineRule="auto"/>
        <w:ind w:firstLine="640"/>
        <w:jc w:val="both"/>
      </w:pPr>
      <w:r>
        <w:rPr>
          <w:rFonts w:ascii="黑体" w:hAnsi="黑体" w:eastAsia="黑体" w:cs="黑体"/>
          <w:sz w:val="32"/>
        </w:rPr>
        <w:t>第四百一十八条</w:t>
      </w:r>
      <w:r>
        <w:rPr>
          <w:rFonts w:ascii="仿宋_GB2312" w:hAnsi="仿宋_GB2312" w:eastAsia="仿宋_GB2312" w:cs="仿宋_GB2312"/>
          <w:sz w:val="32"/>
        </w:rPr>
        <w:t>　国家机关工作人员在招收公务员、学生工作中徇私舞弊，情节严重的，处三年以下有期徒刑或者拘役。</w:t>
      </w:r>
    </w:p>
    <w:p>
      <w:pPr>
        <w:spacing w:line="240" w:lineRule="auto"/>
        <w:ind w:firstLine="640"/>
        <w:jc w:val="both"/>
      </w:pPr>
      <w:r>
        <w:rPr>
          <w:rFonts w:ascii="黑体" w:hAnsi="黑体" w:eastAsia="黑体" w:cs="黑体"/>
          <w:sz w:val="32"/>
        </w:rPr>
        <w:t>第四百一十九条</w:t>
      </w:r>
      <w:r>
        <w:rPr>
          <w:rFonts w:ascii="仿宋_GB2312" w:hAnsi="仿宋_GB2312" w:eastAsia="仿宋_GB2312" w:cs="仿宋_GB2312"/>
          <w:sz w:val="32"/>
        </w:rPr>
        <w:t>　国家机关工作人员严重不负责任，造成珍贵文物损毁或者流失，后果严重的，处三年以下有期徒刑或者拘役。</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第十章　军人违反职责罪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第四百二十条</w:t>
      </w:r>
      <w:r>
        <w:rPr>
          <w:rFonts w:ascii="仿宋_GB2312" w:hAnsi="仿宋_GB2312" w:eastAsia="仿宋_GB2312" w:cs="仿宋_GB2312"/>
          <w:sz w:val="32"/>
        </w:rPr>
        <w:t>　军人违反职责，危害国家军事利益，依照法律应当受刑罚处罚的行为，是军人违反职责罪。</w:t>
      </w:r>
    </w:p>
    <w:p>
      <w:pPr>
        <w:spacing w:line="240" w:lineRule="auto"/>
        <w:ind w:firstLine="640"/>
        <w:jc w:val="both"/>
      </w:pPr>
      <w:r>
        <w:rPr>
          <w:rFonts w:ascii="黑体" w:hAnsi="黑体" w:eastAsia="黑体" w:cs="黑体"/>
          <w:sz w:val="32"/>
        </w:rPr>
        <w:t>第四百二十一条</w:t>
      </w:r>
      <w:r>
        <w:rPr>
          <w:rFonts w:ascii="仿宋_GB2312" w:hAnsi="仿宋_GB2312" w:eastAsia="仿宋_GB2312" w:cs="仿宋_GB2312"/>
          <w:sz w:val="32"/>
        </w:rPr>
        <w:t>　战时违抗命令，对作战造成危害的，处三年以上十年以下有期徒刑；致使战斗、战役遭受重大损失的，处十年以上有期徒刑、无期徒刑或者死刑。</w:t>
      </w:r>
    </w:p>
    <w:p>
      <w:pPr>
        <w:spacing w:line="240" w:lineRule="auto"/>
        <w:ind w:firstLine="640"/>
        <w:jc w:val="both"/>
      </w:pPr>
      <w:r>
        <w:rPr>
          <w:rFonts w:ascii="黑体" w:hAnsi="黑体" w:eastAsia="黑体" w:cs="黑体"/>
          <w:sz w:val="32"/>
        </w:rPr>
        <w:t>第四百二十二条</w:t>
      </w:r>
      <w:r>
        <w:rPr>
          <w:rFonts w:ascii="仿宋_GB2312" w:hAnsi="仿宋_GB2312" w:eastAsia="仿宋_GB2312" w:cs="仿宋_GB2312"/>
          <w:sz w:val="32"/>
        </w:rPr>
        <w:t>　故意隐瞒、谎报军情或者拒传、假传军令，对作战造成危害的，处三年以上十年以下有期徒刑；致使战斗、战役遭受重大损失的，处十年以上有期徒刑、无期徒刑或者死刑。</w:t>
      </w:r>
    </w:p>
    <w:p>
      <w:pPr>
        <w:spacing w:line="240" w:lineRule="auto"/>
        <w:ind w:firstLine="640"/>
        <w:jc w:val="both"/>
      </w:pPr>
      <w:r>
        <w:rPr>
          <w:rFonts w:ascii="黑体" w:hAnsi="黑体" w:eastAsia="黑体" w:cs="黑体"/>
          <w:sz w:val="32"/>
        </w:rPr>
        <w:t>第四百二十三条</w:t>
      </w:r>
      <w:r>
        <w:rPr>
          <w:rFonts w:ascii="仿宋_GB2312" w:hAnsi="仿宋_GB2312" w:eastAsia="仿宋_GB2312" w:cs="仿宋_GB2312"/>
          <w:sz w:val="32"/>
        </w:rPr>
        <w:t>　在战场上贪生怕死，自动放下武器投降敌人的，处三年以上十年以下有期徒刑；情节严重的，处十年以上有期徒刑或者无期徒刑。</w:t>
      </w:r>
    </w:p>
    <w:p>
      <w:pPr>
        <w:spacing w:line="240" w:lineRule="auto"/>
        <w:ind w:firstLine="640"/>
        <w:jc w:val="both"/>
      </w:pPr>
      <w:r>
        <w:rPr>
          <w:rFonts w:ascii="仿宋_GB2312" w:hAnsi="仿宋_GB2312" w:eastAsia="仿宋_GB2312" w:cs="仿宋_GB2312"/>
          <w:sz w:val="32"/>
        </w:rPr>
        <w:t>投降后为敌人效劳的，处十年以上有期徒刑、无期徒刑或者死刑。</w:t>
      </w:r>
    </w:p>
    <w:p>
      <w:pPr>
        <w:spacing w:line="240" w:lineRule="auto"/>
        <w:ind w:firstLine="640"/>
        <w:jc w:val="both"/>
      </w:pPr>
      <w:r>
        <w:rPr>
          <w:rFonts w:ascii="黑体" w:hAnsi="黑体" w:eastAsia="黑体" w:cs="黑体"/>
          <w:sz w:val="32"/>
        </w:rPr>
        <w:t>第四百二十四条</w:t>
      </w:r>
      <w:r>
        <w:rPr>
          <w:rFonts w:ascii="仿宋_GB2312" w:hAnsi="仿宋_GB2312" w:eastAsia="仿宋_GB2312" w:cs="仿宋_GB2312"/>
          <w:sz w:val="32"/>
        </w:rPr>
        <w:t>　战时临阵脱逃的，处三年以下有期徒刑；情节严重的，处三年以上十年以下有期徒刑；致使战斗、战役遭受重大损失的，处十年以上有期徒刑、无期徒刑或者死刑。</w:t>
      </w:r>
    </w:p>
    <w:p>
      <w:pPr>
        <w:spacing w:line="240" w:lineRule="auto"/>
        <w:ind w:firstLine="640"/>
        <w:jc w:val="both"/>
      </w:pPr>
      <w:r>
        <w:rPr>
          <w:rFonts w:ascii="黑体" w:hAnsi="黑体" w:eastAsia="黑体" w:cs="黑体"/>
          <w:sz w:val="32"/>
        </w:rPr>
        <w:t>第四百二十五条</w:t>
      </w:r>
      <w:r>
        <w:rPr>
          <w:rFonts w:ascii="仿宋_GB2312" w:hAnsi="仿宋_GB2312" w:eastAsia="仿宋_GB2312" w:cs="仿宋_GB2312"/>
          <w:sz w:val="32"/>
        </w:rPr>
        <w:t>　指挥人员和值班、值勤人员擅离职守或者玩忽职守，造成严重后果的，处三年以下有期徒刑或者拘役；造成特别严重后果的，处三年以上七年以下有期徒刑。</w:t>
      </w:r>
    </w:p>
    <w:p>
      <w:pPr>
        <w:spacing w:line="240" w:lineRule="auto"/>
        <w:ind w:firstLine="640"/>
        <w:jc w:val="both"/>
      </w:pPr>
      <w:r>
        <w:rPr>
          <w:rFonts w:ascii="仿宋_GB2312" w:hAnsi="仿宋_GB2312" w:eastAsia="仿宋_GB2312" w:cs="仿宋_GB2312"/>
          <w:sz w:val="32"/>
        </w:rPr>
        <w:t>战时犯前款罪的，处五年以上有期徒刑。</w:t>
      </w:r>
    </w:p>
    <w:p>
      <w:pPr>
        <w:spacing w:line="240" w:lineRule="auto"/>
        <w:ind w:firstLine="640"/>
        <w:jc w:val="both"/>
      </w:pPr>
      <w:r>
        <w:rPr>
          <w:rFonts w:ascii="黑体" w:hAnsi="黑体" w:eastAsia="黑体" w:cs="黑体"/>
          <w:sz w:val="32"/>
        </w:rPr>
        <w:t>第四百二十六条</w:t>
      </w:r>
      <w:r>
        <w:rPr>
          <w:rFonts w:ascii="仿宋_GB2312" w:hAnsi="仿宋_GB2312" w:eastAsia="仿宋_GB2312" w:cs="仿宋_GB2312"/>
          <w:sz w:val="32"/>
        </w:rPr>
        <w:t>　以暴力、威胁方法，阻碍指挥人员或者值班、值勤人员执行职务的，处五年以下有期徒刑或者拘役；情节严重的，处五年以上十年以下有期徒刑；情节特别严重的，处十年以上有期徒刑或者无期徒刑。战时从重处罚。</w:t>
      </w:r>
    </w:p>
    <w:p>
      <w:pPr>
        <w:spacing w:line="240" w:lineRule="auto"/>
        <w:ind w:firstLine="640"/>
        <w:jc w:val="both"/>
      </w:pPr>
      <w:r>
        <w:rPr>
          <w:rFonts w:ascii="黑体" w:hAnsi="黑体" w:eastAsia="黑体" w:cs="黑体"/>
          <w:sz w:val="32"/>
        </w:rPr>
        <w:t>第四百二十七条</w:t>
      </w:r>
      <w:r>
        <w:rPr>
          <w:rFonts w:ascii="仿宋_GB2312" w:hAnsi="仿宋_GB2312" w:eastAsia="仿宋_GB2312" w:cs="仿宋_GB2312"/>
          <w:sz w:val="32"/>
        </w:rPr>
        <w:t>　滥用职权，指使部属进行违反职责的活动，造成严重后果的，处五年以下有期徒刑或者拘役；情节特别严重的，处五年以上十年以下有期徒刑。</w:t>
      </w:r>
    </w:p>
    <w:p>
      <w:pPr>
        <w:spacing w:line="240" w:lineRule="auto"/>
        <w:ind w:firstLine="640"/>
        <w:jc w:val="both"/>
      </w:pPr>
      <w:r>
        <w:rPr>
          <w:rFonts w:ascii="黑体" w:hAnsi="黑体" w:eastAsia="黑体" w:cs="黑体"/>
          <w:sz w:val="32"/>
        </w:rPr>
        <w:t>第四百二十八条</w:t>
      </w:r>
      <w:r>
        <w:rPr>
          <w:rFonts w:ascii="仿宋_GB2312" w:hAnsi="仿宋_GB2312" w:eastAsia="仿宋_GB2312" w:cs="仿宋_GB2312"/>
          <w:sz w:val="32"/>
        </w:rPr>
        <w:t>　指挥人员违抗命令，临阵畏缩，作战消极，造成严重后果的，处五年以下有期徒刑；致使战斗、战役遭受重大损失或者有其他特别严重情节的，处五年以上有期徒刑。</w:t>
      </w:r>
    </w:p>
    <w:p>
      <w:pPr>
        <w:spacing w:line="240" w:lineRule="auto"/>
        <w:ind w:firstLine="640"/>
        <w:jc w:val="both"/>
      </w:pPr>
      <w:r>
        <w:rPr>
          <w:rFonts w:ascii="黑体" w:hAnsi="黑体" w:eastAsia="黑体" w:cs="黑体"/>
          <w:sz w:val="32"/>
        </w:rPr>
        <w:t>第四百二十九条</w:t>
      </w:r>
      <w:r>
        <w:rPr>
          <w:rFonts w:ascii="仿宋_GB2312" w:hAnsi="仿宋_GB2312" w:eastAsia="仿宋_GB2312" w:cs="仿宋_GB2312"/>
          <w:sz w:val="32"/>
        </w:rPr>
        <w:t>　在战场上明知友邻部队处境危急请求救援，能救援而不救援，致使友邻部队遭受重大损失的，对指挥人员，处五年以下有期徒刑。</w:t>
      </w:r>
    </w:p>
    <w:p>
      <w:pPr>
        <w:spacing w:line="240" w:lineRule="auto"/>
        <w:ind w:firstLine="640"/>
        <w:jc w:val="both"/>
      </w:pPr>
      <w:r>
        <w:rPr>
          <w:rFonts w:ascii="黑体" w:hAnsi="黑体" w:eastAsia="黑体" w:cs="黑体"/>
          <w:sz w:val="32"/>
        </w:rPr>
        <w:t>第四百三十条</w:t>
      </w:r>
      <w:r>
        <w:rPr>
          <w:rFonts w:ascii="仿宋_GB2312" w:hAnsi="仿宋_GB2312" w:eastAsia="仿宋_GB2312" w:cs="仿宋_GB2312"/>
          <w:sz w:val="32"/>
        </w:rPr>
        <w:t>　在履行公务期间，擅离岗位，叛逃境外或者在境外叛逃，危害国家军事利益的，处五年以下有期徒刑或者拘役；情节严重的，处五年以上有期徒刑。</w:t>
      </w:r>
    </w:p>
    <w:p>
      <w:pPr>
        <w:spacing w:line="240" w:lineRule="auto"/>
        <w:ind w:firstLine="640"/>
        <w:jc w:val="both"/>
      </w:pPr>
      <w:r>
        <w:rPr>
          <w:rFonts w:ascii="仿宋_GB2312" w:hAnsi="仿宋_GB2312" w:eastAsia="仿宋_GB2312" w:cs="仿宋_GB2312"/>
          <w:sz w:val="32"/>
        </w:rPr>
        <w:t>驾驶航空器、舰船叛逃的，或者有其他特别严重情节的，处十年以上有期徒刑、无期徒刑或者死刑。</w:t>
      </w:r>
    </w:p>
    <w:p>
      <w:pPr>
        <w:spacing w:line="240" w:lineRule="auto"/>
        <w:ind w:firstLine="640"/>
        <w:jc w:val="both"/>
      </w:pPr>
      <w:r>
        <w:rPr>
          <w:rFonts w:ascii="黑体" w:hAnsi="黑体" w:eastAsia="黑体" w:cs="黑体"/>
          <w:sz w:val="32"/>
        </w:rPr>
        <w:t>第四百三十一条</w:t>
      </w:r>
      <w:r>
        <w:rPr>
          <w:rFonts w:ascii="仿宋_GB2312" w:hAnsi="仿宋_GB2312" w:eastAsia="仿宋_GB2312" w:cs="仿宋_GB2312"/>
          <w:sz w:val="32"/>
        </w:rPr>
        <w:t>　以窃取、刺探、收买方法，非法获取军事秘密的，处五年以下有期徒刑；情节严重的，处五年以上十年以下有期徒刑；情节特别严重的，处十年以上有期徒刑。</w:t>
      </w:r>
    </w:p>
    <w:p>
      <w:pPr>
        <w:spacing w:line="240" w:lineRule="auto"/>
        <w:ind w:firstLine="640"/>
        <w:jc w:val="both"/>
      </w:pPr>
      <w:r>
        <w:rPr>
          <w:rFonts w:ascii="仿宋_GB2312" w:hAnsi="仿宋_GB2312" w:eastAsia="仿宋_GB2312" w:cs="仿宋_GB2312"/>
          <w:sz w:val="32"/>
        </w:rPr>
        <w:t>为境外的机构、组织、人员窃取、刺探、收买、非法提供军事秘密的，处五年以上十年以下有期徒刑；情节严重的，处十年以上有期徒刑、无期徒刑或者死刑。</w:t>
      </w:r>
    </w:p>
    <w:p>
      <w:pPr>
        <w:spacing w:line="240" w:lineRule="auto"/>
        <w:ind w:firstLine="640"/>
        <w:jc w:val="both"/>
      </w:pPr>
      <w:r>
        <w:rPr>
          <w:rFonts w:ascii="黑体" w:hAnsi="黑体" w:eastAsia="黑体" w:cs="黑体"/>
          <w:sz w:val="32"/>
        </w:rPr>
        <w:t>第四百三十二条</w:t>
      </w:r>
      <w:r>
        <w:rPr>
          <w:rFonts w:ascii="仿宋_GB2312" w:hAnsi="仿宋_GB2312" w:eastAsia="仿宋_GB2312" w:cs="仿宋_GB2312"/>
          <w:sz w:val="32"/>
        </w:rPr>
        <w:t>　违反保守国家秘密法规，故意或者过失泄露军事秘密，情节严重的，处五年以下有期徒刑或者拘役；情节特别严重的，处五年以上十年以下有期徒刑。</w:t>
      </w:r>
    </w:p>
    <w:p>
      <w:pPr>
        <w:spacing w:line="240" w:lineRule="auto"/>
        <w:ind w:firstLine="640"/>
        <w:jc w:val="both"/>
      </w:pPr>
      <w:r>
        <w:rPr>
          <w:rFonts w:ascii="仿宋_GB2312" w:hAnsi="仿宋_GB2312" w:eastAsia="仿宋_GB2312" w:cs="仿宋_GB2312"/>
          <w:sz w:val="32"/>
        </w:rPr>
        <w:t>战时犯前款罪的，处五年以上十年以下有期徒刑；情节特别严重的，处十年以上有期徒刑或者无期徒刑。</w:t>
      </w:r>
    </w:p>
    <w:p>
      <w:pPr>
        <w:spacing w:line="240" w:lineRule="auto"/>
        <w:ind w:firstLine="640"/>
        <w:jc w:val="both"/>
      </w:pPr>
      <w:r>
        <w:rPr>
          <w:rFonts w:ascii="黑体" w:hAnsi="黑体" w:eastAsia="黑体" w:cs="黑体"/>
          <w:sz w:val="32"/>
        </w:rPr>
        <w:t>第四百三十三条</w:t>
      </w:r>
      <w:r>
        <w:rPr>
          <w:rFonts w:ascii="仿宋_GB2312" w:hAnsi="仿宋_GB2312" w:eastAsia="仿宋_GB2312" w:cs="仿宋_GB2312"/>
          <w:sz w:val="32"/>
        </w:rPr>
        <w:t>　战时造谣惑众，动摇军心的，处三年以下有期徒刑；情节严重的，处三年以上十年以下有期徒刑；情节特别严重的，处十年以上有期徒刑或者无期徒刑。</w:t>
      </w:r>
    </w:p>
    <w:p>
      <w:pPr>
        <w:spacing w:line="240" w:lineRule="auto"/>
        <w:ind w:firstLine="640"/>
        <w:jc w:val="both"/>
      </w:pPr>
      <w:r>
        <w:rPr>
          <w:rFonts w:ascii="黑体" w:hAnsi="黑体" w:eastAsia="黑体" w:cs="黑体"/>
          <w:sz w:val="32"/>
        </w:rPr>
        <w:t>第四百三十四条</w:t>
      </w:r>
      <w:r>
        <w:rPr>
          <w:rFonts w:ascii="仿宋_GB2312" w:hAnsi="仿宋_GB2312" w:eastAsia="仿宋_GB2312" w:cs="仿宋_GB2312"/>
          <w:sz w:val="32"/>
        </w:rPr>
        <w:t>　战时自伤身体，逃避军事义务的，处三年以下有期徒刑；情节严重的，处三年以上七年以下有期徒刑。</w:t>
      </w:r>
    </w:p>
    <w:p>
      <w:pPr>
        <w:spacing w:line="240" w:lineRule="auto"/>
        <w:ind w:firstLine="640"/>
        <w:jc w:val="both"/>
      </w:pPr>
      <w:r>
        <w:rPr>
          <w:rFonts w:ascii="黑体" w:hAnsi="黑体" w:eastAsia="黑体" w:cs="黑体"/>
          <w:sz w:val="32"/>
        </w:rPr>
        <w:t>第四百三十五条</w:t>
      </w:r>
      <w:r>
        <w:rPr>
          <w:rFonts w:ascii="仿宋_GB2312" w:hAnsi="仿宋_GB2312" w:eastAsia="仿宋_GB2312" w:cs="仿宋_GB2312"/>
          <w:sz w:val="32"/>
        </w:rPr>
        <w:t>　违反兵役法规，逃离部队，情节严重的，处三年以下有期徒刑或者拘役。</w:t>
      </w:r>
    </w:p>
    <w:p>
      <w:pPr>
        <w:spacing w:line="240" w:lineRule="auto"/>
        <w:ind w:firstLine="640"/>
        <w:jc w:val="both"/>
      </w:pPr>
      <w:r>
        <w:rPr>
          <w:rFonts w:ascii="仿宋_GB2312" w:hAnsi="仿宋_GB2312" w:eastAsia="仿宋_GB2312" w:cs="仿宋_GB2312"/>
          <w:sz w:val="32"/>
        </w:rPr>
        <w:t>战时犯前款罪的，处三年以上七年以下有期徒刑。</w:t>
      </w:r>
    </w:p>
    <w:p>
      <w:pPr>
        <w:spacing w:line="240" w:lineRule="auto"/>
        <w:ind w:firstLine="640"/>
        <w:jc w:val="both"/>
      </w:pPr>
      <w:r>
        <w:rPr>
          <w:rFonts w:ascii="黑体" w:hAnsi="黑体" w:eastAsia="黑体" w:cs="黑体"/>
          <w:sz w:val="32"/>
        </w:rPr>
        <w:t>第四百三十六条</w:t>
      </w:r>
      <w:r>
        <w:rPr>
          <w:rFonts w:ascii="仿宋_GB2312" w:hAnsi="仿宋_GB2312" w:eastAsia="仿宋_GB2312" w:cs="仿宋_GB2312"/>
          <w:sz w:val="32"/>
        </w:rPr>
        <w:t>　违反武器装备使用规定，情节严重，因而发生责任事故，致人重伤、死亡或者造成其他严重后果的，处三年以下有期徒刑或者拘役；后果特别严重的，处三年以上七年以下有期徒刑。</w:t>
      </w:r>
    </w:p>
    <w:p>
      <w:pPr>
        <w:spacing w:line="240" w:lineRule="auto"/>
        <w:ind w:firstLine="640"/>
        <w:jc w:val="both"/>
      </w:pPr>
      <w:r>
        <w:rPr>
          <w:rFonts w:ascii="黑体" w:hAnsi="黑体" w:eastAsia="黑体" w:cs="黑体"/>
          <w:sz w:val="32"/>
        </w:rPr>
        <w:t>第四百三十七条</w:t>
      </w:r>
      <w:r>
        <w:rPr>
          <w:rFonts w:ascii="仿宋_GB2312" w:hAnsi="仿宋_GB2312" w:eastAsia="仿宋_GB2312" w:cs="仿宋_GB2312"/>
          <w:sz w:val="32"/>
        </w:rPr>
        <w:t>　违反武器装备管理规定，擅自改变武器装备的编配用途，造成严重后果的，处三年以下有期徒刑或者拘役；造成特别严重后果的，处三年以上七年以下有期徒刑。</w:t>
      </w:r>
    </w:p>
    <w:p>
      <w:pPr>
        <w:spacing w:line="240" w:lineRule="auto"/>
        <w:ind w:firstLine="640"/>
        <w:jc w:val="both"/>
      </w:pPr>
      <w:r>
        <w:rPr>
          <w:rFonts w:ascii="黑体" w:hAnsi="黑体" w:eastAsia="黑体" w:cs="黑体"/>
          <w:sz w:val="32"/>
        </w:rPr>
        <w:t>第四百三十八条</w:t>
      </w:r>
      <w:r>
        <w:rPr>
          <w:rFonts w:ascii="仿宋_GB2312" w:hAnsi="仿宋_GB2312" w:eastAsia="仿宋_GB2312" w:cs="仿宋_GB2312"/>
          <w:sz w:val="32"/>
        </w:rPr>
        <w:t>　盗窃、抢夺武器装备或者军用物资的，处五年以下有期徒刑或者拘役；情节严重的，处五年以上十年以下有期徒刑；情节特别严重的，处十年以上有期徒刑、无期徒刑或者死刑。</w:t>
      </w:r>
    </w:p>
    <w:p>
      <w:pPr>
        <w:spacing w:line="240" w:lineRule="auto"/>
        <w:ind w:firstLine="640"/>
        <w:jc w:val="both"/>
      </w:pPr>
      <w:r>
        <w:rPr>
          <w:rFonts w:ascii="仿宋_GB2312" w:hAnsi="仿宋_GB2312" w:eastAsia="仿宋_GB2312" w:cs="仿宋_GB2312"/>
          <w:sz w:val="32"/>
        </w:rPr>
        <w:t>盗窃、抢夺枪支、弹药、爆炸物的，依照本法第一百二十七条的规定处罚。</w:t>
      </w:r>
    </w:p>
    <w:p>
      <w:pPr>
        <w:spacing w:line="240" w:lineRule="auto"/>
        <w:ind w:firstLine="640"/>
        <w:jc w:val="both"/>
      </w:pPr>
      <w:r>
        <w:rPr>
          <w:rFonts w:ascii="黑体" w:hAnsi="黑体" w:eastAsia="黑体" w:cs="黑体"/>
          <w:sz w:val="32"/>
        </w:rPr>
        <w:t>第四百三十九条</w:t>
      </w:r>
      <w:r>
        <w:rPr>
          <w:rFonts w:ascii="仿宋_GB2312" w:hAnsi="仿宋_GB2312" w:eastAsia="仿宋_GB2312" w:cs="仿宋_GB2312"/>
          <w:sz w:val="32"/>
        </w:rPr>
        <w:t>　非法出卖、转让军队武器装备的，处三年以上十年以下有期徒刑；出卖、转让大量武器装备或者有其他特别严重情节的，处十年以上有期徒刑、无期徒刑或者死刑。</w:t>
      </w:r>
    </w:p>
    <w:p>
      <w:pPr>
        <w:spacing w:line="240" w:lineRule="auto"/>
        <w:ind w:firstLine="640"/>
        <w:jc w:val="both"/>
      </w:pPr>
      <w:r>
        <w:rPr>
          <w:rFonts w:ascii="黑体" w:hAnsi="黑体" w:eastAsia="黑体" w:cs="黑体"/>
          <w:sz w:val="32"/>
        </w:rPr>
        <w:t>第四百四十条</w:t>
      </w:r>
      <w:r>
        <w:rPr>
          <w:rFonts w:ascii="仿宋_GB2312" w:hAnsi="仿宋_GB2312" w:eastAsia="仿宋_GB2312" w:cs="仿宋_GB2312"/>
          <w:sz w:val="32"/>
        </w:rPr>
        <w:t>　违抗命令，遗弃武器装备的，处五年以下有期徒刑或者拘役；遗弃重要或者大量武器装备的，或者有其他严重情节的，处五年以上有期徒刑。</w:t>
      </w:r>
    </w:p>
    <w:p>
      <w:pPr>
        <w:spacing w:line="240" w:lineRule="auto"/>
        <w:ind w:firstLine="640"/>
        <w:jc w:val="both"/>
      </w:pPr>
      <w:r>
        <w:rPr>
          <w:rFonts w:ascii="黑体" w:hAnsi="黑体" w:eastAsia="黑体" w:cs="黑体"/>
          <w:sz w:val="32"/>
        </w:rPr>
        <w:t>第四百四十一条</w:t>
      </w:r>
      <w:r>
        <w:rPr>
          <w:rFonts w:ascii="仿宋_GB2312" w:hAnsi="仿宋_GB2312" w:eastAsia="仿宋_GB2312" w:cs="仿宋_GB2312"/>
          <w:sz w:val="32"/>
        </w:rPr>
        <w:t>　遗失武器装备，不及时报告或者有其他严重情节的，处三年以下有期徒刑或者拘役。</w:t>
      </w:r>
    </w:p>
    <w:p>
      <w:pPr>
        <w:spacing w:line="240" w:lineRule="auto"/>
        <w:ind w:firstLine="640"/>
        <w:jc w:val="both"/>
      </w:pPr>
      <w:r>
        <w:rPr>
          <w:rFonts w:ascii="黑体" w:hAnsi="黑体" w:eastAsia="黑体" w:cs="黑体"/>
          <w:sz w:val="32"/>
        </w:rPr>
        <w:t>第四百四十二条</w:t>
      </w:r>
      <w:r>
        <w:rPr>
          <w:rFonts w:ascii="仿宋_GB2312" w:hAnsi="仿宋_GB2312" w:eastAsia="仿宋_GB2312" w:cs="仿宋_GB2312"/>
          <w:sz w:val="32"/>
        </w:rPr>
        <w:t>　违反规定，擅自出卖、转让军队房地产，情节严重的，对直接责任人员，处三年以下有期徒刑或者拘役；情节特别严重的，处三年以上十年以下有期徒刑。</w:t>
      </w:r>
    </w:p>
    <w:p>
      <w:pPr>
        <w:spacing w:line="240" w:lineRule="auto"/>
        <w:ind w:firstLine="640"/>
        <w:jc w:val="both"/>
      </w:pPr>
      <w:r>
        <w:rPr>
          <w:rFonts w:ascii="黑体" w:hAnsi="黑体" w:eastAsia="黑体" w:cs="黑体"/>
          <w:sz w:val="32"/>
        </w:rPr>
        <w:t>第四百四十三条</w:t>
      </w:r>
      <w:r>
        <w:rPr>
          <w:rFonts w:ascii="仿宋_GB2312" w:hAnsi="仿宋_GB2312" w:eastAsia="仿宋_GB2312" w:cs="仿宋_GB2312"/>
          <w:sz w:val="32"/>
        </w:rPr>
        <w:t>　滥用职权，虐待部属，情节恶劣，致人重伤或者造成其他严重后果的，处五年以下有期徒刑或者拘役；致人死亡的，处五年以上有期徒刑。</w:t>
      </w:r>
    </w:p>
    <w:p>
      <w:pPr>
        <w:spacing w:line="240" w:lineRule="auto"/>
        <w:ind w:firstLine="640"/>
        <w:jc w:val="both"/>
      </w:pPr>
      <w:r>
        <w:rPr>
          <w:rFonts w:ascii="黑体" w:hAnsi="黑体" w:eastAsia="黑体" w:cs="黑体"/>
          <w:sz w:val="32"/>
        </w:rPr>
        <w:t>第四百四十四条</w:t>
      </w:r>
      <w:r>
        <w:rPr>
          <w:rFonts w:ascii="仿宋_GB2312" w:hAnsi="仿宋_GB2312" w:eastAsia="仿宋_GB2312" w:cs="仿宋_GB2312"/>
          <w:sz w:val="32"/>
        </w:rPr>
        <w:t>　在战场上故意遗弃伤病军人，情节恶劣的，对直接责任人员，处五年以下有期徒刑。</w:t>
      </w:r>
    </w:p>
    <w:p>
      <w:pPr>
        <w:spacing w:line="240" w:lineRule="auto"/>
        <w:ind w:firstLine="640"/>
        <w:jc w:val="both"/>
      </w:pPr>
      <w:r>
        <w:rPr>
          <w:rFonts w:ascii="黑体" w:hAnsi="黑体" w:eastAsia="黑体" w:cs="黑体"/>
          <w:sz w:val="32"/>
        </w:rPr>
        <w:t>第四百四十五条</w:t>
      </w:r>
      <w:r>
        <w:rPr>
          <w:rFonts w:ascii="仿宋_GB2312" w:hAnsi="仿宋_GB2312" w:eastAsia="仿宋_GB2312" w:cs="仿宋_GB2312"/>
          <w:sz w:val="32"/>
        </w:rPr>
        <w:t>　战时在救护治疗职位上，有条件救治而拒不救治危重伤病军人的，处五年以下有期徒刑或者拘役；造成伤病军人重残、死亡或者有其他严重情节的，处五年以上十年以下有期徒刑。</w:t>
      </w:r>
    </w:p>
    <w:p>
      <w:pPr>
        <w:spacing w:line="240" w:lineRule="auto"/>
        <w:ind w:firstLine="640"/>
        <w:jc w:val="both"/>
      </w:pPr>
      <w:r>
        <w:rPr>
          <w:rFonts w:ascii="黑体" w:hAnsi="黑体" w:eastAsia="黑体" w:cs="黑体"/>
          <w:sz w:val="32"/>
        </w:rPr>
        <w:t>第四百四十六条</w:t>
      </w:r>
      <w:r>
        <w:rPr>
          <w:rFonts w:ascii="仿宋_GB2312" w:hAnsi="仿宋_GB2312" w:eastAsia="仿宋_GB2312" w:cs="仿宋_GB2312"/>
          <w:sz w:val="32"/>
        </w:rPr>
        <w:t>　战时在军事行动地区，残害无辜居民或者掠夺无辜居民财物的，处五年以下有期徒刑；情节严重的，处五年以上十年以下有期徒刑；情节特别严重的，处十年以上有期徒刑、无期徒刑或者死刑。</w:t>
      </w:r>
    </w:p>
    <w:p>
      <w:pPr>
        <w:spacing w:line="240" w:lineRule="auto"/>
        <w:ind w:firstLine="640"/>
        <w:jc w:val="both"/>
      </w:pPr>
      <w:r>
        <w:rPr>
          <w:rFonts w:ascii="黑体" w:hAnsi="黑体" w:eastAsia="黑体" w:cs="黑体"/>
          <w:sz w:val="32"/>
        </w:rPr>
        <w:t>第四百四十七条</w:t>
      </w:r>
      <w:r>
        <w:rPr>
          <w:rFonts w:ascii="仿宋_GB2312" w:hAnsi="仿宋_GB2312" w:eastAsia="仿宋_GB2312" w:cs="仿宋_GB2312"/>
          <w:sz w:val="32"/>
        </w:rPr>
        <w:t>　私放俘虏的，处五年以下有期徒刑；私放重要俘虏、私放俘虏多人或者有其他严重情节的，处五年以上有期徒刑。</w:t>
      </w:r>
    </w:p>
    <w:p>
      <w:pPr>
        <w:spacing w:line="240" w:lineRule="auto"/>
        <w:ind w:firstLine="640"/>
        <w:jc w:val="both"/>
      </w:pPr>
      <w:r>
        <w:rPr>
          <w:rFonts w:ascii="黑体" w:hAnsi="黑体" w:eastAsia="黑体" w:cs="黑体"/>
          <w:sz w:val="32"/>
        </w:rPr>
        <w:t>第四百四十八条</w:t>
      </w:r>
      <w:r>
        <w:rPr>
          <w:rFonts w:ascii="仿宋_GB2312" w:hAnsi="仿宋_GB2312" w:eastAsia="仿宋_GB2312" w:cs="仿宋_GB2312"/>
          <w:sz w:val="32"/>
        </w:rPr>
        <w:t>　虐待俘虏，情节恶劣的，处三年以下有期徒刑。</w:t>
      </w:r>
    </w:p>
    <w:p>
      <w:pPr>
        <w:spacing w:line="240" w:lineRule="auto"/>
        <w:ind w:firstLine="640"/>
        <w:jc w:val="both"/>
      </w:pPr>
      <w:r>
        <w:rPr>
          <w:rFonts w:ascii="黑体" w:hAnsi="黑体" w:eastAsia="黑体" w:cs="黑体"/>
          <w:sz w:val="32"/>
        </w:rPr>
        <w:t>第四百四十九条</w:t>
      </w:r>
      <w:r>
        <w:rPr>
          <w:rFonts w:ascii="仿宋_GB2312" w:hAnsi="仿宋_GB2312" w:eastAsia="仿宋_GB2312" w:cs="仿宋_GB2312"/>
          <w:sz w:val="32"/>
        </w:rPr>
        <w:t>　在战时，对被判处三年以下有期徒刑没有现实危险宣告缓刑的犯罪军人，允许其戴罪立功，确有立功表现时，可以撤销原判刑罚，不以犯罪论处。</w:t>
      </w:r>
    </w:p>
    <w:p>
      <w:pPr>
        <w:spacing w:line="240" w:lineRule="auto"/>
        <w:ind w:firstLine="640"/>
        <w:jc w:val="both"/>
      </w:pPr>
      <w:r>
        <w:rPr>
          <w:rFonts w:ascii="黑体" w:hAnsi="黑体" w:eastAsia="黑体" w:cs="黑体"/>
          <w:sz w:val="32"/>
        </w:rPr>
        <w:t>第四百五十条</w:t>
      </w:r>
      <w:r>
        <w:rPr>
          <w:rFonts w:ascii="仿宋_GB2312" w:hAnsi="仿宋_GB2312" w:eastAsia="仿宋_GB2312" w:cs="仿宋_GB2312"/>
          <w:sz w:val="32"/>
        </w:rPr>
        <w:t>　本章适用于中国人民解放军的现役军官、文职干部、士兵及具有军籍的学员和中国人民武装警察部队的现役警官、文职干部、士兵及具有军籍的学员以及文职人员、执行军事任务的预备役人员和其他人员。</w:t>
      </w:r>
    </w:p>
    <w:p>
      <w:pPr>
        <w:spacing w:line="240" w:lineRule="auto"/>
        <w:ind w:firstLine="640"/>
        <w:jc w:val="both"/>
      </w:pPr>
      <w:r>
        <w:rPr>
          <w:rFonts w:ascii="黑体" w:hAnsi="黑体" w:eastAsia="黑体" w:cs="黑体"/>
          <w:sz w:val="32"/>
        </w:rPr>
        <w:t>第四百五十一条</w:t>
      </w:r>
      <w:r>
        <w:rPr>
          <w:rFonts w:ascii="仿宋_GB2312" w:hAnsi="仿宋_GB2312" w:eastAsia="仿宋_GB2312" w:cs="仿宋_GB2312"/>
          <w:sz w:val="32"/>
        </w:rPr>
        <w:t>　本章所称战时，是指国家宣布进入战争状态、部队受领作战任务或者遭敌突然袭击时。</w:t>
      </w:r>
    </w:p>
    <w:p>
      <w:pPr>
        <w:spacing w:line="240" w:lineRule="auto"/>
        <w:ind w:firstLine="640"/>
        <w:jc w:val="both"/>
        <w:rPr>
          <w:rFonts w:ascii="仿宋_GB2312" w:hAnsi="仿宋_GB2312" w:eastAsia="仿宋_GB2312" w:cs="仿宋_GB2312"/>
          <w:sz w:val="32"/>
        </w:rPr>
      </w:pPr>
      <w:r>
        <w:rPr>
          <w:rFonts w:ascii="仿宋_GB2312" w:hAnsi="仿宋_GB2312" w:eastAsia="仿宋_GB2312" w:cs="仿宋_GB2312"/>
          <w:sz w:val="32"/>
        </w:rPr>
        <w:t>部队执行戒严任务或者处置突发性暴力事件时，以战时论。</w:t>
      </w:r>
    </w:p>
    <w:p>
      <w:pPr>
        <w:spacing w:line="240" w:lineRule="auto"/>
        <w:ind w:firstLine="640"/>
        <w:jc w:val="both"/>
        <w:rPr>
          <w:rFonts w:ascii="仿宋_GB2312" w:hAnsi="仿宋_GB2312" w:eastAsia="仿宋_GB2312" w:cs="仿宋_GB2312"/>
          <w:sz w:val="32"/>
        </w:rPr>
      </w:pPr>
    </w:p>
    <w:p>
      <w:pPr>
        <w:spacing w:line="240" w:lineRule="auto"/>
        <w:ind w:firstLine="640"/>
        <w:jc w:val="center"/>
        <w:rPr>
          <w:rFonts w:ascii="仿宋_GB2312" w:hAnsi="仿宋_GB2312" w:eastAsia="仿宋_GB2312" w:cs="仿宋_GB2312"/>
          <w:sz w:val="32"/>
        </w:rPr>
      </w:pPr>
      <w:r>
        <w:rPr>
          <w:rFonts w:hint="eastAsia" w:ascii="黑体" w:hAnsi="黑体" w:eastAsia="黑体" w:cs="黑体"/>
          <w:sz w:val="32"/>
        </w:rPr>
        <w:t>附</w:t>
      </w:r>
      <w:r>
        <w:rPr>
          <w:rFonts w:hint="eastAsia" w:ascii="黑体" w:hAnsi="黑体" w:eastAsia="黑体" w:cs="黑体"/>
          <w:sz w:val="32"/>
          <w:lang w:eastAsia="zh-CN"/>
        </w:rPr>
        <w:t>　　</w:t>
      </w:r>
      <w:r>
        <w:rPr>
          <w:rFonts w:hint="eastAsia" w:ascii="黑体" w:hAnsi="黑体" w:eastAsia="黑体" w:cs="黑体"/>
          <w:sz w:val="32"/>
        </w:rPr>
        <w:t>则</w:t>
      </w:r>
    </w:p>
    <w:p>
      <w:pPr>
        <w:spacing w:line="240" w:lineRule="auto"/>
        <w:ind w:firstLine="640"/>
        <w:jc w:val="both"/>
        <w:rPr>
          <w:rFonts w:ascii="仿宋_GB2312" w:hAnsi="仿宋_GB2312" w:eastAsia="仿宋_GB2312" w:cs="仿宋_GB2312"/>
          <w:sz w:val="32"/>
        </w:rPr>
      </w:pPr>
    </w:p>
    <w:p>
      <w:pPr>
        <w:spacing w:line="240" w:lineRule="auto"/>
        <w:ind w:firstLine="640"/>
        <w:jc w:val="both"/>
      </w:pPr>
      <w:r>
        <w:rPr>
          <w:rFonts w:ascii="黑体" w:hAnsi="黑体" w:eastAsia="黑体" w:cs="黑体"/>
          <w:sz w:val="32"/>
        </w:rPr>
        <w:t>第四百五十二条</w:t>
      </w:r>
      <w:r>
        <w:rPr>
          <w:rFonts w:ascii="仿宋_GB2312" w:hAnsi="仿宋_GB2312" w:eastAsia="仿宋_GB2312" w:cs="仿宋_GB2312"/>
          <w:sz w:val="32"/>
        </w:rPr>
        <w:t>　本法自</w:t>
      </w:r>
      <w:r>
        <w:rPr>
          <w:rFonts w:hint="default" w:ascii="Times New Roman" w:hAnsi="Times New Roman" w:eastAsia="仿宋_GB2312" w:cs="Times New Roman"/>
          <w:sz w:val="32"/>
        </w:rPr>
        <w:t>1997</w:t>
      </w:r>
      <w:r>
        <w:rPr>
          <w:rFonts w:ascii="仿宋_GB2312" w:hAnsi="仿宋_GB2312" w:eastAsia="仿宋_GB2312" w:cs="仿宋_GB2312"/>
          <w:sz w:val="32"/>
        </w:rPr>
        <w:t>年</w:t>
      </w:r>
      <w:r>
        <w:rPr>
          <w:rFonts w:hint="default" w:ascii="Times New Roman" w:hAnsi="Times New Roman" w:eastAsia="仿宋_GB2312" w:cs="Times New Roman"/>
          <w:sz w:val="32"/>
        </w:rPr>
        <w:t>10</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日起施行。</w:t>
      </w:r>
    </w:p>
    <w:p>
      <w:pPr>
        <w:spacing w:line="240" w:lineRule="auto"/>
        <w:ind w:firstLine="640"/>
        <w:jc w:val="both"/>
      </w:pPr>
      <w:r>
        <w:rPr>
          <w:rFonts w:ascii="仿宋_GB2312" w:hAnsi="仿宋_GB2312" w:eastAsia="仿宋_GB2312" w:cs="仿宋_GB2312"/>
          <w:sz w:val="32"/>
        </w:rPr>
        <w:t>列于本法附件一的全国人民代表大会常务委员会制定的条例、补充规定和决定，已纳入本法或者已不适用，自本法施行之日起，予以废止。</w:t>
      </w:r>
    </w:p>
    <w:p>
      <w:pPr>
        <w:spacing w:line="240" w:lineRule="auto"/>
        <w:ind w:firstLine="640"/>
        <w:jc w:val="both"/>
      </w:pPr>
      <w:r>
        <w:rPr>
          <w:rFonts w:ascii="仿宋_GB2312" w:hAnsi="仿宋_GB2312" w:eastAsia="仿宋_GB2312" w:cs="仿宋_GB2312"/>
          <w:sz w:val="32"/>
        </w:rPr>
        <w:t>列于本法附件二的全国人民代表大会常务委员会制定的补充规定和决定予以保留。其中，有关行政处罚和行政措施的规定继续有效；有关刑事责任的规定已纳入本法，自本法施行之日起，适用本法规定。</w:t>
      </w:r>
    </w:p>
    <w:p>
      <w:pPr>
        <w:spacing w:line="240" w:lineRule="auto"/>
        <w:ind w:firstLine="640"/>
        <w:jc w:val="both"/>
        <w:rPr>
          <w:rFonts w:hint="eastAsia" w:ascii="宋体" w:hAnsi="宋体" w:eastAsia="宋体" w:cs="宋体"/>
          <w:sz w:val="32"/>
        </w:rPr>
      </w:pPr>
    </w:p>
    <w:p>
      <w:pPr>
        <w:spacing w:line="240" w:lineRule="auto"/>
        <w:jc w:val="both"/>
        <w:rPr>
          <w:rFonts w:hint="eastAsia" w:ascii="黑体" w:hAnsi="黑体" w:eastAsia="黑体" w:cs="黑体"/>
        </w:rPr>
      </w:pPr>
      <w:r>
        <w:rPr>
          <w:rFonts w:hint="eastAsia" w:ascii="黑体" w:hAnsi="黑体" w:eastAsia="黑体" w:cs="黑体"/>
          <w:sz w:val="32"/>
        </w:rPr>
        <w:t>附件一</w:t>
      </w:r>
    </w:p>
    <w:p>
      <w:pPr>
        <w:spacing w:line="240" w:lineRule="auto"/>
        <w:ind w:firstLine="640"/>
        <w:jc w:val="both"/>
      </w:pPr>
      <w:r>
        <w:rPr>
          <w:rFonts w:hint="eastAsia" w:ascii="黑体" w:hAnsi="黑体" w:eastAsia="黑体" w:cs="黑体"/>
          <w:sz w:val="32"/>
        </w:rPr>
        <w:t>全国人民代表大会常务委员会制定的下列条例、补充规定和决定，已纳入本法或者已不适用，自本法施行之日起，予以废止：</w:t>
      </w:r>
    </w:p>
    <w:p>
      <w:pPr>
        <w:spacing w:line="240" w:lineRule="auto"/>
        <w:ind w:firstLine="640"/>
        <w:jc w:val="both"/>
      </w:pPr>
      <w:r>
        <w:rPr>
          <w:rFonts w:hint="default" w:ascii="Times New Roman" w:hAnsi="Times New Roman" w:eastAsia="仿宋_GB2312" w:cs="Times New Roman"/>
          <w:sz w:val="32"/>
        </w:rPr>
        <w:t>1</w:t>
      </w:r>
      <w:r>
        <w:rPr>
          <w:rFonts w:ascii="仿宋_GB2312" w:hAnsi="仿宋_GB2312" w:eastAsia="仿宋_GB2312" w:cs="仿宋_GB2312"/>
          <w:sz w:val="32"/>
        </w:rPr>
        <w:t>．中华人民共和国惩治军人违反职责罪暂行条例</w:t>
      </w:r>
    </w:p>
    <w:p>
      <w:pPr>
        <w:spacing w:line="240" w:lineRule="auto"/>
        <w:ind w:firstLine="640"/>
        <w:jc w:val="both"/>
      </w:pPr>
      <w:r>
        <w:rPr>
          <w:rFonts w:hint="default" w:ascii="Times New Roman" w:hAnsi="Times New Roman" w:eastAsia="仿宋_GB2312" w:cs="Times New Roman"/>
          <w:sz w:val="32"/>
        </w:rPr>
        <w:t>2</w:t>
      </w:r>
      <w:r>
        <w:rPr>
          <w:rFonts w:ascii="仿宋_GB2312" w:hAnsi="仿宋_GB2312" w:eastAsia="仿宋_GB2312" w:cs="仿宋_GB2312"/>
          <w:sz w:val="32"/>
        </w:rPr>
        <w:t>．关于严惩严重破坏经济的罪犯的决定</w:t>
      </w:r>
    </w:p>
    <w:p>
      <w:pPr>
        <w:spacing w:line="240" w:lineRule="auto"/>
        <w:ind w:firstLine="640"/>
        <w:jc w:val="both"/>
      </w:pPr>
      <w:r>
        <w:rPr>
          <w:rFonts w:hint="default" w:ascii="Times New Roman" w:hAnsi="Times New Roman" w:eastAsia="仿宋_GB2312" w:cs="Times New Roman"/>
          <w:sz w:val="32"/>
        </w:rPr>
        <w:t>3</w:t>
      </w:r>
      <w:r>
        <w:rPr>
          <w:rFonts w:ascii="仿宋_GB2312" w:hAnsi="仿宋_GB2312" w:eastAsia="仿宋_GB2312" w:cs="仿宋_GB2312"/>
          <w:sz w:val="32"/>
        </w:rPr>
        <w:t>．关于严惩严重危害社会治安的犯罪分子的决定</w:t>
      </w:r>
    </w:p>
    <w:p>
      <w:pPr>
        <w:spacing w:line="240" w:lineRule="auto"/>
        <w:ind w:firstLine="640"/>
        <w:jc w:val="both"/>
      </w:pPr>
      <w:r>
        <w:rPr>
          <w:rFonts w:hint="default" w:ascii="Times New Roman" w:hAnsi="Times New Roman" w:eastAsia="仿宋_GB2312" w:cs="Times New Roman"/>
          <w:sz w:val="32"/>
        </w:rPr>
        <w:t>4</w:t>
      </w:r>
      <w:r>
        <w:rPr>
          <w:rFonts w:ascii="仿宋_GB2312" w:hAnsi="仿宋_GB2312" w:eastAsia="仿宋_GB2312" w:cs="仿宋_GB2312"/>
          <w:sz w:val="32"/>
        </w:rPr>
        <w:t>．关于惩治走私罪的补充规定</w:t>
      </w:r>
    </w:p>
    <w:p>
      <w:pPr>
        <w:spacing w:line="240" w:lineRule="auto"/>
        <w:ind w:firstLine="640"/>
        <w:jc w:val="both"/>
      </w:pPr>
      <w:r>
        <w:rPr>
          <w:rFonts w:hint="default" w:ascii="Times New Roman" w:hAnsi="Times New Roman" w:eastAsia="仿宋_GB2312" w:cs="Times New Roman"/>
          <w:sz w:val="32"/>
        </w:rPr>
        <w:t>5</w:t>
      </w:r>
      <w:r>
        <w:rPr>
          <w:rFonts w:ascii="仿宋_GB2312" w:hAnsi="仿宋_GB2312" w:eastAsia="仿宋_GB2312" w:cs="仿宋_GB2312"/>
          <w:sz w:val="32"/>
        </w:rPr>
        <w:t>．关于惩治贪污罪贿赂罪的补充规定</w:t>
      </w:r>
    </w:p>
    <w:p>
      <w:pPr>
        <w:spacing w:line="240" w:lineRule="auto"/>
        <w:ind w:firstLine="640"/>
        <w:jc w:val="both"/>
      </w:pPr>
      <w:r>
        <w:rPr>
          <w:rFonts w:hint="default" w:ascii="Times New Roman" w:hAnsi="Times New Roman" w:eastAsia="仿宋_GB2312" w:cs="Times New Roman"/>
          <w:sz w:val="32"/>
        </w:rPr>
        <w:t>6</w:t>
      </w:r>
      <w:r>
        <w:rPr>
          <w:rFonts w:ascii="仿宋_GB2312" w:hAnsi="仿宋_GB2312" w:eastAsia="仿宋_GB2312" w:cs="仿宋_GB2312"/>
          <w:sz w:val="32"/>
        </w:rPr>
        <w:t>．关于惩治泄露国家秘密犯罪的补充规定</w:t>
      </w:r>
    </w:p>
    <w:p>
      <w:pPr>
        <w:spacing w:line="240" w:lineRule="auto"/>
        <w:ind w:firstLine="640"/>
        <w:jc w:val="both"/>
      </w:pPr>
      <w:r>
        <w:rPr>
          <w:rFonts w:hint="default" w:ascii="Times New Roman" w:hAnsi="Times New Roman" w:eastAsia="仿宋_GB2312" w:cs="Times New Roman"/>
          <w:sz w:val="32"/>
        </w:rPr>
        <w:t>7</w:t>
      </w:r>
      <w:r>
        <w:rPr>
          <w:rFonts w:ascii="仿宋_GB2312" w:hAnsi="仿宋_GB2312" w:eastAsia="仿宋_GB2312" w:cs="仿宋_GB2312"/>
          <w:sz w:val="32"/>
        </w:rPr>
        <w:t>．关于惩治捕杀国家重点保护的珍贵、濒危野生动物犯罪的补充规定</w:t>
      </w:r>
    </w:p>
    <w:p>
      <w:pPr>
        <w:spacing w:line="240" w:lineRule="auto"/>
        <w:ind w:firstLine="640"/>
        <w:jc w:val="both"/>
      </w:pPr>
      <w:r>
        <w:rPr>
          <w:rFonts w:hint="default" w:ascii="Times New Roman" w:hAnsi="Times New Roman" w:eastAsia="仿宋_GB2312" w:cs="Times New Roman"/>
          <w:sz w:val="32"/>
        </w:rPr>
        <w:t>8</w:t>
      </w:r>
      <w:r>
        <w:rPr>
          <w:rFonts w:ascii="仿宋_GB2312" w:hAnsi="仿宋_GB2312" w:eastAsia="仿宋_GB2312" w:cs="仿宋_GB2312"/>
          <w:sz w:val="32"/>
        </w:rPr>
        <w:t>．关于惩治侮辱中华人民共和国国旗国徽罪的决定</w:t>
      </w:r>
    </w:p>
    <w:p>
      <w:pPr>
        <w:spacing w:line="240" w:lineRule="auto"/>
        <w:ind w:firstLine="640"/>
        <w:jc w:val="both"/>
      </w:pPr>
      <w:r>
        <w:rPr>
          <w:rFonts w:hint="default" w:ascii="Times New Roman" w:hAnsi="Times New Roman" w:eastAsia="仿宋_GB2312" w:cs="Times New Roman"/>
          <w:sz w:val="32"/>
        </w:rPr>
        <w:t>9</w:t>
      </w:r>
      <w:r>
        <w:rPr>
          <w:rFonts w:ascii="仿宋_GB2312" w:hAnsi="仿宋_GB2312" w:eastAsia="仿宋_GB2312" w:cs="仿宋_GB2312"/>
          <w:sz w:val="32"/>
        </w:rPr>
        <w:t>．关于惩治盗掘古文化遗址古墓葬犯罪的补充规定</w:t>
      </w:r>
    </w:p>
    <w:p>
      <w:pPr>
        <w:spacing w:line="240" w:lineRule="auto"/>
        <w:ind w:firstLine="640"/>
        <w:jc w:val="both"/>
      </w:pPr>
      <w:r>
        <w:rPr>
          <w:rFonts w:hint="default" w:ascii="Times New Roman" w:hAnsi="Times New Roman" w:eastAsia="仿宋_GB2312" w:cs="Times New Roman"/>
          <w:sz w:val="32"/>
        </w:rPr>
        <w:t>10</w:t>
      </w:r>
      <w:r>
        <w:rPr>
          <w:rFonts w:ascii="仿宋_GB2312" w:hAnsi="仿宋_GB2312" w:eastAsia="仿宋_GB2312" w:cs="仿宋_GB2312"/>
          <w:sz w:val="32"/>
        </w:rPr>
        <w:t>．关于惩治劫持航空器犯罪分子的决定</w:t>
      </w:r>
    </w:p>
    <w:p>
      <w:pPr>
        <w:spacing w:line="240" w:lineRule="auto"/>
        <w:ind w:firstLine="640"/>
        <w:jc w:val="both"/>
      </w:pPr>
      <w:r>
        <w:rPr>
          <w:rFonts w:hint="default" w:ascii="Times New Roman" w:hAnsi="Times New Roman" w:eastAsia="仿宋_GB2312" w:cs="Times New Roman"/>
          <w:sz w:val="32"/>
        </w:rPr>
        <w:t>11</w:t>
      </w:r>
      <w:r>
        <w:rPr>
          <w:rFonts w:ascii="仿宋_GB2312" w:hAnsi="仿宋_GB2312" w:eastAsia="仿宋_GB2312" w:cs="仿宋_GB2312"/>
          <w:sz w:val="32"/>
        </w:rPr>
        <w:t>．关于惩治假冒注册商标犯罪的补充规定</w:t>
      </w:r>
    </w:p>
    <w:p>
      <w:pPr>
        <w:spacing w:line="240" w:lineRule="auto"/>
        <w:ind w:firstLine="640"/>
        <w:jc w:val="both"/>
      </w:pPr>
      <w:r>
        <w:rPr>
          <w:rFonts w:hint="default" w:ascii="Times New Roman" w:hAnsi="Times New Roman" w:eastAsia="仿宋_GB2312" w:cs="Times New Roman"/>
          <w:sz w:val="32"/>
        </w:rPr>
        <w:t>12</w:t>
      </w:r>
      <w:r>
        <w:rPr>
          <w:rFonts w:ascii="仿宋_GB2312" w:hAnsi="仿宋_GB2312" w:eastAsia="仿宋_GB2312" w:cs="仿宋_GB2312"/>
          <w:sz w:val="32"/>
        </w:rPr>
        <w:t>．关于惩治生产、销售伪劣商品犯罪的决定</w:t>
      </w:r>
    </w:p>
    <w:p>
      <w:pPr>
        <w:spacing w:line="240" w:lineRule="auto"/>
        <w:ind w:firstLine="640"/>
        <w:jc w:val="both"/>
      </w:pPr>
      <w:r>
        <w:rPr>
          <w:rFonts w:hint="default" w:ascii="Times New Roman" w:hAnsi="Times New Roman" w:eastAsia="仿宋_GB2312" w:cs="Times New Roman"/>
          <w:sz w:val="32"/>
        </w:rPr>
        <w:t>13</w:t>
      </w:r>
      <w:r>
        <w:rPr>
          <w:rFonts w:ascii="仿宋_GB2312" w:hAnsi="仿宋_GB2312" w:eastAsia="仿宋_GB2312" w:cs="仿宋_GB2312"/>
          <w:sz w:val="32"/>
        </w:rPr>
        <w:t>．关于惩治侵犯著作权的犯罪的决定</w:t>
      </w:r>
    </w:p>
    <w:p>
      <w:pPr>
        <w:spacing w:line="240" w:lineRule="auto"/>
        <w:ind w:firstLine="640"/>
        <w:jc w:val="both"/>
      </w:pPr>
      <w:r>
        <w:rPr>
          <w:rFonts w:hint="default" w:ascii="Times New Roman" w:hAnsi="Times New Roman" w:eastAsia="仿宋_GB2312" w:cs="Times New Roman"/>
          <w:sz w:val="32"/>
        </w:rPr>
        <w:t>14</w:t>
      </w:r>
      <w:r>
        <w:rPr>
          <w:rFonts w:ascii="仿宋_GB2312" w:hAnsi="仿宋_GB2312" w:eastAsia="仿宋_GB2312" w:cs="仿宋_GB2312"/>
          <w:sz w:val="32"/>
        </w:rPr>
        <w:t>．关于惩治违反公司法的犯罪的决定</w:t>
      </w:r>
    </w:p>
    <w:p>
      <w:pPr>
        <w:spacing w:line="240" w:lineRule="auto"/>
        <w:ind w:firstLine="640"/>
        <w:jc w:val="both"/>
        <w:rPr>
          <w:rFonts w:hint="eastAsia" w:ascii="仿宋_GB2312" w:hAnsi="仿宋_GB2312" w:eastAsia="仿宋_GB2312" w:cs="仿宋_GB2312"/>
          <w:sz w:val="32"/>
          <w:lang w:eastAsia="zh-CN"/>
        </w:rPr>
      </w:pPr>
      <w:r>
        <w:rPr>
          <w:rFonts w:hint="default" w:ascii="Times New Roman" w:hAnsi="Times New Roman" w:eastAsia="仿宋_GB2312" w:cs="Times New Roman"/>
          <w:sz w:val="32"/>
        </w:rPr>
        <w:t>15</w:t>
      </w:r>
      <w:r>
        <w:rPr>
          <w:rFonts w:ascii="仿宋_GB2312" w:hAnsi="仿宋_GB2312" w:eastAsia="仿宋_GB2312" w:cs="仿宋_GB2312"/>
          <w:sz w:val="32"/>
        </w:rPr>
        <w:t>．关于处理逃跑或者重新犯罪的劳改犯和劳教人员的决定</w:t>
      </w:r>
    </w:p>
    <w:p>
      <w:pPr>
        <w:spacing w:line="240" w:lineRule="auto"/>
        <w:jc w:val="both"/>
        <w:rPr>
          <w:rFonts w:hint="eastAsia" w:ascii="黑体" w:hAnsi="黑体" w:eastAsia="黑体" w:cs="黑体"/>
        </w:rPr>
      </w:pPr>
      <w:r>
        <w:rPr>
          <w:rFonts w:hint="eastAsia" w:ascii="黑体" w:hAnsi="黑体" w:eastAsia="黑体" w:cs="黑体"/>
          <w:sz w:val="32"/>
        </w:rPr>
        <w:t>附件二</w:t>
      </w:r>
    </w:p>
    <w:p>
      <w:pPr>
        <w:spacing w:line="240" w:lineRule="auto"/>
        <w:ind w:firstLine="640"/>
        <w:jc w:val="both"/>
      </w:pPr>
      <w:r>
        <w:rPr>
          <w:rFonts w:hint="eastAsia" w:ascii="黑体" w:hAnsi="黑体" w:eastAsia="黑体" w:cs="黑体"/>
          <w:sz w:val="32"/>
        </w:rPr>
        <w:t>全国人民代表大会常务委员会制定的下列补充规定和决定予以保留，其中，有关行政处罚和行政措施的规定继续有效；有关刑事责任的规定已纳入本法，自本法施行之日起，适用本法规定：</w:t>
      </w:r>
    </w:p>
    <w:p>
      <w:pPr>
        <w:spacing w:line="240" w:lineRule="auto"/>
        <w:ind w:firstLine="640"/>
        <w:jc w:val="both"/>
      </w:pPr>
      <w:r>
        <w:rPr>
          <w:rFonts w:hint="default" w:ascii="Times New Roman" w:hAnsi="Times New Roman" w:eastAsia="仿宋_GB2312" w:cs="Times New Roman"/>
          <w:sz w:val="32"/>
        </w:rPr>
        <w:t>1</w:t>
      </w:r>
      <w:r>
        <w:rPr>
          <w:rFonts w:ascii="仿宋_GB2312" w:hAnsi="仿宋_GB2312" w:eastAsia="仿宋_GB2312" w:cs="仿宋_GB2312"/>
          <w:sz w:val="32"/>
        </w:rPr>
        <w:t>．关于禁毒的决定</w:t>
      </w:r>
    </w:p>
    <w:p>
      <w:pPr>
        <w:spacing w:line="240" w:lineRule="auto"/>
        <w:ind w:firstLine="640"/>
        <w:jc w:val="both"/>
      </w:pPr>
      <w:r>
        <w:rPr>
          <w:rFonts w:hint="default" w:ascii="Times New Roman" w:hAnsi="Times New Roman" w:eastAsia="仿宋_GB2312" w:cs="Times New Roman"/>
          <w:sz w:val="32"/>
        </w:rPr>
        <w:t>2</w:t>
      </w:r>
      <w:r>
        <w:rPr>
          <w:rFonts w:ascii="仿宋_GB2312" w:hAnsi="仿宋_GB2312" w:eastAsia="仿宋_GB2312" w:cs="仿宋_GB2312"/>
          <w:sz w:val="32"/>
        </w:rPr>
        <w:t>．关于惩治走私、制作、贩卖、传播淫秽物品的犯罪分子的决定</w:t>
      </w:r>
    </w:p>
    <w:p>
      <w:pPr>
        <w:spacing w:line="240" w:lineRule="auto"/>
        <w:ind w:firstLine="640"/>
        <w:jc w:val="both"/>
      </w:pPr>
      <w:r>
        <w:rPr>
          <w:rFonts w:hint="default" w:ascii="Times New Roman" w:hAnsi="Times New Roman" w:eastAsia="仿宋_GB2312" w:cs="Times New Roman"/>
          <w:sz w:val="32"/>
        </w:rPr>
        <w:t>3</w:t>
      </w:r>
      <w:r>
        <w:rPr>
          <w:rFonts w:ascii="仿宋_GB2312" w:hAnsi="仿宋_GB2312" w:eastAsia="仿宋_GB2312" w:cs="仿宋_GB2312"/>
          <w:sz w:val="32"/>
        </w:rPr>
        <w:t>．关于严禁卖淫嫖娼的决定</w:t>
      </w:r>
    </w:p>
    <w:p>
      <w:pPr>
        <w:spacing w:line="240" w:lineRule="auto"/>
        <w:ind w:firstLine="640"/>
        <w:jc w:val="both"/>
      </w:pPr>
      <w:r>
        <w:rPr>
          <w:rFonts w:hint="default" w:ascii="Times New Roman" w:hAnsi="Times New Roman" w:eastAsia="仿宋_GB2312" w:cs="Times New Roman"/>
          <w:sz w:val="32"/>
        </w:rPr>
        <w:t>4</w:t>
      </w:r>
      <w:r>
        <w:rPr>
          <w:rFonts w:ascii="仿宋_GB2312" w:hAnsi="仿宋_GB2312" w:eastAsia="仿宋_GB2312" w:cs="仿宋_GB2312"/>
          <w:sz w:val="32"/>
        </w:rPr>
        <w:t>．关于严惩拐卖、绑架妇女、儿童的犯罪分子的决定</w:t>
      </w:r>
    </w:p>
    <w:p>
      <w:pPr>
        <w:spacing w:line="240" w:lineRule="auto"/>
        <w:ind w:firstLine="640"/>
        <w:jc w:val="both"/>
      </w:pPr>
      <w:r>
        <w:rPr>
          <w:rFonts w:hint="default" w:ascii="Times New Roman" w:hAnsi="Times New Roman" w:eastAsia="仿宋_GB2312" w:cs="Times New Roman"/>
          <w:sz w:val="32"/>
        </w:rPr>
        <w:t>5</w:t>
      </w:r>
      <w:r>
        <w:rPr>
          <w:rFonts w:ascii="仿宋_GB2312" w:hAnsi="仿宋_GB2312" w:eastAsia="仿宋_GB2312" w:cs="仿宋_GB2312"/>
          <w:sz w:val="32"/>
        </w:rPr>
        <w:t>．关于惩治偷税、抗税犯罪的补充规定</w:t>
      </w:r>
    </w:p>
    <w:p>
      <w:pPr>
        <w:spacing w:line="240" w:lineRule="auto"/>
        <w:ind w:firstLine="640"/>
        <w:jc w:val="both"/>
      </w:pPr>
      <w:r>
        <w:rPr>
          <w:rFonts w:hint="default" w:ascii="Times New Roman" w:hAnsi="Times New Roman" w:eastAsia="仿宋_GB2312" w:cs="Times New Roman"/>
          <w:sz w:val="32"/>
        </w:rPr>
        <w:t>6</w:t>
      </w:r>
      <w:r>
        <w:rPr>
          <w:rFonts w:ascii="仿宋_GB2312" w:hAnsi="仿宋_GB2312" w:eastAsia="仿宋_GB2312" w:cs="仿宋_GB2312"/>
          <w:sz w:val="32"/>
        </w:rPr>
        <w:t>．关于严惩组织、运送他人偷越国（边）境犯罪的补充规定</w:t>
      </w:r>
    </w:p>
    <w:p>
      <w:pPr>
        <w:spacing w:line="240" w:lineRule="auto"/>
        <w:ind w:firstLine="640"/>
        <w:jc w:val="both"/>
      </w:pPr>
      <w:r>
        <w:rPr>
          <w:rFonts w:hint="default" w:ascii="Times New Roman" w:hAnsi="Times New Roman" w:eastAsia="仿宋_GB2312" w:cs="Times New Roman"/>
          <w:sz w:val="32"/>
        </w:rPr>
        <w:t>7</w:t>
      </w:r>
      <w:r>
        <w:rPr>
          <w:rFonts w:ascii="仿宋_GB2312" w:hAnsi="仿宋_GB2312" w:eastAsia="仿宋_GB2312" w:cs="仿宋_GB2312"/>
          <w:sz w:val="32"/>
        </w:rPr>
        <w:t>．关于惩治破坏金融秩序犯罪的决定</w:t>
      </w:r>
    </w:p>
    <w:p>
      <w:pPr>
        <w:spacing w:line="240" w:lineRule="auto"/>
        <w:ind w:firstLine="640"/>
        <w:jc w:val="both"/>
      </w:pPr>
      <w:r>
        <w:rPr>
          <w:rFonts w:hint="default" w:ascii="Times New Roman" w:hAnsi="Times New Roman" w:eastAsia="仿宋_GB2312" w:cs="Times New Roman"/>
          <w:sz w:val="32"/>
        </w:rPr>
        <w:t>8</w:t>
      </w:r>
      <w:r>
        <w:rPr>
          <w:rFonts w:ascii="仿宋_GB2312" w:hAnsi="仿宋_GB2312" w:eastAsia="仿宋_GB2312" w:cs="仿宋_GB2312"/>
          <w:sz w:val="32"/>
        </w:rPr>
        <w:t>．关于惩治虚开、伪造和非法出售增值税专用发票犯罪的决定</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ordWrap/>
        <w:spacing w:line="560" w:lineRule="exact"/>
        <w:jc w:val="center"/>
        <w:textAlignment w:val="auto"/>
        <w:outlineLvl w:val="0"/>
        <w:rPr>
          <w:rFonts w:hint="eastAsia" w:ascii="Times New Roman" w:hAnsi="Times New Roman" w:eastAsia="宋体" w:cs="宋体"/>
          <w:sz w:val="44"/>
          <w:szCs w:val="44"/>
        </w:rPr>
      </w:pPr>
      <w:bookmarkStart w:id="219" w:name="_Toc4331"/>
      <w:r>
        <w:rPr>
          <w:rFonts w:hint="eastAsia" w:ascii="Times New Roman" w:hAnsi="Times New Roman" w:eastAsia="宋体" w:cs="宋体"/>
          <w:sz w:val="44"/>
          <w:szCs w:val="44"/>
        </w:rPr>
        <w:t>中华人民共和国刑事诉讼法</w:t>
      </w:r>
      <w:bookmarkEnd w:id="219"/>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（1979年7月1日第五届全国人民代表大会第二次会议通过　根据1996年3月17日第八届全国人民代表大会第四次会议《关于修改〈中华人民共和国刑事诉讼法〉的决定》第一次修正　根据2012年3月14日第十一届全国人民代表大会第五次会议《关于修改〈中华人民共和国刑事诉讼法〉的决定》第二次修正　根据2018年10月26日第十三届全国人民代表大会常务委员会第六次会议《关于修改〈中华人民共和国刑事诉讼法〉的决定》第三次修正）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目</w:t>
      </w:r>
      <w:r>
        <w:rPr>
          <w:rFonts w:hint="eastAsia" w:ascii="宋体" w:hAnsi="宋体" w:eastAsia="楷体_GB2312" w:cs="Arial"/>
          <w:kern w:val="0"/>
          <w:szCs w:val="32"/>
          <w:lang w:eastAsia="zh-CN"/>
        </w:rPr>
        <w:t>　　</w:t>
      </w:r>
      <w:r>
        <w:rPr>
          <w:rFonts w:hint="eastAsia" w:ascii="宋体" w:hAnsi="宋体" w:eastAsia="楷体_GB2312" w:cs="Arial"/>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第一编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第一章　任务和基本原则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第三章　回避</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第四章　辩护与代理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第五章　证据</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第六章　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第七章　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第八章　期间、送达</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第九章　其他规定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第二编　立案、侦查和提起公诉</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第一章　立案</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第二章　侦查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第一节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第二节　讯问犯罪嫌疑人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第三节　询问证人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第四节　勘验、检查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第五节　搜查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第六节　查封、扣押物证、书证</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第七节　鉴定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第八节　技术侦查措施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第九节　通缉</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第十节　侦查终结</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第十一节　人民检察院对直接受理的案件的侦查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第三章　提起公诉</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第三编　审判</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第一章　审判组织</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第二章　第一审程序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第一节　公诉案件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第二节　自诉案件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第三节　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第四节　速裁程序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第三章　第二审程序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第四章　死刑复核程序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第五章　审判监督程序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第四编　执行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第五编　特别程序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第一章　未成年人刑事案件诉讼程序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第二章　当事人和解的公诉案件诉讼程序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第三章　缺席审判程序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第四章　犯罪嫌疑人、被告人逃匿、死亡案件违法所得的没收程序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第五章　依法不负刑事责任的精神病人的强制医疗程序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第一编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任务和基本原则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第一条</w:t>
      </w:r>
      <w:r>
        <w:rPr>
          <w:rFonts w:hint="eastAsia" w:ascii="宋体" w:hAnsi="宋体" w:cs="Arial"/>
          <w:kern w:val="0"/>
          <w:szCs w:val="32"/>
        </w:rPr>
        <w:t>　为了保证刑法的正确实施，惩罚犯罪，保护人民，保障国家安全和社会公共安全，维护社会主义社会秩序，根据宪法，制定本法。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第二条</w:t>
      </w:r>
      <w:r>
        <w:rPr>
          <w:rFonts w:hint="eastAsia" w:ascii="宋体" w:hAnsi="宋体" w:cs="Arial"/>
          <w:kern w:val="0"/>
          <w:szCs w:val="32"/>
        </w:rPr>
        <w:t>　中华人民共和国刑事诉讼法的任务，是保证准确、及时地查明犯罪事实，正确应用法律，惩罚犯罪分子，保障无罪的人不受刑事追究，教育公民自觉遵守法律，积极同犯罪行为作斗争，维护社会主义法制，尊重和保障人权，保护公民的人身权利、财产权利、民主权利和其他权利，保障社会主义建设事业的顺利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第三条</w:t>
      </w:r>
      <w:r>
        <w:rPr>
          <w:rFonts w:hint="eastAsia" w:ascii="宋体" w:hAnsi="宋体" w:cs="Arial"/>
          <w:kern w:val="0"/>
          <w:szCs w:val="32"/>
        </w:rPr>
        <w:t>　对刑事案件的侦查、拘留、执行逮捕、预审，由公安机关负责。检察、批准逮捕、检察机关直接受理的案件的侦查、提起公诉，由人民检察院负责。审判由人民法院负责。除法律特别规定的以外，其他任何机关、团体和个人都无权行使这些权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人民法院、人民检察院和公安机关进行刑事诉讼，必须严格遵守本法和其他法律的有关规定。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第四条</w:t>
      </w:r>
      <w:r>
        <w:rPr>
          <w:rFonts w:hint="eastAsia" w:ascii="宋体" w:hAnsi="宋体" w:cs="Arial"/>
          <w:kern w:val="0"/>
          <w:szCs w:val="32"/>
        </w:rPr>
        <w:t>　国家安全机关依照法律规定，办理危害国家安全的刑事案件，行使与公安机关相同的职权。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第五条</w:t>
      </w:r>
      <w:r>
        <w:rPr>
          <w:rFonts w:hint="eastAsia" w:ascii="宋体" w:hAnsi="宋体" w:cs="Arial"/>
          <w:kern w:val="0"/>
          <w:szCs w:val="32"/>
        </w:rPr>
        <w:t>　人民法院依照法律规定独立行使审判权，人民检察院依照法律规定独立行使检察权，不受行政机关、社会团体和个人的干涉。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第六条</w:t>
      </w:r>
      <w:r>
        <w:rPr>
          <w:rFonts w:hint="eastAsia" w:ascii="宋体" w:hAnsi="宋体" w:cs="Arial"/>
          <w:kern w:val="0"/>
          <w:szCs w:val="32"/>
        </w:rPr>
        <w:t>　人民法院、人民检察院和公安机关进行刑事诉讼，必须依靠群众，必须以事实为根据，以法律为准绳。对于一切公民，在适用法律上一律平等，在法律面前，不允许有任何特权。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第七条</w:t>
      </w:r>
      <w:r>
        <w:rPr>
          <w:rFonts w:hint="eastAsia" w:ascii="宋体" w:hAnsi="宋体" w:cs="Arial"/>
          <w:kern w:val="0"/>
          <w:szCs w:val="32"/>
        </w:rPr>
        <w:t>　人民法院、人民检察院和公安机关进行刑事诉讼，应当分工负责，互相配合，互相制约，以保证准确有效地执行法律。</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第八条</w:t>
      </w:r>
      <w:r>
        <w:rPr>
          <w:rFonts w:hint="eastAsia" w:ascii="宋体" w:hAnsi="宋体" w:cs="Arial"/>
          <w:kern w:val="0"/>
          <w:szCs w:val="32"/>
        </w:rPr>
        <w:t>　人民检察院依法对刑事诉讼实行法律监督。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第九条</w:t>
      </w:r>
      <w:r>
        <w:rPr>
          <w:rFonts w:hint="eastAsia" w:ascii="宋体" w:hAnsi="宋体" w:cs="Arial"/>
          <w:kern w:val="0"/>
          <w:szCs w:val="32"/>
        </w:rPr>
        <w:t>　各民族公民都有用本民族语言文字进行诉讼的权利。人民法院、人民检察院和公安机关对于不通晓当地通用的语言文字的诉讼参与人，应当为他们翻译。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在少数民族聚居或者多民族杂居的地区，应当用当地通用的语言进行审讯，用当地通用的文字发布判决书、布告和其他文件。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第十条</w:t>
      </w:r>
      <w:r>
        <w:rPr>
          <w:rFonts w:hint="eastAsia" w:ascii="宋体" w:hAnsi="宋体" w:cs="Arial"/>
          <w:kern w:val="0"/>
          <w:szCs w:val="32"/>
        </w:rPr>
        <w:t>　人民法院审判案件，实行两审终审制。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第十一条</w:t>
      </w:r>
      <w:r>
        <w:rPr>
          <w:rFonts w:hint="eastAsia" w:ascii="宋体" w:hAnsi="宋体" w:cs="Arial"/>
          <w:kern w:val="0"/>
          <w:szCs w:val="32"/>
        </w:rPr>
        <w:t>　人民法院审判案件，除本法另有规定的以外，一律公开进行。被告人有权获得辩护，人民法院有义务保证被告人获得辩护。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第十二条</w:t>
      </w:r>
      <w:r>
        <w:rPr>
          <w:rFonts w:hint="eastAsia" w:ascii="宋体" w:hAnsi="宋体" w:cs="Arial"/>
          <w:kern w:val="0"/>
          <w:szCs w:val="32"/>
        </w:rPr>
        <w:t>　未经人民法院依法判决，对任何人都不得确定有罪。</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第十三条</w:t>
      </w:r>
      <w:r>
        <w:rPr>
          <w:rFonts w:hint="eastAsia" w:ascii="宋体" w:hAnsi="宋体" w:cs="Arial"/>
          <w:kern w:val="0"/>
          <w:szCs w:val="32"/>
        </w:rPr>
        <w:t>　人民法院审判案件，依照本法实行人民陪审员陪审的制度。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第十四条</w:t>
      </w:r>
      <w:r>
        <w:rPr>
          <w:rFonts w:hint="eastAsia" w:ascii="宋体" w:hAnsi="宋体" w:cs="Arial"/>
          <w:kern w:val="0"/>
          <w:szCs w:val="32"/>
        </w:rPr>
        <w:t>　人民法院、人民检察院和公安机关应当保障犯罪嫌疑人、被告人和其他诉讼参与人依法享有的辩护权和其他诉讼权利。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诉讼参与人对于审判人员、检察人员和侦查人员侵犯公民诉讼权利和人身侮辱的行为，有权提出控告。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第十五条</w:t>
      </w:r>
      <w:r>
        <w:rPr>
          <w:rFonts w:hint="eastAsia" w:ascii="宋体" w:hAnsi="宋体" w:cs="Arial"/>
          <w:kern w:val="0"/>
          <w:szCs w:val="32"/>
        </w:rPr>
        <w:t>　犯罪嫌疑人、被告人自愿如实供述自己的罪行，承认指控的犯罪事实，愿意接受处罚的，可以依法从宽处理。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第十六条</w:t>
      </w:r>
      <w:r>
        <w:rPr>
          <w:rFonts w:hint="eastAsia" w:ascii="宋体" w:hAnsi="宋体" w:cs="Arial"/>
          <w:kern w:val="0"/>
          <w:szCs w:val="32"/>
        </w:rPr>
        <w:t>　有下列情形之一的，不追究刑事责任，已经追究的，应当撤销案件，或者不起诉，或者终止审理，或者宣告无罪：</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（一）情节显著轻微、危害不大，不认为是犯罪的；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（二）犯罪已过追诉时效期限的；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（三）经特赦令免除刑罚的；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（四）依照刑法告诉才处理的犯罪，没有告诉或者撤回告诉的；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（五）犯罪嫌疑人、被告人死亡的；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（六）其他法律规定免予追究刑事责任的。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第十七条</w:t>
      </w:r>
      <w:r>
        <w:rPr>
          <w:rFonts w:hint="eastAsia" w:ascii="宋体" w:hAnsi="宋体" w:cs="Arial"/>
          <w:kern w:val="0"/>
          <w:szCs w:val="32"/>
          <w:lang w:eastAsia="zh-CN"/>
        </w:rPr>
        <w:t>　</w:t>
      </w:r>
      <w:r>
        <w:rPr>
          <w:rFonts w:hint="eastAsia" w:ascii="宋体" w:hAnsi="宋体" w:cs="Arial"/>
          <w:kern w:val="0"/>
          <w:szCs w:val="32"/>
        </w:rPr>
        <w:t>对于外国人犯罪应当追究刑事责任的，适用本法的规定。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对于享有外交特权和豁免权的外国人犯罪应当追究刑事责任的，通过外交途径解决。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第十八条</w:t>
      </w:r>
      <w:r>
        <w:rPr>
          <w:rFonts w:hint="eastAsia" w:ascii="宋体" w:hAnsi="宋体" w:cs="Arial"/>
          <w:kern w:val="0"/>
          <w:szCs w:val="32"/>
          <w:lang w:eastAsia="zh-CN"/>
        </w:rPr>
        <w:t>　</w:t>
      </w:r>
      <w:r>
        <w:rPr>
          <w:rFonts w:hint="eastAsia" w:ascii="宋体" w:hAnsi="宋体" w:cs="Arial"/>
          <w:kern w:val="0"/>
          <w:szCs w:val="32"/>
        </w:rPr>
        <w:t>根据中华人民共和国缔结或者参加的国际条约，或者按照互惠原则，我国司法机关和外国司法机关可以相互请求刑事司法协助。</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第十九条</w:t>
      </w:r>
      <w:r>
        <w:rPr>
          <w:rFonts w:hint="eastAsia" w:ascii="宋体" w:hAnsi="宋体" w:cs="Arial"/>
          <w:kern w:val="0"/>
          <w:szCs w:val="32"/>
        </w:rPr>
        <w:t>　刑事案件的侦查由公安机关进行，法律另有规定的除外。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在对诉讼活动实行法律监督中发现的司法工作人员利用职权实施的非法拘禁、刑讯逼供、非法搜查等侵犯公民权利、损害司法公正的犯罪，可以由人民检察院立案侦查。对于公安机关管辖的国家机关工作人员利用职权实施的重大犯罪案件，需要由人民检察院直接受理的时候，经省级以上人民检察院决定，可以由人民检察院立案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自诉案件，由人民法院直接受理。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第二十条</w:t>
      </w:r>
      <w:r>
        <w:rPr>
          <w:rFonts w:hint="eastAsia" w:ascii="宋体" w:hAnsi="宋体" w:cs="Arial"/>
          <w:kern w:val="0"/>
          <w:szCs w:val="32"/>
        </w:rPr>
        <w:t>　基层人民</w:t>
      </w:r>
      <w:r>
        <w:rPr>
          <w:rFonts w:hint="eastAsia" w:ascii="宋体" w:hAnsi="宋体" w:eastAsia="仿宋_GB2312" w:cs="仿宋_GB2312"/>
          <w:kern w:val="0"/>
          <w:szCs w:val="32"/>
        </w:rPr>
        <w:t>法院管辖第一审普通刑事案件，但是依照本法由上级人民法院管辖的除外。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第二十一条</w:t>
      </w:r>
      <w:r>
        <w:rPr>
          <w:rFonts w:hint="eastAsia" w:ascii="宋体" w:hAnsi="宋体" w:cs="Arial"/>
          <w:kern w:val="0"/>
          <w:szCs w:val="32"/>
        </w:rPr>
        <w:t>　中级人民</w:t>
      </w:r>
      <w:r>
        <w:rPr>
          <w:rFonts w:hint="eastAsia" w:ascii="宋体" w:hAnsi="宋体" w:eastAsia="仿宋_GB2312" w:cs="仿宋_GB2312"/>
          <w:kern w:val="0"/>
          <w:szCs w:val="32"/>
        </w:rPr>
        <w:t>法院管辖下列第一审刑事案件：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（一）危害国家安全、恐怖活动案件；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（二）可能判处无期徒刑、死刑的案件。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第二十二条</w:t>
      </w:r>
      <w:r>
        <w:rPr>
          <w:rFonts w:hint="eastAsia" w:ascii="宋体" w:hAnsi="宋体" w:cs="Arial"/>
          <w:kern w:val="0"/>
          <w:szCs w:val="32"/>
        </w:rPr>
        <w:t>　高级人民法</w:t>
      </w:r>
      <w:r>
        <w:rPr>
          <w:rFonts w:hint="eastAsia" w:ascii="宋体" w:hAnsi="宋体" w:eastAsia="仿宋_GB2312" w:cs="仿宋_GB2312"/>
          <w:kern w:val="0"/>
          <w:szCs w:val="32"/>
        </w:rPr>
        <w:t>院管辖的第一审刑事案件，是全省（自治区、直辖市）性的重大刑事案件。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第二十三条</w:t>
      </w:r>
      <w:r>
        <w:rPr>
          <w:rFonts w:hint="eastAsia" w:ascii="宋体" w:hAnsi="宋体" w:cs="Arial"/>
          <w:kern w:val="0"/>
          <w:szCs w:val="32"/>
        </w:rPr>
        <w:t>　最高人民</w:t>
      </w:r>
      <w:r>
        <w:rPr>
          <w:rFonts w:hint="eastAsia" w:ascii="宋体" w:hAnsi="宋体" w:eastAsia="仿宋_GB2312" w:cs="仿宋_GB2312"/>
          <w:kern w:val="0"/>
          <w:szCs w:val="32"/>
        </w:rPr>
        <w:t>法院管辖的第一审刑事案件，是全国性的重大刑事案件。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第二十四条</w:t>
      </w:r>
      <w:r>
        <w:rPr>
          <w:rFonts w:hint="eastAsia" w:ascii="宋体" w:hAnsi="宋体" w:cs="Arial"/>
          <w:kern w:val="0"/>
          <w:szCs w:val="32"/>
        </w:rPr>
        <w:t>　上级人</w:t>
      </w:r>
      <w:r>
        <w:rPr>
          <w:rFonts w:hint="eastAsia" w:ascii="宋体" w:hAnsi="宋体" w:eastAsia="仿宋_GB2312" w:cs="仿宋_GB2312"/>
          <w:kern w:val="0"/>
          <w:szCs w:val="32"/>
        </w:rPr>
        <w:t>民法院在必要的时候，可以审判下级人民法院管辖的第一审刑事案件；下级人民法院认为案情重大、复杂需要由上级人民法院审判的第一审刑事案件，可以请求移送上一级人民法院审判。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第二十五条</w:t>
      </w:r>
      <w:r>
        <w:rPr>
          <w:rFonts w:hint="eastAsia" w:ascii="宋体" w:hAnsi="宋体" w:cs="Arial"/>
          <w:kern w:val="0"/>
          <w:szCs w:val="32"/>
        </w:rPr>
        <w:t>　刑事案件由犯罪地的人民法院管辖。如果由被告人居住地的人民法院审判更为适宜的，可以由被告人居住地的人民法院管辖。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第二十六条</w:t>
      </w:r>
      <w:r>
        <w:rPr>
          <w:rFonts w:hint="eastAsia" w:ascii="宋体" w:hAnsi="宋体" w:cs="Arial"/>
          <w:kern w:val="0"/>
          <w:szCs w:val="32"/>
        </w:rPr>
        <w:t>　几个同级人民法院都有权管辖的案件，由最初受理的人民法院审判。在必要的时候，可以移送主要犯罪地的人民法院审判。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第二十七条</w:t>
      </w:r>
      <w:r>
        <w:rPr>
          <w:rFonts w:hint="eastAsia" w:ascii="宋体" w:hAnsi="宋体" w:cs="Arial"/>
          <w:kern w:val="0"/>
          <w:szCs w:val="32"/>
        </w:rPr>
        <w:t>　上级人民法院可以指定下级人民法院审判管辖不明的案件，也可以指定下级人民法院将案件移送其他人民法院审判。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第二十八条</w:t>
      </w:r>
      <w:r>
        <w:rPr>
          <w:rFonts w:hint="eastAsia" w:ascii="宋体" w:hAnsi="宋体" w:cs="Arial"/>
          <w:kern w:val="0"/>
          <w:szCs w:val="32"/>
        </w:rPr>
        <w:t>　专门人民法院案件的管辖另行规定。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回避</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第二十九条</w:t>
      </w:r>
      <w:r>
        <w:rPr>
          <w:rFonts w:hint="eastAsia" w:ascii="宋体" w:hAnsi="宋体" w:cs="Arial"/>
          <w:kern w:val="0"/>
          <w:szCs w:val="32"/>
        </w:rPr>
        <w:t>　审判人员、检察人员、侦查人员有下列情形之一的，应当自行回避，当事人及其法定代理人也有权要求他们回避：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（一）是本案的当事人或者是当事人的近亲属的；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（二）本人或者他的近亲属和本案有利害关系的；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（三）担任过本案的证人、鉴定人、辩护人、诉讼代理人的；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（四）与本案当事人有其他关系，可能影响公正处理案件的。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第三十条</w:t>
      </w:r>
      <w:r>
        <w:rPr>
          <w:rFonts w:hint="eastAsia" w:ascii="宋体" w:hAnsi="宋体" w:cs="Arial"/>
          <w:kern w:val="0"/>
          <w:szCs w:val="32"/>
        </w:rPr>
        <w:t>　审判人员、检察人员、侦查人员不得接受当事人及其委托的人的请客送礼，不得违反规定会见当事人及其委托的人。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审判人员、检察人员、侦查人员违反前款规定的，应当依法追究法律责任。当事人及其法定代理人有权要求他们回避。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第三十一条</w:t>
      </w:r>
      <w:r>
        <w:rPr>
          <w:rFonts w:hint="eastAsia" w:ascii="宋体" w:hAnsi="宋体" w:cs="Arial"/>
          <w:kern w:val="0"/>
          <w:szCs w:val="32"/>
        </w:rPr>
        <w:t>　审判人员、检察人员、侦查人员的回避，应当分别由院长、检察长、公安机关负责人决定；院长的回避，由本院审判委员会决定；检察长和公安机关负责人的回避，由同级人民检察院检察委员会决定。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对侦查人员的回避作出决定前，侦查人员不能停止对案件的侦查。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对驳回申请回避的决定，当事人及其法定代理人可以申请复议一次。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第三十二条</w:t>
      </w:r>
      <w:r>
        <w:rPr>
          <w:rFonts w:hint="eastAsia" w:ascii="宋体" w:hAnsi="宋体" w:cs="Arial"/>
          <w:kern w:val="0"/>
          <w:szCs w:val="32"/>
        </w:rPr>
        <w:t>　本章关于回避的规定适用于书记员、翻译人员和鉴定人。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辩护人、诉讼代理人可以依照本章的规定要求回避、申请复议。</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辩护与代理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第三十三条</w:t>
      </w:r>
      <w:r>
        <w:rPr>
          <w:rFonts w:hint="eastAsia" w:ascii="宋体" w:hAnsi="宋体" w:cs="Arial"/>
          <w:kern w:val="0"/>
          <w:szCs w:val="32"/>
        </w:rPr>
        <w:t>　犯罪嫌疑人、被告人除自己行使辩护权以外，还可以委托一至二人作为辩护人。下列的人可以被委托为辩护人：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（一）律师；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（二）人民团体或者犯罪嫌疑人、被告人所在单位推荐的人；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（三）犯罪嫌疑人、被告人的监护人、亲友。</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正在被执行刑罚或者依法被剥夺、限制人身自由的人，不得担任辩护人。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被开除公职和被吊销律师、公证员执业证书的人，不得担任辩护人，但系犯罪嫌疑人、被告人的监护人、近亲属的除外。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第三十四条</w:t>
      </w:r>
      <w:r>
        <w:rPr>
          <w:rFonts w:hint="eastAsia" w:ascii="宋体" w:hAnsi="宋体" w:cs="Arial"/>
          <w:kern w:val="0"/>
          <w:szCs w:val="32"/>
        </w:rPr>
        <w:t>　犯罪嫌疑人</w:t>
      </w:r>
      <w:r>
        <w:rPr>
          <w:rFonts w:hint="eastAsia" w:ascii="宋体" w:hAnsi="宋体" w:eastAsia="仿宋_GB2312" w:cs="仿宋_GB2312"/>
          <w:kern w:val="0"/>
          <w:szCs w:val="32"/>
        </w:rPr>
        <w:t>自被侦查机关第一次讯问或者采取强制措施之日起，有权委托辩护人；在侦查期间，只能委托律师作为辩护人。被告人有权随时委托辩护人。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侦查机关在第一次讯问犯罪嫌疑人或者对犯罪嫌疑人采取强制措施的时候，应当告知犯罪嫌疑人有权委托辩护人。人民检察院自收到移送审查起诉的案件材料之日起三日以内，应当告知犯罪嫌疑人有权委托辩护人。人民法院自受理案件之日起三日以内，应当告知被告人有权委托辩护人。犯罪嫌疑人、被告人在押期间要求委托辩护人的，人民法院、人民检察院和公安机关应当及时转达其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犯罪嫌疑人、被告人在押的，也可以由其监护人、近亲属代为委托辩护人。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辩护人接受犯罪嫌疑人、被告人委托后，应当及时告知办理案件的机关。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第三十五条</w:t>
      </w:r>
      <w:r>
        <w:rPr>
          <w:rFonts w:hint="eastAsia" w:ascii="宋体" w:hAnsi="宋体" w:cs="Arial"/>
          <w:kern w:val="0"/>
          <w:szCs w:val="32"/>
        </w:rPr>
        <w:t>　犯罪嫌疑人、被告人因经济困难或者其他原因没有委托辩护人的，本人及其近亲属可以向法律援助机构提出申请。对符合法律援助条件的，法律援助机构应当指派律师为其提供辩护。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犯罪嫌疑人、被告人是盲、聋、哑人，或者是尚未完全丧失辨认或者控制自己行为能力的精神病人，没有委托辩护人的，人民法院、人民检察院和公安机关应当通知法律援助机构指派律师为其提供辩护。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犯罪嫌疑人、被告人可能被判处无期徒刑、死刑，没有委托辩护人的，人民法院、人民检察院和公安机关应当通知法律援助机构指派律师为其提供辩护。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第三十六条</w:t>
      </w:r>
      <w:r>
        <w:rPr>
          <w:rFonts w:hint="eastAsia" w:ascii="宋体" w:hAnsi="宋体" w:cs="Arial"/>
          <w:kern w:val="0"/>
          <w:szCs w:val="32"/>
        </w:rPr>
        <w:t>　法律援助机构可以在人民法院、看守所等场所派驻值班律师。犯罪嫌疑人、被告人没有委托辩护人，法律援助机构没有指派律师为其提供辩护的，由值班律师为犯罪嫌疑人、被告人提供法律咨询、程序选择建议、申请变更强制措施、对案件处理提出意见等法律帮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人民法院、人民检察院、看守所应当告知犯罪嫌疑人、被告人有权约见值班律师，并为犯罪嫌疑人、被告人约见值班律师提供便利。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第三十七条</w:t>
      </w:r>
      <w:r>
        <w:rPr>
          <w:rFonts w:hint="eastAsia" w:ascii="宋体" w:hAnsi="宋体" w:cs="Arial"/>
          <w:kern w:val="0"/>
          <w:szCs w:val="32"/>
        </w:rPr>
        <w:t>　辩护人的责任是根据事实和法律，提出犯罪嫌疑人、被告人无罪、罪轻或者减轻、免除其刑事责任的材料和意见，维护犯罪嫌疑人、被告人的诉讼权利和其他合法权益。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第三十八条</w:t>
      </w:r>
      <w:r>
        <w:rPr>
          <w:rFonts w:hint="eastAsia" w:ascii="宋体" w:hAnsi="宋体" w:cs="Arial"/>
          <w:kern w:val="0"/>
          <w:szCs w:val="32"/>
        </w:rPr>
        <w:t>　辩护律师在侦查期间可以为犯罪嫌疑人提供法律帮助；代理申诉、控告；申请变更强制措施；向侦查机关了解犯罪嫌疑人涉嫌的罪名和案件有关情况，提出意见。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第三十九条</w:t>
      </w:r>
      <w:r>
        <w:rPr>
          <w:rFonts w:hint="eastAsia" w:ascii="宋体" w:hAnsi="宋体" w:cs="Arial"/>
          <w:kern w:val="0"/>
          <w:szCs w:val="32"/>
        </w:rPr>
        <w:t>　辩护律师可以同在押的犯罪嫌疑人、被告人会见和通信。其他辩护人经人民法院、人民检察院许可，也可以同在押的犯罪嫌疑人、被告人会见和通信。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辩护律师持律师执业证书、律师事务所证明和委托书或者法律援助公函要求会见在押的犯罪嫌疑人、被告人的，看守所应当及时安排会见，至迟不得超过四十八小时。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危害国家安全犯罪、恐怖活动犯罪案件，在侦查期间辩护律师会见在押的犯罪嫌疑人，应当经侦查机关许可。上述案件，侦查机关应当事先通知看守所。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辩护律师会见在押的犯罪嫌疑人、被告人，可以了解案件有关情况，提供法律咨询等；自案件移送审查起诉之日起，可以向犯罪嫌疑人、被告人核实有关证据。辩护律师会见犯罪嫌疑人、被告人时不被监听。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辩</w:t>
      </w:r>
      <w:r>
        <w:rPr>
          <w:rFonts w:hint="eastAsia" w:ascii="宋体" w:hAnsi="宋体" w:eastAsia="仿宋_GB2312" w:cs="仿宋_GB2312"/>
          <w:kern w:val="0"/>
          <w:szCs w:val="32"/>
        </w:rPr>
        <w:t>护律师同被监视居住的犯罪嫌疑人、被告人会见、通信，适用第一款、第三款、第四款的规定。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第四十条</w:t>
      </w:r>
      <w:r>
        <w:rPr>
          <w:rFonts w:hint="eastAsia" w:ascii="宋体" w:hAnsi="宋体" w:cs="Arial"/>
          <w:kern w:val="0"/>
          <w:szCs w:val="32"/>
        </w:rPr>
        <w:t>　辩护律师自人民检察院对案件审查起诉之日起，可以查阅、摘抄、复制本案的案卷材料。其他辩护人经人民法院、人民检察院许可，也可以查阅、摘抄、复制上述材料。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第四十一条</w:t>
      </w:r>
      <w:r>
        <w:rPr>
          <w:rFonts w:hint="eastAsia" w:ascii="宋体" w:hAnsi="宋体" w:cs="Arial"/>
          <w:kern w:val="0"/>
          <w:szCs w:val="32"/>
        </w:rPr>
        <w:t>　辩护人认为在侦查、审查起诉期间公安机关、人民检察院收集的证明犯罪嫌疑人、被告人无罪或者罪轻的证据材料未提交的，有权申请人民检察院、人民法院调取。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第四十二条</w:t>
      </w:r>
      <w:r>
        <w:rPr>
          <w:rFonts w:hint="eastAsia" w:ascii="宋体" w:hAnsi="宋体" w:cs="Arial"/>
          <w:kern w:val="0"/>
          <w:szCs w:val="32"/>
        </w:rPr>
        <w:t>　辩护人收集的有关犯罪嫌疑人不在犯罪现场、未达到刑事责任年龄、属于依法不负刑事责任的精神病人的证据，应当及时告知公安机关、人民检察院。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第四十三条</w:t>
      </w:r>
      <w:r>
        <w:rPr>
          <w:rFonts w:hint="eastAsia" w:ascii="宋体" w:hAnsi="宋体" w:cs="Arial"/>
          <w:kern w:val="0"/>
          <w:szCs w:val="32"/>
        </w:rPr>
        <w:t>　辩护律师经证人或者其他有关单位和个人同意，可以向他们收集与本案有关的材料，也可以申请人民检察院、人民法院收集、调取证据，或者申请人民法院通知证人出庭作证。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辩护律师经人民检察院或者人民法院许可，并且经被害人或者其近亲属、被害人提供的证人同意，可以向他们收集与本案有关的材料。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第四十四条</w:t>
      </w:r>
      <w:r>
        <w:rPr>
          <w:rFonts w:hint="eastAsia" w:ascii="宋体" w:hAnsi="宋体" w:cs="Arial"/>
          <w:kern w:val="0"/>
          <w:szCs w:val="32"/>
        </w:rPr>
        <w:t>　辩护人或者其他任何人，不得帮助犯罪嫌疑人、被告人隐匿、毁灭、伪造证据或者串供，不得威胁、引诱证人作伪证以及进行其他干扰司法机关诉讼活动的行为。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违反前款规定的，应当依法追究法律责任，辩护人涉嫌犯罪的，应当由办理辩护人所承办案件的侦查机关以外的侦查机关办理。辩护人是律师的，应当及时通知其所在的律师事务所或者所属的律师协会。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第四十五条</w:t>
      </w:r>
      <w:r>
        <w:rPr>
          <w:rFonts w:hint="eastAsia" w:ascii="宋体" w:hAnsi="宋体" w:cs="Arial"/>
          <w:kern w:val="0"/>
          <w:szCs w:val="32"/>
        </w:rPr>
        <w:t>　在审判过程中，被告人可以拒绝辩护人继续为他辩护，也可以另行委托辩护人辩护。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第四十六条</w:t>
      </w:r>
      <w:r>
        <w:rPr>
          <w:rFonts w:hint="eastAsia" w:ascii="宋体" w:hAnsi="宋体" w:cs="Arial"/>
          <w:kern w:val="0"/>
          <w:szCs w:val="32"/>
        </w:rPr>
        <w:t>　公诉案件的被害人及其法定代理人或者近亲属，附带民事诉讼的当事人及其法定代理人，自案件移送审查起诉之日起，有权委托诉讼代理人。自诉案件的自诉人及其法定代理人，附带民事诉讼的当事人及其法定代理人，有权随时委托诉讼代理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自收到移送审查起诉的案件材料之日起三日以内，应当告知被害人及其法定代理人或者其近亲属、附带民事诉讼的当事人及其法定代理人有权委托诉讼代理人。人民法院自受理自诉案件之日起三日以内，应当告知自诉人及其法定代理人、附带民事诉讼的当事人及其法定代理人有权委托诉讼代理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第四十七条</w:t>
      </w:r>
      <w:r>
        <w:rPr>
          <w:rFonts w:hint="eastAsia" w:ascii="宋体" w:hAnsi="宋体" w:cs="Arial"/>
          <w:kern w:val="0"/>
          <w:szCs w:val="32"/>
        </w:rPr>
        <w:t>　委托诉讼代理人，参照</w:t>
      </w:r>
      <w:r>
        <w:rPr>
          <w:rFonts w:hint="eastAsia" w:ascii="宋体" w:hAnsi="宋体" w:eastAsia="仿宋_GB2312" w:cs="仿宋_GB2312"/>
          <w:kern w:val="0"/>
          <w:szCs w:val="32"/>
        </w:rPr>
        <w:t>本法第三十三条的规</w:t>
      </w:r>
      <w:r>
        <w:rPr>
          <w:rFonts w:hint="eastAsia" w:ascii="宋体" w:hAnsi="宋体" w:cs="Arial"/>
          <w:kern w:val="0"/>
          <w:szCs w:val="32"/>
        </w:rPr>
        <w:t>定执行。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第四十八条</w:t>
      </w:r>
      <w:r>
        <w:rPr>
          <w:rFonts w:hint="eastAsia" w:ascii="宋体" w:hAnsi="宋体" w:cs="Arial"/>
          <w:kern w:val="0"/>
          <w:szCs w:val="32"/>
        </w:rPr>
        <w:t>　辩护律师对在执业活动中知悉的委托人的有关情况和信息，有权予以保密。但是，辩护律师在执业活动中知悉委托人或者其他人，准备或者正在实施危害国家安全、公共安全以及严重危害他人人身安全的犯罪的，应当及时告知司法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第四十九条</w:t>
      </w:r>
      <w:r>
        <w:rPr>
          <w:rFonts w:hint="eastAsia" w:ascii="宋体" w:hAnsi="宋体" w:cs="Arial"/>
          <w:kern w:val="0"/>
          <w:szCs w:val="32"/>
        </w:rPr>
        <w:t>　辩护人、诉讼代理人认为公安机关、人民检察院、人民法院及其工作人员阻碍其依法行使诉讼权利的，有权向同级或者上一级人民检察院申诉或者控告。人民检察院对申诉或者控告应当及时进行审查，情况属实的，通知有关机关予以纠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证据</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第五十条</w:t>
      </w:r>
      <w:r>
        <w:rPr>
          <w:rFonts w:hint="eastAsia" w:ascii="宋体" w:hAnsi="宋体" w:cs="Arial"/>
          <w:kern w:val="0"/>
          <w:szCs w:val="32"/>
        </w:rPr>
        <w:t>　可以用于证明案件事实的材料，都是证据。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证据包括：</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（一）物证；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（二）书证；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（三）证人证言；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（四）被害人陈述；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（五）犯罪嫌疑人、被告人供述和辩解；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（六）鉴定意见；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（七）勘验、检查、辨认、侦查实验等笔录；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（八）视听资料、电子数据。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证据必须经过查证属实，才能作为定案的根据。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第五十一条</w:t>
      </w:r>
      <w:r>
        <w:rPr>
          <w:rFonts w:hint="eastAsia" w:ascii="宋体" w:hAnsi="宋体" w:cs="Arial"/>
          <w:kern w:val="0"/>
          <w:szCs w:val="32"/>
        </w:rPr>
        <w:t>　公诉案件中被告人有罪的举证责任由人民检察院承担，自诉案件中被告人有罪的举证责任由自诉人承担。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第五十二条</w:t>
      </w:r>
      <w:r>
        <w:rPr>
          <w:rFonts w:hint="eastAsia" w:ascii="宋体" w:hAnsi="宋体" w:cs="Arial"/>
          <w:kern w:val="0"/>
          <w:szCs w:val="32"/>
        </w:rPr>
        <w:t>　审判人员、检察人员、侦查人员必须依照法定程序，收集能够证实犯罪嫌疑人、被告人有罪或者无罪、犯罪情节轻重的各种证据。严禁刑讯逼供和以威胁、引诱、欺骗以及其他非法方法收集证据，不得强迫任何人证实自己有罪。必须保证一切与案件有关或者了解案情的公民，有客观地充分地提供证据的条件，除特殊情况外，可以吸收他们协助调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第五十三条</w:t>
      </w:r>
      <w:r>
        <w:rPr>
          <w:rFonts w:hint="eastAsia" w:ascii="宋体" w:hAnsi="宋体" w:cs="Arial"/>
          <w:kern w:val="0"/>
          <w:szCs w:val="32"/>
        </w:rPr>
        <w:t>　公安机关提请批准逮捕书、人民检察院起诉书、人民法院判决书，必须忠实于事实真象。故意隐瞒事实真象的，应当追究责任。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第五十四条</w:t>
      </w:r>
      <w:r>
        <w:rPr>
          <w:rFonts w:hint="eastAsia" w:ascii="宋体" w:hAnsi="宋体" w:cs="Arial"/>
          <w:kern w:val="0"/>
          <w:szCs w:val="32"/>
        </w:rPr>
        <w:t>　人民法院、人民检察院和公安机关有权向有关单位和个人收集、调取证据。有关单位和个人应当如实提供证据。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行政机关在行政执法和查办案件过程中收集的物证、书证、视听资料、电子数据等证据材料，在刑事诉讼中可以作为证据使用。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对涉及国家秘密、商业秘密、个人隐私的证据，应当保密。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凡是伪造证据、隐匿证据或者毁灭证据的，无论属于何方，必须受法律追究。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第五十五条</w:t>
      </w:r>
      <w:r>
        <w:rPr>
          <w:rFonts w:hint="eastAsia" w:ascii="宋体" w:hAnsi="宋体" w:cs="Arial"/>
          <w:kern w:val="0"/>
          <w:szCs w:val="32"/>
        </w:rPr>
        <w:t>　对一切案件的判处都要重证据，重调查研究，不轻信口供。只有被告人供述，没有其他证据的，不能认定被告人有罪和处以刑罚；没有被告人供述，证据确实、充分的，可以认定被告人有罪和处以刑罚。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证据确实、充分，应当符合以下条件：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（一）定罪量刑的事实都有证据证明；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（二）据以定案的证据均经法定程序查证属实；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（三）综合全案证据，对所认定事实已排除合理怀疑。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第五十六条</w:t>
      </w:r>
      <w:r>
        <w:rPr>
          <w:rFonts w:hint="eastAsia" w:ascii="宋体" w:hAnsi="宋体" w:cs="Arial"/>
          <w:kern w:val="0"/>
          <w:szCs w:val="32"/>
        </w:rPr>
        <w:t>　采用刑讯逼供等非法方法收集的犯罪嫌疑人、被告人供述和采用暴力、威胁等非法方法收集的证人证言、被害人陈述，应当予以排除。收集物证、书证不符合法定程序，可能严重影响司法公正的，应当予以补正或者作出合理解释；不能补正或者作出合理解释的，对该证据应当予以排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在侦查、审查起诉、审判时发现有应当排除的证据的，应当依法予以排除，不得作为起诉意见、起诉决定和判决的依据。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第五十七条</w:t>
      </w:r>
      <w:r>
        <w:rPr>
          <w:rFonts w:hint="eastAsia" w:ascii="宋体" w:hAnsi="宋体" w:cs="Arial"/>
          <w:kern w:val="0"/>
          <w:szCs w:val="32"/>
        </w:rPr>
        <w:t>　人民检察院接到报案、控告、举报或者发现侦查人员以非法方法收集证据的，应当进行调查核实。对于确有以非法方法收集证据情形的，应当提出纠正意见；构成犯罪的，依法追究刑事责任。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第五十八条</w:t>
      </w:r>
      <w:r>
        <w:rPr>
          <w:rFonts w:hint="eastAsia" w:ascii="宋体" w:hAnsi="宋体" w:cs="Arial"/>
          <w:kern w:val="0"/>
          <w:szCs w:val="32"/>
        </w:rPr>
        <w:t>　法庭审理过程中，审判人员认为可能存在本法</w:t>
      </w:r>
      <w:r>
        <w:rPr>
          <w:rFonts w:hint="eastAsia" w:ascii="宋体" w:hAnsi="宋体" w:eastAsia="仿宋_GB2312" w:cs="仿宋_GB2312"/>
          <w:kern w:val="0"/>
          <w:szCs w:val="32"/>
        </w:rPr>
        <w:t>第五十六条规定</w:t>
      </w:r>
      <w:r>
        <w:rPr>
          <w:rFonts w:hint="eastAsia" w:ascii="宋体" w:hAnsi="宋体" w:cs="Arial"/>
          <w:kern w:val="0"/>
          <w:szCs w:val="32"/>
        </w:rPr>
        <w:t>的以非法方法收集证据情形的，应当对证据收集的合法性进行法庭调查。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当事人及其辩护人、诉讼代理人有权申请人民法院对以非法方法收集的证据依法予以排除。申请排除以非法方法收集的证据的，应当提供相关线索或者材料。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第五十九条</w:t>
      </w:r>
      <w:r>
        <w:rPr>
          <w:rFonts w:hint="eastAsia" w:ascii="宋体" w:hAnsi="宋体" w:cs="Arial"/>
          <w:kern w:val="0"/>
          <w:szCs w:val="32"/>
        </w:rPr>
        <w:t>　在对证据收集的合法性进行法庭调查的过程中，人民检察院应当对证据收集的合法性加以证明。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现有证据材料不能证明证据收集的合法性的，人民检察院可以提请人民法院通知有关侦查人员或者其他人员出庭说明情况；人民法院可以通知有关侦查人员或者其他人员出庭说明情况。有关侦查人员或者其他人员也可以要求出庭说明情况。经人民法院通知，有关人员应当出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第六十条</w:t>
      </w:r>
      <w:r>
        <w:rPr>
          <w:rFonts w:hint="eastAsia" w:ascii="宋体" w:hAnsi="宋体" w:cs="Arial"/>
          <w:kern w:val="0"/>
          <w:szCs w:val="32"/>
        </w:rPr>
        <w:t>　对于经过</w:t>
      </w:r>
      <w:r>
        <w:rPr>
          <w:rFonts w:hint="eastAsia" w:ascii="宋体" w:hAnsi="宋体" w:eastAsia="仿宋_GB2312" w:cs="仿宋_GB2312"/>
          <w:kern w:val="0"/>
          <w:szCs w:val="32"/>
        </w:rPr>
        <w:t>法庭审理，确认或者不能排除存在本法第五十六条规</w:t>
      </w:r>
      <w:r>
        <w:rPr>
          <w:rFonts w:hint="eastAsia" w:ascii="宋体" w:hAnsi="宋体" w:cs="Arial"/>
          <w:kern w:val="0"/>
          <w:szCs w:val="32"/>
        </w:rPr>
        <w:t>定的以非法方法收集证据情形的，对有关证据应当予以排除。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第六十一条</w:t>
      </w:r>
      <w:r>
        <w:rPr>
          <w:rFonts w:hint="eastAsia" w:ascii="宋体" w:hAnsi="宋体" w:cs="Arial"/>
          <w:kern w:val="0"/>
          <w:szCs w:val="32"/>
        </w:rPr>
        <w:t>　证人证言必须在法庭上经过公诉人、被害人和被告人、辩护人双方质证并且查实以后，才能作为定案的根据。法庭查明证人有意作伪证或者隐匿罪证的时候，应当依法处理。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第六十二条</w:t>
      </w:r>
      <w:r>
        <w:rPr>
          <w:rFonts w:hint="eastAsia" w:ascii="宋体" w:hAnsi="宋体" w:cs="Arial"/>
          <w:kern w:val="0"/>
          <w:szCs w:val="32"/>
        </w:rPr>
        <w:t>　凡是知道案件情况的人，都有作证的义务。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生理上、精神上有缺陷或者年幼，不能辨别是非、不能正确表达的人，不能作证人。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第六十三条</w:t>
      </w:r>
      <w:r>
        <w:rPr>
          <w:rFonts w:hint="eastAsia" w:ascii="宋体" w:hAnsi="宋体" w:cs="Arial"/>
          <w:kern w:val="0"/>
          <w:szCs w:val="32"/>
        </w:rPr>
        <w:t>　人民法院、人民检察院和公安机关应当保障证人及其近亲属的安全。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对证人及其近亲属进行威胁、侮辱、殴打或者打击报复，构成犯罪的，依法追究刑事责任；尚不够刑事处罚的，依法给予治安管理处罚。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第六十四条</w:t>
      </w:r>
      <w:r>
        <w:rPr>
          <w:rFonts w:hint="eastAsia" w:ascii="宋体" w:hAnsi="宋体" w:cs="Arial"/>
          <w:kern w:val="0"/>
          <w:szCs w:val="32"/>
        </w:rPr>
        <w:t>　对于危害国家安全犯罪、恐怖活动犯罪、黑社会性质的组织犯罪、毒品犯罪等案件，证人、鉴定人、被害人因在诉讼中作证，本人或者其近亲属的人身安全面临危险的，人民法院、人民检察院和公安机关应当采取以下一项或者多项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（一）不公开真实姓名、住址和工作单位等个人信息；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（二）采取不暴露外貌、真实声音等出庭作证措施；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（三）禁止特定的人员接触证人、鉴定人、被害人及其近亲属；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（四）对人身和住宅采取专门性保护措施；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（五）其他必要的保护措施。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证人、鉴定人、被害人认为因在诉讼中作证，本人或者其近亲属的人身安全面临危险的，可以向人民法院、人民检察院、公安机关请求予以保护。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人民法院、人民检察院、公安机关依法采取保护措施，有关单位和个人应当配合。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第六十五条</w:t>
      </w:r>
      <w:r>
        <w:rPr>
          <w:rFonts w:hint="eastAsia" w:ascii="宋体" w:hAnsi="宋体" w:cs="Arial"/>
          <w:kern w:val="0"/>
          <w:szCs w:val="32"/>
        </w:rPr>
        <w:t>　证人因履行作证义务而支出的交通、住宿、就餐等费用，应当给予补助。证人作证的补助列入司法机关业务经费，由同级政府财政予以保障。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有工作单位的证人作证，所在单位不得克扣或者变相克扣其工资、奖金及其他福利待遇。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w:t>
      </w:r>
      <w:r>
        <w:rPr>
          <w:rFonts w:hint="eastAsia" w:ascii="宋体" w:hAnsi="宋体" w:eastAsia="黑体" w:cs="黑体"/>
          <w:kern w:val="0"/>
          <w:szCs w:val="32"/>
          <w:lang w:eastAsia="zh-CN"/>
        </w:rPr>
        <w:t>　</w:t>
      </w:r>
      <w:r>
        <w:rPr>
          <w:rFonts w:hint="eastAsia" w:ascii="宋体" w:hAnsi="宋体" w:eastAsia="黑体" w:cs="黑体"/>
          <w:kern w:val="0"/>
          <w:szCs w:val="32"/>
        </w:rPr>
        <w:t>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第六十六条</w:t>
      </w:r>
      <w:r>
        <w:rPr>
          <w:rFonts w:hint="eastAsia" w:ascii="宋体" w:hAnsi="宋体" w:cs="Arial"/>
          <w:kern w:val="0"/>
          <w:szCs w:val="32"/>
        </w:rPr>
        <w:t>　人民法院、人民检察院和公安机关根据案件情况，对犯罪嫌疑人、被告人可以拘传、取保候审或者监视居住。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第六十七条</w:t>
      </w:r>
      <w:r>
        <w:rPr>
          <w:rFonts w:hint="eastAsia" w:ascii="宋体" w:hAnsi="宋体" w:cs="Arial"/>
          <w:kern w:val="0"/>
          <w:szCs w:val="32"/>
        </w:rPr>
        <w:t>　人民法院、人民检察院和公安机关对有下列情形之一的犯罪嫌疑人、被告人，可以取保候审：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（一）可能判处管制、拘役或者独立适用附加刑的；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（二）可能判处有期徒刑以上刑罚，采取取保候审不致发生社会危险性的；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（三）患有严重疾病、生活不能自理，怀孕或者正在哺乳自己婴儿的妇女，采取取保候审不致发生社会危险性的；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（四）羁押期限届满，案件尚未办结，需要采取取保候审的。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取保候审由公安机关执行。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第六十八条</w:t>
      </w:r>
      <w:r>
        <w:rPr>
          <w:rFonts w:hint="eastAsia" w:ascii="宋体" w:hAnsi="宋体" w:cs="Arial"/>
          <w:kern w:val="0"/>
          <w:szCs w:val="32"/>
        </w:rPr>
        <w:t>　人民法院、人民检察院和公安机关决定对犯罪嫌疑人、被告人取保候审，应当责令犯罪嫌疑人、被告人提出保证人或者交纳保证金。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第六十九条</w:t>
      </w:r>
      <w:r>
        <w:rPr>
          <w:rFonts w:hint="eastAsia" w:ascii="宋体" w:hAnsi="宋体" w:cs="Arial"/>
          <w:kern w:val="0"/>
          <w:szCs w:val="32"/>
        </w:rPr>
        <w:t>　保证人必须符合下列条件：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（一）与本案无牵连；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（二）有能力履行保证义务；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（三）享有政治权利，人身自由未受到限制；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（四）有固定的住处和收入。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第七十条</w:t>
      </w:r>
      <w:r>
        <w:rPr>
          <w:rFonts w:hint="eastAsia" w:ascii="宋体" w:hAnsi="宋体" w:cs="Arial"/>
          <w:kern w:val="0"/>
          <w:szCs w:val="32"/>
        </w:rPr>
        <w:t>　保证人应当履行以下义务：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（一）监督被保证人遵守本法</w:t>
      </w:r>
      <w:r>
        <w:rPr>
          <w:rFonts w:hint="eastAsia" w:ascii="宋体" w:hAnsi="宋体" w:eastAsia="仿宋_GB2312" w:cs="仿宋_GB2312"/>
          <w:kern w:val="0"/>
          <w:szCs w:val="32"/>
        </w:rPr>
        <w:t>第七十一条的规定；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（二）发现被保证人可能发生或者已经发生违反本法第七十一条规定的行为的，应当及时向执行机关报告。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被保证人有违反本法第七十一条规定的行为，保证人未履行保证义务的，对保证人处以罚款，构成</w:t>
      </w:r>
      <w:r>
        <w:rPr>
          <w:rFonts w:hint="eastAsia" w:ascii="宋体" w:hAnsi="宋体" w:cs="Arial"/>
          <w:kern w:val="0"/>
          <w:szCs w:val="32"/>
        </w:rPr>
        <w:t>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第七十一条</w:t>
      </w:r>
      <w:r>
        <w:rPr>
          <w:rFonts w:hint="eastAsia" w:ascii="宋体" w:hAnsi="宋体" w:cs="Arial"/>
          <w:kern w:val="0"/>
          <w:szCs w:val="32"/>
        </w:rPr>
        <w:t>　被取保候审的犯罪嫌疑人、被告人应当遵守以下规定：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（一）未经执行机关批准不得离开所居住的市、县；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（二）住址、工作单位和联系方式发生变动的，在二十四小时以内向执行机关报告；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（三）在传讯的时候及时到案；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（四）不得以任何形式干扰证人作证；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（五）不得毁灭、伪造证据或者串供。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人民法院、人民检察院和公安机关可以根据案件情况，责令被取保候审的犯罪嫌疑人、被告人遵守以下一项或者多项规定：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（一）不得进入特定的场所；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（二）不得与特定的人员会见或者通信；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（三）不得从事特定的活动；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（四）将护照等出入境证件、驾驶证件交执行机关保存。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被取保候审的犯罪嫌疑人、被告人违反前两款规定，已交纳保证金的，没收部分或者全部保证金，并且区别情形，责令犯罪嫌疑人、被告人具结悔过，重新交纳保证金、提出保证人，或者监视居住、予以逮捕。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对违反取保候审规定，需要予以逮捕的，可以对犯罪嫌疑人、被告人先行拘留。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第七十二条</w:t>
      </w:r>
      <w:r>
        <w:rPr>
          <w:rFonts w:hint="eastAsia" w:ascii="宋体" w:hAnsi="宋体" w:cs="Arial"/>
          <w:kern w:val="0"/>
          <w:szCs w:val="32"/>
        </w:rPr>
        <w:t>　取保候审的决定机关应当综合考虑保证诉讼活动正常进行的需要，被取保候审人的社会危险性，案件的性质、情节，可能判处刑罚的轻重，被取保候审人的经济状况等情况，确定保证金的数额。</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提供保证金的人应当将保证金存入执行机关指定银行的专门账户。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第七十三条</w:t>
      </w:r>
      <w:r>
        <w:rPr>
          <w:rFonts w:hint="eastAsia" w:ascii="宋体" w:hAnsi="宋体" w:cs="Arial"/>
          <w:kern w:val="0"/>
          <w:szCs w:val="32"/>
        </w:rPr>
        <w:t>　犯罪嫌疑人、被告人在取保候审期间未违反本</w:t>
      </w:r>
      <w:r>
        <w:rPr>
          <w:rFonts w:hint="eastAsia" w:ascii="宋体" w:hAnsi="宋体" w:eastAsia="仿宋_GB2312" w:cs="仿宋_GB2312"/>
          <w:kern w:val="0"/>
          <w:szCs w:val="32"/>
        </w:rPr>
        <w:t>法第七十一条规定的</w:t>
      </w:r>
      <w:r>
        <w:rPr>
          <w:rFonts w:hint="eastAsia" w:ascii="宋体" w:hAnsi="宋体" w:cs="Arial"/>
          <w:kern w:val="0"/>
          <w:szCs w:val="32"/>
        </w:rPr>
        <w:t>，取保候审结束的时候，凭解除取保候审的通知或者有关法律文书到银行领取退还的保证金。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第七十四条</w:t>
      </w:r>
      <w:r>
        <w:rPr>
          <w:rFonts w:hint="eastAsia" w:ascii="宋体" w:hAnsi="宋体" w:cs="Arial"/>
          <w:kern w:val="0"/>
          <w:szCs w:val="32"/>
        </w:rPr>
        <w:t>　人民法院、人民检察院和公安机关对符合逮捕条件，有下列情形之一的犯罪嫌疑人、被告人，可以监视居住：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（一）患有严重疾病、生活不能自理的；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（二）怀孕或者正在哺乳自己婴儿的妇女；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（三）系生活不能自理的人的唯一扶养人；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（四）因为案件的特殊情况或者办理案件的需要，采取监视居住措施更为适宜的；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（五）羁押期限届满，案件尚未办结，需要采取监视居住措施的。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对符合取保候审条件，但犯罪嫌疑人、被告人不能提出保证人，也不交纳保证金的，可以监视居住。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监视居住由公安机关执行。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第七十五条</w:t>
      </w:r>
      <w:r>
        <w:rPr>
          <w:rFonts w:hint="eastAsia" w:ascii="宋体" w:hAnsi="宋体" w:cs="Arial"/>
          <w:kern w:val="0"/>
          <w:szCs w:val="32"/>
        </w:rPr>
        <w:t>　监视居住应当在犯罪嫌疑人、被告人的住处执行；无固定住处的，可以在指定的居所执行。对于涉嫌危害国家安全犯罪、恐怖活动犯罪，在住处执行可能有碍侦查的，经上一级公安机关批准，也可以在指定的居所执行。但是，不得在羁押场所、专门的办案场所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指定居所监视居住的，除无法通知的以外，应当在执行监视居住后二十四小时以内，通知被监视居住人的家属。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被监视居住的犯罪嫌疑人、被告人委托辩护人，适</w:t>
      </w:r>
      <w:r>
        <w:rPr>
          <w:rFonts w:hint="eastAsia" w:ascii="宋体" w:hAnsi="宋体" w:eastAsia="仿宋_GB2312" w:cs="仿宋_GB2312"/>
          <w:kern w:val="0"/>
          <w:szCs w:val="32"/>
        </w:rPr>
        <w:t>用本法第三十四条</w:t>
      </w:r>
      <w:r>
        <w:rPr>
          <w:rFonts w:hint="eastAsia" w:ascii="宋体" w:hAnsi="宋体" w:cs="Arial"/>
          <w:kern w:val="0"/>
          <w:szCs w:val="32"/>
        </w:rPr>
        <w:t>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人民检察院对指定居所监视居住的决定和执行是否合法实行监督。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第七十六条</w:t>
      </w:r>
      <w:r>
        <w:rPr>
          <w:rFonts w:hint="eastAsia" w:ascii="宋体" w:hAnsi="宋体" w:cs="Arial"/>
          <w:kern w:val="0"/>
          <w:szCs w:val="32"/>
        </w:rPr>
        <w:t>　指定居所监视居住的期限应当折抵刑期。被判处管制的，监视居住一日折抵刑期一日；被判处拘役、有期徒刑的，监视居住二日折抵刑期一日。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第七十七条</w:t>
      </w:r>
      <w:r>
        <w:rPr>
          <w:rFonts w:hint="eastAsia" w:ascii="宋体" w:hAnsi="宋体" w:cs="Arial"/>
          <w:kern w:val="0"/>
          <w:szCs w:val="32"/>
        </w:rPr>
        <w:t>　被监视居住的犯罪嫌疑人、被告人应当遵守以下规定：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（一）未经执行机关批准不得离开执行监视居住的处所；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（二）未经执行机关批准不得会见他人或者通信；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（三）在传讯的时候及时到案；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（四）不得以任何形式干扰证人作证；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（五）不得毁灭、伪造证据或者串供；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（六）将护照等出入境证件、身份证件、驾驶证件交执行机关保存。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被监视居住的犯罪嫌疑人、被告人违反前款规定，情节严重的，可以予以逮捕；需要予以逮捕的，可以对犯罪嫌疑人、被告人先行拘留。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第七十八条</w:t>
      </w:r>
      <w:r>
        <w:rPr>
          <w:rFonts w:hint="eastAsia" w:ascii="宋体" w:hAnsi="宋体" w:cs="Arial"/>
          <w:kern w:val="0"/>
          <w:szCs w:val="32"/>
        </w:rPr>
        <w:t>　执行机关对被监视居住的犯罪嫌疑人、被告人，可以采取电子监控、不定期检查等监视方法对其遵守监视居住规定的情况进行监督；在侦查期间，可以对被监视居住的犯罪嫌疑人的通信进行监控。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第七十九条</w:t>
      </w:r>
      <w:r>
        <w:rPr>
          <w:rFonts w:hint="eastAsia" w:ascii="宋体" w:hAnsi="宋体" w:cs="Arial"/>
          <w:kern w:val="0"/>
          <w:szCs w:val="32"/>
        </w:rPr>
        <w:t>　人民法院、人民检察院和公安机关对犯罪嫌疑人、被告人取保候审最长不得超过十二个月，监视居住最长不得超过六个月。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取保候审、监视居住期间，不得中断对案件的侦查、起诉和审理。对于发现不应当追究刑事责任或者取保候审、监视居住期限届满的，应当及时解除取保候审、监视居住。解除取保候审、监视居住，应当及时通知被取保候审、监视居住人和有关单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第八十条</w:t>
      </w:r>
      <w:r>
        <w:rPr>
          <w:rFonts w:hint="eastAsia" w:ascii="宋体" w:hAnsi="宋体" w:cs="Arial"/>
          <w:kern w:val="0"/>
          <w:szCs w:val="32"/>
        </w:rPr>
        <w:t>　逮捕犯罪嫌疑人、被告人，必须经过人民检察院批准或者人民法院决定，由公安机关执行。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第八十一条</w:t>
      </w:r>
      <w:r>
        <w:rPr>
          <w:rFonts w:hint="eastAsia" w:ascii="宋体" w:hAnsi="宋体" w:cs="Arial"/>
          <w:kern w:val="0"/>
          <w:szCs w:val="32"/>
        </w:rPr>
        <w:t>　对有证据证明有犯罪事实，可能判处徒刑以上刑罚的犯罪嫌疑人、被告人，采取取保候审尚不足以防止发生下列社会危险性的，应当予以逮捕：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（一）可能实施新的犯罪的；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（二）有危害国家安全、公共安全或者社会秩序的现实危险的；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（三）可能毁灭、伪造证据，干扰证人作证或者串供的；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（四）可能对被害人、举报人、控告人实施打击报复的；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（五）企图自杀或者逃跑的。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批准或者决定逮捕，应当将犯罪嫌疑人、被告人涉嫌犯罪的性质、情节，认罪认罚等情况，作为是否可能发生社会危险性的考虑因素。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对有证据证明有犯罪事实，可能判处十年有期徒刑以上刑罚的，或者有证据证明有犯罪事实，可能判处徒刑以上刑罚，曾经故意犯罪或者身份不明的，应当予以逮捕。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被取保候审、监视居住的犯罪嫌疑人、被告人违反取保候审、监视居住规定，情节严重的，可以予以逮捕。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第八十二条</w:t>
      </w:r>
      <w:r>
        <w:rPr>
          <w:rFonts w:hint="eastAsia" w:ascii="宋体" w:hAnsi="宋体" w:cs="Arial"/>
          <w:kern w:val="0"/>
          <w:szCs w:val="32"/>
        </w:rPr>
        <w:t>　公安机关对于现行犯或者重大嫌疑分子，如果有下列情形之一的，可以先行拘留：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（一）正在预备犯罪、实行犯罪或者在犯罪后即时被发觉的；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（二）被害人或者在场亲眼看见的人指认他犯罪的；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（三）在身边或者住处发现有犯罪证据的；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（四）犯罪后企图自杀、逃跑或者在逃的；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（五）有毁灭、伪造证据或者串供可能的；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（六）不讲真实姓名、住址，身份不明的；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（七）有流窜作案、多次作案、结伙作案重大嫌疑的。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第八十三条</w:t>
      </w:r>
      <w:r>
        <w:rPr>
          <w:rFonts w:hint="eastAsia" w:ascii="宋体" w:hAnsi="宋体" w:cs="Arial"/>
          <w:kern w:val="0"/>
          <w:szCs w:val="32"/>
        </w:rPr>
        <w:t>　公安机关在异地执行拘留、逮捕的时候，应当通知被拘留、逮捕人所在地的公安机关，被拘留、逮捕人所在地的公安机关应当予以配合。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第八十四条</w:t>
      </w:r>
      <w:r>
        <w:rPr>
          <w:rFonts w:hint="eastAsia" w:ascii="宋体" w:hAnsi="宋体" w:cs="Arial"/>
          <w:kern w:val="0"/>
          <w:szCs w:val="32"/>
        </w:rPr>
        <w:t>　对于有下列情形的人，任何公民都可以立即扭送公安机关、人民检察院或者人民法院处理：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（一）正在实行犯罪或者在犯罪后即时被发觉的；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（二）通缉在案的；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（三）越狱逃跑的；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（四）正在被追捕的。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第八十五条</w:t>
      </w:r>
      <w:r>
        <w:rPr>
          <w:rFonts w:hint="eastAsia" w:ascii="宋体" w:hAnsi="宋体" w:cs="Arial"/>
          <w:kern w:val="0"/>
          <w:szCs w:val="32"/>
        </w:rPr>
        <w:t>　公安机关拘留人的时候，必须出示拘留证。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拘留后，应当立即将被拘留人送看守所羁押，至迟不得超过二十四小时。除无法通知或者涉嫌危害国家安全犯罪、恐怖活动犯罪通知可能有碍侦查的情形以外，应当在拘留后二十四小时以内，通知被拘留人的家属。有碍侦查的情形消失以后，应当立即通知被拘留人的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第八十六条</w:t>
      </w:r>
      <w:r>
        <w:rPr>
          <w:rFonts w:hint="eastAsia" w:ascii="宋体" w:hAnsi="宋体" w:cs="Arial"/>
          <w:kern w:val="0"/>
          <w:szCs w:val="32"/>
        </w:rPr>
        <w:t>　公安机关对被拘留的人，应当在拘留后的二十四小时以内进行讯问。在发现不应当拘留的时候，必须立即释放，发给释放证明。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第八十七条</w:t>
      </w:r>
      <w:r>
        <w:rPr>
          <w:rFonts w:hint="eastAsia" w:ascii="宋体" w:hAnsi="宋体" w:cs="Arial"/>
          <w:kern w:val="0"/>
          <w:szCs w:val="32"/>
        </w:rPr>
        <w:t>　公安机关要求逮捕犯罪嫌疑人的时候，应当写出提请批准逮捕书，连同案卷材料、证据，一并移送同级人民检察院审查批准。必要的时候，人民检察院可以派人参加公安机关对于重大案件的讨论。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第八十八条</w:t>
      </w:r>
      <w:r>
        <w:rPr>
          <w:rFonts w:hint="eastAsia" w:ascii="宋体" w:hAnsi="宋体" w:cs="Arial"/>
          <w:kern w:val="0"/>
          <w:szCs w:val="32"/>
        </w:rPr>
        <w:t>　人民检察院审查批准逮捕，可以讯问犯罪嫌疑人；有下列情形之一的，应当讯问犯罪嫌疑人：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（一）对是否符合逮捕条件有疑问的；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（二）犯罪嫌疑人要求向检察人员当面陈述的；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（三）侦查活动可能有重大违法行为的。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人民检察院审查批准逮捕，可以询问证人等诉讼参与人，听取辩护律师的意见；辩护律师提出要求的，应当听取辩护律师的意见。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第八十九条</w:t>
      </w:r>
      <w:r>
        <w:rPr>
          <w:rFonts w:hint="eastAsia" w:ascii="宋体" w:hAnsi="宋体" w:cs="Arial"/>
          <w:kern w:val="0"/>
          <w:szCs w:val="32"/>
        </w:rPr>
        <w:t>　人民检察院审查批准逮捕犯罪嫌疑人由检察长决定。重大案件应当提交检察委员会讨论决定。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第九十条</w:t>
      </w:r>
      <w:r>
        <w:rPr>
          <w:rFonts w:hint="eastAsia" w:ascii="宋体" w:hAnsi="宋体" w:cs="Arial"/>
          <w:kern w:val="0"/>
          <w:szCs w:val="32"/>
        </w:rPr>
        <w:t>　人民检察院对于公安机关提请批准逮捕的案件进行审查后，应当根据情况分别作出批准逮捕或者不批准逮捕的决定。对于批准逮捕的决定，公安机关应当立即执行，并且将执行情况及时通知人民检察院。对于不批准逮捕的，人民检察院应当说明理由，需要补充侦查的，应当同时通知公安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第九十一条</w:t>
      </w:r>
      <w:r>
        <w:rPr>
          <w:rFonts w:hint="eastAsia" w:ascii="宋体" w:hAnsi="宋体" w:cs="Arial"/>
          <w:kern w:val="0"/>
          <w:szCs w:val="32"/>
        </w:rPr>
        <w:t>　公安机关对被拘留的人，认为需要逮捕的，应当在拘留后的三日以内，提请人民检察院审查批准。在特殊情况下，提请审查批准的时间可以延长一日至四日。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对于流窜作案、多次作案、结伙作案的重大嫌疑分子，提请审查批准的时间可以延长至三十日。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应当自接到公安机关提请批准逮捕书后的七日以内，作出批准逮捕或者不批准逮捕的决定。人民检察院不批准逮捕的，公安机关应当在接到通知后立即释放，并且将执行情况及时通知人民检察院。对于需要继续侦查，并且符合取保候审、监视居住条件的，依法取保候审或者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第九十二条</w:t>
      </w:r>
      <w:r>
        <w:rPr>
          <w:rFonts w:hint="eastAsia" w:ascii="宋体" w:hAnsi="宋体" w:cs="Arial"/>
          <w:kern w:val="0"/>
          <w:szCs w:val="32"/>
        </w:rPr>
        <w:t>　公安机关对人民检察院不批准逮捕的决定，认为有错误的时候，可以要求复议，但是必须将被拘留的人立即释放。如果意见不被接受，可以向上一级人民检察院提请复核。上级人民检察院应当立即复核，作出是否变更的决定，通知下级人民检察院和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第九十三条</w:t>
      </w:r>
      <w:r>
        <w:rPr>
          <w:rFonts w:hint="eastAsia" w:ascii="宋体" w:hAnsi="宋体" w:cs="Arial"/>
          <w:kern w:val="0"/>
          <w:szCs w:val="32"/>
        </w:rPr>
        <w:t>　公安机关逮捕人的时候，必须出示逮捕证。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逮捕后，应当立即将被逮捕人送看守所羁押。除无法通知的以外，应当在逮捕后二十四小时以内，通知被逮捕人的家属。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第九十四条</w:t>
      </w:r>
      <w:r>
        <w:rPr>
          <w:rFonts w:hint="eastAsia" w:ascii="宋体" w:hAnsi="宋体" w:cs="Arial"/>
          <w:kern w:val="0"/>
          <w:szCs w:val="32"/>
        </w:rPr>
        <w:t>　人民法院、人民检察院对于各自决定逮捕的人，公安机关对于经人民检察院批准逮捕的人，都必须在逮捕后的二十四小时以内进行讯问。在发现不应当逮捕的时候，必须立即释放，发给释放证明。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第九十五条</w:t>
      </w:r>
      <w:r>
        <w:rPr>
          <w:rFonts w:hint="eastAsia" w:ascii="宋体" w:hAnsi="宋体" w:cs="Arial"/>
          <w:kern w:val="0"/>
          <w:szCs w:val="32"/>
        </w:rPr>
        <w:t>　犯罪嫌疑人、被告人被逮捕后，人民检察院仍应当对羁押的必要性进行审查。对不需要继续羁押的，应当建议予以释放或者变更强制措施。有关机关应当在十日以内将处理情况通知人民检察院。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第九十六条</w:t>
      </w:r>
      <w:r>
        <w:rPr>
          <w:rFonts w:hint="eastAsia" w:ascii="宋体" w:hAnsi="宋体" w:cs="Arial"/>
          <w:kern w:val="0"/>
          <w:szCs w:val="32"/>
        </w:rPr>
        <w:t>　人民法院、人民检察院和公安机关如果发现对犯罪嫌疑人、被告人采取强制措施不当的，应当及时撤销或者变更。公安机关释放被逮捕的人或者变更逮捕措施的，应当通知原批准的人民检察院。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第九十七条</w:t>
      </w:r>
      <w:r>
        <w:rPr>
          <w:rFonts w:hint="eastAsia" w:ascii="宋体" w:hAnsi="宋体" w:cs="Arial"/>
          <w:kern w:val="0"/>
          <w:szCs w:val="32"/>
        </w:rPr>
        <w:t>　犯罪嫌疑人、被告人及其法定代理人、近亲属或者辩护人有权申请变更强制措施。人民法院、人民检察院和公安机关收到申请后，应当在三日以内作出决定；不同意变更强制措施的，应当告知申请人，并说明不同意的理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第九十八条</w:t>
      </w:r>
      <w:r>
        <w:rPr>
          <w:rFonts w:hint="eastAsia" w:ascii="宋体" w:hAnsi="宋体" w:cs="Arial"/>
          <w:kern w:val="0"/>
          <w:szCs w:val="32"/>
        </w:rPr>
        <w:t>　犯罪嫌疑人、被告人被羁押的案件，不能在本法规定的侦查羁押、审查起诉、一审、二审期限内办结的，对犯罪嫌疑人、被告人应当予以释放；需要继续查证、审理的，对犯罪嫌疑人、被告人可以取保候审或者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第九十九条</w:t>
      </w:r>
      <w:r>
        <w:rPr>
          <w:rFonts w:hint="eastAsia" w:ascii="宋体" w:hAnsi="宋体" w:cs="Arial"/>
          <w:kern w:val="0"/>
          <w:szCs w:val="32"/>
        </w:rPr>
        <w:t>　人民法院、人民检察院或者公安机关对被采取强制措施法定期限届满的犯罪嫌疑人、被告人，应当予以释放、解除取保候审、监视居住或者依法变更强制措施。犯罪嫌疑人、被告人及其法定代理人、近亲属或者辩护人对于人民法院、人民检察院或者公安机关采取强制措施法定期限届满的，有权要求解除强制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第一百条</w:t>
      </w:r>
      <w:r>
        <w:rPr>
          <w:rFonts w:hint="eastAsia" w:ascii="宋体" w:hAnsi="宋体" w:cs="Arial"/>
          <w:kern w:val="0"/>
          <w:szCs w:val="32"/>
        </w:rPr>
        <w:t>　人民检察院在审查批准逮捕工作中，如果发现公安机关的侦查活动有违法情况，应当通知公安机关予以纠正，公安机关应当将纠正情况通知人民检察院。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第一百零一条</w:t>
      </w:r>
      <w:r>
        <w:rPr>
          <w:rFonts w:hint="eastAsia" w:ascii="宋体" w:hAnsi="宋体" w:cs="Arial"/>
          <w:kern w:val="0"/>
          <w:szCs w:val="32"/>
        </w:rPr>
        <w:t>　被害人由于被告人的犯罪行为而遭受物质损失的，在刑事诉讼过程中，有权提起附带民事诉讼。被害人死亡或者丧失行为能力的，被害人的法定代理人、近亲属有权提起附带民事诉讼。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如果是国家财产、集体财产遭受损失的，人民检察院在提起公诉的时候，可以提起附带民事诉讼。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第一百零二条</w:t>
      </w:r>
      <w:r>
        <w:rPr>
          <w:rFonts w:hint="eastAsia" w:ascii="宋体" w:hAnsi="宋体" w:cs="Arial"/>
          <w:kern w:val="0"/>
          <w:szCs w:val="32"/>
        </w:rPr>
        <w:t>　人民法院在必要的时候，可以采取保全措施，查封、扣押或者冻结被告人的财产。附带民事诉讼原告人或者人民检察院可以申请人民法院采取保全措施。人民法院采取保全措施，适用民事诉讼法的有关规定。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第一百零三条</w:t>
      </w:r>
      <w:r>
        <w:rPr>
          <w:rFonts w:hint="eastAsia" w:ascii="宋体" w:hAnsi="宋体" w:cs="Arial"/>
          <w:kern w:val="0"/>
          <w:szCs w:val="32"/>
        </w:rPr>
        <w:t>　人民法院审理附带民事诉讼案件，可以进行调解，或者根据物质损失情况作出判决、裁定。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第一百零四条</w:t>
      </w:r>
      <w:r>
        <w:rPr>
          <w:rFonts w:hint="eastAsia" w:ascii="宋体" w:hAnsi="宋体" w:cs="Arial"/>
          <w:kern w:val="0"/>
          <w:szCs w:val="32"/>
        </w:rPr>
        <w:t>　附带民事诉讼应当同刑事案件一并审判，只有为了防止刑事案件审判的过分迟延，才可以在刑事案件审判后，由同一审判组织继续审理附带民事诉讼。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第八章　期间、送达</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第一百零五条</w:t>
      </w:r>
      <w:r>
        <w:rPr>
          <w:rFonts w:hint="eastAsia" w:ascii="宋体" w:hAnsi="宋体" w:cs="Arial"/>
          <w:kern w:val="0"/>
          <w:szCs w:val="32"/>
        </w:rPr>
        <w:t>　期间以时、日、月计算。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期间开始的时和日不算在期间以内。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法定期间不包括路途上的时间。上诉状或者其他文件在期满前已经交邮的，不算过期。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期间的最后一日为节假日的</w:t>
      </w:r>
      <w:r>
        <w:rPr>
          <w:rFonts w:hint="eastAsia" w:ascii="宋体" w:hAnsi="宋体" w:eastAsia="仿宋_GB2312" w:cs="仿宋_GB2312"/>
          <w:kern w:val="0"/>
          <w:szCs w:val="32"/>
        </w:rPr>
        <w:t>，以节假日后的第一日为期满日期，但犯罪嫌疑人、被告人或者罪犯在押期间，应当至期满之日为止，不得因节假日而延长。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第一百零六条</w:t>
      </w:r>
      <w:r>
        <w:rPr>
          <w:rFonts w:hint="eastAsia" w:ascii="宋体" w:hAnsi="宋体" w:cs="Arial"/>
          <w:kern w:val="0"/>
          <w:szCs w:val="32"/>
        </w:rPr>
        <w:t>　当事人由于不能抗拒的原因或者有其他正当理由而耽误期限的，在障碍消除后五日以内，可以申请继续进行应当在期满以前完成的诉讼活动。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前款申请是否准许，由人民法院裁定。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第一百零七条</w:t>
      </w:r>
      <w:r>
        <w:rPr>
          <w:rFonts w:hint="eastAsia" w:ascii="宋体" w:hAnsi="宋体" w:cs="Arial"/>
          <w:kern w:val="0"/>
          <w:szCs w:val="32"/>
        </w:rPr>
        <w:t>　送达传票、通知书和其他诉讼文件应当交给收件人本人；如果本人不在，可以交给他的成年家属或者所在单位的负责人员代收。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收件人本人或者代收人拒绝接收或者拒绝签名、盖章的时候，送达人可以邀请他的邻居或者其他见证人到场，说明情况，把文件留在他的住处，在送达证上记明拒绝的事由、送达的日期，由送达人签名，即认为已经送达。</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第九章　其他规定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第一百零八条</w:t>
      </w:r>
      <w:r>
        <w:rPr>
          <w:rFonts w:hint="eastAsia" w:ascii="宋体" w:hAnsi="宋体" w:cs="Arial"/>
          <w:kern w:val="0"/>
          <w:szCs w:val="32"/>
        </w:rPr>
        <w:t>　本法下列用语的含意是：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（一）“侦查”是指公安机关、人民检察院对于刑事案件，依照法律进行的收集证据、查明案情的工作和有关的强制性措施；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（二）“当事人”是指被害人、自诉人、犯罪嫌疑人、被告人、附带民事诉讼的原告人和被告人；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（三）“法定代理人”是指被代理人的父母、养父母、监护人和负有保护责任的机关、团体的代表；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（四）“诉讼参与人”是指当事人、法定代理人、诉讼代理人、辩护人、证人、鉴定人和翻译人员；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（五）“诉讼代理人”是指公诉案件的被害人及其法定代理人或者近亲属、自诉案件的自诉人及其法定代理人委托代为参加诉讼的人和附带民事诉讼的当事人及其法定代理人委托代为参加诉讼的人；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（六）“近亲属”是指夫、妻、父、母、子、女、同胞兄弟姊妹。</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第二编　立案、侦查和提起公诉</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立案</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第一百零九条</w:t>
      </w:r>
      <w:r>
        <w:rPr>
          <w:rFonts w:hint="eastAsia" w:ascii="宋体" w:hAnsi="宋体" w:cs="Arial"/>
          <w:kern w:val="0"/>
          <w:szCs w:val="32"/>
        </w:rPr>
        <w:t>　公安机关或者人民检察院发现犯罪事实或者犯罪嫌疑人，应当按照管辖范围，立案侦查。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第一百一十条</w:t>
      </w:r>
      <w:r>
        <w:rPr>
          <w:rFonts w:hint="eastAsia" w:ascii="宋体" w:hAnsi="宋体" w:cs="Arial"/>
          <w:kern w:val="0"/>
          <w:szCs w:val="32"/>
        </w:rPr>
        <w:t>　任何单位和个人发现有犯罪事实或者犯罪嫌疑人，有权利也有义务向公安机关、人民检察院或者人民法院报案或者举报。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被害人对侵犯其人身、财产权利的犯罪事实或者犯罪嫌疑人，有权向公安机关、人民检察院或者人民法院报案或者控告。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人民检察院或者人民法院对于报案、控告、举报，都应当接受。对于不属于自己管辖的，应当移送主管机关处理，并且通知报案人、控告人、举报人；对于不属于自己管辖而又必须采取紧急措施的，应当先采取紧急措施，然后移送主管机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犯罪人向公安机关、人民检察院或者人</w:t>
      </w:r>
      <w:r>
        <w:rPr>
          <w:rFonts w:hint="eastAsia" w:ascii="宋体" w:hAnsi="宋体" w:eastAsia="仿宋_GB2312" w:cs="仿宋_GB2312"/>
          <w:kern w:val="0"/>
          <w:szCs w:val="32"/>
        </w:rPr>
        <w:t>民法院自首的，适用第三款规定。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第一百一十一条</w:t>
      </w:r>
      <w:r>
        <w:rPr>
          <w:rFonts w:hint="eastAsia" w:ascii="宋体" w:hAnsi="宋体" w:cs="Arial"/>
          <w:kern w:val="0"/>
          <w:szCs w:val="32"/>
        </w:rPr>
        <w:t>　报案、控告、举报可以用书面或者口头提出。接受口头报案、控告、举报的工作人员，应当写成笔录，经宣读无误后，由报案人、控告人、举报人签名或者盖章。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接受控告、举报的工作人员，应当向控告人、举报人说明诬告应负的法律责任。但是，只要不是捏造事实，伪造证据，即使控告、举报的事实有出入，甚至是错告的，也要和诬告严格加以区别。</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公安机关、人民检察院或者人民法院应当保障报案人、控告人、举报人及其近亲属的安全。报案人、控告人、举报人如果不愿公开自己的姓名和报案、控告、举报的行为，应当为他保守秘密。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第一百一十二条</w:t>
      </w:r>
      <w:r>
        <w:rPr>
          <w:rFonts w:hint="eastAsia" w:ascii="宋体" w:hAnsi="宋体" w:cs="Arial"/>
          <w:kern w:val="0"/>
          <w:szCs w:val="32"/>
        </w:rPr>
        <w:t>　人民法院、人民检察院或者公安机关对于报案、控告、举报和自首的材料，应当按照管辖范围，迅速进行审查，认为有犯罪事实需要追究刑事责任的时候，应当立案；认为没有犯罪事实，或者犯罪事实显著轻微，不需要追究刑事责任的时候，不予立案，并且将不立案的原因通知控告人。控告人如果不服，可以申请复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第一百一十三条</w:t>
      </w:r>
      <w:r>
        <w:rPr>
          <w:rFonts w:hint="eastAsia" w:ascii="宋体" w:hAnsi="宋体" w:cs="Arial"/>
          <w:kern w:val="0"/>
          <w:szCs w:val="32"/>
        </w:rPr>
        <w:t>　人民检察院认为公安机关对应当立案侦查的案件而不立案侦查的，或者被害人认为公安机关对应当立案侦查的案件而不立案侦查，向人民检察院提出的，人民检察院应当要求公安机关说明不立案的理由。人民检察院认为公安机关不立案理由不能成立的，应当通知公安机关立案，公安机关接到通知后应当立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第一百一十四条</w:t>
      </w:r>
      <w:r>
        <w:rPr>
          <w:rFonts w:hint="eastAsia" w:ascii="宋体" w:hAnsi="宋体" w:cs="Arial"/>
          <w:kern w:val="0"/>
          <w:szCs w:val="32"/>
        </w:rPr>
        <w:t>　对于自诉案件，被害人有权向人民法院直接起诉。被害人死亡或者丧失行为能力的，被害人的法定代理人、近亲属有权向人民法院起诉。人民法院应当依法受理。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侦查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第一节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第一百一十五条</w:t>
      </w:r>
      <w:r>
        <w:rPr>
          <w:rFonts w:hint="eastAsia" w:ascii="宋体" w:hAnsi="宋体" w:cs="Arial"/>
          <w:kern w:val="0"/>
          <w:szCs w:val="32"/>
        </w:rPr>
        <w:t>　公安机关对已经立案的刑事案件，应当进行侦查，收集、调取犯罪嫌疑人有罪或者无罪、罪轻或者罪重的证据材料。对现行犯或者重大嫌疑分子可以依法先行拘留，对符合逮捕条件的犯罪嫌疑人，应当依法逮捕。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第一百一十六条</w:t>
      </w:r>
      <w:r>
        <w:rPr>
          <w:rFonts w:hint="eastAsia" w:ascii="宋体" w:hAnsi="宋体" w:cs="Arial"/>
          <w:kern w:val="0"/>
          <w:szCs w:val="32"/>
        </w:rPr>
        <w:t>　公安机关经过侦查，对有证据证明有犯罪事实的案件，应当进行预审，对收集、调取的证据材料予以核实。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第一百一十七条</w:t>
      </w:r>
      <w:r>
        <w:rPr>
          <w:rFonts w:hint="eastAsia" w:ascii="宋体" w:hAnsi="宋体" w:cs="Arial"/>
          <w:kern w:val="0"/>
          <w:szCs w:val="32"/>
        </w:rPr>
        <w:t>　当事人和辩护人、诉讼代理人、利害关系人对于司法机关及其工作人员有下列行为之一的，有权向该机关申诉或者控告：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（一）采取强制措施法定期限届满，不予以释放、解除或者变更的；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（二）应当退还取保候审保证金不退还的；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（三）对与案件无关的财物采取查封、扣押、冻结措施的；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（四）应当解除查封、扣押、冻结不解除的；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（五）贪污、挪用、私分、调换、违反规定使用查封、扣押、冻结的财物的。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受理申诉或者控告的机关应当及时处理。对处理不服的，可以向同级人民检察院申诉；人民检察院直接受理的案件，可以向上一级人民检察院申诉。人民检察院对申诉应当及时进行审查，情况属实的，通知有关机关予以纠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第二节　讯问犯罪嫌疑人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第一百一十八条</w:t>
      </w:r>
      <w:r>
        <w:rPr>
          <w:rFonts w:hint="eastAsia" w:ascii="宋体" w:hAnsi="宋体" w:cs="Arial"/>
          <w:kern w:val="0"/>
          <w:szCs w:val="32"/>
        </w:rPr>
        <w:t>　讯问犯罪嫌疑人必须由人民检察院或者公安机关的侦查人员负责进行。讯问的时候，侦查人员不得少于二人。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犯罪嫌疑人被送交看守所羁押以后，侦查人员对其进行讯问，应当在看守所内进行。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第一百一十九条</w:t>
      </w:r>
      <w:r>
        <w:rPr>
          <w:rFonts w:hint="eastAsia" w:ascii="宋体" w:hAnsi="宋体" w:cs="Arial"/>
          <w:kern w:val="0"/>
          <w:szCs w:val="32"/>
        </w:rPr>
        <w:t>　对不需要逮捕、拘留的犯罪嫌疑人，可以传唤到犯罪嫌疑人所在市、县内的指定地点或者到他的住处进行讯问，但是应当出示人民检察院或者公安机关的证明文件。对在现场发现的犯罪嫌疑人，经出示工作证件，可以口头传唤，但应当在讯问笔录中注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传唤、拘传持续的时间不得超过十二小时；案情特别重大、复杂，需要采取拘留、逮捕措施的，传唤、拘传持续的时间不得超过二十四小时。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不得以连续传唤、拘传的形式变相拘禁犯罪嫌疑人。传唤、拘传犯罪嫌疑人，应当保证犯罪嫌疑人的饮食和必要的休息时间。</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第一百二十条</w:t>
      </w:r>
      <w:r>
        <w:rPr>
          <w:rFonts w:hint="eastAsia" w:ascii="宋体" w:hAnsi="宋体" w:cs="Arial"/>
          <w:kern w:val="0"/>
          <w:szCs w:val="32"/>
        </w:rPr>
        <w:t>　侦查人员在讯问犯罪嫌疑人的时候，应当首先讯问犯罪嫌疑人是否有犯罪行为，让他陈述有罪的情节或者无罪的辩解，然后向他提出问题。犯罪嫌疑人对侦查人员的提问，应当如实回答。但是对与本案无关的问题，有拒绝回答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侦查人员在讯问犯罪嫌疑人的时候，应当告知犯罪嫌疑人享有的诉讼权利，如实供述自己罪行可以从宽处理和认罪认罚的法律规定。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第一百二十一条</w:t>
      </w:r>
      <w:r>
        <w:rPr>
          <w:rFonts w:hint="eastAsia" w:ascii="宋体" w:hAnsi="宋体" w:cs="Arial"/>
          <w:kern w:val="0"/>
          <w:szCs w:val="32"/>
        </w:rPr>
        <w:t>　讯问聋、哑的犯罪嫌疑人，应当有通晓聋、哑手势的人参加，并且将这种情况记明笔录。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第一百二十二条</w:t>
      </w:r>
      <w:r>
        <w:rPr>
          <w:rFonts w:hint="eastAsia" w:ascii="宋体" w:hAnsi="宋体" w:cs="Arial"/>
          <w:kern w:val="0"/>
          <w:szCs w:val="32"/>
        </w:rPr>
        <w:t>　讯问笔录应当交犯罪嫌疑人核对，对于没有阅读能力的，应当向他宣读。如果记载有遗漏或者差错，犯罪嫌疑人可以提出补充或者改正。犯罪嫌疑人承认笔录没有错误后，应当签名或者盖章。侦查人员也应当在笔录上签名。犯罪嫌疑人请求自行书写供述的，应当准许。必要的时候，侦查人员也可以要犯罪嫌疑人亲笔书写供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第一百二十三条</w:t>
      </w:r>
      <w:r>
        <w:rPr>
          <w:rFonts w:hint="eastAsia" w:ascii="宋体" w:hAnsi="宋体" w:cs="Arial"/>
          <w:kern w:val="0"/>
          <w:szCs w:val="32"/>
        </w:rPr>
        <w:t>　侦查人员在讯问犯罪嫌疑人的时候，可以对讯问过程进行录音或者录像；对于可能判处无期徒刑、死刑的案件或者其他重大犯罪案件，应当对讯问过程进行录音或者录像。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录音或者录像应当全程进行，保持完整性。</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第三节　询问证人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第一百二十四条</w:t>
      </w:r>
      <w:r>
        <w:rPr>
          <w:rFonts w:hint="eastAsia" w:ascii="宋体" w:hAnsi="宋体" w:cs="Arial"/>
          <w:kern w:val="0"/>
          <w:szCs w:val="32"/>
        </w:rPr>
        <w:t>　侦查人员询问证人，可以在现场进行，也可以到证人所在单位、住处或者证人提出的地点进行，在必要的时候，可以通知证人到人民检察院或者公安机关提供证言。在现场询问证人，应当出示工作证件，到证人所在单位、住处或者证人提出的地点询问证人，应当出示人民检察院或者公安机关的证明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询问证人应当个别进行。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第一百二十五条</w:t>
      </w:r>
      <w:r>
        <w:rPr>
          <w:rFonts w:hint="eastAsia" w:ascii="宋体" w:hAnsi="宋体" w:cs="Arial"/>
          <w:kern w:val="0"/>
          <w:szCs w:val="32"/>
        </w:rPr>
        <w:t>　询问证人，应当告知他应当如实地提供证据、证言和有意作伪证或者隐匿罪证要负的法律责任。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第一百二十六条</w:t>
      </w:r>
      <w:r>
        <w:rPr>
          <w:rFonts w:hint="eastAsia" w:ascii="宋体" w:hAnsi="宋体" w:cs="Arial"/>
          <w:kern w:val="0"/>
          <w:szCs w:val="32"/>
        </w:rPr>
        <w:t>　本</w:t>
      </w:r>
      <w:r>
        <w:rPr>
          <w:rFonts w:hint="eastAsia" w:ascii="宋体" w:hAnsi="宋体" w:eastAsia="仿宋_GB2312" w:cs="仿宋_GB2312"/>
          <w:kern w:val="0"/>
          <w:szCs w:val="32"/>
        </w:rPr>
        <w:t>法第一百二十二条的规定，也适</w:t>
      </w:r>
      <w:r>
        <w:rPr>
          <w:rFonts w:hint="eastAsia" w:ascii="宋体" w:hAnsi="宋体" w:cs="Arial"/>
          <w:kern w:val="0"/>
          <w:szCs w:val="32"/>
        </w:rPr>
        <w:t>用于询问证人。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第一百二十七条</w:t>
      </w:r>
      <w:r>
        <w:rPr>
          <w:rFonts w:hint="eastAsia" w:ascii="宋体" w:hAnsi="宋体" w:cs="Arial"/>
          <w:kern w:val="0"/>
          <w:szCs w:val="32"/>
        </w:rPr>
        <w:t>　询问被害人，适用本节各条规定。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第四节　勘验、检查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第一百二十八　条</w:t>
      </w:r>
      <w:r>
        <w:rPr>
          <w:rFonts w:hint="eastAsia" w:ascii="宋体" w:hAnsi="宋体" w:cs="Arial"/>
          <w:kern w:val="0"/>
          <w:szCs w:val="32"/>
        </w:rPr>
        <w:t>侦查人员对于与犯罪有关的场所、物品、人身、尸体应当进行勘验或者检查。在必要的时候，可以指派或者聘请具有专门知识的人，在侦查人员的主持下进行勘验、检查。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第一百二十九条</w:t>
      </w:r>
      <w:r>
        <w:rPr>
          <w:rFonts w:hint="eastAsia" w:ascii="宋体" w:hAnsi="宋体" w:cs="Arial"/>
          <w:kern w:val="0"/>
          <w:szCs w:val="32"/>
        </w:rPr>
        <w:t>　任何单位和个人，都有义务保护犯罪现场，并且立即通知公安机关派员勘验。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第一百三十条</w:t>
      </w:r>
      <w:r>
        <w:rPr>
          <w:rFonts w:hint="eastAsia" w:ascii="宋体" w:hAnsi="宋体" w:cs="Arial"/>
          <w:kern w:val="0"/>
          <w:szCs w:val="32"/>
        </w:rPr>
        <w:t>　侦查人员执行勘验、检查，必须持有人民检察院或者公安机关的证明文件。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第一百三十一条</w:t>
      </w:r>
      <w:r>
        <w:rPr>
          <w:rFonts w:hint="eastAsia" w:ascii="宋体" w:hAnsi="宋体" w:cs="Arial"/>
          <w:kern w:val="0"/>
          <w:szCs w:val="32"/>
        </w:rPr>
        <w:t>　对于死因不明的尸体，公安机关有权决定解剖，并且通知死者家属到场。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第一百三十二条</w:t>
      </w:r>
      <w:r>
        <w:rPr>
          <w:rFonts w:hint="eastAsia" w:ascii="宋体" w:hAnsi="宋体" w:cs="Arial"/>
          <w:kern w:val="0"/>
          <w:szCs w:val="32"/>
        </w:rPr>
        <w:t>　为了确定被害人、犯罪嫌疑人的某些特征、伤害情况或者生理状态，可以对人身进行检查，可以提取指纹信息，采集血液、尿液等生物样本。</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犯罪嫌疑人如果拒绝检查，侦查人员认为必要的时候，可以强制检查。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检查妇女的身体，应当由女工作人员或者医师进行。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第一百三十三条</w:t>
      </w:r>
      <w:r>
        <w:rPr>
          <w:rFonts w:hint="eastAsia" w:ascii="宋体" w:hAnsi="宋体" w:cs="Arial"/>
          <w:kern w:val="0"/>
          <w:szCs w:val="32"/>
        </w:rPr>
        <w:t>　勘验、检查的情况应当写成笔录，由参加勘验、检查的人和见证人签名或者盖章。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第一百三十四条</w:t>
      </w:r>
      <w:r>
        <w:rPr>
          <w:rFonts w:hint="eastAsia" w:ascii="宋体" w:hAnsi="宋体" w:cs="Arial"/>
          <w:kern w:val="0"/>
          <w:szCs w:val="32"/>
        </w:rPr>
        <w:t>　人民检察院审查案件的时候，对公安机关的勘验、检查，认为需要复验、复查时，可以要求公安机关复验、复查，并且可以派检察人员参加。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第一百三十五条</w:t>
      </w:r>
      <w:r>
        <w:rPr>
          <w:rFonts w:hint="eastAsia" w:ascii="宋体" w:hAnsi="宋体" w:cs="Arial"/>
          <w:kern w:val="0"/>
          <w:szCs w:val="32"/>
        </w:rPr>
        <w:t>　为了查明案情，在必要的时候，经公安机关负责人批准，可以进行侦查实验。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侦查实验的情况应当写成笔录，由参加实验的人签名或者盖章。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侦查实验，禁止一切足以造成危险、侮辱人格或者有伤风化的行为。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第五节　搜查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第一百三十六条</w:t>
      </w:r>
      <w:r>
        <w:rPr>
          <w:rFonts w:hint="eastAsia" w:ascii="宋体" w:hAnsi="宋体" w:cs="Arial"/>
          <w:kern w:val="0"/>
          <w:szCs w:val="32"/>
        </w:rPr>
        <w:t>　为了收集犯罪证据、查获犯罪人，侦查人员可以对犯罪嫌疑人以及可能隐藏罪犯或者犯罪证据的人的身体、物品、住处和其他有关的地方进行搜查。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第一百三十七条</w:t>
      </w:r>
      <w:r>
        <w:rPr>
          <w:rFonts w:hint="eastAsia" w:ascii="宋体" w:hAnsi="宋体" w:cs="Arial"/>
          <w:kern w:val="0"/>
          <w:szCs w:val="32"/>
        </w:rPr>
        <w:t>　任何单位和个人，有义务按照人民检察院和公安机关的要求，交出可以证明犯罪嫌疑人有罪或者无罪的物证、书证、视听资料等证据。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第一百三十八条</w:t>
      </w:r>
      <w:r>
        <w:rPr>
          <w:rFonts w:hint="eastAsia" w:ascii="宋体" w:hAnsi="宋体" w:cs="Arial"/>
          <w:kern w:val="0"/>
          <w:szCs w:val="32"/>
        </w:rPr>
        <w:t>　进行搜查，必须向被搜查人出示搜查证。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在执行逮捕、拘留的时候，遇有紧急情况，不另用搜查证也可以进行搜查。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第一百三十九条</w:t>
      </w:r>
      <w:r>
        <w:rPr>
          <w:rFonts w:hint="eastAsia" w:ascii="宋体" w:hAnsi="宋体" w:cs="Arial"/>
          <w:kern w:val="0"/>
          <w:szCs w:val="32"/>
        </w:rPr>
        <w:t>　在搜查的时候，应当有被搜查人或者他的家属，邻居或者其他见证人在场。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搜查妇女的身体，应当由女工作人员进行。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第一百四十条</w:t>
      </w:r>
      <w:r>
        <w:rPr>
          <w:rFonts w:hint="eastAsia" w:ascii="宋体" w:hAnsi="宋体" w:cs="Arial"/>
          <w:kern w:val="0"/>
          <w:szCs w:val="32"/>
        </w:rPr>
        <w:t>　搜查的情况应当写成笔录，由侦查人员和被搜查人或者他的家属，邻居或者其他见证人签名或者盖章。如果被搜查人或者他的家属在逃或者拒绝签名、盖章，应当在笔录上注明。</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第六节　查封、扣押物证、书证</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第一百四十一条</w:t>
      </w:r>
      <w:r>
        <w:rPr>
          <w:rFonts w:hint="eastAsia" w:ascii="宋体" w:hAnsi="宋体" w:cs="Arial"/>
          <w:kern w:val="0"/>
          <w:szCs w:val="32"/>
        </w:rPr>
        <w:t>　在侦查活动中发现的可用以证明犯罪嫌疑人有罪或者无罪的各种财物、文件，应当查封、扣押；与案件无关的财物、文件，不得查封、扣押。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对查封、扣押的财物、文件，要妥善保管或者封存，不得使用、调换或者损毁。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第一百四十二条</w:t>
      </w:r>
      <w:r>
        <w:rPr>
          <w:rFonts w:hint="eastAsia" w:ascii="宋体" w:hAnsi="宋体" w:cs="Arial"/>
          <w:kern w:val="0"/>
          <w:szCs w:val="32"/>
        </w:rPr>
        <w:t>　对查封、扣押的财物、文件，应当会同在场见证人和被查封、扣押财物、文件持有人查点清楚，当场开列清单一式二份，由侦查人员、见证人和持有人签名或者盖章，一份交给持有人，另一份附卷备查。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第一百四十三条</w:t>
      </w:r>
      <w:r>
        <w:rPr>
          <w:rFonts w:hint="eastAsia" w:ascii="宋体" w:hAnsi="宋体" w:cs="Arial"/>
          <w:kern w:val="0"/>
          <w:szCs w:val="32"/>
        </w:rPr>
        <w:t>　侦查人员认为需要扣押犯罪嫌疑人的邮件、电报的时候，经公安机关或者人民检察院批准，即可通知邮电机关将有关的邮件、电报检交扣押。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不需要继续扣押的时候，应即通知邮电机关。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第一百四十四条</w:t>
      </w:r>
      <w:r>
        <w:rPr>
          <w:rFonts w:hint="eastAsia" w:ascii="宋体" w:hAnsi="宋体" w:cs="Arial"/>
          <w:kern w:val="0"/>
          <w:szCs w:val="32"/>
        </w:rPr>
        <w:t>　人民检察院、公安机关根据侦查犯罪的需要，可以依照规定查询、冻结犯罪嫌疑人的存款、汇款、债券、股票、基金份额等财产。有关单位和个人应当配合。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犯罪嫌疑人的存款、汇款、债券、股票、基金份额等财产已被冻结的，不得重复冻结。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第一百四十五条</w:t>
      </w:r>
      <w:r>
        <w:rPr>
          <w:rFonts w:hint="eastAsia" w:ascii="宋体" w:hAnsi="宋体" w:cs="Arial"/>
          <w:kern w:val="0"/>
          <w:szCs w:val="32"/>
        </w:rPr>
        <w:t>　对查封、扣押的财物、文件、邮件、电报或者冻结的存款、汇款、债券、股票、基金份额等财产，经查明确实与案件无关的，应当在三日以内解除查封、扣押、冻结，予以退还。</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第七节　鉴定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第一百四十六条</w:t>
      </w:r>
      <w:r>
        <w:rPr>
          <w:rFonts w:hint="eastAsia" w:ascii="宋体" w:hAnsi="宋体" w:cs="Arial"/>
          <w:kern w:val="0"/>
          <w:szCs w:val="32"/>
        </w:rPr>
        <w:t>　为了查明案情，需要解决案件中某些专门性问题的时候，应当指派、聘请有专门知识的人进行鉴定。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第一百四十七条</w:t>
      </w:r>
      <w:r>
        <w:rPr>
          <w:rFonts w:hint="eastAsia" w:ascii="宋体" w:hAnsi="宋体" w:cs="Arial"/>
          <w:kern w:val="0"/>
          <w:szCs w:val="32"/>
        </w:rPr>
        <w:t>　鉴定人进行鉴定后，应当写出鉴定意见，并且签名。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鉴定人故意作虚假鉴定的，应当承担法律责任。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第一百四十八条</w:t>
      </w:r>
      <w:r>
        <w:rPr>
          <w:rFonts w:hint="eastAsia" w:ascii="宋体" w:hAnsi="宋体" w:cs="Arial"/>
          <w:kern w:val="0"/>
          <w:szCs w:val="32"/>
        </w:rPr>
        <w:t>　侦查机关应当将用作证据的鉴定意见告知犯罪嫌疑人、被害人。如果犯罪嫌疑人、被害人提出申请，可以补充鉴定或者重新鉴定。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第一百四十九条</w:t>
      </w:r>
      <w:r>
        <w:rPr>
          <w:rFonts w:hint="eastAsia" w:ascii="宋体" w:hAnsi="宋体" w:cs="Arial"/>
          <w:kern w:val="0"/>
          <w:szCs w:val="32"/>
        </w:rPr>
        <w:t>　对犯罪嫌疑人作精神病鉴定的期间不计入办案期限。</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第八节　技术侦查措施</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第一百五十条</w:t>
      </w:r>
      <w:r>
        <w:rPr>
          <w:rFonts w:hint="eastAsia" w:ascii="宋体" w:hAnsi="宋体" w:cs="Arial"/>
          <w:kern w:val="0"/>
          <w:szCs w:val="32"/>
        </w:rPr>
        <w:t>　公安机关在立案后，对于危害国家安全犯罪、恐怖活动犯罪、黑社会性质的组织犯罪、重大毒品犯罪或者其他严重危害社会的犯罪案件，根据侦查犯罪的需要，经过严格的批准手续，可以采取技术侦查措施。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人民检察院在立案后，对于利用职权实施的严重侵犯公民人身权利的重大犯罪案件，根据侦查犯罪的需要，经过严格的批准手续，可以采取技术侦查措施，按照规定交有关机关执行。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追捕被通缉或者批准、决定逮捕的在逃的犯罪嫌疑人、被告人，经过批准，可以采取追捕所必需的技术侦查措施。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第一百五十一条</w:t>
      </w:r>
      <w:r>
        <w:rPr>
          <w:rFonts w:hint="eastAsia" w:ascii="宋体" w:hAnsi="宋体" w:cs="Arial"/>
          <w:kern w:val="0"/>
          <w:szCs w:val="32"/>
        </w:rPr>
        <w:t>　批准决定应当根据侦查犯罪的需要，确定采取技术侦查措施的种类和适用对象。批准决定自签发之日起三个月以内有效。对于不需要继续采取技术侦查措施的，应当及时解除；对于复杂、疑难案件，期限届满仍有必要继续采取技术侦查措施的，经过批准，有效期可以延长，每次不得超过三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第一百五十二条</w:t>
      </w:r>
      <w:r>
        <w:rPr>
          <w:rFonts w:hint="eastAsia" w:ascii="宋体" w:hAnsi="宋体" w:cs="Arial"/>
          <w:kern w:val="0"/>
          <w:szCs w:val="32"/>
        </w:rPr>
        <w:t>　采取技术侦查措施，必须严格按照批准的措施种类、适用对象和期限执行。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侦查人员对采取技术侦查措施过程中知悉的国家秘密、商业秘密和个人隐私，应当保密；对采取技术侦查措施获取的与案件无关的材料，必须及时销毁。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采取技术侦查措施获取的材料，只能用于对犯罪的侦查、起诉和审判，不得用于其他用途。</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公安机关依法采取技术侦查措施，有关单位和个人应当配合，并对有关情况予以保密。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第一百五十三条</w:t>
      </w:r>
      <w:r>
        <w:rPr>
          <w:rFonts w:hint="eastAsia" w:ascii="宋体" w:hAnsi="宋体" w:cs="Arial"/>
          <w:kern w:val="0"/>
          <w:szCs w:val="32"/>
        </w:rPr>
        <w:t>　为了查明案情，在必要的时候，经公安机关负责人决定，可以由有关人员隐匿其身份实施侦查。但是，不得诱使他人犯罪，不得采用可能危害公共安全或者发生重大人身危险的方法。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对涉及给付毒品等违禁品或者财物的犯罪活动，公安机关根据侦查犯罪的需要，可以依照规定实施控制下交付。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第一百五十四条</w:t>
      </w:r>
      <w:r>
        <w:rPr>
          <w:rFonts w:hint="eastAsia" w:ascii="宋体" w:hAnsi="宋体" w:cs="Arial"/>
          <w:kern w:val="0"/>
          <w:szCs w:val="32"/>
        </w:rPr>
        <w:t>　依照本节规定采取侦查措施收集的材料在刑事诉讼中可以作为证据使用。如果使用该证据可能危及有关人员的人身安全，或者可能产生其他严重后果的，应当采取不暴露有关人员身份、技术方法等保护措施，必要的时候，可以由审判人员在庭外对证据进行核实。</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第九节　通缉</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第一百五十五条</w:t>
      </w:r>
      <w:r>
        <w:rPr>
          <w:rFonts w:hint="eastAsia" w:ascii="宋体" w:hAnsi="宋体" w:cs="Arial"/>
          <w:kern w:val="0"/>
          <w:szCs w:val="32"/>
        </w:rPr>
        <w:t>　应当逮捕的犯罪嫌疑人如果在逃，公安机关可以发布通缉令，采取有效措施，追捕归案。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各级公安机关在自己管辖的地区以内，可以直接发布通缉令；超出自己管辖的地区，应当报请有权决定的上级机关发布。</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第十节　侦查终结</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第一百五十六条</w:t>
      </w:r>
      <w:r>
        <w:rPr>
          <w:rFonts w:hint="eastAsia" w:ascii="宋体" w:hAnsi="宋体" w:cs="Arial"/>
          <w:kern w:val="0"/>
          <w:szCs w:val="32"/>
        </w:rPr>
        <w:t>　对犯罪嫌疑人逮捕后的侦查羁押期限不得超过二个月。案情复杂、期限届满不能终结的案件，可以经上一级人民检察院批准延长一个月。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第一百五十七条</w:t>
      </w:r>
      <w:r>
        <w:rPr>
          <w:rFonts w:hint="eastAsia" w:ascii="宋体" w:hAnsi="宋体" w:cs="Arial"/>
          <w:kern w:val="0"/>
          <w:szCs w:val="32"/>
        </w:rPr>
        <w:t>　因为特殊原因，在较长时间内不宜交付审判的特别重大复杂的案件，由最高人民检察院报请全国人民代表大会常务委员会批准延期审理。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第一百五十八条</w:t>
      </w:r>
      <w:r>
        <w:rPr>
          <w:rFonts w:hint="eastAsia" w:ascii="宋体" w:hAnsi="宋体" w:cs="Arial"/>
          <w:kern w:val="0"/>
          <w:szCs w:val="32"/>
        </w:rPr>
        <w:t>　下列案件在本</w:t>
      </w:r>
      <w:r>
        <w:rPr>
          <w:rFonts w:hint="eastAsia" w:ascii="宋体" w:hAnsi="宋体" w:eastAsia="仿宋_GB2312" w:cs="仿宋_GB2312"/>
          <w:kern w:val="0"/>
          <w:szCs w:val="32"/>
        </w:rPr>
        <w:t>法第一百五十六条规定的</w:t>
      </w:r>
      <w:r>
        <w:rPr>
          <w:rFonts w:hint="eastAsia" w:ascii="宋体" w:hAnsi="宋体" w:cs="Arial"/>
          <w:kern w:val="0"/>
          <w:szCs w:val="32"/>
        </w:rPr>
        <w:t>期限届满不能侦查终结的，经省、自治区、直辖市人民检察院批准或者决定，可以延长二个月：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（一）交通十分不便的边远地区的重大复杂案件；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（二）重大的犯罪集团案件；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（三）流窜作案的重大复杂案件；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（四）犯罪涉及面广，取证困难的重大复杂案件。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第一百五十九条</w:t>
      </w:r>
      <w:r>
        <w:rPr>
          <w:rFonts w:hint="eastAsia" w:ascii="宋体" w:hAnsi="宋体" w:cs="Arial"/>
          <w:kern w:val="0"/>
          <w:szCs w:val="32"/>
        </w:rPr>
        <w:t>　对犯罪嫌疑人可能判处十年有期徒刑以上刑罚，依照</w:t>
      </w:r>
      <w:r>
        <w:rPr>
          <w:rFonts w:hint="eastAsia" w:ascii="宋体" w:hAnsi="宋体" w:eastAsia="仿宋_GB2312" w:cs="仿宋_GB2312"/>
          <w:kern w:val="0"/>
          <w:szCs w:val="32"/>
        </w:rPr>
        <w:t>本法第一百五十八条规定延长期限届</w:t>
      </w:r>
      <w:r>
        <w:rPr>
          <w:rFonts w:hint="eastAsia" w:ascii="宋体" w:hAnsi="宋体" w:cs="Arial"/>
          <w:kern w:val="0"/>
          <w:szCs w:val="32"/>
        </w:rPr>
        <w:t>满，仍不能侦查终结的，经省、自治区、直辖市人民检察院批准或者决定，可以再延长二个月。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第一百六十条</w:t>
      </w:r>
      <w:r>
        <w:rPr>
          <w:rFonts w:hint="eastAsia" w:ascii="宋体" w:hAnsi="宋体" w:cs="Arial"/>
          <w:kern w:val="0"/>
          <w:szCs w:val="32"/>
        </w:rPr>
        <w:t>　在侦查期间，发现犯罪嫌疑人另有重要罪行的，自发现之日起依照本</w:t>
      </w:r>
      <w:r>
        <w:rPr>
          <w:rFonts w:hint="eastAsia" w:ascii="宋体" w:hAnsi="宋体" w:eastAsia="仿宋_GB2312" w:cs="仿宋_GB2312"/>
          <w:kern w:val="0"/>
          <w:szCs w:val="32"/>
        </w:rPr>
        <w:t>法第一百五十六条的规</w:t>
      </w:r>
      <w:r>
        <w:rPr>
          <w:rFonts w:hint="eastAsia" w:ascii="宋体" w:hAnsi="宋体" w:cs="Arial"/>
          <w:kern w:val="0"/>
          <w:szCs w:val="32"/>
        </w:rPr>
        <w:t>定重新计算侦查羁押期限。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不讲真实姓名、住址，身份不明的，应当对其身份进行调查，侦查羁押期限自查清其身份之日起计算，但是不得停止对其犯罪行为的侦查取证。对于犯罪事实清楚，证据确实、充分，确实无法查明其身份的，也可以按其自报的姓名起诉、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第一百六十一条</w:t>
      </w:r>
      <w:r>
        <w:rPr>
          <w:rFonts w:hint="eastAsia" w:ascii="宋体" w:hAnsi="宋体" w:cs="Arial"/>
          <w:kern w:val="0"/>
          <w:szCs w:val="32"/>
        </w:rPr>
        <w:t>　在案件侦查终结前，辩护律师提出要求的，侦查机关应当听取辩护律师的意见，并记录在案。辩护律师提出书面意见的，应当附卷。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第一百六十二条</w:t>
      </w:r>
      <w:r>
        <w:rPr>
          <w:rFonts w:hint="eastAsia" w:ascii="宋体" w:hAnsi="宋体" w:cs="Arial"/>
          <w:kern w:val="0"/>
          <w:szCs w:val="32"/>
        </w:rPr>
        <w:t>　公安机关侦查终结的案件，应当做到犯罪事实清楚，证据确实、充分，并且写出起诉意见书，连同案卷材料、证据一并移送同级人民检察院审查决定；同时将案件移送情况告知犯罪嫌疑人及其辩护律师。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犯罪嫌疑人自愿认罪的，应当记录在案，随案移送，并在起诉意见书中写明有关情况。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第一百六十三条</w:t>
      </w:r>
      <w:r>
        <w:rPr>
          <w:rFonts w:hint="eastAsia" w:ascii="宋体" w:hAnsi="宋体" w:cs="Arial"/>
          <w:kern w:val="0"/>
          <w:szCs w:val="32"/>
        </w:rPr>
        <w:t>　在侦查过程中，发现不应对犯罪嫌疑人追究刑事责任的，应当撤销案件；犯罪嫌疑人已被逮捕的，应当立即释放，发给释放证明，并且通知原批准逮捕的人民检察院。</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第十一节　人民检察院对直接受理的案件的侦查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第一百六十四条</w:t>
      </w:r>
      <w:r>
        <w:rPr>
          <w:rFonts w:hint="eastAsia" w:ascii="宋体" w:hAnsi="宋体" w:cs="Arial"/>
          <w:kern w:val="0"/>
          <w:szCs w:val="32"/>
        </w:rPr>
        <w:t>　人民检察院对直接受理的案件的侦查适用本章规定。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第一百六十五条</w:t>
      </w:r>
      <w:r>
        <w:rPr>
          <w:rFonts w:hint="eastAsia" w:ascii="宋体" w:hAnsi="宋体" w:cs="Arial"/>
          <w:kern w:val="0"/>
          <w:szCs w:val="32"/>
        </w:rPr>
        <w:t>　人民</w:t>
      </w:r>
      <w:r>
        <w:rPr>
          <w:rFonts w:hint="eastAsia" w:ascii="宋体" w:hAnsi="宋体" w:eastAsia="仿宋_GB2312" w:cs="仿宋_GB2312"/>
          <w:kern w:val="0"/>
          <w:szCs w:val="32"/>
        </w:rPr>
        <w:t>检察院直接受理的案件中符合本法第八十一条、第八十二条第四项、第五项规定情形，需要逮捕、拘留犯罪嫌疑人的，由人民检察院作出决定，由公安机关执行。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第一百六十六条</w:t>
      </w:r>
      <w:r>
        <w:rPr>
          <w:rFonts w:hint="eastAsia" w:ascii="宋体" w:hAnsi="宋体" w:cs="Arial"/>
          <w:kern w:val="0"/>
          <w:szCs w:val="32"/>
        </w:rPr>
        <w:t>　人民检察院对直接受理的案件中被拘留的人，应当在拘留后的二十四小时以内进行讯问。在发现不应当拘留的时候，必须立即释放，发给释放证明。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第一百六十七条</w:t>
      </w:r>
      <w:r>
        <w:rPr>
          <w:rFonts w:hint="eastAsia" w:ascii="宋体" w:hAnsi="宋体" w:cs="Arial"/>
          <w:kern w:val="0"/>
          <w:szCs w:val="32"/>
        </w:rPr>
        <w:t>　人民检察院对直接受理的案件中被拘留的人，认为需要逮捕的，应当在十四日以内作出决定。在特殊情况下，决定逮捕的时间可以延长一日至三日。对不需要逮捕的，应当立即释放；对需要继续侦查，并且符合取保候审、监视居住条件的，依法取保候审或者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第一百六十八条</w:t>
      </w:r>
      <w:r>
        <w:rPr>
          <w:rFonts w:hint="eastAsia" w:ascii="宋体" w:hAnsi="宋体" w:cs="Arial"/>
          <w:kern w:val="0"/>
          <w:szCs w:val="32"/>
        </w:rPr>
        <w:t>　人民检察院侦查终结的案件，应当作出提起公诉、不起诉或者撤销案件的决定。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提起公诉</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第一百六十九条</w:t>
      </w:r>
      <w:r>
        <w:rPr>
          <w:rFonts w:hint="eastAsia" w:ascii="宋体" w:hAnsi="宋体" w:cs="Arial"/>
          <w:kern w:val="0"/>
          <w:szCs w:val="32"/>
        </w:rPr>
        <w:t>　凡需要提起公诉的案件，一律由人民检察院审查决定。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第一百七十条</w:t>
      </w:r>
      <w:r>
        <w:rPr>
          <w:rFonts w:hint="eastAsia" w:ascii="宋体" w:hAnsi="宋体" w:cs="Arial"/>
          <w:kern w:val="0"/>
          <w:szCs w:val="32"/>
        </w:rPr>
        <w:t>　人民检察院对于监察机关移送起诉的案件，依照本法和监察法的有关规定进行审查。人民检察院经审查，认为需要补充核实的，应当退回监察机关补充调查，必要时可以自行补充侦查。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监察机关移送起诉的已采取留置措施的案件，人民检察院应当对犯罪嫌疑人先行拘留，留置措施自动解除。人民检察院应当在拘留后的十日以内作出是否逮捕、取保候审或者监视居住的决定。在特殊情况下，决定的时间可以延长一日至四日。人民检察院决定采取强制措施的期间不计入审查起诉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第一百七十一条</w:t>
      </w:r>
      <w:r>
        <w:rPr>
          <w:rFonts w:hint="eastAsia" w:ascii="宋体" w:hAnsi="宋体" w:cs="Arial"/>
          <w:kern w:val="0"/>
          <w:szCs w:val="32"/>
        </w:rPr>
        <w:t>　人民检察院审查案件的时候，必须查明：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（一）犯罪事实、情节是否清楚，证据是否确实、充分，犯罪性质和罪名的认定是否正确；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（二）有无遗漏罪行和其他应当追究刑事责任的人；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（三）是否属于不应追究刑事责任的；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（四）有无附带民事诉讼；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（五）侦查活动是否合法。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第一百七十二条</w:t>
      </w:r>
      <w:r>
        <w:rPr>
          <w:rFonts w:hint="eastAsia" w:ascii="宋体" w:hAnsi="宋体" w:cs="Arial"/>
          <w:kern w:val="0"/>
          <w:szCs w:val="32"/>
        </w:rPr>
        <w:t>　人民检察院对于监察机关、公安机关移送起诉的案件，应当在一个月以内作出决定，重大、复杂的案件，可以延长十五日；犯罪嫌疑人认罪认罚，符合速裁程序适用条件的，应当在十日以内作出决定，对可能判处的有期徒刑超过一年的，可以延长至十五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人民检察院审查起诉的案件，改变管辖的，从改变后的人民检察院收到案件之日起计算审查起诉期限。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第一百七十三条</w:t>
      </w:r>
      <w:r>
        <w:rPr>
          <w:rFonts w:hint="eastAsia" w:ascii="宋体" w:hAnsi="宋体" w:cs="Arial"/>
          <w:kern w:val="0"/>
          <w:szCs w:val="32"/>
        </w:rPr>
        <w:t>　人民检察院审查案件，应当讯问犯罪嫌疑人，听取辩护人或者值班律师、被害人及其诉讼代理人的意见，并记录在案。辩护人或者值班律师、被害人及其诉讼代理人提出书面意见的，应当附卷。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犯罪嫌疑人认罪认罚的，人民检察院应当告知其享有的诉讼权利和认罪认罚的法律规定，听取犯罪嫌疑人、辩护人或者值班律师、被害人及其诉讼代理人对下列事项的意见，并记录在案：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（一）涉嫌的犯罪事实、罪名及适用的法律规定；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（二）从轻、减轻或者免除处罚等从宽处罚的建议；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（三）认罪认罚后案件审理适用的程序；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（四）其他需要听取意见的事项。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人民检察院依照前两款规定听取值班律师意见的，应当提前为值班律师了解案件有关情况提供必要的便利。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第一百七十四条</w:t>
      </w:r>
      <w:r>
        <w:rPr>
          <w:rFonts w:hint="eastAsia" w:ascii="宋体" w:hAnsi="宋体" w:cs="Arial"/>
          <w:kern w:val="0"/>
          <w:szCs w:val="32"/>
        </w:rPr>
        <w:t>　犯罪嫌疑人自愿认罪，同意量刑建议和程序适用的，应当在辩护人或者值班律师在场的情况下签署认罪认罚具结书。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犯罪嫌疑人认罪认罚，有下列情形之一的，不需要签署认罪认罚具结书：</w:t>
      </w:r>
    </w:p>
    <w:p>
      <w:pPr>
        <w:widowControl w:val="0"/>
        <w:wordWrap/>
        <w:overflowPunct w:val="0"/>
        <w:adjustRightInd/>
        <w:snapToGrid/>
        <w:spacing w:beforeAutospacing="0" w:afterAutospacing="0" w:line="560" w:lineRule="exact"/>
        <w:jc w:val="lef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（一）犯罪嫌疑人是盲、聋、哑人，或者是尚未完全丧失辨认或者控制自己行为能力的精神病人的；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（二）未成年犯罪嫌疑人的法定代理人、辩护人对未成年人认罪认罚有异议的；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（三）其他不需要签署认罪认罚具结书的情形。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第一百七十五条</w:t>
      </w:r>
      <w:r>
        <w:rPr>
          <w:rFonts w:hint="eastAsia" w:ascii="宋体" w:hAnsi="宋体" w:cs="Arial"/>
          <w:kern w:val="0"/>
          <w:szCs w:val="32"/>
        </w:rPr>
        <w:t>　人民检察院审查案件，可以要求公安机关提供法庭审判所必需的证据材料；认为可能存在</w:t>
      </w:r>
      <w:r>
        <w:rPr>
          <w:rFonts w:hint="eastAsia" w:ascii="宋体" w:hAnsi="宋体" w:eastAsia="仿宋_GB2312" w:cs="仿宋_GB2312"/>
          <w:kern w:val="0"/>
          <w:szCs w:val="32"/>
        </w:rPr>
        <w:t>本法第五十六条规定的以非法方法收集证据情形的，可以要求其对</w:t>
      </w:r>
      <w:r>
        <w:rPr>
          <w:rFonts w:hint="eastAsia" w:ascii="宋体" w:hAnsi="宋体" w:cs="Arial"/>
          <w:kern w:val="0"/>
          <w:szCs w:val="32"/>
        </w:rPr>
        <w:t>证据收集的合法性作出说明。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人民检察院审查案件，对于需要补充侦查的，可以退回公安机关补充侦查，也可以自行侦查。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对于补充侦查的案件，应当在一个月以内补充侦查完毕。补充侦查以二次为限。补充侦查完毕移送人民检察院后，人民检察院重新计算审查起诉期限。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对于二次补充侦查的案件，人民检察院仍然认为证据不足，不符合起诉条件的，应当作出不起诉的决定。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第一百七十六条</w:t>
      </w:r>
      <w:r>
        <w:rPr>
          <w:rFonts w:hint="eastAsia" w:ascii="宋体" w:hAnsi="宋体" w:cs="Arial"/>
          <w:kern w:val="0"/>
          <w:szCs w:val="32"/>
        </w:rPr>
        <w:t>　人民检察院认为犯罪嫌疑人的犯罪事实已经查清，证据确实、充分，依法应当追究刑事责任的，应当作出起诉决定，按照审判管辖的规定，向人民法院提起公诉，并将案卷材料、证据移送人民法院。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犯罪嫌疑人认罪认罚的，人民检察院应当就主刑、附加刑、是否适用缓刑等提出量刑建议，并随案移送认罪认罚具结书等材料。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第一百七十七条</w:t>
      </w:r>
      <w:r>
        <w:rPr>
          <w:rFonts w:hint="eastAsia" w:ascii="宋体" w:hAnsi="宋体" w:cs="Arial"/>
          <w:kern w:val="0"/>
          <w:szCs w:val="32"/>
        </w:rPr>
        <w:t>　犯罪嫌疑人没有犯罪事实，或者</w:t>
      </w:r>
      <w:r>
        <w:rPr>
          <w:rFonts w:hint="eastAsia" w:ascii="宋体" w:hAnsi="宋体" w:eastAsia="仿宋_GB2312" w:cs="仿宋_GB2312"/>
          <w:kern w:val="0"/>
          <w:szCs w:val="32"/>
        </w:rPr>
        <w:t>有本法第十六条规定的情形之一的，人民检察院应当作出不起诉</w:t>
      </w:r>
      <w:r>
        <w:rPr>
          <w:rFonts w:hint="eastAsia" w:ascii="宋体" w:hAnsi="宋体" w:cs="Arial"/>
          <w:kern w:val="0"/>
          <w:szCs w:val="32"/>
        </w:rPr>
        <w:t>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对于犯罪情节轻微，依照刑法规定不需要判处刑罚或者免除刑罚的，人民检察院可以作出不起诉决定。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决定不起诉的案件，应当同时对侦查中查封、扣押、冻结的财物解除查封、扣押、冻结。对被不起诉人需要给予行政处罚、处分或者需要没收其违法所得的，人民检察院应当提出检察意见，移送有关主管机关处理。有关主管机关应当将处理结果及时通知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第一百七十八条</w:t>
      </w:r>
      <w:r>
        <w:rPr>
          <w:rFonts w:hint="eastAsia" w:ascii="宋体" w:hAnsi="宋体" w:cs="Arial"/>
          <w:kern w:val="0"/>
          <w:szCs w:val="32"/>
        </w:rPr>
        <w:t>　不起诉的决定，应当公开宣布，并且将不起诉决定书送达被不起诉人和他的所在单位。如果被不起诉人在押，应当立即释放。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第一百七十九条</w:t>
      </w:r>
      <w:r>
        <w:rPr>
          <w:rFonts w:hint="eastAsia" w:ascii="宋体" w:hAnsi="宋体" w:cs="Arial"/>
          <w:kern w:val="0"/>
          <w:szCs w:val="32"/>
        </w:rPr>
        <w:t>　对于公安机关移送起诉的案件，人民检察院决定不起诉的，应当将不起诉决定书送达公安机关。公安机关认为不起诉的决定有错误的时候，可以要求复议，如果意见不被接受，可以向上一级人民检察院提请复核。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第一百八十条</w:t>
      </w:r>
      <w:r>
        <w:rPr>
          <w:rFonts w:hint="eastAsia" w:ascii="宋体" w:hAnsi="宋体" w:cs="Arial"/>
          <w:kern w:val="0"/>
          <w:szCs w:val="32"/>
        </w:rPr>
        <w:t>　对于有被害人的案件，决定不起诉的，人民检察院应当将不起诉决定书送达被害人。被害人如果不服，可以自收到决定书后七日以内向上一级人民检察院申诉，请求提起公诉。人民检察院应当将复查决定告知被害人。对人民检察院维持不起诉决定的，被害人可以向人民法院起诉。被害人也可以不经申诉，直接向人民法院起诉。人民法院受理案件后，人民检察院应当将有关案件材料移送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第一百八十一条</w:t>
      </w:r>
      <w:r>
        <w:rPr>
          <w:rFonts w:hint="eastAsia" w:ascii="宋体" w:hAnsi="宋体" w:cs="Arial"/>
          <w:kern w:val="0"/>
          <w:szCs w:val="32"/>
        </w:rPr>
        <w:t>　对于人民检</w:t>
      </w:r>
      <w:r>
        <w:rPr>
          <w:rFonts w:hint="eastAsia" w:ascii="宋体" w:hAnsi="宋体" w:eastAsia="仿宋_GB2312" w:cs="仿宋_GB2312"/>
          <w:kern w:val="0"/>
          <w:szCs w:val="32"/>
        </w:rPr>
        <w:t>察院依照本法第一百七十七条第二款规定作出的不起诉决定，被不起诉人如果不服，可以自收到决定书后七日以内向人民检察院申诉。人民检察院应当作出复查决定，通知被不起诉的人，同时抄送公安机关。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第一百八十二条</w:t>
      </w:r>
      <w:r>
        <w:rPr>
          <w:rFonts w:hint="eastAsia" w:ascii="宋体" w:hAnsi="宋体" w:cs="Arial"/>
          <w:kern w:val="0"/>
          <w:szCs w:val="32"/>
        </w:rPr>
        <w:t>　犯罪嫌疑人自愿如实供述涉嫌犯罪的事实，有重大立功或者案件涉及国家重大利益的，经最高人民检察院核准，公安机关可以撤销案件，人民检察院可以作出不起诉决定，也可以对涉嫌数罪中的一项或者多项不起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根据前款规定不起诉或者撤销案件的，人民检察院、公安机关应当及时对查封、扣押、冻结的财物及其孳息作出处理。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第三编　审判</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审判组织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第一百八十三条</w:t>
      </w:r>
      <w:r>
        <w:rPr>
          <w:rFonts w:hint="eastAsia" w:ascii="宋体" w:hAnsi="宋体" w:cs="Arial"/>
          <w:kern w:val="0"/>
          <w:szCs w:val="32"/>
        </w:rPr>
        <w:t>　基层人民法</w:t>
      </w:r>
      <w:r>
        <w:rPr>
          <w:rFonts w:hint="eastAsia" w:ascii="宋体" w:hAnsi="宋体" w:eastAsia="仿宋_GB2312" w:cs="仿宋_GB2312"/>
          <w:kern w:val="0"/>
          <w:szCs w:val="32"/>
        </w:rPr>
        <w:t>院、中级人民法院审判第一审案件，应当由审判员三人或者由审判员和人民陪审员共三人或者七人组成合议庭进行，但是基层人民法院适用简易程序、速裁程序的案件可以由审判员一人独任审判。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高级人民法院审判第一审案件，应当由审判员三人至七人或者由审判员和人民陪审员共三人或者七人组成合议庭进行。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最高人民法院审判第一审案件，应当由审判员三人至七人组成合议庭进行。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人民法院审判上诉和抗诉案件，由审判员三人或者五人组成合议庭进行。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合议庭的成员人数应当是单数。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第一百八十四条</w:t>
      </w:r>
      <w:r>
        <w:rPr>
          <w:rFonts w:hint="eastAsia" w:ascii="宋体" w:hAnsi="宋体" w:cs="Arial"/>
          <w:kern w:val="0"/>
          <w:szCs w:val="32"/>
        </w:rPr>
        <w:t>　合议庭进行评议的时候，如果意见分歧，应当按多数人的意见作出决定，但是少数人的意见应当写入笔录。评议笔录由合议庭的组成人员签名。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第一百八十五条</w:t>
      </w:r>
      <w:r>
        <w:rPr>
          <w:rFonts w:hint="eastAsia" w:ascii="宋体" w:hAnsi="宋体" w:cs="Arial"/>
          <w:kern w:val="0"/>
          <w:szCs w:val="32"/>
        </w:rPr>
        <w:t>　合议庭开庭审理并且评议后，应当作出判决。对于疑难、复杂、重大的案件，合议庭认为难以作出决定的，由合议庭提请院长决定提交审判委员会讨论决定。审判委员会的决定，合议庭应当执行。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第一审程序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第一节　公诉案件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第一百八十六条</w:t>
      </w:r>
      <w:r>
        <w:rPr>
          <w:rFonts w:hint="eastAsia" w:ascii="宋体" w:hAnsi="宋体" w:cs="Arial"/>
          <w:kern w:val="0"/>
          <w:szCs w:val="32"/>
        </w:rPr>
        <w:t>　人民法院对提起公诉的案件进行审查后，对于起诉书中有明确的指控犯罪事实的，应当决定开庭审判。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第一百八十七条</w:t>
      </w:r>
      <w:r>
        <w:rPr>
          <w:rFonts w:hint="eastAsia" w:ascii="宋体" w:hAnsi="宋体" w:cs="Arial"/>
          <w:kern w:val="0"/>
          <w:szCs w:val="32"/>
        </w:rPr>
        <w:t>　人民法院决定开庭审判后，应当确定合议庭的组成人员，将人民检察院的起诉书副本至迟在开庭十日以前送达被告人及其辩护人。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在开庭以前，审判人员可以召集公诉人、当事人和辩护人、诉讼代理人，对回避、出庭证人名单、非法证据排除等与审判相关的问题，了解情况，听取意见。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确定开庭日期后，应当将开庭的时间、地点通知人民检察院，传唤当事人，通知辩护人、诉讼代理人、证人、鉴定人和翻译人员，传票和通知书至迟在开庭三日以前送达。公开审判的案件，应当在开庭三日以前先期公布案由、被告人姓名、开庭时间和地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上述活动情形应当写入笔录，由审判人员和书记员签名。</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第一百八十八条</w:t>
      </w:r>
      <w:r>
        <w:rPr>
          <w:rFonts w:hint="eastAsia" w:ascii="宋体" w:hAnsi="宋体" w:cs="Arial"/>
          <w:kern w:val="0"/>
          <w:szCs w:val="32"/>
        </w:rPr>
        <w:t>　人民法</w:t>
      </w:r>
      <w:r>
        <w:rPr>
          <w:rFonts w:hint="eastAsia" w:ascii="宋体" w:hAnsi="宋体" w:eastAsia="仿宋_GB2312" w:cs="仿宋_GB2312"/>
          <w:kern w:val="0"/>
          <w:szCs w:val="32"/>
        </w:rPr>
        <w:t>院审判第一审案件应当公开进行。但是有关国家秘密或者个人隐私的案件，不公开审理；涉及商业秘密的案件，当事人申请不公开审理的，可以不公开审理。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不公开审理的案件，应当当庭宣布不公开审理的理由。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第一百八十九条</w:t>
      </w:r>
      <w:r>
        <w:rPr>
          <w:rFonts w:hint="eastAsia" w:ascii="宋体" w:hAnsi="宋体" w:cs="Arial"/>
          <w:kern w:val="0"/>
          <w:szCs w:val="32"/>
        </w:rPr>
        <w:t>　人民法院审判公诉案件，人民检察院应当派员出席法庭支持公诉。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第一百九十条</w:t>
      </w:r>
      <w:r>
        <w:rPr>
          <w:rFonts w:hint="eastAsia" w:ascii="宋体" w:hAnsi="宋体" w:cs="Arial"/>
          <w:kern w:val="0"/>
          <w:szCs w:val="32"/>
        </w:rPr>
        <w:t>　开庭的时候，审判长查明当事人是否到庭，宣布案由；宣布合议庭的组成人员、书记员、公诉人、辩护人、诉讼代理人、鉴定人和翻译人员的名单；告知当事人有权对合议庭组成人员、书记员、公诉人、鉴定人和翻译人员申请回避；告知被告人享有辩护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被告人认罪认罚的，审判长应当告知被告人享有的诉讼权利和认罪认罚的法律规定，审查认罪认罚的自愿性和认罪认罚具结书内容的真实性、合法性。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第一百九十一条</w:t>
      </w:r>
      <w:r>
        <w:rPr>
          <w:rFonts w:hint="eastAsia" w:ascii="宋体" w:hAnsi="宋体" w:cs="Arial"/>
          <w:kern w:val="0"/>
          <w:szCs w:val="32"/>
        </w:rPr>
        <w:t>　公诉人在法庭上宣读起诉书后，被告人、被害人可以就起诉书指控的犯罪进行陈述，公诉人可以讯问被告人。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被害人、附带民事诉讼的原告人和辩护人、诉讼代理人，经审判长许可，可以向被告人发问。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审判人员可以讯问被告人。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第一百九十二条</w:t>
      </w:r>
      <w:r>
        <w:rPr>
          <w:rFonts w:hint="eastAsia" w:ascii="宋体" w:hAnsi="宋体" w:cs="Arial"/>
          <w:kern w:val="0"/>
          <w:szCs w:val="32"/>
        </w:rPr>
        <w:t>　公诉人、当事人或者辩护人、诉讼代理人对证人证言有异议，且该证人证言对案件定罪量刑有重大影响，人民法院认为证人有必要出庭作证的，证人应当出庭作证。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人民警察就其执行职务时目击的犯罪情况作为证人出庭作证，适用前款规定。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公诉人、当事人或者辩护人、诉讼代理人对鉴定意见有异议，人民法院认为鉴定人有必要出庭的，鉴定人应当出庭作证。经人民法院通知，鉴定人拒不出庭作证的，鉴定意见不得作为定案的根据。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第一百九十三条</w:t>
      </w:r>
      <w:r>
        <w:rPr>
          <w:rFonts w:hint="eastAsia" w:ascii="宋体" w:hAnsi="宋体" w:cs="Arial"/>
          <w:kern w:val="0"/>
          <w:szCs w:val="32"/>
        </w:rPr>
        <w:t>　经人民法院通知，证人没有正当理由不出庭作证的，人民法院可以强制其到庭，但是被告人的配偶、父母、子女除外。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证人没有正当理由拒绝出庭或者出庭后拒绝作证的，予以训诫，情节严重的，经院长批准，处以十日以下的拘留。被处罚人对拘留决定不服的，可以向上一级人民法院申请复议。复议期间不停止执行。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第一百九十四条</w:t>
      </w:r>
      <w:r>
        <w:rPr>
          <w:rFonts w:hint="eastAsia" w:ascii="宋体" w:hAnsi="宋体" w:cs="Arial"/>
          <w:kern w:val="0"/>
          <w:szCs w:val="32"/>
        </w:rPr>
        <w:t>　证人作证，审判人员应当告知他要如实地提供证言和有意作伪证或者隐匿罪证要负的法律责任。公诉人、当事人和辩护人、诉讼代理人经审判长许可，可以对证人、鉴定人发问。审判长认为发问的内容与案件无关的时候，应当制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审判人员可以询问证人、鉴定人。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第一百九十五条</w:t>
      </w:r>
      <w:r>
        <w:rPr>
          <w:rFonts w:hint="eastAsia" w:ascii="宋体" w:hAnsi="宋体" w:cs="Arial"/>
          <w:kern w:val="0"/>
          <w:szCs w:val="32"/>
        </w:rPr>
        <w:t>　公诉人、辩护人应当向法庭出示物证，让当事人辨认，对未到庭的证人的证言笔录、鉴定人的鉴定意见、勘验笔录和其他作为证据的文书，应当当庭宣读。审判人员应当听取公诉人、当事人和辩护人、诉讼代理人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第一百九十六条</w:t>
      </w:r>
      <w:r>
        <w:rPr>
          <w:rFonts w:hint="eastAsia" w:ascii="宋体" w:hAnsi="宋体" w:cs="Arial"/>
          <w:kern w:val="0"/>
          <w:szCs w:val="32"/>
        </w:rPr>
        <w:t>　法庭审理过程中，合议庭对证据有疑问的，可以宣布休庭，对证据进行调查核实。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人民法院调查核实证据，可以进行勘验、检查、查封、扣押、鉴定和查询、冻结。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第一百九十七条</w:t>
      </w:r>
      <w:r>
        <w:rPr>
          <w:rFonts w:hint="eastAsia" w:ascii="宋体" w:hAnsi="宋体" w:cs="Arial"/>
          <w:kern w:val="0"/>
          <w:szCs w:val="32"/>
        </w:rPr>
        <w:t>　法庭审理过程中，当事人和辩护人、诉讼代理人有权申请通知新的证人到庭，调取新的物证，申请重新鉴定或者勘验。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公诉人、当事人和辩护人、诉讼代理人可以申请法庭通知有专门知识的人出庭，就鉴定人作出的鉴定意见提出意见。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法</w:t>
      </w:r>
      <w:r>
        <w:rPr>
          <w:rFonts w:hint="eastAsia" w:ascii="宋体" w:hAnsi="宋体" w:eastAsia="仿宋_GB2312" w:cs="仿宋_GB2312"/>
          <w:kern w:val="0"/>
          <w:szCs w:val="32"/>
        </w:rPr>
        <w:t>庭对于上述申请，应当作出是否同意的决定。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第二款规定的有专门知识的人出庭，适用鉴定人的有关规定。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第一百九十八条</w:t>
      </w:r>
      <w:r>
        <w:rPr>
          <w:rFonts w:hint="eastAsia" w:ascii="宋体" w:hAnsi="宋体" w:cs="Arial"/>
          <w:kern w:val="0"/>
          <w:szCs w:val="32"/>
        </w:rPr>
        <w:t>　法庭审理过程中，对与定罪、量刑有关的事实、证据都应当进行调查、辩论。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经审判长许可，公诉人、当事人和辩护人、诉讼代理人可以对证据和案件情况发表意见并且可以互相辩论。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审判长在宣布辩论终结后，被告人有最后陈述的权利。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第一百九十九条</w:t>
      </w:r>
      <w:r>
        <w:rPr>
          <w:rFonts w:hint="eastAsia" w:ascii="宋体" w:hAnsi="宋体" w:cs="Arial"/>
          <w:kern w:val="0"/>
          <w:szCs w:val="32"/>
        </w:rPr>
        <w:t>　在法庭审判过程中，如果诉讼参与人或者旁听人员违反法庭秩序，审判长应当警告制止。对不听制止的，可以强行带出法庭；情节严重的，处以一千元以下的罚款或者十五日以下的拘留。罚款、拘留必须经院长批准。被处罚人对罚款、拘留的决定不服的，可以向上一级人民法院申请复议。复议期间不停止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对聚众哄闹、冲击法庭或者侮辱、诽谤、威胁、殴打司法工作人员或者诉讼参与人，严重扰乱法庭秩序，构成犯罪的，依法追究刑事责任。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第二百条</w:t>
      </w:r>
      <w:r>
        <w:rPr>
          <w:rFonts w:hint="eastAsia" w:ascii="宋体" w:hAnsi="宋体" w:cs="Arial"/>
          <w:kern w:val="0"/>
          <w:szCs w:val="32"/>
        </w:rPr>
        <w:t>　在被告人最后陈述后，审判长宣布休庭，合议庭进行评议，根据已经查明的事实、证据和有关的法律规定，分别作出以下判决：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（一）案件事实清楚，证据确实、充分，依据法律认定被告人有罪的，应当作出有罪判决；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（二）依据法律认定被告人无罪的，应当作出无罪判决；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（三）证据不足，不能认定被告人有罪的，应当作出证据不足、指控的犯罪不能成立的无罪判决。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第二百零一条</w:t>
      </w:r>
      <w:r>
        <w:rPr>
          <w:rFonts w:hint="eastAsia" w:ascii="宋体" w:hAnsi="宋体" w:cs="Arial"/>
          <w:kern w:val="0"/>
          <w:szCs w:val="32"/>
        </w:rPr>
        <w:t>　对于认罪认罚案件，人民法院依法作出判决时，一般应当采纳人民检察院指控的罪名和量刑建议，但有下列情形的除外：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（一）被告人的行为不构成犯罪或者不应当追究其刑事责任的；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（二）被告人违背意愿认罪认罚的；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（三）被告人否认指控的犯罪事实的；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（四）起诉指控的罪名与审理认定的罪名不一致的；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（五）其他可能影响公正审判的情形。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经审理认为量刑建议明显不当，或者被告人、辩护人对量刑建议提出异议的，人民检察院可以调整量刑建议。人民检察院不调整量刑建议或者调整量刑建议后仍然明显不当的，人民法院应当依法作出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第二百零二条</w:t>
      </w:r>
      <w:r>
        <w:rPr>
          <w:rFonts w:hint="eastAsia" w:ascii="宋体" w:hAnsi="宋体" w:cs="Arial"/>
          <w:kern w:val="0"/>
          <w:szCs w:val="32"/>
        </w:rPr>
        <w:t>　宣告判决，一律公开进行。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当庭宣告判决的，应当在五日以内将判决书送达当事人和提起公诉的人民检察院；定期宣告判决的，应当在宣告后立即将判决书送达当事人和提起公诉的人民检察院。判决书应当同时送达辩护人、诉讼代理人。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第二百零三条</w:t>
      </w:r>
      <w:r>
        <w:rPr>
          <w:rFonts w:hint="eastAsia" w:ascii="宋体" w:hAnsi="宋体" w:cs="Arial"/>
          <w:kern w:val="0"/>
          <w:szCs w:val="32"/>
        </w:rPr>
        <w:t>　判决书应当由审判人员和书记员署名，并且写明上诉的期限和上诉的法院。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第二百零四条</w:t>
      </w:r>
      <w:r>
        <w:rPr>
          <w:rFonts w:hint="eastAsia" w:ascii="宋体" w:hAnsi="宋体" w:cs="Arial"/>
          <w:kern w:val="0"/>
          <w:szCs w:val="32"/>
        </w:rPr>
        <w:t>　在法庭审判过程中，遇有下列情形之一，影响审判进行的，可以延期审理：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（一）需要通知新的证人到庭，调取新的物证，重新鉴定或者勘验的；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（二）检察人员发现提起公诉的案件需要补充侦查，提出建议的；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（三）由于申请回避而不能进行审判的。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第二百零五条</w:t>
      </w:r>
      <w:r>
        <w:rPr>
          <w:rFonts w:hint="eastAsia" w:ascii="宋体" w:hAnsi="宋体" w:cs="Arial"/>
          <w:kern w:val="0"/>
          <w:szCs w:val="32"/>
        </w:rPr>
        <w:t>　依照本</w:t>
      </w:r>
      <w:r>
        <w:rPr>
          <w:rFonts w:hint="eastAsia" w:ascii="宋体" w:hAnsi="宋体" w:eastAsia="仿宋_GB2312" w:cs="仿宋_GB2312"/>
          <w:kern w:val="0"/>
          <w:szCs w:val="32"/>
        </w:rPr>
        <w:t>法第二百零四条第二项的规定延期审理的案件，人民检察院应当在一个月以内补充侦查完毕。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第二百零六条</w:t>
      </w:r>
      <w:r>
        <w:rPr>
          <w:rFonts w:hint="eastAsia" w:ascii="宋体" w:hAnsi="宋体" w:cs="Arial"/>
          <w:kern w:val="0"/>
          <w:szCs w:val="32"/>
        </w:rPr>
        <w:t>　在审判过程中，有下列情形之一，致使案件在较长时间内无法继续审理的，可以中止审理：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（一）被告人患有严重疾病，无法出庭的；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（二）被告人脱逃的；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（三）自诉人患有严重疾病，无法出庭，未委托诉讼代理人出庭的；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（四）由于不能抗拒的原因。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中止审理的原因消失后，应当恢复审理。中止审理的期间不计入审理期限。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第二百零七条</w:t>
      </w:r>
      <w:r>
        <w:rPr>
          <w:rFonts w:hint="eastAsia" w:ascii="宋体" w:hAnsi="宋体" w:cs="Arial"/>
          <w:kern w:val="0"/>
          <w:szCs w:val="32"/>
        </w:rPr>
        <w:t>　法庭审判的全部活动，应当由书记员写成笔录，经审判长审阅后，由审判长和书记员签名。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法庭笔录中的证人证言部分，应当当庭宣读或者交给证人阅读。证人在承认没有错误后，应当签名或者盖章。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法庭笔录应当交给当事人阅读或者向他宣读。当事人认为记载有遗漏或者差错的，可以请求补充或者改正。当事人承认没有错误后，应当签名或者盖章。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第二百零八条</w:t>
      </w:r>
      <w:r>
        <w:rPr>
          <w:rFonts w:hint="eastAsia" w:ascii="宋体" w:hAnsi="宋体" w:cs="Arial"/>
          <w:kern w:val="0"/>
          <w:szCs w:val="32"/>
        </w:rPr>
        <w:t>　人民法院审理公诉案件，应当在受理后二个月以内宣判，至迟不得超过三个月。对于可能判处死刑的案件或者附带民事诉讼的案件，以及有本</w:t>
      </w:r>
      <w:r>
        <w:rPr>
          <w:rFonts w:hint="eastAsia" w:ascii="宋体" w:hAnsi="宋体" w:eastAsia="仿宋_GB2312" w:cs="仿宋_GB2312"/>
          <w:kern w:val="0"/>
          <w:szCs w:val="32"/>
        </w:rPr>
        <w:t>法第一百五十八条规</w:t>
      </w:r>
      <w:r>
        <w:rPr>
          <w:rFonts w:hint="eastAsia" w:ascii="宋体" w:hAnsi="宋体" w:cs="Arial"/>
          <w:kern w:val="0"/>
          <w:szCs w:val="32"/>
        </w:rPr>
        <w:t>定情形之一的，经上一级人民法院批准，可以延长三个月；因特殊情况还需要延长的，报请最高人民法院批准。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人民法院改变管辖的案件，从改变后的人民法院收到案件之日起计算审理期限。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人民检察院补充侦查的案件，补充侦查完毕移送人民法院后，人民法院重新计算审理期限。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第二百零九条</w:t>
      </w:r>
      <w:r>
        <w:rPr>
          <w:rFonts w:hint="eastAsia" w:ascii="宋体" w:hAnsi="宋体" w:cs="Arial"/>
          <w:kern w:val="0"/>
          <w:szCs w:val="32"/>
        </w:rPr>
        <w:t>　人民检察院发现人民法院审理案件违反法律规定的诉讼程序，有权向人民法院提出纠正意见。</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第二节　自诉案件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第二百一十条</w:t>
      </w:r>
      <w:r>
        <w:rPr>
          <w:rFonts w:hint="eastAsia" w:ascii="宋体" w:hAnsi="宋体" w:cs="Arial"/>
          <w:kern w:val="0"/>
          <w:szCs w:val="32"/>
        </w:rPr>
        <w:t>　自诉案件包括下列案件：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（一）告诉才处理的案件；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（二）被害人有证据证明的轻微刑事案件；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（三）被害人有证据证明对被告人侵犯自己人身、财产权利的行为应当依法追究刑事责任，而公安机关或者人民检察院不予追究被告人刑事责任的案件。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第二百一十一条</w:t>
      </w:r>
      <w:r>
        <w:rPr>
          <w:rFonts w:hint="eastAsia" w:ascii="宋体" w:hAnsi="宋体" w:cs="Arial"/>
          <w:kern w:val="0"/>
          <w:szCs w:val="32"/>
        </w:rPr>
        <w:t>　人民法院对于自诉案件进行审查后，按照下列情形分别处理：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（一）犯罪事实清楚，有足够证据的案件，应当开庭审判；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（二）缺乏罪证的自诉案件，如果自诉人提不出补充证据，应当说服自诉人撤回自诉，或者裁定驳回。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自诉人经两次依法传唤，无正当理由拒不到庭的，或者未经法庭许可中途退庭的，按撤诉处理。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法</w:t>
      </w:r>
      <w:r>
        <w:rPr>
          <w:rFonts w:hint="eastAsia" w:ascii="宋体" w:hAnsi="宋体" w:eastAsia="仿宋_GB2312" w:cs="仿宋_GB2312"/>
          <w:kern w:val="0"/>
          <w:szCs w:val="32"/>
        </w:rPr>
        <w:t>庭审理过程中，审判人员对证据有疑问，需要调查核实的，适用本法第一百九十六条的规定。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第二百一十二条</w:t>
      </w:r>
      <w:r>
        <w:rPr>
          <w:rFonts w:hint="eastAsia" w:ascii="宋体" w:hAnsi="宋体" w:cs="Arial"/>
          <w:kern w:val="0"/>
          <w:szCs w:val="32"/>
        </w:rPr>
        <w:t>　人</w:t>
      </w:r>
      <w:r>
        <w:rPr>
          <w:rFonts w:hint="eastAsia" w:ascii="宋体" w:hAnsi="宋体" w:eastAsia="仿宋_GB2312" w:cs="仿宋_GB2312"/>
          <w:kern w:val="0"/>
          <w:szCs w:val="32"/>
        </w:rPr>
        <w:t>民法院对自诉案件，可以进行调解；自诉人在宣告判决前，可以同被告人自行和解或者撤回自诉。本法第二百一十条第三项规定的案件不适用调解。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人民法院审理自诉案件的期限，被告人被羁押的，适用本法第二百零八条第一款、第二款的规定；未被羁押的，应当在受理后六个月以内宣判。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第二百一十三条</w:t>
      </w:r>
      <w:r>
        <w:rPr>
          <w:rFonts w:hint="eastAsia" w:ascii="宋体" w:hAnsi="宋体" w:cs="Arial"/>
          <w:kern w:val="0"/>
          <w:szCs w:val="32"/>
        </w:rPr>
        <w:t>　自诉案件的被告人在诉讼过程中，可以对自诉人提起反诉。反诉适用自诉的规定。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第三节　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第二百一十四条</w:t>
      </w:r>
      <w:r>
        <w:rPr>
          <w:rFonts w:hint="eastAsia" w:ascii="宋体" w:hAnsi="宋体" w:cs="Arial"/>
          <w:kern w:val="0"/>
          <w:szCs w:val="32"/>
        </w:rPr>
        <w:t>　基层人民法院管辖的案件，符合下列条件的，可以适用简易程序审判：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（一）案件事实清楚、证据充分的；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（二）被告人承认自己所犯罪行，对指控的犯罪事实没有异议的；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（三）被告人对适用简易程序没有异议的。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人民检察院在提起公诉的时候，可以建议人民法院适用简易程序。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第二百一十五条</w:t>
      </w:r>
      <w:r>
        <w:rPr>
          <w:rFonts w:hint="eastAsia" w:ascii="宋体" w:hAnsi="宋体" w:cs="Arial"/>
          <w:kern w:val="0"/>
          <w:szCs w:val="32"/>
        </w:rPr>
        <w:t>　有下列情形之一的，不适用简易程序：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（一）被告人是盲、聋、哑人，或者是尚未完全丧失辨认或者控制自己行为能力的精神病人的；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（二）有重大社会影响的；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（三）共同犯罪案件中部分被告人不认罪或者对适用简易程序有异议的；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（四）其他不宜适用简易程序审理的。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第二百一十六条</w:t>
      </w:r>
      <w:r>
        <w:rPr>
          <w:rFonts w:hint="eastAsia" w:ascii="宋体" w:hAnsi="宋体" w:cs="Arial"/>
          <w:kern w:val="0"/>
          <w:szCs w:val="32"/>
        </w:rPr>
        <w:t>　适用简易程序审理案件，对可能判处三年有期徒刑以下刑罚的，可以组成合议庭进行审判，也可以由审判员一人独任审判；对可能判处的有期徒刑超过三年的，应当组成合议庭进行审判。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适用简易程序审理公诉案件，人民检察院应当派员出席法庭。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第二百一十七条</w:t>
      </w:r>
      <w:r>
        <w:rPr>
          <w:rFonts w:hint="eastAsia" w:ascii="宋体" w:hAnsi="宋体" w:cs="Arial"/>
          <w:kern w:val="0"/>
          <w:szCs w:val="32"/>
        </w:rPr>
        <w:t>　适用简易程序审理案件，审判人员应当询问被告人对指控的犯罪事实的意见，告知被告人适用简易程序审理的法律规定，确认被告人是否同意适用简易程序审理。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第二百一十八条</w:t>
      </w:r>
      <w:r>
        <w:rPr>
          <w:rFonts w:hint="eastAsia" w:ascii="宋体" w:hAnsi="宋体" w:cs="Arial"/>
          <w:kern w:val="0"/>
          <w:szCs w:val="32"/>
        </w:rPr>
        <w:t>　适用简易程序审理案件，经审判人员许可，被告人及其辩护人可以同公诉人、自诉人及其诉讼代理人互相辩论。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第二百一十九条</w:t>
      </w:r>
      <w:r>
        <w:rPr>
          <w:rFonts w:hint="eastAsia" w:ascii="宋体" w:hAnsi="宋体" w:cs="Arial"/>
          <w:kern w:val="0"/>
          <w:szCs w:val="32"/>
        </w:rPr>
        <w:t>　适用简易</w:t>
      </w:r>
      <w:r>
        <w:rPr>
          <w:rFonts w:hint="eastAsia" w:ascii="宋体" w:hAnsi="宋体" w:eastAsia="仿宋_GB2312" w:cs="仿宋_GB2312"/>
          <w:kern w:val="0"/>
          <w:szCs w:val="32"/>
        </w:rPr>
        <w:t>程序审理案件，不受本章第一节关于送达期限、讯问被告人、询问证人、鉴定人、出示证据、法庭辩论程序规定的限制。但在判决宣告前应当听取被告人的最后陈述意见。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第二百二十条</w:t>
      </w:r>
      <w:r>
        <w:rPr>
          <w:rFonts w:hint="eastAsia" w:ascii="宋体" w:hAnsi="宋体" w:cs="Arial"/>
          <w:kern w:val="0"/>
          <w:szCs w:val="32"/>
        </w:rPr>
        <w:t>　用简易程序审理案件，人民法院应当在受理后二十日以内审结；对可能判处的有期徒刑超过三年的，可以延长至一个半月。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第二百二十一条</w:t>
      </w:r>
      <w:r>
        <w:rPr>
          <w:rFonts w:hint="eastAsia" w:ascii="宋体" w:hAnsi="宋体" w:cs="Arial"/>
          <w:kern w:val="0"/>
          <w:szCs w:val="32"/>
        </w:rPr>
        <w:t>　人民法院在审理过程中，发现不宜适用简易程序的，应当按照本章</w:t>
      </w:r>
      <w:r>
        <w:rPr>
          <w:rFonts w:hint="eastAsia" w:ascii="宋体" w:hAnsi="宋体" w:eastAsia="仿宋_GB2312" w:cs="仿宋_GB2312"/>
          <w:kern w:val="0"/>
          <w:szCs w:val="32"/>
        </w:rPr>
        <w:t>第一节或者第二节的规定重新审理。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第四节　速裁程序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第二百二十二条</w:t>
      </w:r>
      <w:r>
        <w:rPr>
          <w:rFonts w:hint="eastAsia" w:ascii="宋体" w:hAnsi="宋体" w:cs="Arial"/>
          <w:kern w:val="0"/>
          <w:szCs w:val="32"/>
        </w:rPr>
        <w:t>　基层人民法院管辖的可能判处三年有期徒刑以下刑罚的案件，案件事实清楚，证据确实、充分，被告人认罪认罚并同意适用速裁程序的，可以适用速裁程序，由审判员一人独任审判。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人民检察院在提起公诉的时候，可以建议人民法院适用速裁程序。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第二百二十三条</w:t>
      </w:r>
      <w:r>
        <w:rPr>
          <w:rFonts w:hint="eastAsia" w:ascii="宋体" w:hAnsi="宋体" w:cs="Arial"/>
          <w:kern w:val="0"/>
          <w:szCs w:val="32"/>
        </w:rPr>
        <w:t>　有下列情形之一的，不适用速裁程序：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（一）被告人是盲、聋、哑人，或者是尚未完全丧失辨认或者控制自己行为能力的精神病人的；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（二）被告人是未成年人的；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（三）案件有重大社会影响的；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（四）共同犯罪案件中部分被告人对指控的犯罪事实、罪名、量刑建议或者适用速裁程序有异议的；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（五）被告人与被害人或者其法定代理人没有就附带民事诉讼赔偿等事项达成调解或者和解协议的；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（六）其他不宜适用速裁程序审理的。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第二百二十四条</w:t>
      </w:r>
      <w:r>
        <w:rPr>
          <w:rFonts w:hint="eastAsia" w:ascii="宋体" w:hAnsi="宋体" w:cs="Arial"/>
          <w:kern w:val="0"/>
          <w:szCs w:val="32"/>
        </w:rPr>
        <w:t>　适用速</w:t>
      </w:r>
      <w:r>
        <w:rPr>
          <w:rFonts w:hint="eastAsia" w:ascii="宋体" w:hAnsi="宋体" w:eastAsia="仿宋_GB2312" w:cs="仿宋_GB2312"/>
          <w:kern w:val="0"/>
          <w:szCs w:val="32"/>
        </w:rPr>
        <w:t>裁程序审理案件，不受本章第一节规定的送达期限的限制，一般不进行法庭调查、法庭辩论，但在判决宣告前应当听取辩护人的意见和被告人的最后陈述意见。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适用速裁程序审理案件，应当当庭宣判。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第二百二十五条</w:t>
      </w:r>
      <w:r>
        <w:rPr>
          <w:rFonts w:hint="eastAsia" w:ascii="宋体" w:hAnsi="宋体" w:cs="Arial"/>
          <w:kern w:val="0"/>
          <w:szCs w:val="32"/>
        </w:rPr>
        <w:t>　适用速裁程序审理案件，人民法院应当在受理后十日以内审结；对可能判处的有期徒刑超过一年的，可以延长至十五日。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第二百二十六条</w:t>
      </w:r>
      <w:r>
        <w:rPr>
          <w:rFonts w:hint="eastAsia" w:ascii="宋体" w:hAnsi="宋体" w:cs="Arial"/>
          <w:kern w:val="0"/>
          <w:szCs w:val="32"/>
        </w:rPr>
        <w:t>　人民法院在审理过程中，发现有被告人的行为不构成犯罪或者不应当追究其刑事责任、被告人违背意愿认罪认罚、被告人否认指控的犯罪事实或者其他不宜适用速裁程序审理的情形的，应当按照</w:t>
      </w:r>
      <w:r>
        <w:rPr>
          <w:rFonts w:hint="eastAsia" w:ascii="宋体" w:hAnsi="宋体" w:eastAsia="仿宋_GB2312" w:cs="仿宋_GB2312"/>
          <w:kern w:val="0"/>
          <w:szCs w:val="32"/>
        </w:rPr>
        <w:t>本章第一节或者第三节的规定重新审理。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第二审程序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第二百二十七条</w:t>
      </w:r>
      <w:r>
        <w:rPr>
          <w:rFonts w:hint="eastAsia" w:ascii="宋体" w:hAnsi="宋体" w:cs="Arial"/>
          <w:kern w:val="0"/>
          <w:szCs w:val="32"/>
        </w:rPr>
        <w:t>　被告人</w:t>
      </w:r>
      <w:r>
        <w:rPr>
          <w:rFonts w:hint="eastAsia" w:ascii="宋体" w:hAnsi="宋体" w:eastAsia="仿宋_GB2312" w:cs="仿宋_GB2312"/>
          <w:kern w:val="0"/>
          <w:szCs w:val="32"/>
        </w:rPr>
        <w:t>、自诉人和他们的法定代理人，不服地方各级人民法院第一审的判决、裁定，有权用书状或者口头向上一级人民法院上诉。被告人的辩护人和近亲属，经被告人同意，可以提出上诉。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附带民事诉讼的当事人和他们的法定代理人，可以对地方各级人民法院第一审的判决、裁定中的附带民事诉讼部分，提出上诉。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对被告人的上诉权，不得以任何借口加以剥夺。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第二百二十八条</w:t>
      </w:r>
      <w:r>
        <w:rPr>
          <w:rFonts w:hint="eastAsia" w:ascii="宋体" w:hAnsi="宋体" w:cs="Arial"/>
          <w:kern w:val="0"/>
          <w:szCs w:val="32"/>
        </w:rPr>
        <w:t>　地方各级人</w:t>
      </w:r>
      <w:r>
        <w:rPr>
          <w:rFonts w:hint="eastAsia" w:ascii="宋体" w:hAnsi="宋体" w:eastAsia="仿宋_GB2312" w:cs="仿宋_GB2312"/>
          <w:kern w:val="0"/>
          <w:szCs w:val="32"/>
        </w:rPr>
        <w:t>民检察院认为本级人民法院第一审的判决、裁定确有错误的时候，应当向上一级人民法院提出抗诉。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第二百二十九条</w:t>
      </w:r>
      <w:r>
        <w:rPr>
          <w:rFonts w:hint="eastAsia" w:ascii="宋体" w:hAnsi="宋体" w:cs="Arial"/>
          <w:kern w:val="0"/>
          <w:szCs w:val="32"/>
        </w:rPr>
        <w:t>　被害</w:t>
      </w:r>
      <w:r>
        <w:rPr>
          <w:rFonts w:hint="eastAsia" w:ascii="宋体" w:hAnsi="宋体" w:eastAsia="仿宋_GB2312" w:cs="仿宋_GB2312"/>
          <w:kern w:val="0"/>
          <w:szCs w:val="32"/>
        </w:rPr>
        <w:t>人及其法定代理人不服地方各级人民法院第一审的判决的，自收到判决书后五日以内，有权请求人民检察院提出抗诉。人民检察院自收到被害人及其法定代理人的请求后五日以内，应当作出是否抗诉的决定并且答复请求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第二百三十条</w:t>
      </w:r>
      <w:r>
        <w:rPr>
          <w:rFonts w:hint="eastAsia" w:ascii="宋体" w:hAnsi="宋体" w:cs="Arial"/>
          <w:kern w:val="0"/>
          <w:szCs w:val="32"/>
        </w:rPr>
        <w:t>　不服判决的上诉和抗诉的期限为十日，不服裁定的上诉和抗诉的期限为五日，从接到判</w:t>
      </w:r>
      <w:r>
        <w:rPr>
          <w:rFonts w:hint="eastAsia" w:ascii="宋体" w:hAnsi="宋体" w:eastAsia="仿宋_GB2312" w:cs="仿宋_GB2312"/>
          <w:kern w:val="0"/>
          <w:szCs w:val="32"/>
        </w:rPr>
        <w:t>决书、裁定书的第二日起算。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第二百三十一条</w:t>
      </w:r>
      <w:r>
        <w:rPr>
          <w:rFonts w:hint="eastAsia" w:ascii="宋体" w:hAnsi="宋体" w:cs="Arial"/>
          <w:kern w:val="0"/>
          <w:szCs w:val="32"/>
        </w:rPr>
        <w:t>　被告人、自诉人、附带民事诉讼的原告人和被告人通过原审人民法院提出上诉的，原审人民法院应当在三日以内将上诉状连同案卷、证据移送上一级人民法院，同时将上诉状副本送交同级人民检察院和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被告人、自诉人、附</w:t>
      </w:r>
      <w:r>
        <w:rPr>
          <w:rFonts w:hint="eastAsia" w:ascii="宋体" w:hAnsi="宋体" w:eastAsia="仿宋_GB2312" w:cs="仿宋_GB2312"/>
          <w:kern w:val="0"/>
          <w:szCs w:val="32"/>
        </w:rPr>
        <w:t>带民事诉讼的原告人和被告人直接向第二审人民法院提出上诉的，第二审人民法院应当在三日以内将上诉状交原审人民法院送交同级人民检察院和对方当事人。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第二百三十二条</w:t>
      </w:r>
      <w:r>
        <w:rPr>
          <w:rFonts w:hint="eastAsia" w:ascii="宋体" w:hAnsi="宋体" w:cs="Arial"/>
          <w:kern w:val="0"/>
          <w:szCs w:val="32"/>
        </w:rPr>
        <w:t>　地</w:t>
      </w:r>
      <w:r>
        <w:rPr>
          <w:rFonts w:hint="eastAsia" w:ascii="宋体" w:hAnsi="宋体" w:eastAsia="仿宋_GB2312" w:cs="仿宋_GB2312"/>
          <w:kern w:val="0"/>
          <w:szCs w:val="32"/>
        </w:rPr>
        <w:t>方各级人民检察院对同级人民法院第一审判决、裁定的抗诉，应当通过原审人民法院提出抗诉书，并且将抗诉书抄送上一级人民检察院。原审人民法院应当将抗诉书连同案卷、证据移送上一级人民法院，并且将抗诉书副本送交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上级人民检察院如果认为抗诉不当，可以向同级人民法院撤回抗诉，并且通知下级人民检察院。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第二百三十三条</w:t>
      </w:r>
      <w:r>
        <w:rPr>
          <w:rFonts w:hint="eastAsia" w:ascii="宋体" w:hAnsi="宋体" w:eastAsia="仿宋_GB2312" w:cs="仿宋_GB2312"/>
          <w:kern w:val="0"/>
          <w:szCs w:val="32"/>
        </w:rPr>
        <w:t>　第二审人民法院应当就第一审判决认定的事实和适用法律进行全面审查，不受上诉或者抗诉范围的限制。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共同犯罪的案件只有部分被告人上诉的，应当对全案进行审查，一并处理。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第二百三十四条</w:t>
      </w:r>
      <w:r>
        <w:rPr>
          <w:rFonts w:hint="eastAsia" w:ascii="宋体" w:hAnsi="宋体" w:eastAsia="仿宋_GB2312" w:cs="仿宋_GB2312"/>
          <w:kern w:val="0"/>
          <w:szCs w:val="32"/>
        </w:rPr>
        <w:t>　第二审人民法院对于下列案件，应当组成合议庭，开庭审理：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（一）被告人、自诉人及其法定代理人对第一审认定的事实、证据提出异议，可能影响定罪量刑的上诉案件；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（二）被告人被判处死刑的上诉案件；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（三）人民检察院抗诉的案件；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（四）其他应当开庭审理的案件。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第二审人民法院决定不开庭审理的，应当讯问被告人，听取其他当事人、辩护人、诉讼代理人的意见。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第二审人民法院开庭审理上诉、抗诉案件，可以到案件发生地或者原审人民法院所在地进行。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第二百三十五条</w:t>
      </w:r>
      <w:r>
        <w:rPr>
          <w:rFonts w:hint="eastAsia" w:ascii="宋体" w:hAnsi="宋体" w:cs="Arial"/>
          <w:kern w:val="0"/>
          <w:szCs w:val="32"/>
        </w:rPr>
        <w:t>　人</w:t>
      </w:r>
      <w:r>
        <w:rPr>
          <w:rFonts w:hint="eastAsia" w:ascii="宋体" w:hAnsi="宋体" w:eastAsia="仿宋_GB2312" w:cs="仿宋_GB2312"/>
          <w:kern w:val="0"/>
          <w:szCs w:val="32"/>
        </w:rPr>
        <w:t>民检察院提出抗诉的案件或者第二审人民法院开庭审理的公诉案件，同级人民检察院都应当派员出席法庭。第二审人民法院应当在决定开庭审理后及时通知人民检察院查阅案卷。人民检察院应当在一个月以内查阅完毕。人民检察院查阅案卷的时间不计入审理期限。</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第二百三十六条</w:t>
      </w:r>
      <w:r>
        <w:rPr>
          <w:rFonts w:hint="eastAsia" w:ascii="宋体" w:hAnsi="宋体" w:eastAsia="仿宋_GB2312" w:cs="仿宋_GB2312"/>
          <w:kern w:val="0"/>
          <w:szCs w:val="32"/>
        </w:rPr>
        <w:t>　第二审人民法院对不服第一审判决的上诉、抗诉案件，经过审理后，应当按照下列情形分别处理：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（一）原判决认定事实和适用法律正确、量刑适当的，应当裁定驳回上诉或者抗诉，维持原判；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（二）原判决认定事实没有错误，但适用法律有错误，或者量刑不当的，应当改判；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（三）原判决事实不清楚或者证据不足的，可以在查清事实后改判；也可以裁定撤销原判，发回原审人民法院重新审判。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原审人民法院对于依照前款第三项规定发回重新审判的案件作出判决后，被告人提出上诉或者人民检察院提出抗诉的，第二审人民法院应当依法作出判决或者裁定，不得再发回原审人民法院重新审判。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第二百三十七条</w:t>
      </w:r>
      <w:r>
        <w:rPr>
          <w:rFonts w:hint="eastAsia" w:ascii="宋体" w:hAnsi="宋体" w:eastAsia="仿宋_GB2312" w:cs="仿宋_GB2312"/>
          <w:kern w:val="0"/>
          <w:szCs w:val="32"/>
        </w:rPr>
        <w:t>　第二审人民法院审理被告人或者他的法定代理人、辩护人、近亲属上诉的案件，不得加重被告人的刑罚。第二审人民法院发回原审人民法院重新审判的案件，除有新的犯罪事实，人民检察院补充起诉的以外，原审人民法院也不得加重被告人的刑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人民检察院提出抗诉或者自诉人提出上诉的，不受前款规定的限制。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第二百三十八条</w:t>
      </w:r>
      <w:r>
        <w:rPr>
          <w:rFonts w:hint="eastAsia" w:ascii="宋体" w:hAnsi="宋体" w:eastAsia="仿宋_GB2312" w:cs="仿宋_GB2312"/>
          <w:kern w:val="0"/>
          <w:szCs w:val="32"/>
        </w:rPr>
        <w:t>　第二审人民法院发现第一审人民法院的审理有下列违反法律规定的诉讼程序的情形之一的，应当裁定撤销原判，发回原审人民法院重新审判：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（一）违反本法有关公开审判的规定的；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（二）违反回避制度的；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（三）剥夺或者限制了当事人的法定诉讼权利，可能影响公正审判的；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（四）审判组织的组成不合法的；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（五）其他违反法律规定的诉讼程序，可能影响公正审判的。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第二百三十九条</w:t>
      </w:r>
      <w:r>
        <w:rPr>
          <w:rFonts w:hint="eastAsia" w:ascii="宋体" w:hAnsi="宋体" w:cs="Arial"/>
          <w:kern w:val="0"/>
          <w:szCs w:val="32"/>
        </w:rPr>
        <w:t>　原审人民法院对于发回重新审判的案件，应当另行组成合议庭，依</w:t>
      </w:r>
      <w:r>
        <w:rPr>
          <w:rFonts w:hint="eastAsia" w:ascii="宋体" w:hAnsi="宋体" w:eastAsia="仿宋_GB2312" w:cs="仿宋_GB2312"/>
          <w:kern w:val="0"/>
          <w:szCs w:val="32"/>
        </w:rPr>
        <w:t>照第一审程序进行审判。对于重新审判后的判决，依照本法第二百二十七条、第二百二十八条、第二百二十九条的规定可以上诉、抗诉。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第二百四十条</w:t>
      </w:r>
      <w:r>
        <w:rPr>
          <w:rFonts w:hint="eastAsia" w:ascii="宋体" w:hAnsi="宋体" w:eastAsia="仿宋_GB2312" w:cs="仿宋_GB2312"/>
          <w:kern w:val="0"/>
          <w:szCs w:val="32"/>
        </w:rPr>
        <w:t>　第二审人民法院对不服第一审裁定的上诉或者抗诉，经过审查后，应当参照本法第二百三十六条、第二百三十八条和第二百三十九条的规定，分别情形用裁定驳回上诉、抗诉，或者撤销、变更原裁定。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第二百四十一条</w:t>
      </w:r>
      <w:r>
        <w:rPr>
          <w:rFonts w:hint="eastAsia" w:ascii="宋体" w:hAnsi="宋体" w:eastAsia="仿宋_GB2312" w:cs="仿宋_GB2312"/>
          <w:kern w:val="0"/>
          <w:szCs w:val="32"/>
        </w:rPr>
        <w:t>　第二审人民法院发回原审人民法院重新审判的案件，原审人民法院从收到发回的案件之日起，重新计算审理期限。</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第二百四十二条</w:t>
      </w:r>
      <w:r>
        <w:rPr>
          <w:rFonts w:hint="eastAsia" w:ascii="宋体" w:hAnsi="宋体" w:cs="Arial"/>
          <w:kern w:val="0"/>
          <w:szCs w:val="32"/>
        </w:rPr>
        <w:t>　</w:t>
      </w:r>
      <w:r>
        <w:rPr>
          <w:rFonts w:hint="eastAsia" w:ascii="宋体" w:hAnsi="宋体" w:eastAsia="仿宋_GB2312" w:cs="仿宋_GB2312"/>
          <w:kern w:val="0"/>
          <w:szCs w:val="32"/>
        </w:rPr>
        <w:t>第二审人民法院审判上诉或者抗诉案件的程序，除本章已有规定的以外，参照第一审程序的规定进行。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第二百四十三条</w:t>
      </w:r>
      <w:r>
        <w:rPr>
          <w:rFonts w:hint="eastAsia" w:ascii="宋体" w:hAnsi="宋体" w:cs="Arial"/>
          <w:kern w:val="0"/>
          <w:szCs w:val="32"/>
        </w:rPr>
        <w:t>　</w:t>
      </w:r>
      <w:r>
        <w:rPr>
          <w:rFonts w:hint="eastAsia" w:ascii="宋体" w:hAnsi="宋体" w:eastAsia="仿宋_GB2312" w:cs="仿宋_GB2312"/>
          <w:kern w:val="0"/>
          <w:szCs w:val="32"/>
        </w:rPr>
        <w:t>第二审人民法院受理上诉、抗诉案件，应当在二个月以内审结。对于可能判处死刑的案件或者附带民事诉讼的案件，以及有本法第一百五十八条规</w:t>
      </w:r>
      <w:r>
        <w:rPr>
          <w:rFonts w:hint="eastAsia" w:ascii="宋体" w:hAnsi="宋体" w:cs="Arial"/>
          <w:kern w:val="0"/>
          <w:szCs w:val="32"/>
        </w:rPr>
        <w:t>定情形之一的，经省、自治区、直辖市高级人民法院批准或者决定，可以延长二个月；因特殊情况还需要延长的，报请最高人民法院批准。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最高人民法院受理上诉、抗诉案件的审理期限，由最高人民法院决定。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第二百四十四条</w:t>
      </w:r>
      <w:r>
        <w:rPr>
          <w:rFonts w:hint="eastAsia" w:ascii="宋体" w:hAnsi="宋体" w:cs="Arial"/>
          <w:kern w:val="0"/>
          <w:szCs w:val="32"/>
        </w:rPr>
        <w:t>　</w:t>
      </w:r>
      <w:r>
        <w:rPr>
          <w:rFonts w:hint="eastAsia" w:ascii="宋体" w:hAnsi="宋体" w:eastAsia="仿宋_GB2312" w:cs="仿宋_GB2312"/>
          <w:kern w:val="0"/>
          <w:szCs w:val="32"/>
        </w:rPr>
        <w:t>第二审的判决、裁定和最高人民法院的判决、裁定，都是终审的判决、裁定。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第二百四十五条</w:t>
      </w:r>
      <w:r>
        <w:rPr>
          <w:rFonts w:hint="eastAsia" w:ascii="宋体" w:hAnsi="宋体" w:cs="Arial"/>
          <w:kern w:val="0"/>
          <w:szCs w:val="32"/>
        </w:rPr>
        <w:t>　公安机关、人民检察院和人民法院对查封、扣押、冻结的犯罪嫌疑人、被告人的财物及其孳息，应当妥善保管，以供核查，并制作清单，随案移送。任何单位和个人不得挪用或者自行处理。对被害人的合法财产，应当及时返还。对违禁品或者不宜长期保存的物品，应当依照国家有关规定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对作为证据使用的实物应当随案移送，对不宜移送的，应当将其清单、照片或者其他证明文件随案移送。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人民法院作出的判决，应当对查封、扣押、冻结的财物及其孳息作出处理。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人民法院作出的判决生效以后，有关机关应当根据判决对查封、扣押、冻结的财物及其孳息进行处理。对查封、扣押、冻结的赃款赃物及其孳息，除依法返还被害人的以外，一律上缴国库。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司法工作人员贪污、挪用或者私自处理查封、扣押、冻结的财物及其孳息的，依法追究刑事责任；不构成犯罪的，给予处分。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w:t>
      </w:r>
      <w:r>
        <w:rPr>
          <w:rFonts w:hint="eastAsia" w:ascii="宋体" w:hAnsi="宋体" w:eastAsia="黑体" w:cs="黑体"/>
          <w:kern w:val="0"/>
          <w:szCs w:val="32"/>
          <w:lang w:eastAsia="zh-CN"/>
        </w:rPr>
        <w:t>　</w:t>
      </w:r>
      <w:r>
        <w:rPr>
          <w:rFonts w:hint="eastAsia" w:ascii="宋体" w:hAnsi="宋体" w:eastAsia="黑体" w:cs="黑体"/>
          <w:kern w:val="0"/>
          <w:szCs w:val="32"/>
        </w:rPr>
        <w:t>死刑复核程序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第二百四十六条</w:t>
      </w:r>
      <w:r>
        <w:rPr>
          <w:rFonts w:hint="eastAsia" w:ascii="宋体" w:hAnsi="宋体" w:cs="Arial"/>
          <w:kern w:val="0"/>
          <w:szCs w:val="32"/>
        </w:rPr>
        <w:t>　死刑由最高人民法院核准。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第二百四十七条</w:t>
      </w:r>
      <w:r>
        <w:rPr>
          <w:rFonts w:hint="eastAsia" w:ascii="宋体" w:hAnsi="宋体" w:cs="Arial"/>
          <w:kern w:val="0"/>
          <w:szCs w:val="32"/>
        </w:rPr>
        <w:t>　中</w:t>
      </w:r>
      <w:r>
        <w:rPr>
          <w:rFonts w:hint="eastAsia" w:ascii="宋体" w:hAnsi="宋体" w:eastAsia="仿宋_GB2312" w:cs="仿宋_GB2312"/>
          <w:kern w:val="0"/>
          <w:szCs w:val="32"/>
        </w:rPr>
        <w:t>级人民法院判处死刑的第一审案件，被告人不上诉的，应当由高级人民法院复核后，报请最高人民法院核准。高级人民法院不同意判处死刑的，可以提审或者发回重新审判。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高级人民法院判处死刑的第一审案件被告人不上诉的，和判处死刑的第二审案件，都应当报请最高人民法院核准。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第二百四十八条</w:t>
      </w:r>
      <w:r>
        <w:rPr>
          <w:rFonts w:hint="eastAsia" w:ascii="宋体" w:hAnsi="宋体" w:cs="Arial"/>
          <w:kern w:val="0"/>
          <w:szCs w:val="32"/>
        </w:rPr>
        <w:t>　中级人民法院判处死刑缓期二年执行的案件，由高级人民法院核准。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第二百四十九条</w:t>
      </w:r>
      <w:r>
        <w:rPr>
          <w:rFonts w:hint="eastAsia" w:ascii="宋体" w:hAnsi="宋体" w:cs="Arial"/>
          <w:kern w:val="0"/>
          <w:szCs w:val="32"/>
        </w:rPr>
        <w:t>　最高人民法院复核死刑案件，高级人民法院复核死刑缓期执行的案件，应当由审判员三人组成合议庭进行。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第二百五十条</w:t>
      </w:r>
      <w:r>
        <w:rPr>
          <w:rFonts w:hint="eastAsia" w:ascii="宋体" w:hAnsi="宋体" w:cs="Arial"/>
          <w:kern w:val="0"/>
          <w:szCs w:val="32"/>
        </w:rPr>
        <w:t>　最高人民法院复核死刑案件，应当作出核准或者不核准死刑的裁定。对于不核准死刑的，最高人民法院可以发回重新审判或者予以改判。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第二百五十一条</w:t>
      </w:r>
      <w:r>
        <w:rPr>
          <w:rFonts w:hint="eastAsia" w:ascii="宋体" w:hAnsi="宋体" w:cs="Arial"/>
          <w:kern w:val="0"/>
          <w:szCs w:val="32"/>
        </w:rPr>
        <w:t>　最高人民法院复核死刑案件，应当讯问被告人，辩护律师提出要求的，应当听取辩护律师的意见。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在复核死刑案件过程中，最高人民检察院可以向最高人民法院提出意见。最高人民法院应当将死刑复核结果通报最高人民检察院。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审判监督程序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第二百五十二条</w:t>
      </w:r>
      <w:r>
        <w:rPr>
          <w:rFonts w:hint="eastAsia" w:ascii="宋体" w:hAnsi="宋体" w:cs="Arial"/>
          <w:kern w:val="0"/>
          <w:szCs w:val="32"/>
        </w:rPr>
        <w:t>　当事人及其法定代理人、近亲属，对已经发生法律效力的判决、裁定，可以向人民法院或者人民检察院提出申诉，但是不能停止判决、裁定的执行。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第二百五十三条</w:t>
      </w:r>
      <w:r>
        <w:rPr>
          <w:rFonts w:hint="eastAsia" w:ascii="宋体" w:hAnsi="宋体" w:cs="Arial"/>
          <w:kern w:val="0"/>
          <w:szCs w:val="32"/>
        </w:rPr>
        <w:t>　当事人及其法定代理人、近亲属的申诉符合下列情形之一的，人民法院应当重新审判：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（一）有新的证据证明原判决、裁定认定的事实确有错误，可能影响定罪量刑的；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（二）据以定罪量刑的证据不确实、不充分、依法应当予以排除，或者证明案件事实的主要证据之间存在矛盾的；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（三）原判决、裁定适用法律确有错误的；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（四）违反法律规定的诉讼程序，可能影响公正审判的；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（五）审判人员在审理该案件的时候，有贪污受贿，徇私舞弊，枉法裁判行为的。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第二百五十四条</w:t>
      </w:r>
      <w:r>
        <w:rPr>
          <w:rFonts w:hint="eastAsia" w:ascii="宋体" w:hAnsi="宋体" w:cs="Arial"/>
          <w:kern w:val="0"/>
          <w:szCs w:val="32"/>
        </w:rPr>
        <w:t>　各级人民法院院长对本院已经发生法律效力的判决和裁定，如果发现在认定事实上或者在适用法律上确有错误，必须提交审判委员会处理。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最高人民法院对各级人民法院已经发生法律效力的判决和裁定，上级人民法院对下级人民法院已经发生法律效力的判决和裁定，如果发现确有错误，有权提审或者指令下级人民法院再审。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Arial"/>
          <w:kern w:val="0"/>
          <w:szCs w:val="32"/>
          <w:lang w:eastAsia="zh-CN"/>
        </w:rPr>
      </w:pPr>
      <w:r>
        <w:rPr>
          <w:rFonts w:hint="eastAsia" w:ascii="宋体" w:hAnsi="宋体" w:cs="Arial"/>
          <w:kern w:val="0"/>
          <w:szCs w:val="32"/>
          <w:lang w:eastAsia="zh-CN"/>
        </w:rPr>
        <w:t>　　</w:t>
      </w:r>
      <w:r>
        <w:rPr>
          <w:rFonts w:hint="eastAsia" w:ascii="宋体" w:hAnsi="宋体" w:cs="Arial"/>
          <w:kern w:val="0"/>
          <w:szCs w:val="32"/>
        </w:rPr>
        <w:t>最高人民检察院对各级人民法院已经发生法律效力的判决和裁定，上级人民检察院对下级人民法院已经发生法律效力的判决和裁定，如果发现确有错误，有权按照审判监督程序向同级人民法院提出抗诉。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人民检察院抗诉的案件，接受抗诉的人民法院应当组成合议庭重新审理，对于原判决事实不清楚或者证据不足的，可以指令下级人民法院再审。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第二百五十五条</w:t>
      </w:r>
      <w:r>
        <w:rPr>
          <w:rFonts w:hint="eastAsia" w:ascii="宋体" w:hAnsi="宋体" w:cs="Arial"/>
          <w:kern w:val="0"/>
          <w:szCs w:val="32"/>
        </w:rPr>
        <w:t>　上级人民法院指令下级人民法院再审的，应当指令原审人民法院以外的下级人民法院审理；由原审人民法院审理更为适宜的，也可以指令原审人民法院审理。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第二百五十六条</w:t>
      </w:r>
      <w:r>
        <w:rPr>
          <w:rFonts w:hint="eastAsia" w:ascii="宋体" w:hAnsi="宋体" w:cs="Arial"/>
          <w:kern w:val="0"/>
          <w:szCs w:val="32"/>
        </w:rPr>
        <w:t>　人民法院按照审判监督程序重新审判的案件，由</w:t>
      </w:r>
      <w:r>
        <w:rPr>
          <w:rFonts w:hint="eastAsia" w:ascii="宋体" w:hAnsi="宋体" w:eastAsia="仿宋_GB2312" w:cs="仿宋_GB2312"/>
          <w:kern w:val="0"/>
          <w:szCs w:val="32"/>
        </w:rPr>
        <w:t>原审人民法院审理的，应当另行组成合议庭进行。如果原来是第一审案件，应当依照第一审程序进行审判，所作的判决、裁定，可以上诉、抗诉；如果原来是第二审案件，或者是上级人民法院提审的案件，应当依照第二审程序进行审判，所作的判决、裁定，是终审的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人民法院开庭审理的再审案件，同级人民检察院应当派员出席法庭。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第二百五十七条</w:t>
      </w:r>
      <w:r>
        <w:rPr>
          <w:rFonts w:hint="eastAsia" w:ascii="宋体" w:hAnsi="宋体" w:cs="Arial"/>
          <w:kern w:val="0"/>
          <w:szCs w:val="32"/>
        </w:rPr>
        <w:t>　人民法院决定再审的案件，需要对被告人采取强制措施的，由人民法院依法决定；人民检察院提出抗诉的再审案件，需要对被告人采取强制措施的，由人民检察院依法决定。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人民法院按照审判监督程序审判的案件，可以决定中止原判决、裁定的执行。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第二百五十八条</w:t>
      </w:r>
      <w:r>
        <w:rPr>
          <w:rFonts w:hint="eastAsia" w:ascii="宋体" w:hAnsi="宋体" w:cs="Arial"/>
          <w:kern w:val="0"/>
          <w:szCs w:val="32"/>
        </w:rPr>
        <w:t>　人民法院按照审判监督程序重新审判的案件，应当在作出提审、再审决定之日起三个月以内审结，需要延长期限的，不得超过六个月。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接受抗诉的人民法院按照审判监督程序审判抗诉的案件，审理期限适用前款规定；对需要指令下级人民法院再审的，应当自接受抗诉之日起一个月以内作出决定，下级人民法院审理案件的期限适用前款规定。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第四编　执行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第二百五十九条</w:t>
      </w:r>
      <w:r>
        <w:rPr>
          <w:rFonts w:hint="eastAsia" w:ascii="宋体" w:hAnsi="宋体" w:cs="Arial"/>
          <w:kern w:val="0"/>
          <w:szCs w:val="32"/>
        </w:rPr>
        <w:t>　判决和裁定在发生法律效力后执行。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下列判决和裁定是发生法律效力的判决和裁定：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（一）已过法定期限没有上诉、抗诉的判决和裁定；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（二）终审的判决和裁定；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（三）最高人民法院核准的死刑的判决和高级人民法院核准的死刑</w:t>
      </w:r>
      <w:r>
        <w:rPr>
          <w:rFonts w:hint="eastAsia" w:ascii="宋体" w:hAnsi="宋体" w:eastAsia="仿宋_GB2312" w:cs="仿宋_GB2312"/>
          <w:kern w:val="0"/>
          <w:szCs w:val="32"/>
        </w:rPr>
        <w:t>缓期二年执行的判决。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黑体" w:hAnsi="黑体" w:eastAsia="黑体" w:cs="黑体"/>
          <w:kern w:val="0"/>
          <w:szCs w:val="32"/>
        </w:rPr>
        <w:t>第二百六十条</w:t>
      </w:r>
      <w:r>
        <w:rPr>
          <w:rFonts w:hint="eastAsia" w:ascii="宋体" w:hAnsi="宋体" w:eastAsia="仿宋_GB2312" w:cs="仿宋_GB2312"/>
          <w:kern w:val="0"/>
          <w:szCs w:val="32"/>
        </w:rPr>
        <w:t>　第一审人民法院判决被告人无罪、免除刑事处罚的，如果被告人在押，在宣判后应当立即释放。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第二百六十一条</w:t>
      </w:r>
      <w:r>
        <w:rPr>
          <w:rFonts w:hint="eastAsia" w:ascii="宋体" w:hAnsi="宋体" w:cs="Arial"/>
          <w:kern w:val="0"/>
          <w:szCs w:val="32"/>
        </w:rPr>
        <w:t>　最高人民法院判处和核准的死刑立即执行的判决，应当由最高人民法院院长签发执行死刑的命令。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判处死刑缓期二年执行的罪犯，在死刑缓期执行期间，如果没有故意犯罪，死刑缓期执行期满，应当予以减刑的，由执行机关提出书面意见，报请高级人民法院裁定；如果故意犯罪，情节恶劣，查证属实，应当执行死刑的，由高级人民法院报请最高人民法院核准；对于故意犯罪未执行死刑的，死刑缓期执行的期间重新计算，并报最高人民法院备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第二百六十二条</w:t>
      </w:r>
      <w:r>
        <w:rPr>
          <w:rFonts w:hint="eastAsia" w:ascii="宋体" w:hAnsi="宋体" w:cs="Arial"/>
          <w:kern w:val="0"/>
          <w:szCs w:val="32"/>
        </w:rPr>
        <w:t>　下级人民法院接到最高人民法院执行死刑的命令后，应当在七日以内交付执行。但是发现有下列情形之一的，应当停止执行，并且立即报告最高人民法院，由最高人民法院作出裁定：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（一）在执行前发现判决可能有错误的；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（二）在执行前罪犯揭发重大犯罪事实或者有其他重大立功表现，可能需要改判的；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（三</w:t>
      </w:r>
      <w:r>
        <w:rPr>
          <w:rFonts w:hint="eastAsia" w:ascii="宋体" w:hAnsi="宋体" w:eastAsia="仿宋_GB2312" w:cs="仿宋_GB2312"/>
          <w:kern w:val="0"/>
          <w:szCs w:val="32"/>
        </w:rPr>
        <w:t>）罪犯正在怀孕。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前款第一项、第二项停止执行的原因消失后，必须报请最高人民法院院长再签发执行死刑的命令才能执行；由于前款第三项原因停止执行的，应当报请最高人民法院依法改判。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第二百六十三条</w:t>
      </w:r>
      <w:r>
        <w:rPr>
          <w:rFonts w:hint="eastAsia" w:ascii="宋体" w:hAnsi="宋体" w:cs="Arial"/>
          <w:kern w:val="0"/>
          <w:szCs w:val="32"/>
        </w:rPr>
        <w:t>　人民法院在交付执行死刑前，应当通知同级人民检察院派员临场监督。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死刑采用枪决或者注射等方法执行。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死刑可以在刑场或者指定的羁押场所内执行。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指挥执行的审判人员，对罪犯应当验明正身，讯问有无遗言、信札，然后交付执行人员执行死刑。在执行前，如果发现可能有错误，应当暂停执行，报请最高人民法院裁定。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执行死刑应当公布，不应示众。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执行死刑后，在场书记员应当写成笔录。交付执行的人民法院应当将执行死刑情况报告最高人民法院。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执行死刑后，交付执行的人民法院应当通知罪犯家属。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第二百六十四条</w:t>
      </w:r>
      <w:r>
        <w:rPr>
          <w:rFonts w:hint="eastAsia" w:ascii="宋体" w:hAnsi="宋体" w:cs="Arial"/>
          <w:kern w:val="0"/>
          <w:szCs w:val="32"/>
        </w:rPr>
        <w:t>　罪犯被交付执行刑罚的时候，应当由交付执行的人民法院在判决生效后十日以内将有关的法律文书送达公安机关、监狱或者其他执行机关。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被判处死刑缓期二年执行、无期徒刑、有期徒刑的罪犯，由公安机关依法将该罪犯送交监狱执行刑罚。对被判处有期徒刑的罪犯，在被交付执行刑罚前，剩余刑期在三个月以下的，由看守所代为执行。对被判处拘役的罪犯，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对未成年犯应当在未成年犯管教所执行刑罚。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执行机关应当将罪犯及时收押，并且通知罪犯家属。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判处有期徒刑、拘役的罪犯，执行期满，应当由执行机关发给释放证明书。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第二百六十五条</w:t>
      </w:r>
      <w:r>
        <w:rPr>
          <w:rFonts w:hint="eastAsia" w:ascii="宋体" w:hAnsi="宋体" w:cs="Arial"/>
          <w:kern w:val="0"/>
          <w:szCs w:val="32"/>
        </w:rPr>
        <w:t>　对被判处有期徒刑或者拘役的罪犯，有下列情形之一的，可以暂予监外执行：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（一）有严重疾病需要保外就医的；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（二）怀孕或者正在哺乳自己婴儿的妇女；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（三）生活不能自理，适用暂予监外执行不致危害社会的。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对被判处无期</w:t>
      </w:r>
      <w:r>
        <w:rPr>
          <w:rFonts w:hint="eastAsia" w:ascii="宋体" w:hAnsi="宋体" w:eastAsia="仿宋_GB2312" w:cs="仿宋_GB2312"/>
          <w:kern w:val="0"/>
          <w:szCs w:val="32"/>
        </w:rPr>
        <w:t>徒刑的罪犯，有前款第二项规定情形的，可以暂予监外执行。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对适用保外就医可能有社会危险性的罪犯，或者自伤自残的罪犯，不得保外就医。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对罪犯确有严重疾病，必须保外就医的，由省级人民政府指定的医院诊断并开具证明文件。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在交付执行前，暂予监外执行由交付执行的人民法院决定；在交付执行后，暂予监外执行由监狱或者看守所提出书面意见，报省级以上监狱管理机关或者设区的市一级以上公安机关批准。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第二百六十六条</w:t>
      </w:r>
      <w:r>
        <w:rPr>
          <w:rFonts w:hint="eastAsia" w:ascii="宋体" w:hAnsi="宋体" w:cs="Arial"/>
          <w:kern w:val="0"/>
          <w:szCs w:val="32"/>
        </w:rPr>
        <w:t>　监狱、看守所提出暂予监外执行的书面意见的，应当将书面意见的副本抄送人民检察院。人民检察院可以向决定或者批准机关提出书面意见。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第二百六十七条</w:t>
      </w:r>
      <w:r>
        <w:rPr>
          <w:rFonts w:hint="eastAsia" w:ascii="宋体" w:hAnsi="宋体" w:cs="Arial"/>
          <w:kern w:val="0"/>
          <w:szCs w:val="32"/>
        </w:rPr>
        <w:t>　决定或者批准暂予监外执行的机关应当将暂予监外执行决定抄送人民检察院。人民检察院认为暂予监外执行不当的，应当自接到通知之日起一个月以内将书面意见送交决定或者批准暂予监外执行的机关，决定或者批准暂予监外执行的机关接到人民检察院的书面意见后，应当立即对该决定进行重新核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第二百六十八条</w:t>
      </w:r>
      <w:r>
        <w:rPr>
          <w:rFonts w:hint="eastAsia" w:ascii="宋体" w:hAnsi="宋体" w:cs="Arial"/>
          <w:kern w:val="0"/>
          <w:szCs w:val="32"/>
        </w:rPr>
        <w:t>　对暂予监外执行的罪犯，有下列情形之一的，应当及时收监：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（一）发现不符合暂予监外执行条件的；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（二）严重违反有关暂予监外执行监督管理规定的；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（三）暂予监外执行的情形消失后，罪犯刑期未满的。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对于人民法院决定暂予监外执行的罪犯应当予以收监的，由人民法院作出决定，将有关的法律文书送达公安机关、监狱或者其他执行机关。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不符合暂予监外执行条件的罪犯通过贿赂等非法手段被暂予监外执行的，在监外执行的期间不计入执行刑期。罪犯在暂予监外执行期间脱逃的，脱逃的期间不计入执行刑期。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罪犯在暂予监外执行期间死亡的，执行机关应当及时通知监狱或者看守所。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第二百六十九条</w:t>
      </w:r>
      <w:r>
        <w:rPr>
          <w:rFonts w:hint="eastAsia" w:ascii="宋体" w:hAnsi="宋体" w:cs="Arial"/>
          <w:kern w:val="0"/>
          <w:szCs w:val="32"/>
        </w:rPr>
        <w:t>　对被判处管制、宣告缓刑、假释或者暂予监外执行的罪犯，依法实行社区矫正，由社区矫正机构负责执行。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第二百七十条</w:t>
      </w:r>
      <w:r>
        <w:rPr>
          <w:rFonts w:hint="eastAsia" w:ascii="宋体" w:hAnsi="宋体" w:cs="Arial"/>
          <w:kern w:val="0"/>
          <w:szCs w:val="32"/>
        </w:rPr>
        <w:t>　对被判处剥夺政治权利的罪犯，由公安机关执行。执行期满，应当由执行机关书面通知本人及其所在单位、居住地基层组织。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第二百七十一条</w:t>
      </w:r>
      <w:r>
        <w:rPr>
          <w:rFonts w:hint="eastAsia" w:ascii="宋体" w:hAnsi="宋体" w:cs="Arial"/>
          <w:kern w:val="0"/>
          <w:szCs w:val="32"/>
        </w:rPr>
        <w:t>　被判处罚金的罪犯，期满不缴纳的，人民法院应当强制缴纳；如果由于遭遇不能抗拒的灾祸等原因缴纳确实有困难的，经人民法院裁定，可以延期缴纳、酌情减少或者免除。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第二百七十二条</w:t>
      </w:r>
      <w:r>
        <w:rPr>
          <w:rFonts w:hint="eastAsia" w:ascii="宋体" w:hAnsi="宋体" w:cs="Arial"/>
          <w:kern w:val="0"/>
          <w:szCs w:val="32"/>
        </w:rPr>
        <w:t>　没收财产的判决，无论附加适用或者独立适用，都由人民法院执行；在必要的时候，可以会同公安机关执行。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第二百七十三条</w:t>
      </w:r>
      <w:r>
        <w:rPr>
          <w:rFonts w:hint="eastAsia" w:ascii="宋体" w:hAnsi="宋体" w:cs="Arial"/>
          <w:kern w:val="0"/>
          <w:szCs w:val="32"/>
        </w:rPr>
        <w:t>　罪犯在服刑期间又犯罪的，或者发现了判决的时候所没有发现的罪行，由执行机关移送人民检察院处理。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被判处管制、拘役、有期徒刑或者无期徒刑的罪犯，在执行期间确有悔改或者立功表现，应当依法予以减刑、假释的时候，由执行机关提出建议书，报请人民法院审核裁定，并将建议书副本抄送人民检察院。人民检察院可以向人民法院提出书面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第二百七十四条</w:t>
      </w:r>
      <w:r>
        <w:rPr>
          <w:rFonts w:hint="eastAsia" w:ascii="宋体" w:hAnsi="宋体" w:cs="Arial"/>
          <w:kern w:val="0"/>
          <w:szCs w:val="32"/>
        </w:rPr>
        <w:t>　人民检察院认为人民法院减刑、假释的裁定不当，应当在收到裁定书副本后二十日以内，向人民法院提出书面纠正意见。人民法院应当在收到纠正意见后一个月以内重新组成合议庭进行审理，作出最终裁定。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第二百七十五条</w:t>
      </w:r>
      <w:r>
        <w:rPr>
          <w:rFonts w:hint="eastAsia" w:ascii="宋体" w:hAnsi="宋体" w:cs="Arial"/>
          <w:kern w:val="0"/>
          <w:szCs w:val="32"/>
        </w:rPr>
        <w:t>　监狱和其他执行机关在刑罚执行中，如果认为判决有错误或者罪犯提出申诉，应当转请人民检察院或者原判人民法院处理。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第二百七十六条</w:t>
      </w:r>
      <w:r>
        <w:rPr>
          <w:rFonts w:hint="eastAsia" w:ascii="宋体" w:hAnsi="宋体" w:cs="Arial"/>
          <w:kern w:val="0"/>
          <w:szCs w:val="32"/>
        </w:rPr>
        <w:t>　人民检察院对执行机关执行刑罚的活动是否合法实行监督。如果发现有违法的情况，应当通知执行机关纠正。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第五编　特别程序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未成年人刑事案件诉讼程序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第二百七十七条</w:t>
      </w:r>
      <w:r>
        <w:rPr>
          <w:rFonts w:hint="eastAsia" w:ascii="宋体" w:hAnsi="宋体" w:cs="Arial"/>
          <w:kern w:val="0"/>
          <w:szCs w:val="32"/>
        </w:rPr>
        <w:t>　对犯罪的未成年人实行教育、感化、挽救的方针，坚持教育为主、惩罚为辅的原则。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人民法院、人民检察院和公安机关办理未成年人刑事案件，应当保障未成年人行使其诉讼权利，保障未成年人得到法律帮助，并由熟悉未成年人身心特点的审判人员、检察人员、侦查人员承办。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第二百七十八条</w:t>
      </w:r>
      <w:r>
        <w:rPr>
          <w:rFonts w:hint="eastAsia" w:ascii="宋体" w:hAnsi="宋体" w:cs="Arial"/>
          <w:kern w:val="0"/>
          <w:szCs w:val="32"/>
        </w:rPr>
        <w:t>　未成年犯罪嫌疑人、被告人没有委托辩护人的，人民法院、人民检察院、公安机关应当通知法律援助机构指派律师为其提供辩护。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第二百七十九条</w:t>
      </w:r>
      <w:r>
        <w:rPr>
          <w:rFonts w:hint="eastAsia" w:ascii="宋体" w:hAnsi="宋体" w:cs="Arial"/>
          <w:kern w:val="0"/>
          <w:szCs w:val="32"/>
        </w:rPr>
        <w:t>　公安机关、人民检察院、人民法院办理未成年人刑事案件，根据情况可以对未成年犯罪嫌疑人、被告人的成长经历、犯罪原因、监护教育等情况进行调查。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第二百八十条</w:t>
      </w:r>
      <w:r>
        <w:rPr>
          <w:rFonts w:hint="eastAsia" w:ascii="宋体" w:hAnsi="宋体" w:cs="Arial"/>
          <w:kern w:val="0"/>
          <w:szCs w:val="32"/>
        </w:rPr>
        <w:t>　对未成年犯罪嫌疑人、被告人应当严格限制适用逮捕措施。人民检察院审查批准逮捕和人民法院决定逮捕，应当讯问未成年犯罪嫌疑人、被告人，听取辩护律师的意见。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对被拘留、逮捕和执行刑罚的未成年人与成年人应当分别关押、分别管理、分别教育。</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第二百八十一条</w:t>
      </w:r>
      <w:r>
        <w:rPr>
          <w:rFonts w:hint="eastAsia" w:ascii="宋体" w:hAnsi="宋体" w:cs="Arial"/>
          <w:kern w:val="0"/>
          <w:szCs w:val="32"/>
        </w:rPr>
        <w:t>　对于未成年人刑事案件，在讯问和审判的时候，应当通知未成年犯罪嫌疑人、被告人的法定代理人到场。无法通知、法定代理人不能到场或者法定代理人是共犯的，也可以通知未成年犯罪嫌疑人、被告人的其他成年亲属，所在学校、单位、居住地基层组织或者未成年人保护组织的代表到场，并将有关情况记录在案。到场的法定代理人可以代为行使未成年犯罪嫌疑人、被告人的诉讼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到场的法定代理人或者其他人员认为办案人员在讯问、审判中侵犯未成年人合法权益的，可以提出意见。讯问笔录、法庭笔录应当交给到场的法定代理人或者其他人员阅读或者向他宣读。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讯问女性未成年犯罪嫌疑人，应当有女工作人员在场。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审判未成年人刑事案件，未成年被告人最后陈述后，其法定代理人可以进行补充陈述。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询问未</w:t>
      </w:r>
      <w:r>
        <w:rPr>
          <w:rFonts w:hint="eastAsia" w:ascii="宋体" w:hAnsi="宋体" w:eastAsia="仿宋_GB2312" w:cs="仿宋_GB2312"/>
          <w:kern w:val="0"/>
          <w:szCs w:val="32"/>
        </w:rPr>
        <w:t>成年被害人、证人，适用第一款、第二款、第三款的规定。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第二百八十二条</w:t>
      </w:r>
      <w:r>
        <w:rPr>
          <w:rFonts w:hint="eastAsia" w:ascii="宋体" w:hAnsi="宋体" w:cs="Arial"/>
          <w:kern w:val="0"/>
          <w:szCs w:val="32"/>
        </w:rPr>
        <w:t>　对于未成</w:t>
      </w:r>
      <w:r>
        <w:rPr>
          <w:rFonts w:hint="eastAsia" w:ascii="宋体" w:hAnsi="宋体" w:eastAsia="仿宋_GB2312" w:cs="仿宋_GB2312"/>
          <w:kern w:val="0"/>
          <w:szCs w:val="32"/>
        </w:rPr>
        <w:t>年人涉嫌刑法分则第四章、第五章、第六章规定的犯罪，可能判处一年有期徒刑以下刑罚，符合起诉条件，但有悔</w:t>
      </w:r>
      <w:r>
        <w:rPr>
          <w:rFonts w:hint="eastAsia" w:ascii="宋体" w:hAnsi="宋体" w:cs="Arial"/>
          <w:kern w:val="0"/>
          <w:szCs w:val="32"/>
        </w:rPr>
        <w:t>罪表现的，人民检察院可以作出附条件不起诉的决定。人民检察院在作出附条件不起诉的决定以前，应当听取公安机关、被害人的意见。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对附条件不起诉的决定，公安机关要求复议、提请复核或者被害人申诉的，适用本</w:t>
      </w:r>
      <w:r>
        <w:rPr>
          <w:rFonts w:hint="eastAsia" w:ascii="宋体" w:hAnsi="宋体" w:eastAsia="仿宋_GB2312" w:cs="仿宋_GB2312"/>
          <w:kern w:val="0"/>
          <w:szCs w:val="32"/>
        </w:rPr>
        <w:t>法第一百七十九条、第一百八十条的</w:t>
      </w:r>
      <w:r>
        <w:rPr>
          <w:rFonts w:hint="eastAsia" w:ascii="宋体" w:hAnsi="宋体" w:cs="Arial"/>
          <w:kern w:val="0"/>
          <w:szCs w:val="32"/>
        </w:rPr>
        <w:t>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未成年犯罪嫌疑人及其法定代理人对人民检察院决定附条件不起诉有异议的，人民检察院应当作出起诉的决定。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第二百八十三条</w:t>
      </w:r>
      <w:r>
        <w:rPr>
          <w:rFonts w:hint="eastAsia" w:ascii="宋体" w:hAnsi="宋体" w:cs="Arial"/>
          <w:kern w:val="0"/>
          <w:szCs w:val="32"/>
        </w:rPr>
        <w:t>　在附条件不起诉的考验期内，由人民检察院对被附条件不起诉的未成年犯罪嫌疑人进行监督考察。未成年犯罪嫌疑人的监护人，应当对未成年犯罪嫌疑人加强管教，配合人民检察院做好监督考察工作。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附条件不起诉的考验期为六个月以上一年以下，从人民检察院作出附条件不起诉的决定之日起计算。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被附条件不起诉的未成年犯罪嫌疑人，应当遵守下列规定：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（一）遵守法律法规，服从监督；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（二）按照考察机关的规定报告自己的活动情况；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（三）离开所居住的市、县或者迁居，应当报经考察机关批准；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（四）按照考察机关的要求接受矫治和教育。</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第二百八十四条</w:t>
      </w:r>
      <w:r>
        <w:rPr>
          <w:rFonts w:hint="eastAsia" w:ascii="宋体" w:hAnsi="宋体" w:cs="Arial"/>
          <w:kern w:val="0"/>
          <w:szCs w:val="32"/>
        </w:rPr>
        <w:t>　被附条件不起诉的未成年犯罪嫌疑人，在考验期内有下列情形之一的，人民检察院应当撤销附条件不起诉的决定，提起公诉：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（一）实施新的犯罪或者发现决定附条件不起诉以前还有其他犯罪需要追诉的；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（二）违反治安管理规定或者考察机关有关附条件不起诉的监督管理规定，情节严重的。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被附条件不起诉的未成年犯罪嫌疑人，在考验期内没有上述情形，考验期满的，人民检察院应当作出不起诉的决定。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第二百八十五条</w:t>
      </w:r>
      <w:r>
        <w:rPr>
          <w:rFonts w:hint="eastAsia" w:ascii="宋体" w:hAnsi="宋体" w:cs="Arial"/>
          <w:kern w:val="0"/>
          <w:szCs w:val="32"/>
        </w:rPr>
        <w:t>　审判的时候被告人不满十八周岁的案件，不公开审理。但是，经未成年被告人及其法定代理人同意，未成年被告人所在学校和未成年人保护组织可以派代表到场。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第二百八十六条</w:t>
      </w:r>
      <w:r>
        <w:rPr>
          <w:rFonts w:hint="eastAsia" w:ascii="宋体" w:hAnsi="宋体" w:cs="Arial"/>
          <w:kern w:val="0"/>
          <w:szCs w:val="32"/>
        </w:rPr>
        <w:t>　犯罪的时候不满十八周岁，被判处五年有期徒刑以下刑罚的，应当对相关犯罪记录予以封存。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犯罪记录被封存的，不得向任何单位和个人提供，但司法机关为办案需要或者有关单位根据国家规定进行查询的除外。依法进行查询的单位，应当对被封存的犯罪记录的情况予以保密。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第二百八十七条</w:t>
      </w:r>
      <w:r>
        <w:rPr>
          <w:rFonts w:hint="eastAsia" w:ascii="宋体" w:hAnsi="宋体" w:cs="Arial"/>
          <w:kern w:val="0"/>
          <w:szCs w:val="32"/>
        </w:rPr>
        <w:t>　办理未成年人刑事案件，除本章已有规定的以外，按照本法的其他规定进行。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当事人和解的公诉案件诉讼程序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第二百八十八条</w:t>
      </w:r>
      <w:r>
        <w:rPr>
          <w:rFonts w:hint="eastAsia" w:ascii="宋体" w:hAnsi="宋体" w:cs="Arial"/>
          <w:kern w:val="0"/>
          <w:szCs w:val="32"/>
        </w:rPr>
        <w:t>　下列公诉案件，犯罪嫌疑人、被告人真诚悔罪，通过向被害人赔偿损失、赔礼道歉等方式获得被害人谅解，被害人自愿和解的，双方当事人可以和解：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（一）</w:t>
      </w:r>
      <w:r>
        <w:rPr>
          <w:rFonts w:hint="eastAsia" w:ascii="宋体" w:hAnsi="宋体" w:eastAsia="仿宋_GB2312" w:cs="仿宋_GB2312"/>
          <w:kern w:val="0"/>
          <w:szCs w:val="32"/>
        </w:rPr>
        <w:t>因民间纠纷引起，涉嫌刑法分则第四章、第五章规定的犯罪案件，可能判处三年有期徒刑以下刑罚的；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（二）除渎职犯罪以外的可能判处七年有期徒刑以下刑罚的过失犯罪案件。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犯罪嫌疑人、被告人在五年以内曾经故意犯罪的，不适用本章规定的程序。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第二百八十九条</w:t>
      </w:r>
      <w:r>
        <w:rPr>
          <w:rFonts w:hint="eastAsia" w:ascii="宋体" w:hAnsi="宋体" w:cs="Arial"/>
          <w:kern w:val="0"/>
          <w:szCs w:val="32"/>
        </w:rPr>
        <w:t>　双方当事人和解的，公安机关、人民检察院、人民法院应当听取当事人和其他有关人员的意见，对和解的自愿性、合法性进行审查，并主持制作和解协议书。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第二百九十条</w:t>
      </w:r>
      <w:r>
        <w:rPr>
          <w:rFonts w:hint="eastAsia" w:ascii="宋体" w:hAnsi="宋体" w:cs="Arial"/>
          <w:kern w:val="0"/>
          <w:szCs w:val="32"/>
        </w:rPr>
        <w:t>　对于达成和解协议的案件，公安机关可以向人民检察院提出从宽处理的建议。人民检察院可以向人民法院提出从宽处罚的建议；对于犯罪情节轻微，不需要判处刑罚的，可以作出不起诉的决定。人民法院可以依法对被告人从宽处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缺席审判程序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第二百九十一条</w:t>
      </w:r>
      <w:r>
        <w:rPr>
          <w:rFonts w:hint="eastAsia" w:ascii="宋体" w:hAnsi="宋体" w:cs="Arial"/>
          <w:kern w:val="0"/>
          <w:szCs w:val="32"/>
        </w:rPr>
        <w:t>　对于贪污贿赂犯罪案件，以及需要及时进行审判，经最高人民检察院核准的严重危害国家安全犯罪、恐怖活动犯罪案件，犯罪嫌疑人、被告人在境外，监察机关、公安机关移送起诉，人民检察院认为犯罪事实已经查清，证据确实、充分，依法应当追究刑事责任的，可以向人民法院提起公诉。人民法院进行审查后，对于起诉书中有明确的指控犯罪事实，符合缺席审判程序适用条件的，应当决定开庭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前款案件，由犯罪地、被告人离境前居住地或者最高人民法院指定的中级人民法院组成合议庭进行审理。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第二百九十二条</w:t>
      </w:r>
      <w:r>
        <w:rPr>
          <w:rFonts w:hint="eastAsia" w:ascii="宋体" w:hAnsi="宋体" w:cs="Arial"/>
          <w:kern w:val="0"/>
          <w:szCs w:val="32"/>
        </w:rPr>
        <w:t>　人民法院应当通过有关国际条约规定的或者外交途径提出的司法协助方式，或者被告人所在地法律允许的其他方式，将传票和人民检察院的起诉书副本送达被告人。传票和起诉书副本送达后，被告人未按要求到案的，人民法院应当开庭审理，依法作出判决，并对违法所得及其他涉案财产作出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第二百九十三条</w:t>
      </w:r>
      <w:r>
        <w:rPr>
          <w:rFonts w:hint="eastAsia" w:ascii="宋体" w:hAnsi="宋体" w:cs="Arial"/>
          <w:kern w:val="0"/>
          <w:szCs w:val="32"/>
        </w:rPr>
        <w:t>　人民法院缺席审判案件，被告人有权委托辩护人，被告人的近亲属可以代为委托辩护人。被告人及其近亲属没有委托辩护人的，人民法院应当通知法律援助机构指派律师为其提供辩护。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第二百九十四条</w:t>
      </w:r>
      <w:r>
        <w:rPr>
          <w:rFonts w:hint="eastAsia" w:ascii="宋体" w:hAnsi="宋体" w:cs="Arial"/>
          <w:kern w:val="0"/>
          <w:szCs w:val="32"/>
        </w:rPr>
        <w:t>　人民法院应当将判决书送达被告人及其近亲属、辩护人。被告人或者其近亲属不服判决的，有权向上一级人民法院上诉。辩护人经被告人或者其近亲属同意，可以提出上诉。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人民检察院认为人民法院的判决确有错误的，应当向上一级人民法院提出抗诉。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第二百九十五条</w:t>
      </w:r>
      <w:r>
        <w:rPr>
          <w:rFonts w:hint="eastAsia" w:ascii="宋体" w:hAnsi="宋体" w:cs="Arial"/>
          <w:kern w:val="0"/>
          <w:szCs w:val="32"/>
        </w:rPr>
        <w:t>　在审理过程中，被告人自动投案或者被抓获的，人民法院应当重新审理。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罪犯在判决、裁定发生法律效力后到案的，人民法院应当将罪犯交付执行刑罚。交付执行刑罚前，人民法院应当告知罪犯有权对判决、裁定提出异议。罪犯对判决、裁定提出异议的，人民法院应当重新审理。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依照生效判决、裁定对罪犯的财产进行的处理确有错误的，应当予以返还、赔偿。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第二百九十六条</w:t>
      </w:r>
      <w:r>
        <w:rPr>
          <w:rFonts w:hint="eastAsia" w:ascii="宋体" w:hAnsi="宋体" w:cs="Arial"/>
          <w:kern w:val="0"/>
          <w:szCs w:val="32"/>
        </w:rPr>
        <w:t>　因被告人患有严重疾病无法出庭，中止审理超过六个月，被告人仍无法出庭，被告人及其法定代理人、近亲属申请或者同意恢复审理的，人民法院可以在被告人不出庭的情况下缺席审理，依法作出判决。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第二百九十七条</w:t>
      </w:r>
      <w:r>
        <w:rPr>
          <w:rFonts w:hint="eastAsia" w:ascii="宋体" w:hAnsi="宋体" w:cs="Arial"/>
          <w:kern w:val="0"/>
          <w:szCs w:val="32"/>
        </w:rPr>
        <w:t>　被告人死亡的，人民法院应当裁定终止审理，但有证据证明被告人无罪，人民法院经缺席审理确认无罪的，应当依法作出判决。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人民法院按照审判监督程序重新审判的案件，被告人死亡的，人民法院可以缺席审理，依法作出判决。</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犯罪嫌疑人、被告人逃匿、死亡案件</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违法所得的没收程序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第二百九十八条</w:t>
      </w:r>
      <w:r>
        <w:rPr>
          <w:rFonts w:hint="eastAsia" w:ascii="宋体" w:hAnsi="宋体" w:cs="Arial"/>
          <w:kern w:val="0"/>
          <w:szCs w:val="32"/>
        </w:rPr>
        <w:t>　对于贪污贿赂犯罪、恐怖活动犯罪等重大犯罪案件，犯罪嫌疑人、被告人逃匿，在通缉一年后不能到案，或者犯罪嫌疑人、被告人死亡，依照刑法规定应当追缴其违法所得及其他涉案财产的，人民检察院可以向人民法院提出没收违法所得的申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公安机关认为有前款规定情形的，应当写出没收违法所得意见书，移送人民检察院。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没收违法所得的申请应当提供与犯罪事实、违法所得相关的证据材料，并列明财产的种类、数量、所在地及查封、扣押、冻结的情况。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人民法院在必要的时候，可以查封、扣押、冻结申请没收的财产。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第二百九十九条</w:t>
      </w:r>
      <w:r>
        <w:rPr>
          <w:rFonts w:hint="eastAsia" w:ascii="宋体" w:hAnsi="宋体" w:cs="Arial"/>
          <w:kern w:val="0"/>
          <w:szCs w:val="32"/>
        </w:rPr>
        <w:t>　没收违法所得的申请，由犯罪地或者犯罪嫌疑人、被告人居住地的中级人民法院组成合议庭进行审理。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人民法院受理没收违法所得的申请后，应当发出公告。公告期间为六个月。犯罪嫌疑人、被告人的近亲属和其他利害关系人有权申请参加诉讼，也可以委托诉讼代理人参加诉讼。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人民法院在公告期满后对没收违法所得的申请进行审理。利害关系人参加诉讼的，人民法院应当开庭审理。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第三百条</w:t>
      </w:r>
      <w:r>
        <w:rPr>
          <w:rFonts w:hint="eastAsia" w:ascii="宋体" w:hAnsi="宋体" w:cs="Arial"/>
          <w:kern w:val="0"/>
          <w:szCs w:val="32"/>
        </w:rPr>
        <w:t>　人民法院经审理，对经查证属于违法所得及其他涉案财产，除依法返还被害人的以外，应当裁定予以没收；对不属于应当追缴的财产的，应当裁定驳回申请，解除查封、扣押、冻结措施。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对于人民法院依照前款规定作出的裁定，犯罪嫌疑人、被告人的近亲属和其他利害关系人或者人民检察院可以提出上诉、抗诉。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第三百零一条</w:t>
      </w:r>
      <w:r>
        <w:rPr>
          <w:rFonts w:hint="eastAsia" w:ascii="宋体" w:hAnsi="宋体" w:cs="Arial"/>
          <w:kern w:val="0"/>
          <w:szCs w:val="32"/>
        </w:rPr>
        <w:t>　在审理过程中，在逃的犯罪嫌疑人、被告人自动投案或者被抓获的，人民法院应当终止审理。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没收犯罪嫌疑人、被告人财产确有错误的，应当予以返还、赔偿。</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w:t>
      </w:r>
      <w:r>
        <w:rPr>
          <w:rFonts w:hint="eastAsia" w:ascii="宋体" w:hAnsi="宋体" w:eastAsia="黑体" w:cs="黑体"/>
          <w:kern w:val="0"/>
          <w:szCs w:val="32"/>
          <w:lang w:eastAsia="zh-CN"/>
        </w:rPr>
        <w:t>　</w:t>
      </w:r>
      <w:r>
        <w:rPr>
          <w:rFonts w:hint="eastAsia" w:ascii="宋体" w:hAnsi="宋体" w:eastAsia="黑体" w:cs="黑体"/>
          <w:kern w:val="0"/>
          <w:szCs w:val="32"/>
        </w:rPr>
        <w:t>依法不负刑事责任的精神病人的强制医疗程序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第三百零二条</w:t>
      </w:r>
      <w:r>
        <w:rPr>
          <w:rFonts w:hint="eastAsia" w:ascii="宋体" w:hAnsi="宋体" w:cs="Arial"/>
          <w:kern w:val="0"/>
          <w:szCs w:val="32"/>
        </w:rPr>
        <w:t>　实施暴力行为，危害公共安全或者严重危害公民人身安全，经法定程序鉴定依法不负刑事责任的精神病人，有继续危害社会可能的，可以予以强制医疗。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第三百零三条</w:t>
      </w:r>
      <w:r>
        <w:rPr>
          <w:rFonts w:hint="eastAsia" w:ascii="宋体" w:hAnsi="宋体" w:cs="Arial"/>
          <w:kern w:val="0"/>
          <w:szCs w:val="32"/>
        </w:rPr>
        <w:t>　根据本章规定对精神病人强制医疗的，由人民法院决定。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发现精神病人符合强制医疗条件的，应当写出强制医疗意见书，移送人民检察院。对于公安机关移送的或者在审查起诉过程中发现的精神病人符合强制医疗条件的，人民检察院应当向人民法院提出强制医疗的申请。人民法院在审理案件过程中发现被告人符合强制医疗条件的，可以作出强制医疗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对实施暴力行为的精神病人，在人民法院决定强制医疗前，公安机关可以采取临时的保护性约束措施。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第三百零四条</w:t>
      </w:r>
      <w:r>
        <w:rPr>
          <w:rFonts w:hint="eastAsia" w:ascii="宋体" w:hAnsi="宋体" w:cs="Arial"/>
          <w:kern w:val="0"/>
          <w:szCs w:val="32"/>
        </w:rPr>
        <w:t>　人民法院受理强制医疗的申请后，应当组成合议庭进行审理。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人民法院审理强制医疗案件，应当通知被申请人或者被告人的法定代理人到场。被申请人或者被告人没有委托诉讼代理人的，人民法院应当通知法律援助机构指派律师为其提供法律帮助。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第三百零五条</w:t>
      </w:r>
      <w:r>
        <w:rPr>
          <w:rFonts w:hint="eastAsia" w:ascii="宋体" w:hAnsi="宋体" w:cs="Arial"/>
          <w:kern w:val="0"/>
          <w:szCs w:val="32"/>
        </w:rPr>
        <w:t>　人民法院经审理，对于被申请人或者被告人符合强制医疗条件的，应当在一个月以内作出强制医疗的决定。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被决定强制医疗的人、被害人及其法定代理人、近亲属对强制医疗决定不服的，可以向上一级人民法院申请复议。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第三百零六条</w:t>
      </w:r>
      <w:r>
        <w:rPr>
          <w:rFonts w:hint="eastAsia" w:ascii="宋体" w:hAnsi="宋体" w:cs="Arial"/>
          <w:kern w:val="0"/>
          <w:szCs w:val="32"/>
        </w:rPr>
        <w:t>　强制医疗机构应当定期对被强制医疗的人进行诊断评估。对于已不具有人身危险性，不需要继续强制医疗的，应当及时提出解除意见，报决定强制医疗的人民法院批准。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被强制医疗的人及其近亲属有权申请解除强制医疗。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第三百零七条</w:t>
      </w:r>
      <w:r>
        <w:rPr>
          <w:rFonts w:hint="eastAsia" w:ascii="宋体" w:hAnsi="宋体" w:cs="Arial"/>
          <w:kern w:val="0"/>
          <w:szCs w:val="32"/>
        </w:rPr>
        <w:t>　人民检察院对强制医疗的决定和执行实行监督。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第三百零八条</w:t>
      </w:r>
      <w:r>
        <w:rPr>
          <w:rFonts w:hint="eastAsia" w:ascii="宋体" w:hAnsi="宋体" w:cs="Arial"/>
          <w:kern w:val="0"/>
          <w:szCs w:val="32"/>
        </w:rPr>
        <w:t>　军队保卫部门对军队内部发生的刑事案件行使侦查权。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中国海警局履行海上维权执法职责，对海上发生的刑事案件行使侦查权。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对罪犯在监狱内犯罪的案件由监狱进行侦查。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军队保卫部门、中国海警局、监狱办理刑事案件，适用本法的有关规定。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adjustRightInd/>
        <w:snapToGrid/>
        <w:spacing w:beforeAutospacing="0" w:afterAutospacing="0" w:line="560" w:lineRule="exact"/>
        <w:jc w:val="center"/>
        <w:textAlignment w:val="auto"/>
        <w:outlineLvl w:val="0"/>
        <w:rPr>
          <w:rFonts w:hint="eastAsia" w:ascii="宋体" w:hAnsi="宋体" w:cs="Arial"/>
          <w:kern w:val="0"/>
          <w:szCs w:val="32"/>
        </w:rPr>
      </w:pPr>
      <w:bookmarkStart w:id="220" w:name="_Toc25673"/>
      <w:r>
        <w:rPr>
          <w:rFonts w:hint="eastAsia" w:ascii="宋体" w:hAnsi="宋体" w:eastAsia="宋体" w:cs="宋体"/>
          <w:kern w:val="0"/>
          <w:sz w:val="44"/>
          <w:szCs w:val="44"/>
        </w:rPr>
        <w:t>中华人民共和国民事诉讼法</w:t>
      </w:r>
      <w:bookmarkEnd w:id="220"/>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楷体_GB2312"/>
          <w:kern w:val="0"/>
          <w:szCs w:val="32"/>
          <w:lang w:eastAsia="zh-CN"/>
        </w:rPr>
      </w:pPr>
      <w:r>
        <w:rPr>
          <w:rFonts w:hint="eastAsia" w:ascii="宋体" w:hAnsi="宋体" w:eastAsia="楷体_GB2312" w:cs="楷体_GB2312"/>
          <w:kern w:val="0"/>
          <w:szCs w:val="32"/>
          <w:lang w:eastAsia="zh-CN"/>
        </w:rPr>
        <w:t>（</w:t>
      </w:r>
      <w:r>
        <w:rPr>
          <w:rFonts w:hint="eastAsia" w:ascii="宋体" w:hAnsi="宋体" w:eastAsia="楷体_GB2312" w:cs="楷体_GB2312"/>
          <w:kern w:val="0"/>
          <w:szCs w:val="32"/>
        </w:rPr>
        <w:t>1991年4月9日第七届全国人民代表大会第四次会议通过</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根据2007年10月28日第十届全国人民代表大会常务委员会第三十次会议《关于修改&lt;中华人民共和国民事诉讼法&gt;的决定》第一次修正</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根据2012年8月31日第十一届全国人民代表大会常务委员会第二十八次会议《关于修改&lt;中华人民共和国民事诉讼法&gt;的决定》第二次修正</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根据2017年6月27日第十二届全国人民代表大会常务委员会第二十八次会议《关于修改&lt;中华人民共和国民事诉讼法&gt;和&lt;中华人民共和国行政诉讼法&gt;的决定》第三次修正</w:t>
      </w:r>
      <w:r>
        <w:rPr>
          <w:rFonts w:hint="eastAsia" w:ascii="宋体" w:hAnsi="宋体" w:eastAsia="楷体_GB2312" w:cs="楷体_GB2312"/>
          <w:kern w:val="0"/>
          <w:szCs w:val="32"/>
          <w:lang w:eastAsia="zh-CN"/>
        </w:rPr>
        <w:t>）</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第一编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第一章　任务、适用范围和基本原则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级别管辖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地域管辖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第三节　移送管辖和指定管辖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第三章　审判组织</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第四章　回避</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第五章　诉讼参加人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第六章　证据</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第七章　期间、送达</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期间</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送达</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第八章　调解</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第九章　保全和先予执行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第十章　对妨害民事诉讼的强制措施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第十一章　诉讼费用</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第二编　审判程序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第十二章　第一审普通程序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起诉和受理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审理前的准备</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第三节　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第四节　诉讼中止和终结</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第五节　判决和裁定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第十三章　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第十四章　第二审程序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第十五章　特别程序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选民资格案件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第三节　宣告失踪、宣告死亡案件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第四节　认定公民无民事行为能力、限制民事行为能力案件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第五节　认定财产无主案件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第六节　确认调解协议案件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第七节　实现担保物权案件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第十六章　审判监督程序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第十七章　督促程序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第十八章　公示催告程序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第三编　执行程序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第十九章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第二十章　执行的申请和移送</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第二十一章　执行措施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第二十二章　执行中止和终结</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第四编　涉外民事诉讼程序的特别规定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第二十三章　一般原则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第二十四章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第二十五章　送达、期间</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第二十六章　仲裁</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第二十七章　司法协助</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第一编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第一章　</w:t>
      </w:r>
      <w:r>
        <w:rPr>
          <w:rFonts w:hint="eastAsia" w:ascii="宋体" w:hAnsi="宋体" w:eastAsia="黑体" w:cs="黑体"/>
          <w:kern w:val="0"/>
          <w:szCs w:val="32"/>
        </w:rPr>
        <w:t>任务、适用范围和基本原则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第一条</w:t>
      </w:r>
      <w:r>
        <w:rPr>
          <w:rFonts w:hint="eastAsia" w:ascii="宋体" w:hAnsi="宋体" w:eastAsia="仿宋_GB2312" w:cs="仿宋_GB2312"/>
          <w:kern w:val="0"/>
          <w:szCs w:val="32"/>
        </w:rPr>
        <w:t>　中华人民共和国民事诉讼法以宪法为根据，结合我国民事审判工作的经验和实际情况制定。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第二条</w:t>
      </w:r>
      <w:r>
        <w:rPr>
          <w:rFonts w:hint="eastAsia" w:ascii="宋体" w:hAnsi="宋体" w:eastAsia="仿宋_GB2312" w:cs="仿宋_GB2312"/>
          <w:kern w:val="0"/>
          <w:szCs w:val="32"/>
        </w:rPr>
        <w:t>　中华人民共和国民事诉讼法的任务，是保护当事人行使诉讼权利，保证人民法院查明事实，分清是非，正确适用法律，及时审理民事案件，确认民事权利义务关系，制裁民事违法行为，保护当事人的合法权益，教育公民自觉遵守法律，维护社会秩序、经济秩序，保障社会主义建设事业顺利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第三条</w:t>
      </w:r>
      <w:r>
        <w:rPr>
          <w:rFonts w:hint="eastAsia" w:ascii="宋体" w:hAnsi="宋体" w:eastAsia="仿宋_GB2312" w:cs="仿宋_GB2312"/>
          <w:kern w:val="0"/>
          <w:szCs w:val="32"/>
        </w:rPr>
        <w:t>　人民法院受理公民之间、法人之间、其他组织之间以及他们相互之间因财产关系和人身关系提起的民事诉讼，适用本法的规定。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第四条</w:t>
      </w:r>
      <w:r>
        <w:rPr>
          <w:rFonts w:hint="eastAsia" w:ascii="宋体" w:hAnsi="宋体" w:eastAsia="仿宋_GB2312" w:cs="仿宋_GB2312"/>
          <w:kern w:val="0"/>
          <w:szCs w:val="32"/>
        </w:rPr>
        <w:t>　凡在中华人民共和国领域内进行民事诉讼，必须遵守本法。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第五条</w:t>
      </w:r>
      <w:r>
        <w:rPr>
          <w:rFonts w:hint="eastAsia" w:ascii="宋体" w:hAnsi="宋体" w:eastAsia="仿宋_GB2312" w:cs="仿宋_GB2312"/>
          <w:kern w:val="0"/>
          <w:szCs w:val="32"/>
        </w:rPr>
        <w:t>　外国人、无国籍人、外国企业和组织在人民法院起诉、应诉，同中华人民共和国公民、法人和其他组织有同等的诉讼权利义务。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外国法院对中华人民共和国公民、法人和其他组织的民事诉讼权利加以限制的，中华人民共和国人民法院对该国公民、企业和组织的民事诉讼权利，实行对等原则。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第六条</w:t>
      </w:r>
      <w:r>
        <w:rPr>
          <w:rFonts w:hint="eastAsia" w:ascii="宋体" w:hAnsi="宋体" w:eastAsia="仿宋_GB2312" w:cs="仿宋_GB2312"/>
          <w:kern w:val="0"/>
          <w:szCs w:val="32"/>
        </w:rPr>
        <w:t>　民事案件的审判权由人民法院行使。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人民法院依照法律规定对民事案件独立进行审判，不受行政机关、社会团体和个人的干涉。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第七条</w:t>
      </w:r>
      <w:r>
        <w:rPr>
          <w:rFonts w:hint="eastAsia" w:ascii="宋体" w:hAnsi="宋体" w:eastAsia="仿宋_GB2312" w:cs="仿宋_GB2312"/>
          <w:kern w:val="0"/>
          <w:szCs w:val="32"/>
        </w:rPr>
        <w:t>　人民法院审理民事案件，必须以事实为根据，以法律为准绳。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第八条</w:t>
      </w:r>
      <w:r>
        <w:rPr>
          <w:rFonts w:hint="eastAsia" w:ascii="宋体" w:hAnsi="宋体" w:eastAsia="仿宋_GB2312" w:cs="仿宋_GB2312"/>
          <w:kern w:val="0"/>
          <w:szCs w:val="32"/>
        </w:rPr>
        <w:t>　民事诉讼当事人有平等的诉讼权利。人民法院审理民事案件，应当保障和便利当事人行使诉讼权利，对当事人在适用法律上一律平等。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第九条</w:t>
      </w:r>
      <w:r>
        <w:rPr>
          <w:rFonts w:hint="eastAsia" w:ascii="宋体" w:hAnsi="宋体" w:eastAsia="仿宋_GB2312" w:cs="仿宋_GB2312"/>
          <w:kern w:val="0"/>
          <w:szCs w:val="32"/>
        </w:rPr>
        <w:t>　人民法院审理民事案件，应当根据自愿和合法的原则进行调解；调解不成的，应当及时判决。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第十条</w:t>
      </w:r>
      <w:r>
        <w:rPr>
          <w:rFonts w:hint="eastAsia" w:ascii="宋体" w:hAnsi="宋体" w:eastAsia="仿宋_GB2312" w:cs="仿宋_GB2312"/>
          <w:kern w:val="0"/>
          <w:szCs w:val="32"/>
        </w:rPr>
        <w:t>　人民法院审理民事案件，依照法律规定实行合议、回避、公开审判和两审终审制度。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第十一条</w:t>
      </w:r>
      <w:r>
        <w:rPr>
          <w:rFonts w:hint="eastAsia" w:ascii="宋体" w:hAnsi="宋体" w:eastAsia="仿宋_GB2312" w:cs="仿宋_GB2312"/>
          <w:kern w:val="0"/>
          <w:szCs w:val="32"/>
        </w:rPr>
        <w:t>　各民族公民都有用本民族语言、文字进行民事诉讼的权利。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在少数民族聚居或者多民族共同居住的地区，人民法院应当用当地民族通用的语言、文字进行审理和发布法律文书。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人民法院应当对不通晓当地民族通用的语言、文字的诉讼参与人提供翻译。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第十二条</w:t>
      </w:r>
      <w:r>
        <w:rPr>
          <w:rFonts w:hint="eastAsia" w:ascii="宋体" w:hAnsi="宋体" w:eastAsia="仿宋_GB2312" w:cs="仿宋_GB2312"/>
          <w:kern w:val="0"/>
          <w:szCs w:val="32"/>
        </w:rPr>
        <w:t>　人民法院审理民事案件时，当事人有权进行辩论。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第十三条</w:t>
      </w:r>
      <w:r>
        <w:rPr>
          <w:rFonts w:hint="eastAsia" w:ascii="宋体" w:hAnsi="宋体" w:eastAsia="仿宋_GB2312" w:cs="仿宋_GB2312"/>
          <w:kern w:val="0"/>
          <w:szCs w:val="32"/>
        </w:rPr>
        <w:t>　民事诉讼应当遵循诚实信用原则。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当事人有权在法律规定的范围内处分自己的民事权利和诉讼权利。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第十四条</w:t>
      </w:r>
      <w:r>
        <w:rPr>
          <w:rFonts w:hint="eastAsia" w:ascii="宋体" w:hAnsi="宋体" w:eastAsia="仿宋_GB2312" w:cs="仿宋_GB2312"/>
          <w:kern w:val="0"/>
          <w:szCs w:val="32"/>
        </w:rPr>
        <w:t>　人民检察院有权对民事诉讼实行法律监督。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第十五条</w:t>
      </w:r>
      <w:r>
        <w:rPr>
          <w:rFonts w:hint="eastAsia" w:ascii="宋体" w:hAnsi="宋体" w:eastAsia="仿宋_GB2312" w:cs="仿宋_GB2312"/>
          <w:kern w:val="0"/>
          <w:szCs w:val="32"/>
        </w:rPr>
        <w:t>　机关、社会团体、企业事业单位对损害国家、集体或者个人民事权益的行为，可以支持受损害的单位或者个人向人民法院起诉。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第十六条</w:t>
      </w:r>
      <w:r>
        <w:rPr>
          <w:rFonts w:hint="eastAsia" w:ascii="宋体" w:hAnsi="宋体" w:eastAsia="仿宋_GB2312" w:cs="仿宋_GB2312"/>
          <w:kern w:val="0"/>
          <w:szCs w:val="32"/>
        </w:rPr>
        <w:t>　民族自治地方的人民代表大会根据宪法和本法的原则，结合当地民族的具体情况，可以制定变通或者补充的规定。自治区的规定，报全国人民代表大会常务委员会批准。自治州、自治县的规定，报省或者自治区的人民代表大会常务委员会批准，并报全国人民代表大会常务委员会备案。</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第二章　</w:t>
      </w:r>
      <w:r>
        <w:rPr>
          <w:rFonts w:hint="eastAsia" w:ascii="宋体" w:hAnsi="宋体" w:eastAsia="黑体" w:cs="黑体"/>
          <w:kern w:val="0"/>
          <w:szCs w:val="32"/>
        </w:rPr>
        <w:t>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级别管辖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第十七条</w:t>
      </w:r>
      <w:r>
        <w:rPr>
          <w:rFonts w:hint="eastAsia" w:ascii="宋体" w:hAnsi="宋体" w:eastAsia="仿宋_GB2312" w:cs="仿宋_GB2312"/>
          <w:kern w:val="0"/>
          <w:szCs w:val="32"/>
        </w:rPr>
        <w:t>　基层人民法院管辖第一审民事案件，但本法另有规定的除外。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第十八条</w:t>
      </w:r>
      <w:r>
        <w:rPr>
          <w:rFonts w:hint="eastAsia" w:ascii="宋体" w:hAnsi="宋体" w:eastAsia="仿宋_GB2312" w:cs="仿宋_GB2312"/>
          <w:kern w:val="0"/>
          <w:szCs w:val="32"/>
        </w:rPr>
        <w:t>　中级人民法院管辖下列第一审民事案件: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（一）重大涉外案件；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（二）在本辖区有重大影响的案件；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（三）最高人民法院确定由中级人民法院管辖的案件。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第十九条</w:t>
      </w:r>
      <w:r>
        <w:rPr>
          <w:rFonts w:hint="eastAsia" w:ascii="宋体" w:hAnsi="宋体" w:eastAsia="仿宋_GB2312" w:cs="仿宋_GB2312"/>
          <w:kern w:val="0"/>
          <w:szCs w:val="32"/>
        </w:rPr>
        <w:t>　高级人民法院管辖在本辖区有重大影响的第一审民事案件。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rPr>
        <w:t>　　第二十条</w:t>
      </w:r>
      <w:r>
        <w:rPr>
          <w:rFonts w:hint="eastAsia" w:ascii="宋体" w:hAnsi="宋体" w:eastAsia="仿宋_GB2312" w:cs="仿宋_GB2312"/>
          <w:kern w:val="0"/>
          <w:szCs w:val="32"/>
        </w:rPr>
        <w:t>　最高人民法院管辖下列第一审民事案件: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（一）在全国有重大影响的案件；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（二）认为应当由本院审理的案件。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地域管辖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第二十一条</w:t>
      </w:r>
      <w:r>
        <w:rPr>
          <w:rFonts w:hint="eastAsia" w:ascii="宋体" w:hAnsi="宋体" w:eastAsia="仿宋_GB2312" w:cs="仿宋_GB2312"/>
          <w:kern w:val="0"/>
          <w:szCs w:val="32"/>
        </w:rPr>
        <w:t>　对公民提起的民事诉讼，由被告住所地人民法院管辖；被告住所地与经常居住地不一致的，由经常居住地人民法院管辖。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对法人或者其他组织提起的民事诉讼，由被告住所地人民法院管辖。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同一诉讼的几个被告住所地、经常居住地在两个以上人民法院辖区的，各该人民法院都有管辖权。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第二十二条</w:t>
      </w:r>
      <w:r>
        <w:rPr>
          <w:rFonts w:hint="eastAsia" w:ascii="宋体" w:hAnsi="宋体" w:eastAsia="仿宋_GB2312" w:cs="仿宋_GB2312"/>
          <w:kern w:val="0"/>
          <w:szCs w:val="32"/>
        </w:rPr>
        <w:t>　下列民事诉讼，由原告住所地人民法院管辖；原告住所地与经常居住地不一致的，由原告经常居住地人民法院管辖: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（一）对不在中华人民共和国领域内居住的人提起的有关身份关系的诉讼；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（二）对下落不明或者宣告失踪的人提起的有关身份关系的诉讼；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（三）对被采取强制性教育措施的人提起的诉讼；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（四）对被监禁的人提起的诉讼。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第二十三条</w:t>
      </w:r>
      <w:r>
        <w:rPr>
          <w:rFonts w:hint="eastAsia" w:ascii="宋体" w:hAnsi="宋体" w:eastAsia="仿宋_GB2312" w:cs="仿宋_GB2312"/>
          <w:kern w:val="0"/>
          <w:szCs w:val="32"/>
        </w:rPr>
        <w:t>　因合同纠纷提起的诉讼，由被告住所地或者合同履行地人民法院管辖。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第二十四条</w:t>
      </w:r>
      <w:r>
        <w:rPr>
          <w:rFonts w:hint="eastAsia" w:ascii="宋体" w:hAnsi="宋体" w:eastAsia="仿宋_GB2312" w:cs="仿宋_GB2312"/>
          <w:kern w:val="0"/>
          <w:szCs w:val="32"/>
        </w:rPr>
        <w:t>　因保险合同纠纷提起的诉讼，由被告住所地或者保险标的物所在地人民法院管辖。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第二十五条</w:t>
      </w:r>
      <w:r>
        <w:rPr>
          <w:rFonts w:hint="eastAsia" w:ascii="宋体" w:hAnsi="宋体" w:eastAsia="仿宋_GB2312" w:cs="仿宋_GB2312"/>
          <w:kern w:val="0"/>
          <w:szCs w:val="32"/>
        </w:rPr>
        <w:t>　因票据纠纷提起的诉讼，由票据支付地或者被告住所地人民法院管辖。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第二十六条</w:t>
      </w:r>
      <w:r>
        <w:rPr>
          <w:rFonts w:hint="eastAsia" w:ascii="宋体" w:hAnsi="宋体" w:eastAsia="仿宋_GB2312" w:cs="仿宋_GB2312"/>
          <w:kern w:val="0"/>
          <w:szCs w:val="32"/>
        </w:rPr>
        <w:t>　因公司设立、确认股东资格、分配利润、解散等纠纷提起的诉讼，由公司住所地人民法院管辖。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第二十七条</w:t>
      </w:r>
      <w:r>
        <w:rPr>
          <w:rFonts w:hint="eastAsia" w:ascii="宋体" w:hAnsi="宋体" w:eastAsia="仿宋_GB2312" w:cs="仿宋_GB2312"/>
          <w:kern w:val="0"/>
          <w:szCs w:val="32"/>
        </w:rPr>
        <w:t>　因铁路、公路、水上、航空运输和联合运输合同纠纷提起的诉讼，由运输始发地、目的地或者被告住所地人民法院管辖。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第二十八条</w:t>
      </w:r>
      <w:r>
        <w:rPr>
          <w:rFonts w:hint="eastAsia" w:ascii="宋体" w:hAnsi="宋体" w:eastAsia="仿宋_GB2312" w:cs="仿宋_GB2312"/>
          <w:kern w:val="0"/>
          <w:szCs w:val="32"/>
        </w:rPr>
        <w:t>　因侵权行为提起的诉讼，由侵权行为地或者被告住所地人民法院管辖。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第二十九条</w:t>
      </w:r>
      <w:r>
        <w:rPr>
          <w:rFonts w:hint="eastAsia" w:ascii="宋体" w:hAnsi="宋体" w:eastAsia="仿宋_GB2312" w:cs="仿宋_GB2312"/>
          <w:kern w:val="0"/>
          <w:szCs w:val="32"/>
        </w:rPr>
        <w:t>　因铁路、公路、水上和航空事故请求损害赔偿提起的诉讼，由事故发生地或者车辆、船舶最先到达地、航空器最先降落地或者被告住所地人民法院管辖。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第三十条</w:t>
      </w:r>
      <w:r>
        <w:rPr>
          <w:rFonts w:hint="eastAsia" w:ascii="宋体" w:hAnsi="宋体" w:eastAsia="仿宋_GB2312" w:cs="仿宋_GB2312"/>
          <w:kern w:val="0"/>
          <w:szCs w:val="32"/>
        </w:rPr>
        <w:t>　因船舶碰撞或者其他海事损害事故请求损害赔偿提起的诉讼，由碰撞发生地、碰撞船舶最先到达地、加害船舶被扣留地或者被告住所地人民法院管辖。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第三十一条</w:t>
      </w:r>
      <w:r>
        <w:rPr>
          <w:rFonts w:hint="eastAsia" w:ascii="宋体" w:hAnsi="宋体" w:eastAsia="仿宋_GB2312" w:cs="仿宋_GB2312"/>
          <w:kern w:val="0"/>
          <w:szCs w:val="32"/>
        </w:rPr>
        <w:t>　因海难救助费用提起的诉讼，由救助地或者被救助船舶最先到达地人民法院管辖。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第三十二条</w:t>
      </w:r>
      <w:r>
        <w:rPr>
          <w:rFonts w:hint="eastAsia" w:ascii="宋体" w:hAnsi="宋体" w:eastAsia="仿宋_GB2312" w:cs="仿宋_GB2312"/>
          <w:kern w:val="0"/>
          <w:szCs w:val="32"/>
        </w:rPr>
        <w:t>　因共同海损提起的诉讼，由船舶最先到达地、共同海损理算地或者航程终止地的人民法院管辖。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第三十三条</w:t>
      </w:r>
      <w:r>
        <w:rPr>
          <w:rFonts w:hint="eastAsia" w:ascii="宋体" w:hAnsi="宋体" w:eastAsia="仿宋_GB2312" w:cs="仿宋_GB2312"/>
          <w:kern w:val="0"/>
          <w:szCs w:val="32"/>
        </w:rPr>
        <w:t>　下列案件，由本条规定的人民法院专属管辖: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（一）因不动产纠纷提起的诉讼，由不动产所在地人民法院管辖；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（二）因港口作业中发生纠纷提起的诉讼，由港口所在地人民法院管辖；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（三）因继承遗产纠纷提起的诉讼，由被继承人死亡时住所地或者主要遗产所在地人民法院管辖。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第三十四条</w:t>
      </w:r>
      <w:r>
        <w:rPr>
          <w:rFonts w:hint="eastAsia" w:ascii="宋体" w:hAnsi="宋体" w:eastAsia="仿宋_GB2312" w:cs="仿宋_GB2312"/>
          <w:kern w:val="0"/>
          <w:szCs w:val="32"/>
        </w:rPr>
        <w:t>　合同或者其他财产权益纠纷的当事人可以书面协议选择被告住所地、合同履行地、合同签订地、原告住所地、标的物所在地等与争议有实际联系的地点的人民法院管辖，但不得违反本法对级别管辖和专属管辖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第三十五条</w:t>
      </w:r>
      <w:r>
        <w:rPr>
          <w:rFonts w:hint="eastAsia" w:ascii="宋体" w:hAnsi="宋体" w:eastAsia="仿宋_GB2312" w:cs="仿宋_GB2312"/>
          <w:kern w:val="0"/>
          <w:szCs w:val="32"/>
        </w:rPr>
        <w:t>　两个以上人民法院都有管辖权的诉讼，原告可以向其中一个人民法院起诉；原告向两个以上有管辖权的人民法院起诉的，由最先立案的人民法院管辖。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第三节　移送管辖和指定管辖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第三十六条</w:t>
      </w:r>
      <w:r>
        <w:rPr>
          <w:rFonts w:hint="eastAsia" w:ascii="宋体" w:hAnsi="宋体" w:eastAsia="仿宋_GB2312" w:cs="仿宋_GB2312"/>
          <w:kern w:val="0"/>
          <w:szCs w:val="32"/>
        </w:rPr>
        <w:t>　人民法院发现受理的案件不属于本院管辖的，应当移送有管辖权的人民法院，受移送的人民法院应当受理。受移送的人民法院认为受移送的案件依照规定不属于本院管辖的，应当报请上级人民法院指定管辖，不得再自行移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第三十七条</w:t>
      </w:r>
      <w:r>
        <w:rPr>
          <w:rFonts w:hint="eastAsia" w:ascii="宋体" w:hAnsi="宋体" w:eastAsia="仿宋_GB2312" w:cs="仿宋_GB2312"/>
          <w:kern w:val="0"/>
          <w:szCs w:val="32"/>
        </w:rPr>
        <w:t>　有管辖权的人民法院由于特殊原因，不能行使管辖权的，由上级人民法院指定管辖。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人民法院之间因管辖权发生争议，由争议双方协商解决；协商解决不了的，报请它们的共同上级人民法院指定管辖。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第三十八条</w:t>
      </w:r>
      <w:r>
        <w:rPr>
          <w:rFonts w:hint="eastAsia" w:ascii="宋体" w:hAnsi="宋体" w:eastAsia="仿宋_GB2312" w:cs="仿宋_GB2312"/>
          <w:kern w:val="0"/>
          <w:szCs w:val="32"/>
        </w:rPr>
        <w:t>　上级人民法院有权审理下级人民法院管辖的第一审民事案件；确有必要将本院管辖的第一审民事案件交下级人民法院审理的，应当报请其上级人民法院批准。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下级人民法院对它所管辖的第一审民事案件，认为需要由上级人民法院审理的，可以报请上级人民法院审理。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第三章　</w:t>
      </w:r>
      <w:r>
        <w:rPr>
          <w:rFonts w:hint="eastAsia" w:ascii="宋体" w:hAnsi="宋体" w:eastAsia="黑体" w:cs="黑体"/>
          <w:kern w:val="0"/>
          <w:szCs w:val="32"/>
        </w:rPr>
        <w:t>审判组织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第三十九条</w:t>
      </w:r>
      <w:r>
        <w:rPr>
          <w:rFonts w:hint="eastAsia" w:ascii="宋体" w:hAnsi="宋体" w:eastAsia="仿宋_GB2312" w:cs="仿宋_GB2312"/>
          <w:kern w:val="0"/>
          <w:szCs w:val="32"/>
        </w:rPr>
        <w:t>　人民法院审理第一审民事案件，由审判员、陪审员共同组成合议庭或者由审判员组成合议庭。合议庭的成员人数，必须是单数。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适用简易程序审理的民事案件，由审判员一人独任审理。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陪审员在执行陪审职务时，与审判员有同等的权利义务。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第四十条</w:t>
      </w:r>
      <w:r>
        <w:rPr>
          <w:rFonts w:hint="eastAsia" w:ascii="宋体" w:hAnsi="宋体" w:eastAsia="仿宋_GB2312" w:cs="仿宋_GB2312"/>
          <w:kern w:val="0"/>
          <w:szCs w:val="32"/>
        </w:rPr>
        <w:t>　人民法院审理第二审民事案件，由审判员组成合议庭。合议庭的成员人数，必须是单数。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发回重审的案件，原审人民法院应当按照第一审程序另行组成合议庭。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审理再审案件，原来是第一审的，按照第一审程序另行组成合议庭；原来是第二审的或者是上级人民法院提审的，按照第二审程序另行组成合议庭。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第四十一条</w:t>
      </w:r>
      <w:r>
        <w:rPr>
          <w:rFonts w:hint="eastAsia" w:ascii="宋体" w:hAnsi="宋体" w:eastAsia="仿宋_GB2312" w:cs="仿宋_GB2312"/>
          <w:kern w:val="0"/>
          <w:szCs w:val="32"/>
        </w:rPr>
        <w:t>　合议庭的审判长由院长或者庭长指定审判员一人担任；院长或者庭长参加审判的，由院长或者庭长担任。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第四十二条</w:t>
      </w:r>
      <w:r>
        <w:rPr>
          <w:rFonts w:hint="eastAsia" w:ascii="宋体" w:hAnsi="宋体" w:eastAsia="仿宋_GB2312" w:cs="仿宋_GB2312"/>
          <w:kern w:val="0"/>
          <w:szCs w:val="32"/>
        </w:rPr>
        <w:t>　合议庭评议案件，实行少数服从多数的原则。评议应当制作笔录，由合议庭成员签名。评议中的不同意见，必须如实记入笔录。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第四十三条</w:t>
      </w:r>
      <w:r>
        <w:rPr>
          <w:rFonts w:hint="eastAsia" w:ascii="宋体" w:hAnsi="宋体" w:eastAsia="仿宋_GB2312" w:cs="仿宋_GB2312"/>
          <w:kern w:val="0"/>
          <w:szCs w:val="32"/>
        </w:rPr>
        <w:t>　审判人员应当依法秉公办案。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审判人员不得接受当事人及其诉讼代理人请客送礼。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审判人员有贪污受贿，徇私舞弊，枉法裁判行为的，应当追究法律责任；构成犯罪的，依法追究刑事责任。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第四章　</w:t>
      </w:r>
      <w:r>
        <w:rPr>
          <w:rFonts w:hint="eastAsia" w:ascii="宋体" w:hAnsi="宋体" w:eastAsia="黑体" w:cs="黑体"/>
          <w:kern w:val="0"/>
          <w:szCs w:val="32"/>
        </w:rPr>
        <w:t>回避</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第四十四条</w:t>
      </w:r>
      <w:r>
        <w:rPr>
          <w:rFonts w:hint="eastAsia" w:ascii="宋体" w:hAnsi="宋体" w:eastAsia="仿宋_GB2312" w:cs="仿宋_GB2312"/>
          <w:kern w:val="0"/>
          <w:szCs w:val="32"/>
        </w:rPr>
        <w:t>　审判人员有下列情形之一的，应当自行回避，当事人有权用口头或者书面方式申请他们回避: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（一）是本案当事人或者当事人、诉讼代理人近亲属的；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（二）与本案有利害关系的；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（三）与本案当事人、诉讼代理人有其他关系，可能影响对案件公正审理的。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审判人员接受当事人、诉讼代理人请客送礼，或者违反规定会见当事人、诉讼代理人的，当事人有权要求他们回避。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审判人员有前款规定的行为的，应当依法追究法律责任。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前三款规定，适用于书记员、翻译人员、鉴定人、勘验人。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第四十五条</w:t>
      </w:r>
      <w:r>
        <w:rPr>
          <w:rFonts w:hint="eastAsia" w:ascii="宋体" w:hAnsi="宋体" w:eastAsia="仿宋_GB2312" w:cs="仿宋_GB2312"/>
          <w:kern w:val="0"/>
          <w:szCs w:val="32"/>
        </w:rPr>
        <w:t>　当事人提出回避申请，应当说明理由，在案件开始审理时提出；回避事由在案件开始审理后知道的，也可以在法庭辩论终结前提出。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被申请回避的人员在人民法院作出是否回避的决定前，应当暂停参与本案的工作，但案件需要采取紧急措施的除外。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第四十六条</w:t>
      </w:r>
      <w:r>
        <w:rPr>
          <w:rFonts w:hint="eastAsia" w:ascii="宋体" w:hAnsi="宋体" w:eastAsia="仿宋_GB2312" w:cs="仿宋_GB2312"/>
          <w:kern w:val="0"/>
          <w:szCs w:val="32"/>
        </w:rPr>
        <w:t>　院长担任审判长时的回避，由审判委员会决定；审判人员的回避，由院长决定；其他人员的回避，由审判长决定。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第四十七条</w:t>
      </w:r>
      <w:r>
        <w:rPr>
          <w:rFonts w:hint="eastAsia" w:ascii="宋体" w:hAnsi="宋体" w:eastAsia="仿宋_GB2312" w:cs="仿宋_GB2312"/>
          <w:kern w:val="0"/>
          <w:szCs w:val="32"/>
        </w:rPr>
        <w:t>　人民法院对当事人提出的回避申请，应当在申请提出的三日内，以口头或者书面形式作出决定。申请人对决定不服的，可以在接到决定时申请复议一次。复议期间，被申请回避的人员，不停止参与本案的工作。人民法院对复议申请，应当在三日内作出复议决定，并通知复议申请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第五章　</w:t>
      </w:r>
      <w:r>
        <w:rPr>
          <w:rFonts w:hint="eastAsia" w:ascii="宋体" w:hAnsi="宋体" w:eastAsia="黑体" w:cs="黑体"/>
          <w:kern w:val="0"/>
          <w:szCs w:val="32"/>
        </w:rPr>
        <w:t>诉讼参加人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第四十八条</w:t>
      </w:r>
      <w:r>
        <w:rPr>
          <w:rFonts w:hint="eastAsia" w:ascii="宋体" w:hAnsi="宋体" w:eastAsia="仿宋_GB2312" w:cs="仿宋_GB2312"/>
          <w:kern w:val="0"/>
          <w:szCs w:val="32"/>
        </w:rPr>
        <w:t>　公民、法人和其他组织可以作为民事诉讼的当事人。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法人由其法定代表人进行诉讼。其他组织由其主要负责人进行诉讼。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第四十九条</w:t>
      </w:r>
      <w:r>
        <w:rPr>
          <w:rFonts w:hint="eastAsia" w:ascii="宋体" w:hAnsi="宋体" w:eastAsia="仿宋_GB2312" w:cs="仿宋_GB2312"/>
          <w:kern w:val="0"/>
          <w:szCs w:val="32"/>
        </w:rPr>
        <w:t>　当事人有权委托代理人，提出回避申请，收集、提供证据，进行辩论，请求调解，提起上诉，申请执行。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当事人可以查阅本案有关材料，并可以复制本案有关材料和法律文书。查阅、复制本案有关材料的范围和办法由最高人民法院规定。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当事人必须依法行使诉讼权利，遵守诉讼秩序，履行发生法律效力的判决书、裁定书和调解书。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第五十条</w:t>
      </w:r>
      <w:r>
        <w:rPr>
          <w:rFonts w:hint="eastAsia" w:ascii="宋体" w:hAnsi="宋体" w:eastAsia="仿宋_GB2312" w:cs="仿宋_GB2312"/>
          <w:kern w:val="0"/>
          <w:szCs w:val="32"/>
        </w:rPr>
        <w:t>　双方当事人可以自行和解。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第五十一条</w:t>
      </w:r>
      <w:r>
        <w:rPr>
          <w:rFonts w:hint="eastAsia" w:ascii="宋体" w:hAnsi="宋体" w:eastAsia="仿宋_GB2312" w:cs="仿宋_GB2312"/>
          <w:kern w:val="0"/>
          <w:szCs w:val="32"/>
        </w:rPr>
        <w:t>　原告可以放弃或者变更诉讼请求。被告可以承认或者反驳诉讼请求，有权提起反诉。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第五十二条</w:t>
      </w:r>
      <w:r>
        <w:rPr>
          <w:rFonts w:hint="eastAsia" w:ascii="宋体" w:hAnsi="宋体" w:eastAsia="仿宋_GB2312" w:cs="仿宋_GB2312"/>
          <w:kern w:val="0"/>
          <w:szCs w:val="32"/>
        </w:rPr>
        <w:t>　当事人一方或者双方为二人以上，其诉讼标的是共同的，或者诉讼标的是同一种类、人民法院认为可以合并审理并经当事人同意的，为共同诉讼。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共同诉讼的一方当事人对诉讼标的有共同权利义务的，其中一人的诉讼行为经其他共同诉讼人承认，对其他共同诉讼人发生效力；对诉讼标的没有共同权利义务的，其中一人的诉讼行为对其他共同诉讼人不发生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第五十三条</w:t>
      </w:r>
      <w:r>
        <w:rPr>
          <w:rFonts w:hint="eastAsia" w:ascii="宋体" w:hAnsi="宋体" w:eastAsia="仿宋_GB2312" w:cs="仿宋_GB2312"/>
          <w:kern w:val="0"/>
          <w:szCs w:val="32"/>
        </w:rPr>
        <w:t>　当事人一方人数众多的共同诉讼，可以由当事人推选代表人进行诉讼。代表人的诉讼行为对其所代表的当事人发生效力，但代表人变更、放弃诉讼请求或者承认对方当事人的诉讼请求，进行和解，必须经被代表的当事人同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第五十四条</w:t>
      </w:r>
      <w:r>
        <w:rPr>
          <w:rFonts w:hint="eastAsia" w:ascii="宋体" w:hAnsi="宋体" w:eastAsia="仿宋_GB2312" w:cs="仿宋_GB2312"/>
          <w:kern w:val="0"/>
          <w:szCs w:val="32"/>
        </w:rPr>
        <w:t>　诉讼标的是同一种类、当事人一方人数众多在起诉时人数尚未确定的，人民法院可以发出公告，说明案件情况和诉讼请求，通知权利人在一定期间向人民法院登记。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向人民法院登记的权利人可以推选代表人进行诉讼；推选不出代表人的，人民法院可以与参加登记的权利人商定代表人。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代表人的诉讼行为对其所代表的当事人发生效力，但代表人变更、放弃诉讼请求或者承认对方当事人的诉讼请求，进行和解，必须经被代表的当事人同意。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人民法院作出的判决、裁定，对参加登记的全体权利人发生效力。未参加登记的权利人在诉讼时效期间提起诉讼的，适用该判决、裁定。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第五十五条</w:t>
      </w:r>
      <w:r>
        <w:rPr>
          <w:rFonts w:hint="eastAsia" w:ascii="宋体" w:hAnsi="宋体" w:eastAsia="仿宋_GB2312" w:cs="仿宋_GB2312"/>
          <w:kern w:val="0"/>
          <w:szCs w:val="32"/>
        </w:rPr>
        <w:t>　对污染环境、侵害众多消费者合法权益等损害社会公共利益的行为，法律规定的机关和有关组织可以向人民法院提起诉讼。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检察院在履行职责中发现破坏生态环境和资源保护、食品药品安全领域侵害众多消费者合法权益等损害社会公共利益的行为，在没有前款规定的机关和组织或者前款规定的机关和组织不提起诉讼的情况下，可以向人民法院提起诉讼。前款规定的机关或者组织提起诉讼的，人民检察院可以支持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第五十六条</w:t>
      </w:r>
      <w:r>
        <w:rPr>
          <w:rFonts w:hint="eastAsia" w:ascii="宋体" w:hAnsi="宋体" w:eastAsia="仿宋_GB2312" w:cs="仿宋_GB2312"/>
          <w:kern w:val="0"/>
          <w:szCs w:val="32"/>
        </w:rPr>
        <w:t>　对当事人双方的诉讼标的，第三人认为有独立请求权的，有权提起诉讼。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当事人双方的诉讼标的，第三人虽然没有独立请求权，但案件处理结果同他有法律上的利害关系的，可以申请参加诉讼，或者由人民法院通知他参加诉讼。人民法院判决承担民事责任的第三人，有当事人的诉讼权利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两款规定的第三人，因不能归责于本人的事由未参加诉讼，但有证据证明发生法律效力的判决、裁定、调解书的部分或者全部内容错误，损害其民事权益的，可以自知道或者应当知道其民事权益受到损害之日起六个月内，向作出该判决、裁定、调解书的人民法院提起诉讼。人民法院经审理，诉讼请求成立的，应当改变或者撤销原判决、裁定、调解书；诉讼请求不成立的，驳回诉讼请求。</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第五十七条</w:t>
      </w:r>
      <w:r>
        <w:rPr>
          <w:rFonts w:hint="eastAsia" w:ascii="宋体" w:hAnsi="宋体" w:eastAsia="仿宋_GB2312" w:cs="仿宋_GB2312"/>
          <w:kern w:val="0"/>
          <w:szCs w:val="32"/>
        </w:rPr>
        <w:t>　无诉讼行为能力人由他的监护人作为法定代理人代为诉讼。法定代理人之间互相推诿代理责任的，由人民法院指定其中一人代为诉讼。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第五十八条</w:t>
      </w:r>
      <w:r>
        <w:rPr>
          <w:rFonts w:hint="eastAsia" w:ascii="宋体" w:hAnsi="宋体" w:eastAsia="仿宋_GB2312" w:cs="仿宋_GB2312"/>
          <w:kern w:val="0"/>
          <w:szCs w:val="32"/>
        </w:rPr>
        <w:t>　当事人、法定代理人可以委托一至二人作为诉讼代理人。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下列人员可以被委托为诉讼代理人: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（一）律师、基层法律服务工作者；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（二）当事人的近亲属或者工作人员；</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（三）当事人所在社区、单位以及有关社会团体推荐的公民。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第五十九条</w:t>
      </w:r>
      <w:r>
        <w:rPr>
          <w:rFonts w:hint="eastAsia" w:ascii="宋体" w:hAnsi="宋体" w:eastAsia="黑体" w:cs="黑体"/>
          <w:kern w:val="0"/>
          <w:szCs w:val="32"/>
          <w:lang w:val="en-US" w:eastAsia="zh-CN"/>
        </w:rPr>
        <w:t>　</w:t>
      </w:r>
      <w:r>
        <w:rPr>
          <w:rFonts w:hint="eastAsia" w:ascii="宋体" w:hAnsi="宋体" w:eastAsia="仿宋_GB2312" w:cs="仿宋_GB2312"/>
          <w:kern w:val="0"/>
          <w:szCs w:val="32"/>
        </w:rPr>
        <w:t>委托他人代为诉讼，必须向人民法院提交由委托人签名或者盖章的授权委托书。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授权委托书必须记明委托事项和权限。诉讼代理人代为承认、放弃、变更诉讼请求，进行和解，提起反诉或者上诉，必须有委托人的特别授权。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侨居在国外的中华人民共和国公民从国外寄交或者托交的授权委托书，必须经中华人民共和国驻该国的使领馆证明；没有使领馆的，由与中华人民共和国有外交关系的第三国驻该国的使领馆证明，再转由中华人民共和国驻该第三国使领馆证明，或者由当地的爱国华侨团体证明。</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第六十条</w:t>
      </w:r>
      <w:r>
        <w:rPr>
          <w:rFonts w:hint="eastAsia" w:ascii="宋体" w:hAnsi="宋体" w:eastAsia="仿宋_GB2312" w:cs="仿宋_GB2312"/>
          <w:kern w:val="0"/>
          <w:szCs w:val="32"/>
        </w:rPr>
        <w:t>　诉讼代理人的权限如果变更或者解除，当事人应当书面告知人民法院，并由人民法院通知对方当事人。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第六十一条</w:t>
      </w:r>
      <w:r>
        <w:rPr>
          <w:rFonts w:hint="eastAsia" w:ascii="宋体" w:hAnsi="宋体" w:eastAsia="仿宋_GB2312" w:cs="仿宋_GB2312"/>
          <w:kern w:val="0"/>
          <w:szCs w:val="32"/>
        </w:rPr>
        <w:t>　代理诉讼的律师和其他诉讼代理人有权调查收集证据，可以查阅本案有关材料。查阅本案有关材料的范围和办法由最高人民法院规定。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第六十二条</w:t>
      </w:r>
      <w:r>
        <w:rPr>
          <w:rFonts w:hint="eastAsia" w:ascii="宋体" w:hAnsi="宋体" w:eastAsia="仿宋_GB2312" w:cs="仿宋_GB2312"/>
          <w:kern w:val="0"/>
          <w:szCs w:val="32"/>
        </w:rPr>
        <w:t>　离婚案件有诉讼代理人的，本人除不能表达意思的以外，仍应出庭；确因特殊情况无法出庭的，必须向人民法院提交书面意见。</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第六章　</w:t>
      </w:r>
      <w:r>
        <w:rPr>
          <w:rFonts w:hint="eastAsia" w:ascii="宋体" w:hAnsi="宋体" w:eastAsia="黑体" w:cs="黑体"/>
          <w:kern w:val="0"/>
          <w:szCs w:val="32"/>
        </w:rPr>
        <w:t>证据</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第六十三条</w:t>
      </w:r>
      <w:r>
        <w:rPr>
          <w:rFonts w:hint="eastAsia" w:ascii="宋体" w:hAnsi="宋体" w:eastAsia="仿宋_GB2312" w:cs="仿宋_GB2312"/>
          <w:kern w:val="0"/>
          <w:szCs w:val="32"/>
        </w:rPr>
        <w:t>　证据包括: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（一）当事人的陈述；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（二）书证；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（三）物证；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（四）视听资料；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（五）电子数据；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（六）证人证言；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（七）鉴定意见；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（八）勘验笔录。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证据必须查证属实，才能作为认定事实的根据。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第六十四条</w:t>
      </w:r>
      <w:r>
        <w:rPr>
          <w:rFonts w:hint="eastAsia" w:ascii="宋体" w:hAnsi="宋体" w:eastAsia="仿宋_GB2312" w:cs="仿宋_GB2312"/>
          <w:kern w:val="0"/>
          <w:szCs w:val="32"/>
        </w:rPr>
        <w:t>　当事人对自己提出的主张，有责任提供证据。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当事人及其诉讼代理人因客观原因不能自行收集的证据，或者人民法院认为审理案件需要的证据，人民法院应当调查收集。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人民法院应当按照法定程序，全面地、客观地审查核实证据。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第六十五条</w:t>
      </w:r>
      <w:r>
        <w:rPr>
          <w:rFonts w:hint="eastAsia" w:ascii="宋体" w:hAnsi="宋体" w:eastAsia="仿宋_GB2312" w:cs="仿宋_GB2312"/>
          <w:kern w:val="0"/>
          <w:szCs w:val="32"/>
        </w:rPr>
        <w:t>　当事人对自己提出的主张应当及时提供证据。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根据当事人的主张和案件审理情况，确定当事人应当提供的证据及其期限。当事人在该期限内提供证据确有困难的，可以向人民法院申请延长期限，人民法院根据当事人的申请适当延长。当事人逾期提供证据的，人民法院应当责令其说明理由；拒不说明理由或者理由不成立的，人民法院根据不同情形可以不予采纳该证据，或者采纳该证据但予以训诫、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第六十六条</w:t>
      </w:r>
      <w:r>
        <w:rPr>
          <w:rFonts w:hint="eastAsia" w:ascii="宋体" w:hAnsi="宋体" w:eastAsia="仿宋_GB2312" w:cs="仿宋_GB2312"/>
          <w:kern w:val="0"/>
          <w:szCs w:val="32"/>
        </w:rPr>
        <w:t>　人民法院收到当事人提交的证据材料，应当出具收据，写明证据名称、页数、份数、原件或者复印件以及收到时间等，并由经办人员签名或者盖章。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第六十七条</w:t>
      </w:r>
      <w:r>
        <w:rPr>
          <w:rFonts w:hint="eastAsia" w:ascii="宋体" w:hAnsi="宋体" w:eastAsia="仿宋_GB2312" w:cs="仿宋_GB2312"/>
          <w:kern w:val="0"/>
          <w:szCs w:val="32"/>
        </w:rPr>
        <w:t>　人民法院有权向有关单位和个人调查取证，有关单位和个人不得拒绝。</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人民法院对有关单位和个人提出的证明文书，应当辨别真伪，审查确定其效力。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第六十八条</w:t>
      </w:r>
      <w:r>
        <w:rPr>
          <w:rFonts w:hint="eastAsia" w:ascii="宋体" w:hAnsi="宋体" w:eastAsia="仿宋_GB2312" w:cs="仿宋_GB2312"/>
          <w:kern w:val="0"/>
          <w:szCs w:val="32"/>
        </w:rPr>
        <w:t>　证据应当在法庭上出示，并由当事人互相质证。对涉及国家秘密、商业秘密和个人隐私的证据应当保密，需要在法庭出示的，不得在公开开庭时出示。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第六十九条</w:t>
      </w:r>
      <w:r>
        <w:rPr>
          <w:rFonts w:hint="eastAsia" w:ascii="宋体" w:hAnsi="宋体" w:eastAsia="仿宋_GB2312" w:cs="仿宋_GB2312"/>
          <w:kern w:val="0"/>
          <w:szCs w:val="32"/>
        </w:rPr>
        <w:t>　经过法定程序公证证明的法律事实和文书，人民法院应当作为认定事实的根据，但有相反证据足以推翻公证证明的除外。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第七十条</w:t>
      </w:r>
      <w:r>
        <w:rPr>
          <w:rFonts w:hint="eastAsia" w:ascii="宋体" w:hAnsi="宋体" w:eastAsia="仿宋_GB2312" w:cs="仿宋_GB2312"/>
          <w:kern w:val="0"/>
          <w:szCs w:val="32"/>
        </w:rPr>
        <w:t>　书证应当提交原件。物证应当提交原物。提交原件或者原物确有困难的，可以提交复制品、照片、副本、节录本。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提交外文书证，必须附有中文译本。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第七十一条</w:t>
      </w:r>
      <w:r>
        <w:rPr>
          <w:rFonts w:hint="eastAsia" w:ascii="宋体" w:hAnsi="宋体" w:eastAsia="仿宋_GB2312" w:cs="仿宋_GB2312"/>
          <w:kern w:val="0"/>
          <w:szCs w:val="32"/>
        </w:rPr>
        <w:t>　人民法院对视听资料，应当辨别真伪，并结合本案的其他证据，审查确定能否作为认定事实的根据。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第七十二条</w:t>
      </w:r>
      <w:r>
        <w:rPr>
          <w:rFonts w:hint="eastAsia" w:ascii="宋体" w:hAnsi="宋体" w:eastAsia="仿宋_GB2312" w:cs="仿宋_GB2312"/>
          <w:kern w:val="0"/>
          <w:szCs w:val="32"/>
        </w:rPr>
        <w:t>　凡是知道案件情况的单位和个人，都有义务出庭作证。有关单位的负责人应当支持证人作证。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不能正确表达意思的人，不能作证。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第七十三条</w:t>
      </w:r>
      <w:r>
        <w:rPr>
          <w:rFonts w:hint="eastAsia" w:ascii="宋体" w:hAnsi="宋体" w:eastAsia="仿宋_GB2312" w:cs="仿宋_GB2312"/>
          <w:kern w:val="0"/>
          <w:szCs w:val="32"/>
        </w:rPr>
        <w:t>　经人民法院通知，证人应当出庭作证。有下列情形之一的，经人民法院许可，可以通过书面证言、视听传输技术或者视听资料等方式作证: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（一）因健康原因不能出庭的；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（二）因路途遥远，交通不便不能出庭的；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（三）因自然灾害等不可抗力不能出庭的；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（四）其他有正当理由不能出庭的。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第七十四条</w:t>
      </w:r>
      <w:r>
        <w:rPr>
          <w:rFonts w:hint="eastAsia" w:ascii="宋体" w:hAnsi="宋体" w:eastAsia="仿宋_GB2312" w:cs="仿宋_GB2312"/>
          <w:kern w:val="0"/>
          <w:szCs w:val="32"/>
        </w:rPr>
        <w:t>　证人因履行出庭作证义务而支出的交通、住宿、就餐等必要费用以及误工损失，由败诉一方当事人负担。当事人申请证人作证的，由该当事人先行垫付；当事人没有申请，人民法院通知证人作证的，由人民法院先行垫付。</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第七十五条</w:t>
      </w:r>
      <w:r>
        <w:rPr>
          <w:rFonts w:hint="eastAsia" w:ascii="宋体" w:hAnsi="宋体" w:eastAsia="仿宋_GB2312" w:cs="仿宋_GB2312"/>
          <w:kern w:val="0"/>
          <w:szCs w:val="32"/>
        </w:rPr>
        <w:t>　人民法院对当事人的陈述，应当结合本案的其他证据，审查确定能否作为认定事实的根据。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当事人拒绝陈述的，不影响人民法院根据证据认定案件事实。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第七十六条</w:t>
      </w:r>
      <w:r>
        <w:rPr>
          <w:rFonts w:hint="eastAsia" w:ascii="宋体" w:hAnsi="宋体" w:eastAsia="仿宋_GB2312" w:cs="仿宋_GB2312"/>
          <w:kern w:val="0"/>
          <w:szCs w:val="32"/>
        </w:rPr>
        <w:t>　当事人可以就查明事实的专门性问题向人民法院申请鉴定。当事人申请鉴定的，由双方当事人协商确定具备资格的鉴定人；协商不成的，由人民法院指定。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当事人未申请鉴定，人民法院对专门性问题认为需要鉴定的，应当委托具备资格的鉴定人进行鉴定。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第七十七条</w:t>
      </w:r>
      <w:r>
        <w:rPr>
          <w:rFonts w:hint="eastAsia" w:ascii="宋体" w:hAnsi="宋体" w:eastAsia="仿宋_GB2312" w:cs="仿宋_GB2312"/>
          <w:kern w:val="0"/>
          <w:szCs w:val="32"/>
        </w:rPr>
        <w:t>　鉴定人有权了解进行鉴定所需要的案件材料，必要时可以询问当事人、证人。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鉴定人应当提出书面鉴定意见，在鉴定书上签名或者盖章。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第七十八条</w:t>
      </w:r>
      <w:r>
        <w:rPr>
          <w:rFonts w:hint="eastAsia" w:ascii="宋体" w:hAnsi="宋体" w:eastAsia="仿宋_GB2312" w:cs="仿宋_GB2312"/>
          <w:kern w:val="0"/>
          <w:szCs w:val="32"/>
        </w:rPr>
        <w:t>　当事人对鉴定意见有异议或者人民法院认为鉴定人有必要出庭的，鉴定人应当出庭作证。经人民法院通知，鉴定人拒不出庭作证的，鉴定意见不得作为认定事实的根据；支付鉴定费用的当事人可以要求返还鉴定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第七十九条</w:t>
      </w:r>
      <w:r>
        <w:rPr>
          <w:rFonts w:hint="eastAsia" w:ascii="宋体" w:hAnsi="宋体" w:eastAsia="仿宋_GB2312" w:cs="仿宋_GB2312"/>
          <w:kern w:val="0"/>
          <w:szCs w:val="32"/>
        </w:rPr>
        <w:t>　当事人可以申请人民法院通知有专门知识的人出庭，就鉴定人作出的鉴定意见或者专业问题提出意见。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第八十条</w:t>
      </w:r>
      <w:r>
        <w:rPr>
          <w:rFonts w:hint="eastAsia" w:ascii="宋体" w:hAnsi="宋体" w:eastAsia="仿宋_GB2312" w:cs="仿宋_GB2312"/>
          <w:kern w:val="0"/>
          <w:szCs w:val="32"/>
        </w:rPr>
        <w:t>　勘验物证或者现场，勘验人必须出示人民法院的证件，并邀请当地基层组织或者当事人所在单位派人参加。当事人或者当事人的成年家属应当到场，拒不到场的，不影响勘验的进行。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有关单位和个人根据人民法院的通知，有义务保护现场，协助勘验工作。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勘验人应当将勘验情况和结果制作笔录，由勘验人、当事人和被邀参加人签名或者盖章。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第八十一条</w:t>
      </w:r>
      <w:r>
        <w:rPr>
          <w:rFonts w:hint="eastAsia" w:ascii="宋体" w:hAnsi="宋体" w:eastAsia="仿宋_GB2312" w:cs="仿宋_GB2312"/>
          <w:kern w:val="0"/>
          <w:szCs w:val="32"/>
        </w:rPr>
        <w:t>　在证据可能灭失或者以后难以取得的情况下，当事人可以在诉讼过程中向人民法院申请保全证据，人民法院也可以主动采取保全措施。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因情况紧急，在证据可能灭失或者以后难以取得的情况下，利害关系人可以在提起诉讼或者申请仲裁前向证据所在地、被申请人住所地或者对案件有管辖权的人民法院申请保全证据。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证据保全的其他程序，参照适用本法第九章保全的有关规定。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第七章　</w:t>
      </w:r>
      <w:r>
        <w:rPr>
          <w:rFonts w:hint="eastAsia" w:ascii="宋体" w:hAnsi="宋体" w:eastAsia="黑体" w:cs="黑体"/>
          <w:kern w:val="0"/>
          <w:szCs w:val="32"/>
        </w:rPr>
        <w:t>期间、送达</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期间</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第八十二条</w:t>
      </w:r>
      <w:r>
        <w:rPr>
          <w:rFonts w:hint="eastAsia" w:ascii="宋体" w:hAnsi="宋体" w:eastAsia="仿宋_GB2312" w:cs="仿宋_GB2312"/>
          <w:kern w:val="0"/>
          <w:szCs w:val="32"/>
        </w:rPr>
        <w:t>　期间包括法定期间和人民法院指定的期间。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期间以时、日、月、年计算。期间开始的时和日，不计算在期间内。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期间届满的最后一日是节假日的，以节假日后的第一日为期间届满的日期。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期间不包括在途时间，诉讼文书在期满前交邮的，不算过期。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第八十三条</w:t>
      </w:r>
      <w:r>
        <w:rPr>
          <w:rFonts w:hint="eastAsia" w:ascii="宋体" w:hAnsi="宋体" w:eastAsia="仿宋_GB2312" w:cs="仿宋_GB2312"/>
          <w:kern w:val="0"/>
          <w:szCs w:val="32"/>
        </w:rPr>
        <w:t>　当事人因不可抗拒的事由或者其他正当理由耽误期限的，在障碍消除后的十日内，可以申请顺延期限，是否准许，由人民法院决定。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送达</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第八十四条</w:t>
      </w:r>
      <w:r>
        <w:rPr>
          <w:rFonts w:hint="eastAsia" w:ascii="宋体" w:hAnsi="宋体" w:eastAsia="仿宋_GB2312" w:cs="仿宋_GB2312"/>
          <w:kern w:val="0"/>
          <w:szCs w:val="32"/>
        </w:rPr>
        <w:t>　送达诉讼文书必须有送达回证，由受送达人在送达回证上记明收到日期，签名或者盖章。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受送达人在送达回证上的签收日期为送达日期。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第八十五条</w:t>
      </w:r>
      <w:r>
        <w:rPr>
          <w:rFonts w:hint="eastAsia" w:ascii="宋体" w:hAnsi="宋体" w:eastAsia="仿宋_GB2312" w:cs="仿宋_GB2312"/>
          <w:kern w:val="0"/>
          <w:szCs w:val="32"/>
        </w:rPr>
        <w:t>　送达诉讼文书，应当直接送交受送达人。受送达人是公民的，本人不在交他的同住成年家属签收；受送达人是法人或者其他组织的，应当由法人的法定代表人、其他组织的主要负责人或者该法人、组织负责收件的人签收；受送达人有诉讼代理人的，可以送交其代理人签收；受送达人已向人民法院指定代收人的，送交代收人签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受送达人的同住成年家属，法人或者其他组织的负责收件的人，诉讼代理人或者代收人在送达回证上签收的日期为送达日期。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第八十六条</w:t>
      </w:r>
      <w:r>
        <w:rPr>
          <w:rFonts w:hint="eastAsia" w:ascii="宋体" w:hAnsi="宋体" w:eastAsia="仿宋_GB2312" w:cs="仿宋_GB2312"/>
          <w:kern w:val="0"/>
          <w:szCs w:val="32"/>
        </w:rPr>
        <w:t>　受送达人或者他的同住成年家属拒绝接收诉讼文书的，送达人可以邀请有关基层组织或者所在单位的代表到场，说明情况，在送达回证上记明拒收事由和日期，由送达人、见证人签名或者盖章，把诉讼文书留在受送达人的住所；也可以把诉讼文书留在受送达人的住所，并采用拍照、录像等方式记录送达过程，即视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第八十七条</w:t>
      </w:r>
      <w:r>
        <w:rPr>
          <w:rFonts w:hint="eastAsia" w:ascii="宋体" w:hAnsi="宋体" w:eastAsia="仿宋_GB2312" w:cs="仿宋_GB2312"/>
          <w:kern w:val="0"/>
          <w:szCs w:val="32"/>
        </w:rPr>
        <w:t>　经受送达人同意，人民法院可以采用传真、电子邮件等能够确认其收悉的方式送达诉讼文书，但判决书、裁定书、调解书除外。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采用前款方式送达的，以传真、电子邮件等到达受送达人特定系统的日期为送达日期。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第八十八条</w:t>
      </w:r>
      <w:r>
        <w:rPr>
          <w:rFonts w:hint="eastAsia" w:ascii="宋体" w:hAnsi="宋体" w:eastAsia="仿宋_GB2312" w:cs="仿宋_GB2312"/>
          <w:kern w:val="0"/>
          <w:szCs w:val="32"/>
        </w:rPr>
        <w:t>　直接送达诉讼文书有困难的，可以委托其他人民法院代为送达，或者邮寄送达。邮寄送达的，以回执上注明的收件日期为送达日期。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第八十九条</w:t>
      </w:r>
      <w:r>
        <w:rPr>
          <w:rFonts w:hint="eastAsia" w:ascii="宋体" w:hAnsi="宋体" w:eastAsia="仿宋_GB2312" w:cs="仿宋_GB2312"/>
          <w:kern w:val="0"/>
          <w:szCs w:val="32"/>
        </w:rPr>
        <w:t>　受送达人是军人的，通过其所在部队团以上单位的政治机关转交。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第九十条</w:t>
      </w:r>
      <w:r>
        <w:rPr>
          <w:rFonts w:hint="eastAsia" w:ascii="宋体" w:hAnsi="宋体" w:eastAsia="仿宋_GB2312" w:cs="仿宋_GB2312"/>
          <w:kern w:val="0"/>
          <w:szCs w:val="32"/>
        </w:rPr>
        <w:t>　受送达人被监禁的，通过其所在监所转交。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受送达人被采取强制性教育措施的，通过其所在强制性教育机构转交。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第九十一条</w:t>
      </w:r>
      <w:r>
        <w:rPr>
          <w:rFonts w:hint="eastAsia" w:ascii="宋体" w:hAnsi="宋体" w:eastAsia="仿宋_GB2312" w:cs="仿宋_GB2312"/>
          <w:kern w:val="0"/>
          <w:szCs w:val="32"/>
        </w:rPr>
        <w:t>　代为转交的机关、单位收到诉讼文书后，必须立即</w:t>
      </w:r>
      <w:r>
        <w:rPr>
          <w:rFonts w:hint="eastAsia" w:ascii="宋体" w:hAnsi="宋体" w:eastAsia="仿宋_GB2312" w:cs="仿宋_GB2312"/>
          <w:kern w:val="0"/>
          <w:szCs w:val="32"/>
          <w:highlight w:val="none"/>
        </w:rPr>
        <w:t>交受</w:t>
      </w:r>
      <w:r>
        <w:rPr>
          <w:rFonts w:hint="eastAsia" w:ascii="宋体" w:hAnsi="宋体" w:eastAsia="仿宋_GB2312" w:cs="仿宋_GB2312"/>
          <w:kern w:val="0"/>
          <w:szCs w:val="32"/>
        </w:rPr>
        <w:t>送达人签收，以在送达回证上的签收日期，为送达日期。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第九十二条</w:t>
      </w:r>
      <w:r>
        <w:rPr>
          <w:rFonts w:hint="eastAsia" w:ascii="宋体" w:hAnsi="宋体" w:eastAsia="仿宋_GB2312" w:cs="仿宋_GB2312"/>
          <w:kern w:val="0"/>
          <w:szCs w:val="32"/>
        </w:rPr>
        <w:t>　受送达人下落不明，或者用本节规定的其他方式无法送达的，公告送达。自发出公告之日起，经过六十日，即视为送达。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公告送达，应当在案卷中记明原因和经过。</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第八章　</w:t>
      </w:r>
      <w:r>
        <w:rPr>
          <w:rFonts w:hint="eastAsia" w:ascii="宋体" w:hAnsi="宋体" w:eastAsia="黑体" w:cs="黑体"/>
          <w:kern w:val="0"/>
          <w:szCs w:val="32"/>
        </w:rPr>
        <w:t>调解</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第九十三条</w:t>
      </w:r>
      <w:r>
        <w:rPr>
          <w:rFonts w:hint="eastAsia" w:ascii="宋体" w:hAnsi="宋体" w:eastAsia="仿宋_GB2312" w:cs="仿宋_GB2312"/>
          <w:kern w:val="0"/>
          <w:szCs w:val="32"/>
        </w:rPr>
        <w:t>　人民法院审理民事案件，根据当事人自愿的原则，在事实清楚的基础上，分清是非，进行调解。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第九十四条</w:t>
      </w:r>
      <w:r>
        <w:rPr>
          <w:rFonts w:hint="eastAsia" w:ascii="宋体" w:hAnsi="宋体" w:eastAsia="仿宋_GB2312" w:cs="仿宋_GB2312"/>
          <w:kern w:val="0"/>
          <w:szCs w:val="32"/>
        </w:rPr>
        <w:t>　人民法院进行调解，可以由审判员一人主持，也可以由合议庭主持，并尽可能就地进行。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人民法院进行调解，可以用简便方式通知当事人、证人到庭。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第九十五条</w:t>
      </w:r>
      <w:r>
        <w:rPr>
          <w:rFonts w:hint="eastAsia" w:ascii="宋体" w:hAnsi="宋体" w:eastAsia="仿宋_GB2312" w:cs="仿宋_GB2312"/>
          <w:kern w:val="0"/>
          <w:szCs w:val="32"/>
        </w:rPr>
        <w:t>　人民法院进行调解，可以邀请有关单位和个人协助。被邀请的单位和个人，应当协助人民法院进行调解。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第九十六条</w:t>
      </w:r>
      <w:r>
        <w:rPr>
          <w:rFonts w:hint="eastAsia" w:ascii="宋体" w:hAnsi="宋体" w:eastAsia="仿宋_GB2312" w:cs="仿宋_GB2312"/>
          <w:kern w:val="0"/>
          <w:szCs w:val="32"/>
        </w:rPr>
        <w:t>　调解达成协议，必须双方自愿，不得强迫。调解协议的内容不得违反法律规定。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第九十七条</w:t>
      </w:r>
      <w:r>
        <w:rPr>
          <w:rFonts w:hint="eastAsia" w:ascii="宋体" w:hAnsi="宋体" w:eastAsia="仿宋_GB2312" w:cs="仿宋_GB2312"/>
          <w:kern w:val="0"/>
          <w:szCs w:val="32"/>
        </w:rPr>
        <w:t>　调解达成协议，人民法院应当制作调解书。调解书应当写明诉讼请求、案件的事实和调解结果。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调解书由审判人员、书记员署名，加盖人民法院印章，送达双方当事人。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调解书经双方当事人签收后，即具有法律效力。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第九十八条</w:t>
      </w:r>
      <w:r>
        <w:rPr>
          <w:rFonts w:hint="eastAsia" w:ascii="宋体" w:hAnsi="宋体" w:eastAsia="仿宋_GB2312" w:cs="仿宋_GB2312"/>
          <w:kern w:val="0"/>
          <w:szCs w:val="32"/>
        </w:rPr>
        <w:t>　下列案件调解达成协议，人民法院可以不制作调解书: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（一）调解和好的离婚案件；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（二）调解维持收养关系的案件；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（三）能够即时履行的案件；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（四）其他不需要制作调解书的案件。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对不需要制作调解书的协议，应当记入笔录，由双方当事人、审判人员、书记员签名或者盖章后，即具有法律效力。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第九十九条</w:t>
      </w:r>
      <w:r>
        <w:rPr>
          <w:rFonts w:hint="eastAsia" w:ascii="宋体" w:hAnsi="宋体" w:eastAsia="仿宋_GB2312" w:cs="仿宋_GB2312"/>
          <w:kern w:val="0"/>
          <w:szCs w:val="32"/>
        </w:rPr>
        <w:t>　调解未达成协议或者调解书送达前一方反悔的，人民法院应当及时判决。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第九章　</w:t>
      </w:r>
      <w:r>
        <w:rPr>
          <w:rFonts w:hint="eastAsia" w:ascii="宋体" w:hAnsi="宋体" w:eastAsia="黑体" w:cs="黑体"/>
          <w:kern w:val="0"/>
          <w:szCs w:val="32"/>
        </w:rPr>
        <w:t>保全和先予执行</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第一百条</w:t>
      </w:r>
      <w:r>
        <w:rPr>
          <w:rFonts w:hint="eastAsia" w:ascii="宋体" w:hAnsi="宋体" w:eastAsia="仿宋_GB2312" w:cs="仿宋_GB2312"/>
          <w:kern w:val="0"/>
          <w:szCs w:val="32"/>
        </w:rPr>
        <w:t>　人民法院对于可能因当事人一方的行为或者其他原因，使判决难以执行或者造成当事人其他损害的案件，根据对方当事人的申请，可以裁定对其财产进行保全、责令其作出一定行为或者禁止其作出一定行为；当事人没有提出申请的，人民法院在必要时也可以裁定采取保全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人民法院采取保全措施，可以责令申请人提供担保，申请人不提供担保的，裁定驳回申请。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人民法院接受申请后，对情况紧急的，必须在四十八小时内作出裁定；裁定采取保全措施的，应当立即开始执行。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第一百零一条</w:t>
      </w:r>
      <w:r>
        <w:rPr>
          <w:rFonts w:hint="eastAsia" w:ascii="宋体" w:hAnsi="宋体" w:eastAsia="仿宋_GB2312" w:cs="仿宋_GB2312"/>
          <w:kern w:val="0"/>
          <w:szCs w:val="32"/>
        </w:rPr>
        <w:t>　利害关系人因情况紧急，不立即申请保全将会使其合法权益受到难以弥补的损害的，可以在提起诉讼或者申请仲裁前向被保全财产所在地、被申请人住所地或者对案件有管辖权的人民法院申请采取保全措施。申请人应当提供担保，不提供担保的，裁定驳回申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人民法院接受申请后，必须在四十八小时内作出裁定；裁定采取保全措施的，应当立即开始执行。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申请人在人民法院采取保全措施后三十日内不依法提起诉讼或者申请仲裁的，人民法院应当解除保全。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第一百零二条</w:t>
      </w:r>
      <w:r>
        <w:rPr>
          <w:rFonts w:hint="eastAsia" w:ascii="宋体" w:hAnsi="宋体" w:eastAsia="仿宋_GB2312" w:cs="仿宋_GB2312"/>
          <w:kern w:val="0"/>
          <w:szCs w:val="32"/>
        </w:rPr>
        <w:t>　保全限于请求的范围，或者与本案有关的财物。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第一百零三条</w:t>
      </w:r>
      <w:r>
        <w:rPr>
          <w:rFonts w:hint="eastAsia" w:ascii="宋体" w:hAnsi="宋体" w:eastAsia="仿宋_GB2312" w:cs="仿宋_GB2312"/>
          <w:kern w:val="0"/>
          <w:szCs w:val="32"/>
        </w:rPr>
        <w:t>　财产保全采取查封、扣押、冻结或者法律规定的其他方法。人民法院保全财产后，应当立即通知被保全财产的人。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财产已被查封、冻结的，不得重复查封、冻结。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第一百零四条</w:t>
      </w:r>
      <w:r>
        <w:rPr>
          <w:rFonts w:hint="eastAsia" w:ascii="宋体" w:hAnsi="宋体" w:eastAsia="仿宋_GB2312" w:cs="仿宋_GB2312"/>
          <w:kern w:val="0"/>
          <w:szCs w:val="32"/>
        </w:rPr>
        <w:t>　财产纠纷案件，被申请人提供担保的，人民法院应当裁定解除保全。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第一百零五条</w:t>
      </w:r>
      <w:r>
        <w:rPr>
          <w:rFonts w:hint="eastAsia" w:ascii="宋体" w:hAnsi="宋体" w:eastAsia="仿宋_GB2312" w:cs="仿宋_GB2312"/>
          <w:kern w:val="0"/>
          <w:szCs w:val="32"/>
        </w:rPr>
        <w:t>　申请有错误的，申请人应当赔偿被申请人因保全所遭受的损失。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第一百零六条</w:t>
      </w:r>
      <w:r>
        <w:rPr>
          <w:rFonts w:hint="eastAsia" w:ascii="宋体" w:hAnsi="宋体" w:eastAsia="仿宋_GB2312" w:cs="仿宋_GB2312"/>
          <w:kern w:val="0"/>
          <w:szCs w:val="32"/>
        </w:rPr>
        <w:t>　人民法院对下列案件，根据当事人的申请，可以裁定先予执行: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（一）追索赡养费、扶养费、抚育费、抚恤金、医疗费用的；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（二）追索劳动报酬的；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（三）因情况紧急需要先予执行的。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第一百零七条</w:t>
      </w:r>
      <w:r>
        <w:rPr>
          <w:rFonts w:hint="eastAsia" w:ascii="宋体" w:hAnsi="宋体" w:eastAsia="仿宋_GB2312" w:cs="仿宋_GB2312"/>
          <w:kern w:val="0"/>
          <w:szCs w:val="32"/>
        </w:rPr>
        <w:t>　人民法院裁定先予执行的，应当符合下列条件: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（一）当事人之间权利义务关系明确，不先予执行将严重影响申请人的生活或者生产经营的；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（二）被申请人有履行能力。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人民法院可以责令申请人提供担保，申请人不提供担保的，驳回申请。申请人败诉的，应当赔偿被申请人因先予执行遭受的财产损失。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第一百零八条</w:t>
      </w:r>
      <w:r>
        <w:rPr>
          <w:rFonts w:hint="eastAsia" w:ascii="宋体" w:hAnsi="宋体" w:eastAsia="仿宋_GB2312" w:cs="仿宋_GB2312"/>
          <w:kern w:val="0"/>
          <w:szCs w:val="32"/>
        </w:rPr>
        <w:t>　当事人对保全或者先予执行的裁定不服的，可以申请复议一次。复议期间不停止裁定的执行。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第十章　</w:t>
      </w:r>
      <w:r>
        <w:rPr>
          <w:rFonts w:hint="eastAsia" w:ascii="宋体" w:hAnsi="宋体" w:eastAsia="黑体" w:cs="黑体"/>
          <w:kern w:val="0"/>
          <w:szCs w:val="32"/>
        </w:rPr>
        <w:t>对妨害民事诉讼的强制措施</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第一百零九条</w:t>
      </w:r>
      <w:r>
        <w:rPr>
          <w:rFonts w:hint="eastAsia" w:ascii="宋体" w:hAnsi="宋体" w:eastAsia="仿宋_GB2312" w:cs="仿宋_GB2312"/>
          <w:kern w:val="0"/>
          <w:szCs w:val="32"/>
        </w:rPr>
        <w:t>　人民法院对必须到庭的被告，经两次传票传唤，无正当理由拒不到庭的，可以拘传。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第一百一十条</w:t>
      </w:r>
      <w:r>
        <w:rPr>
          <w:rFonts w:hint="eastAsia" w:ascii="宋体" w:hAnsi="宋体" w:eastAsia="仿宋_GB2312" w:cs="仿宋_GB2312"/>
          <w:kern w:val="0"/>
          <w:szCs w:val="32"/>
        </w:rPr>
        <w:t>　诉讼参与人和其他人应当遵守法庭规则。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人民法院对违反法庭规则的人，可以予以训诫，责令退出法庭或者予以罚款、拘留。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人民法院对哄闹、冲击法庭，侮辱、诽谤、威胁、殴打审判人员，严重扰乱法庭秩序的人，依法追究刑事责任；情节较轻的，予以罚款、拘留。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第一百一十一条</w:t>
      </w:r>
      <w:r>
        <w:rPr>
          <w:rFonts w:hint="eastAsia" w:ascii="宋体" w:hAnsi="宋体" w:eastAsia="仿宋_GB2312" w:cs="仿宋_GB2312"/>
          <w:kern w:val="0"/>
          <w:szCs w:val="32"/>
        </w:rPr>
        <w:t>　诉讼参与人或者其他人有下列行为之一的，人民法院可以根据情节轻重予以罚款、拘留；构成犯罪的，依法追究刑事责任: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（一）伪造、毁灭重要证据，妨碍人民法院审理案件的；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（二）以暴力、威胁、贿买方法阻止证人作证或者指使、贿买、胁迫他人作伪证的；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（三）隐藏、转移、变卖、毁损已被查封、扣押的财产，或者已被清点并责令其保管的财产，转移已被冻结的财产的；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（四）对司法工作人员、诉讼参加人、证人、翻译人员、鉴定人、勘验人、协助执行的人，进行侮辱、诽谤、诬陷、殴打或者打击报复的；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（五）以暴力、威胁或者其他方法阻碍司法工作人员执行职务的；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（六）拒不履行人民法院已经发生法律效力的判决、裁定的。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人民法院对有前款规定的行为之一的单位，可以对其主要负责人或者直接责任人员予以罚款、拘留；构成犯罪的，依法追究刑事责任。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　第一百一十二条</w:t>
      </w:r>
      <w:r>
        <w:rPr>
          <w:rFonts w:hint="eastAsia" w:ascii="宋体" w:hAnsi="宋体" w:eastAsia="仿宋_GB2312" w:cs="仿宋_GB2312"/>
          <w:kern w:val="0"/>
          <w:szCs w:val="32"/>
        </w:rPr>
        <w:t>　当事人之间恶意串通，企图通过诉讼、调解等方式侵害他人合法权益的，人民法院应当驳回其请求，并根据情节轻重予以罚款、拘留；构成犯罪的，依法追究刑事责任。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第一百一十三条</w:t>
      </w:r>
      <w:r>
        <w:rPr>
          <w:rFonts w:hint="eastAsia" w:ascii="宋体" w:hAnsi="宋体" w:eastAsia="仿宋_GB2312" w:cs="仿宋_GB2312"/>
          <w:kern w:val="0"/>
          <w:szCs w:val="32"/>
        </w:rPr>
        <w:t>　被执行人与他人恶意串通，通过诉讼、仲裁、调解等方式逃避履行法律文书确定的义务的，人民法院应当根据情节轻重予以罚款、拘留；构成犯罪的，依法追究刑事责任。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第一百一十四条</w:t>
      </w:r>
      <w:r>
        <w:rPr>
          <w:rFonts w:hint="eastAsia" w:ascii="宋体" w:hAnsi="宋体" w:eastAsia="仿宋_GB2312" w:cs="仿宋_GB2312"/>
          <w:kern w:val="0"/>
          <w:szCs w:val="32"/>
        </w:rPr>
        <w:t>　有义务协助调查、执行的单位有下列行为之一的，人民法院除责令其履行协助义务外，并可以予以罚款: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（一）有关单位拒绝或者妨碍人民法院调查取证的；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（二）有关单位接到人民法院协助执行通知书后，拒不协助查询、扣押、冻结、划拨、变价财产的；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（三）有关单位接到人民法院协助执行通知书后，拒不协助扣留被执行人的收入、办理有关财产权证照转移手续、转交有关票证、证照或者其他财产的；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（四）其他拒绝协助执行的。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人民法院对有前款规定的行为之一的单位，可以对其主要负责人或者直接责任人员予以罚款；对仍不履行协助义务的，可以予以拘留；并可以向监察机关或者有关机关提出予以纪律处分的司法建议。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第一百一十五条</w:t>
      </w:r>
      <w:r>
        <w:rPr>
          <w:rFonts w:hint="eastAsia" w:ascii="宋体" w:hAnsi="宋体" w:eastAsia="仿宋_GB2312" w:cs="仿宋_GB2312"/>
          <w:kern w:val="0"/>
          <w:szCs w:val="32"/>
        </w:rPr>
        <w:t>　对个人的罚款金额，为人民币十万元以下。对单位的罚款金额，为人民币五万元以上一百万元以下。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拘留的期限，为十五日以下。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被拘留的人，由人民法院交公安机关看管。在拘留期间，被拘留人承认并改正错误的，人民法院可以决定提前解除拘留。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第一百一十六条</w:t>
      </w:r>
      <w:r>
        <w:rPr>
          <w:rFonts w:hint="eastAsia" w:ascii="宋体" w:hAnsi="宋体" w:eastAsia="仿宋_GB2312" w:cs="仿宋_GB2312"/>
          <w:kern w:val="0"/>
          <w:szCs w:val="32"/>
        </w:rPr>
        <w:t>　拘传、罚款、拘留必须经院长批准。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拘传应当发拘传票。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罚款、拘留应当用决定书。对决定不服的，可以向上一级人民法院申请复议一次。复议期间不停止执行。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第一百一十七条</w:t>
      </w:r>
      <w:r>
        <w:rPr>
          <w:rFonts w:hint="eastAsia" w:ascii="宋体" w:hAnsi="宋体" w:eastAsia="仿宋_GB2312" w:cs="仿宋_GB2312"/>
          <w:kern w:val="0"/>
          <w:szCs w:val="32"/>
        </w:rPr>
        <w:t>　采取对妨害民事诉讼的强制措施必须由人民法院决定。任何单位和个人采取非法拘禁他人或者非法私自扣押他人财产追索债务的，应当依法追究刑事责任，或者予以拘留、罚款。</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第十一章　</w:t>
      </w:r>
      <w:r>
        <w:rPr>
          <w:rFonts w:hint="eastAsia" w:ascii="宋体" w:hAnsi="宋体" w:eastAsia="黑体" w:cs="黑体"/>
          <w:kern w:val="0"/>
          <w:szCs w:val="32"/>
        </w:rPr>
        <w:t>诉讼费用</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第一百一十八条</w:t>
      </w:r>
      <w:r>
        <w:rPr>
          <w:rFonts w:hint="eastAsia" w:ascii="宋体" w:hAnsi="宋体" w:eastAsia="仿宋_GB2312" w:cs="仿宋_GB2312"/>
          <w:kern w:val="0"/>
          <w:szCs w:val="32"/>
        </w:rPr>
        <w:t>　当事人进行民事诉讼，应当按照规定交纳案件受理费。财产案件除交纳案件受理费外，并按照规定</w:t>
      </w:r>
      <w:r>
        <w:rPr>
          <w:rFonts w:hint="eastAsia" w:ascii="宋体" w:hAnsi="宋体" w:eastAsia="仿宋_GB2312" w:cs="仿宋_GB2312"/>
          <w:kern w:val="0"/>
          <w:szCs w:val="32"/>
          <w:highlight w:val="none"/>
        </w:rPr>
        <w:t>交</w:t>
      </w:r>
      <w:r>
        <w:rPr>
          <w:rFonts w:hint="eastAsia" w:ascii="宋体" w:hAnsi="宋体" w:eastAsia="仿宋_GB2312" w:cs="仿宋_GB2312"/>
          <w:kern w:val="0"/>
          <w:szCs w:val="32"/>
        </w:rPr>
        <w:t>纳其他诉讼费用。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当事人交纳诉讼费用确有困难的，可以按照规定向人民法院申请缓交、减交或者免交。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收取诉讼费用的办法另行制定。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第二编　审判程序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第十二章　</w:t>
      </w:r>
      <w:r>
        <w:rPr>
          <w:rFonts w:hint="eastAsia" w:ascii="宋体" w:hAnsi="宋体" w:eastAsia="黑体" w:cs="黑体"/>
          <w:kern w:val="0"/>
          <w:szCs w:val="32"/>
        </w:rPr>
        <w:t>第一审普通程序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起诉和受理</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第一百一十九条</w:t>
      </w:r>
      <w:r>
        <w:rPr>
          <w:rFonts w:hint="eastAsia" w:ascii="宋体" w:hAnsi="宋体" w:eastAsia="仿宋_GB2312" w:cs="仿宋_GB2312"/>
          <w:kern w:val="0"/>
          <w:szCs w:val="32"/>
        </w:rPr>
        <w:t>　起诉必须符合下列条件: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（一）原告是与本案有直接利害关系的公民、法人和其他组织；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（二）有明确的被告；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（三）有具体的诉讼请求和事实、理由；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（四）属于人民法院受理民事诉讼的范围和受诉人民法院管辖。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第一百二十条</w:t>
      </w:r>
      <w:r>
        <w:rPr>
          <w:rFonts w:hint="eastAsia" w:ascii="宋体" w:hAnsi="宋体" w:eastAsia="仿宋_GB2312" w:cs="仿宋_GB2312"/>
          <w:kern w:val="0"/>
          <w:szCs w:val="32"/>
        </w:rPr>
        <w:t>　起诉应当向人民法院递交起诉状，并按照被告人数提出副本。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书写起诉状确有困难的，可以口头起诉，由人民法院记入笔录，并告知对方当事人。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第一百二十一条</w:t>
      </w:r>
      <w:r>
        <w:rPr>
          <w:rFonts w:hint="eastAsia" w:ascii="宋体" w:hAnsi="宋体" w:eastAsia="仿宋_GB2312" w:cs="仿宋_GB2312"/>
          <w:kern w:val="0"/>
          <w:szCs w:val="32"/>
        </w:rPr>
        <w:t>　起诉状应当记明下列事项: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（一）原告的姓名、性别、年龄、民族、职业、工作单位、住所、联系方式，法人或者其他组织的名称、住所和法定代表人或者主要负责人的姓名、职务、联系方式；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（二）被告的姓名、性别、工作单位、住所等信息，法人或者其他组织的名称、住所等信息；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（三）诉讼请求和所根据的事实与理由；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（四）证据和证据来源，证人姓名和住所。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第一百二十二条</w:t>
      </w:r>
      <w:r>
        <w:rPr>
          <w:rFonts w:hint="eastAsia" w:ascii="宋体" w:hAnsi="宋体" w:eastAsia="仿宋_GB2312" w:cs="仿宋_GB2312"/>
          <w:kern w:val="0"/>
          <w:szCs w:val="32"/>
        </w:rPr>
        <w:t>　当事人起诉到人民法院的民事纠纷，适宜调解的，先行调解，但当事人拒绝调解的除外。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第一百二十三条</w:t>
      </w:r>
      <w:r>
        <w:rPr>
          <w:rFonts w:hint="eastAsia" w:ascii="宋体" w:hAnsi="宋体" w:eastAsia="仿宋_GB2312" w:cs="仿宋_GB2312"/>
          <w:kern w:val="0"/>
          <w:szCs w:val="32"/>
        </w:rPr>
        <w:t>　人民法院应当保障当事人依照法律规定享有的起诉权利。对符合本法第一百一十九条的起诉，必须受理。符合起诉条件的，应当在七日内立案，并通知当事人；不符合起诉条件的，应当在七日内作出裁定书，不予受理；原告对裁定不服的，可以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第一百二十四条</w:t>
      </w:r>
      <w:r>
        <w:rPr>
          <w:rFonts w:hint="eastAsia" w:ascii="宋体" w:hAnsi="宋体" w:eastAsia="仿宋_GB2312" w:cs="仿宋_GB2312"/>
          <w:kern w:val="0"/>
          <w:szCs w:val="32"/>
        </w:rPr>
        <w:t>　人民法院对下列起诉，分别情形，予以处理: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（一）依照行政诉讼法的规定，属于行政诉讼受案范围的，告知原告提起行政诉讼；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（二）依照法律规定，双方当事人达成书面仲裁协议申请仲裁、不得向人民法院起诉的，告知原告向仲裁机构申请仲裁；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（三）依照法律规定，应当由其他机关处理的争议，告知原告向有关机关申请解决；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（四）对不属于本院管辖的案件，告知原告向有管辖权的人民法院起诉；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（五）对判决、裁定、调解书已经发生法律效力的案件，当事人又起诉的，告知原告申请再审，但人民法院准许撤诉的裁定除外；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（六）依照法律规定，在一定期限内不得起诉的案件，在不得起诉的期限内起诉的，不予受理；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（七）判决不准离婚和调解和好的离婚案件，判决、调解维持收养关系的案件，没有新情况、新理由，原告在六个月内又起诉的，不予受理。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审理前的准备</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第一百二十五条</w:t>
      </w:r>
      <w:r>
        <w:rPr>
          <w:rFonts w:hint="eastAsia" w:ascii="宋体" w:hAnsi="宋体" w:eastAsia="仿宋_GB2312" w:cs="仿宋_GB2312"/>
          <w:kern w:val="0"/>
          <w:szCs w:val="32"/>
        </w:rPr>
        <w:t>　人民法院应当在立案之日起五日内将起诉状副本发送被告，被告应当在收到之日起十五日内提出答辩状。答辩状应当记明被告的姓名、性别、年龄、民族、职业、工作单位、住所、联系方式；法人或者其他组织的名称、住所和法定代表人或者主要负责人的姓名、职务、联系方式。人民法院应当在收到答辩状之日起五日内将答辩状副本发送原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被告不提出答辩状的，不影响人民法院审理。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第一百二十六条</w:t>
      </w:r>
      <w:r>
        <w:rPr>
          <w:rFonts w:hint="eastAsia" w:ascii="宋体" w:hAnsi="宋体" w:eastAsia="仿宋_GB2312" w:cs="仿宋_GB2312"/>
          <w:kern w:val="0"/>
          <w:szCs w:val="32"/>
        </w:rPr>
        <w:t>　人民法院对决定受理的案件，应当在受理案件通知书和应诉通知书中向当事人告知有关的诉讼权利义务，或者口头告知。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第一百二十七条</w:t>
      </w:r>
      <w:r>
        <w:rPr>
          <w:rFonts w:hint="eastAsia" w:ascii="宋体" w:hAnsi="宋体" w:eastAsia="仿宋_GB2312" w:cs="仿宋_GB2312"/>
          <w:kern w:val="0"/>
          <w:szCs w:val="32"/>
        </w:rPr>
        <w:t>　人民法院受理案件后，当事人对管辖权有异议的，应当在提交答辩状期间提出。人民法院对当事人提出的异议，应当审查。异议成立的，裁定将案件移送有管辖权的人民法院；异议不成立的，裁定驳回。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当事人未提出管辖异议，并应诉答辩的，视为受诉人民法院有管辖权，但违反级别管辖和专属管辖规定的除外。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第一百二十八条</w:t>
      </w:r>
      <w:r>
        <w:rPr>
          <w:rFonts w:hint="eastAsia" w:ascii="宋体" w:hAnsi="宋体" w:eastAsia="仿宋_GB2312" w:cs="仿宋_GB2312"/>
          <w:kern w:val="0"/>
          <w:szCs w:val="32"/>
        </w:rPr>
        <w:t>　合议庭组成人员确定后，应当在三日内告知当事人。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第一百二十九条</w:t>
      </w:r>
      <w:r>
        <w:rPr>
          <w:rFonts w:hint="eastAsia" w:ascii="宋体" w:hAnsi="宋体" w:eastAsia="仿宋_GB2312" w:cs="仿宋_GB2312"/>
          <w:kern w:val="0"/>
          <w:szCs w:val="32"/>
        </w:rPr>
        <w:t>　审判人员必须认真审核诉讼材料，调查收集必要的证据。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第一百三十条</w:t>
      </w:r>
      <w:r>
        <w:rPr>
          <w:rFonts w:hint="eastAsia" w:ascii="宋体" w:hAnsi="宋体" w:eastAsia="仿宋_GB2312" w:cs="仿宋_GB2312"/>
          <w:kern w:val="0"/>
          <w:szCs w:val="32"/>
        </w:rPr>
        <w:t>　人民法院派出人员进行调查时，应当向被调查人出示证件。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调查笔录经被调查人校阅后，由被调查人、调查人签名或者盖章。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第一百三十一条</w:t>
      </w:r>
      <w:r>
        <w:rPr>
          <w:rFonts w:hint="eastAsia" w:ascii="宋体" w:hAnsi="宋体" w:eastAsia="仿宋_GB2312" w:cs="仿宋_GB2312"/>
          <w:kern w:val="0"/>
          <w:szCs w:val="32"/>
        </w:rPr>
        <w:t>　人民法院在必要时可以委托外地人民法院调查。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委托调查，必须提出明确的项目和要求。受委托人民法院可以主动补充调查。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受委托人民法院收到委托书后，应当在三十日内完成调查。因故不能完成的，应当在上述期限内函告委托人民法院。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第一百三十二条</w:t>
      </w:r>
      <w:r>
        <w:rPr>
          <w:rFonts w:hint="eastAsia" w:ascii="宋体" w:hAnsi="宋体" w:eastAsia="仿宋_GB2312" w:cs="仿宋_GB2312"/>
          <w:kern w:val="0"/>
          <w:szCs w:val="32"/>
        </w:rPr>
        <w:t>　必须共同进行诉讼的当事人没有参加诉讼的，人民法院应当通知其参加诉讼。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第一百三十三条</w:t>
      </w:r>
      <w:r>
        <w:rPr>
          <w:rFonts w:hint="eastAsia" w:ascii="宋体" w:hAnsi="宋体" w:eastAsia="仿宋_GB2312" w:cs="仿宋_GB2312"/>
          <w:kern w:val="0"/>
          <w:szCs w:val="32"/>
        </w:rPr>
        <w:t>　人民法院对受理的案件，分别情形，予以处理: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（一）当事人没有争议，符合督促程序规定条件的，可以转入督促程序；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（二）开庭前可以调解的，采取调解方式及时解决纠纷；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（三）根据案件情况，确定适用简易程序或者普通程序；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（四）需要开庭审理的，通过要求当事人交换证据等方式，明确争议焦点。</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第三节　开庭审理</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第一百三十四条</w:t>
      </w:r>
      <w:r>
        <w:rPr>
          <w:rFonts w:hint="eastAsia" w:ascii="宋体" w:hAnsi="宋体" w:eastAsia="仿宋_GB2312" w:cs="仿宋_GB2312"/>
          <w:kern w:val="0"/>
          <w:szCs w:val="32"/>
        </w:rPr>
        <w:t>　人民法院审理民事案件，除涉及国家秘密、个人隐私或者法律另有规定的以外，应当公开进行。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离婚案件，涉及商业秘密的案件，当事人申请不公开审理的，可以不公开审理。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第一百三十五条</w:t>
      </w:r>
      <w:r>
        <w:rPr>
          <w:rFonts w:hint="eastAsia" w:ascii="宋体" w:hAnsi="宋体" w:eastAsia="仿宋_GB2312" w:cs="仿宋_GB2312"/>
          <w:kern w:val="0"/>
          <w:szCs w:val="32"/>
        </w:rPr>
        <w:t>　人民法院审理民事案件，根据需要进行巡回审理，就地办案。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第一百三十六条</w:t>
      </w:r>
      <w:r>
        <w:rPr>
          <w:rFonts w:hint="eastAsia" w:ascii="宋体" w:hAnsi="宋体" w:eastAsia="仿宋_GB2312" w:cs="仿宋_GB2312"/>
          <w:kern w:val="0"/>
          <w:szCs w:val="32"/>
        </w:rPr>
        <w:t>　人民法院审理民事案件，应当在开庭三日前通知当事人和其他诉讼参与人。公开审理的，应当公告当事人姓名、案由和开庭的时间、地点。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第一百三十七条</w:t>
      </w:r>
      <w:r>
        <w:rPr>
          <w:rFonts w:hint="eastAsia" w:ascii="宋体" w:hAnsi="宋体" w:eastAsia="仿宋_GB2312" w:cs="仿宋_GB2312"/>
          <w:kern w:val="0"/>
          <w:szCs w:val="32"/>
        </w:rPr>
        <w:t>　开庭审理前，书记员应当查明当事人和其他诉讼参与人是否到庭，宣布法庭纪律。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开庭审理时，由审判长核对当事人，宣布案由，宣布审判人员、书记员名单，告知当事人有关的诉讼权利义务，询问当事人是否提出回避申请。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第一百三十八条</w:t>
      </w:r>
      <w:r>
        <w:rPr>
          <w:rFonts w:hint="eastAsia" w:ascii="宋体" w:hAnsi="宋体" w:eastAsia="仿宋_GB2312" w:cs="仿宋_GB2312"/>
          <w:kern w:val="0"/>
          <w:szCs w:val="32"/>
        </w:rPr>
        <w:t>　法庭调查按照下列顺序进行: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（一）当事人陈述；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（二）告知证人的权利义务，证人作证，宣读未到庭的证人证言；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（三）出示书证、物证、视听资料和电子数据；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（四）宣读鉴定意见；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（五）宣读勘验笔录。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第一百三十九条</w:t>
      </w:r>
      <w:r>
        <w:rPr>
          <w:rFonts w:hint="eastAsia" w:ascii="宋体" w:hAnsi="宋体" w:eastAsia="仿宋_GB2312" w:cs="仿宋_GB2312"/>
          <w:kern w:val="0"/>
          <w:szCs w:val="32"/>
        </w:rPr>
        <w:t>　当事人在法庭上可以提出新的证据。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当事人经法庭许可，可以向证人、鉴定人、勘验人发问。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当事人要求重新进行调查、鉴定或者勘验的，是否准许，由人民法院决定。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第一百四十条</w:t>
      </w:r>
      <w:r>
        <w:rPr>
          <w:rFonts w:hint="eastAsia" w:ascii="宋体" w:hAnsi="宋体" w:eastAsia="仿宋_GB2312" w:cs="仿宋_GB2312"/>
          <w:kern w:val="0"/>
          <w:szCs w:val="32"/>
        </w:rPr>
        <w:t>　原告增加诉讼请求，被告提出反诉，第三人提出与本案有关的诉讼请求，可以合并审理。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第一百四十一条</w:t>
      </w:r>
      <w:r>
        <w:rPr>
          <w:rFonts w:hint="eastAsia" w:ascii="宋体" w:hAnsi="宋体" w:eastAsia="仿宋_GB2312" w:cs="仿宋_GB2312"/>
          <w:kern w:val="0"/>
          <w:szCs w:val="32"/>
        </w:rPr>
        <w:t>　法庭辩论按照下列顺序进行: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（一）原告及其诉讼代理人发言；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（二）被告及其诉讼代理人答辩；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（三）第三人及其诉讼代理人发言或者答辩；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（四）互相辩论。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法庭辩论终结，由审判长按照原告、被告、第三人的先后顺序征询各方最后意见。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第一百四十二条</w:t>
      </w:r>
      <w:r>
        <w:rPr>
          <w:rFonts w:hint="eastAsia" w:ascii="宋体" w:hAnsi="宋体" w:eastAsia="仿宋_GB2312" w:cs="仿宋_GB2312"/>
          <w:kern w:val="0"/>
          <w:szCs w:val="32"/>
        </w:rPr>
        <w:t>　法庭辩论终结，应当依法作出判决。判决前能够调解的，还可以进行调解，调解不成的，应当及时判决。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第一百四十三条</w:t>
      </w:r>
      <w:r>
        <w:rPr>
          <w:rFonts w:hint="eastAsia" w:ascii="宋体" w:hAnsi="宋体" w:eastAsia="仿宋_GB2312" w:cs="仿宋_GB2312"/>
          <w:kern w:val="0"/>
          <w:szCs w:val="32"/>
        </w:rPr>
        <w:t>　原告经传票传唤，无正当理由拒不到庭的，或者未经法庭许可中途退庭的，可以按撤诉处理；被告反诉的，可以缺席判决。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第一百四十四条</w:t>
      </w:r>
      <w:r>
        <w:rPr>
          <w:rFonts w:hint="eastAsia" w:ascii="宋体" w:hAnsi="宋体" w:eastAsia="仿宋_GB2312" w:cs="仿宋_GB2312"/>
          <w:kern w:val="0"/>
          <w:szCs w:val="32"/>
        </w:rPr>
        <w:t>　被告经传票传唤，无正当理由拒不到庭的，或者未经法庭许可中途退庭的，可以缺席判决。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第一百四十五条</w:t>
      </w:r>
      <w:r>
        <w:rPr>
          <w:rFonts w:hint="eastAsia" w:ascii="宋体" w:hAnsi="宋体" w:eastAsia="仿宋_GB2312" w:cs="仿宋_GB2312"/>
          <w:kern w:val="0"/>
          <w:szCs w:val="32"/>
        </w:rPr>
        <w:t>　宣判前，原告申请撤诉的，是否准许，由人民法院裁定。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人民法院裁定不准许撤诉的，原告经传票传唤，无正当理由拒不到庭的，可以缺席判决。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第一百四十六条</w:t>
      </w:r>
      <w:r>
        <w:rPr>
          <w:rFonts w:hint="eastAsia" w:ascii="宋体" w:hAnsi="宋体" w:eastAsia="仿宋_GB2312" w:cs="仿宋_GB2312"/>
          <w:kern w:val="0"/>
          <w:szCs w:val="32"/>
        </w:rPr>
        <w:t>　有下列情形之一的，可以延期开庭审理: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（一）必须到庭的当事人和其他诉讼参与人有正当理由没有到庭的；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（二）当事人临时提出回避申请的；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（三）需要通知新的证人到庭，调取新的证据，重新鉴定、勘验，或者需要补充调查的；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（四）其他应当延期的情形。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第一百四十七条</w:t>
      </w:r>
      <w:r>
        <w:rPr>
          <w:rFonts w:hint="eastAsia" w:ascii="宋体" w:hAnsi="宋体" w:eastAsia="仿宋_GB2312" w:cs="仿宋_GB2312"/>
          <w:kern w:val="0"/>
          <w:szCs w:val="32"/>
        </w:rPr>
        <w:t>　书记员应当将法庭审理的全部活动记入笔录，由审判人员和书记员签名。</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法庭笔录应当当庭宣读，也可以告知当事人和其他诉讼参与人当庭或者在五日内阅读。当事人和其他诉讼参与人认为对自己的陈述记录有遗漏或者差错的，有权申请补正。如果不予补正，应当将申请记录在案。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法庭笔录由当事人和其他诉讼参与人签名或者盖章。拒绝签名盖章的，记明情况附卷。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第一百四十八条</w:t>
      </w:r>
      <w:r>
        <w:rPr>
          <w:rFonts w:hint="eastAsia" w:ascii="宋体" w:hAnsi="宋体" w:eastAsia="仿宋_GB2312" w:cs="仿宋_GB2312"/>
          <w:kern w:val="0"/>
          <w:szCs w:val="32"/>
        </w:rPr>
        <w:t>　人民法院对公开审理或者不公开审理的案件，一律公开宣告判决。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当庭宣判的，应当在十日内发送判决书；定期宣判的，宣判后立即发给判决书。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宣告判决时，必须告知当事人上诉权利、上诉期限和上诉的法院。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宣告离婚判决，必须告知当事人在判决发生法律效力前不得另行结婚。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第一百四十九条</w:t>
      </w:r>
      <w:r>
        <w:rPr>
          <w:rFonts w:hint="eastAsia" w:ascii="宋体" w:hAnsi="宋体" w:eastAsia="仿宋_GB2312" w:cs="仿宋_GB2312"/>
          <w:kern w:val="0"/>
          <w:szCs w:val="32"/>
        </w:rPr>
        <w:t>　人民法院适用普通程序审理的案件，应当在立案之日起六个月内审结。有特殊情况需要延长的，由本院院长批准，可以延长六个月；还需要延长的，报请上级人民法院批准。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第四节　诉讼中止和终结</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第一百五十条</w:t>
      </w:r>
      <w:r>
        <w:rPr>
          <w:rFonts w:hint="eastAsia" w:ascii="宋体" w:hAnsi="宋体" w:eastAsia="仿宋_GB2312" w:cs="仿宋_GB2312"/>
          <w:kern w:val="0"/>
          <w:szCs w:val="32"/>
        </w:rPr>
        <w:t>　有下列情形之一的，中止诉讼: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（一）一方当事人死亡，需要等待继承人表明是否参加诉讼的；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（二）一方当事人丧失诉讼行为能力，尚未确定法定代理人的；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（三）作为一方当事人的法人或者其他组织终止，尚未确定权利义务承受人的；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（四）一方当事人因不可抗拒的事由，不能参加诉讼的；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（五）本案必须以另一案的审理结果为依据，而另一案尚未审结的；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（六）其他应当中止诉讼的情形。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中止诉讼的原因消除后，恢复诉讼。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第一百五十一条</w:t>
      </w:r>
      <w:r>
        <w:rPr>
          <w:rFonts w:hint="eastAsia" w:ascii="宋体" w:hAnsi="宋体" w:eastAsia="仿宋_GB2312" w:cs="仿宋_GB2312"/>
          <w:kern w:val="0"/>
          <w:szCs w:val="32"/>
        </w:rPr>
        <w:t>　有下列情形之一的，终结诉讼: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（一）原告死亡，没有继承人，或者继承人放弃诉讼权利的；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（二）被告死亡，没有遗产，也没有应当承担义务的人的；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（三）离婚案件一方当事人死亡的；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（四）追索赡养费、扶养费、抚育费以及解除收养关系案件的一方当事人死亡的。</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第五节　判决和裁定</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第一百五十二条</w:t>
      </w:r>
      <w:r>
        <w:rPr>
          <w:rFonts w:hint="eastAsia" w:ascii="宋体" w:hAnsi="宋体" w:eastAsia="仿宋_GB2312" w:cs="仿宋_GB2312"/>
          <w:kern w:val="0"/>
          <w:szCs w:val="32"/>
        </w:rPr>
        <w:t>　判决书应当写明判决结果和作出该判决的理由。判决书内容包括: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（一）案由、诉讼请求、争议的事实和理由；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（二）判决认定的事实和理由、适用的法律和理由；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（三）判决结果和诉讼费用的负担；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（四）上诉期间和上诉的法院。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判决书由审判人员、书记员署名，加盖人民法院印章。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第一百五十三条</w:t>
      </w:r>
      <w:r>
        <w:rPr>
          <w:rFonts w:hint="eastAsia" w:ascii="宋体" w:hAnsi="宋体" w:eastAsia="仿宋_GB2312" w:cs="仿宋_GB2312"/>
          <w:kern w:val="0"/>
          <w:szCs w:val="32"/>
        </w:rPr>
        <w:t>　人民法院审理案件，其中一部分事实已经清楚，可以就该部分先行判决。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第一百五十四条</w:t>
      </w:r>
      <w:r>
        <w:rPr>
          <w:rFonts w:hint="eastAsia" w:ascii="宋体" w:hAnsi="宋体" w:eastAsia="仿宋_GB2312" w:cs="仿宋_GB2312"/>
          <w:kern w:val="0"/>
          <w:szCs w:val="32"/>
        </w:rPr>
        <w:t>　裁定适用于下列范围: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（一）不予受理；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（二）对管辖权有异议的；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（三）驳回起诉；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（四）保全和先予执行；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（五）准许或者不准许撤诉；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（六）中止或者终结诉讼；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（七）补正判决书中的笔误；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（八）中止或者终结执行；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（九）撤销或者不予执行仲裁裁决；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（十）不予执行公证机关赋予强制执行效力的债权文书；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（十一）其他需要裁定解决的事项。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对前款第一项至第三项裁定，可以上诉。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裁定书应当写明裁定结果和作出该裁定的理由。裁定书由审判人员、书记员署名，加盖人民法院印章。口头裁定的，记入笔录。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第一百五十五条</w:t>
      </w:r>
      <w:r>
        <w:rPr>
          <w:rFonts w:hint="eastAsia" w:ascii="宋体" w:hAnsi="宋体" w:eastAsia="仿宋_GB2312" w:cs="仿宋_GB2312"/>
          <w:kern w:val="0"/>
          <w:szCs w:val="32"/>
        </w:rPr>
        <w:t>　最高人民法院的判决、裁定，以及依法不准上诉或者超过上诉期没有上诉的判决、裁定，是发生法律效力的判决、裁定。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第一百五十六条</w:t>
      </w:r>
      <w:r>
        <w:rPr>
          <w:rFonts w:hint="eastAsia" w:ascii="宋体" w:hAnsi="宋体" w:eastAsia="仿宋_GB2312" w:cs="仿宋_GB2312"/>
          <w:kern w:val="0"/>
          <w:szCs w:val="32"/>
        </w:rPr>
        <w:t>　公众可以查阅发生法律效力的判决书、裁定书，但涉及国家秘密、商业秘密和个人隐私的内容除外。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第十三章　</w:t>
      </w:r>
      <w:r>
        <w:rPr>
          <w:rFonts w:hint="eastAsia" w:ascii="宋体" w:hAnsi="宋体" w:eastAsia="黑体" w:cs="黑体"/>
          <w:kern w:val="0"/>
          <w:szCs w:val="32"/>
        </w:rPr>
        <w:t>简易程序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第一百五十七条</w:t>
      </w:r>
      <w:r>
        <w:rPr>
          <w:rFonts w:hint="eastAsia" w:ascii="宋体" w:hAnsi="宋体" w:eastAsia="仿宋_GB2312" w:cs="仿宋_GB2312"/>
          <w:kern w:val="0"/>
          <w:szCs w:val="32"/>
        </w:rPr>
        <w:t>　基层人民法院和它派出的法庭审理事实清楚、权利义务关系明确、争议不大的简单的民事案件，适用本章规定。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基层人民法院和它派出的法庭审理前款规定以外的民事案件，当事人双方也可以约定适用简易程序。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第一百五十八条</w:t>
      </w:r>
      <w:r>
        <w:rPr>
          <w:rFonts w:hint="eastAsia" w:ascii="宋体" w:hAnsi="宋体" w:eastAsia="仿宋_GB2312" w:cs="仿宋_GB2312"/>
          <w:kern w:val="0"/>
          <w:szCs w:val="32"/>
        </w:rPr>
        <w:t>　对简单的民事案件，原告可以口头起诉。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当事人双方可以同时到基层人民法院或者它派出的法庭，请求解决纠纷。基层人民法院或者它派出的法庭可以当即审理，也可以另定日期审理。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第一百五十九条</w:t>
      </w:r>
      <w:r>
        <w:rPr>
          <w:rFonts w:hint="eastAsia" w:ascii="宋体" w:hAnsi="宋体" w:eastAsia="仿宋_GB2312" w:cs="仿宋_GB2312"/>
          <w:kern w:val="0"/>
          <w:szCs w:val="32"/>
        </w:rPr>
        <w:t>　基层人民法院和它派出的法庭审理简单的民事案件，可以用简便方式传唤当事人和证人、送达诉讼文书、审理案件，但应当保障当事人陈述意见的权利。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第一百六十条</w:t>
      </w:r>
      <w:r>
        <w:rPr>
          <w:rFonts w:hint="eastAsia" w:ascii="宋体" w:hAnsi="宋体" w:eastAsia="仿宋_GB2312" w:cs="仿宋_GB2312"/>
          <w:kern w:val="0"/>
          <w:szCs w:val="32"/>
        </w:rPr>
        <w:t>　简单的民事案件由审判员一人独任审理，并不受本法第一百三十六条、第一百三十八条、第一百四十一条规定的限制。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第一百六十一条</w:t>
      </w:r>
      <w:r>
        <w:rPr>
          <w:rFonts w:hint="eastAsia" w:ascii="宋体" w:hAnsi="宋体" w:eastAsia="仿宋_GB2312" w:cs="仿宋_GB2312"/>
          <w:kern w:val="0"/>
          <w:szCs w:val="32"/>
        </w:rPr>
        <w:t>　人民法院适用简易程序审理案件，应当在立案之日起三个月内审结。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第一百六十二条</w:t>
      </w:r>
      <w:r>
        <w:rPr>
          <w:rFonts w:hint="eastAsia" w:ascii="宋体" w:hAnsi="宋体" w:eastAsia="仿宋_GB2312" w:cs="仿宋_GB2312"/>
          <w:kern w:val="0"/>
          <w:szCs w:val="32"/>
        </w:rPr>
        <w:t>　基层人民法院和它派出的法庭审理符合本法第一百五十七条第一款规定的简单的民事案件，标的额为各省、自治区、直辖市上年度就业人员年平均工资百分之三十以下的，实行一审终审。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第一百六十三条</w:t>
      </w:r>
      <w:r>
        <w:rPr>
          <w:rFonts w:hint="eastAsia" w:ascii="宋体" w:hAnsi="宋体" w:eastAsia="仿宋_GB2312" w:cs="仿宋_GB2312"/>
          <w:kern w:val="0"/>
          <w:szCs w:val="32"/>
        </w:rPr>
        <w:t>　人民法院在审理过程中，发现案件不宜适用简易程序的，裁定转为普通程序。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第十四章　</w:t>
      </w:r>
      <w:r>
        <w:rPr>
          <w:rFonts w:hint="eastAsia" w:ascii="宋体" w:hAnsi="宋体" w:eastAsia="黑体" w:cs="黑体"/>
          <w:kern w:val="0"/>
          <w:szCs w:val="32"/>
        </w:rPr>
        <w:t>第二审程序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第一百六十四条</w:t>
      </w:r>
      <w:r>
        <w:rPr>
          <w:rFonts w:hint="eastAsia" w:ascii="宋体" w:hAnsi="宋体" w:eastAsia="仿宋_GB2312" w:cs="仿宋_GB2312"/>
          <w:kern w:val="0"/>
          <w:szCs w:val="32"/>
        </w:rPr>
        <w:t>　当事人不服地方人民法院第一审判决的，有权在判决书送达之日起十五日内向上一级人民法院提起上诉。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当事人不服地方人民法院第一审裁定的，有权在裁定书送达之日起十日内向上一级人民法院提起上诉。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第一百六十五条</w:t>
      </w:r>
      <w:r>
        <w:rPr>
          <w:rFonts w:hint="eastAsia" w:ascii="宋体" w:hAnsi="宋体" w:eastAsia="仿宋_GB2312" w:cs="仿宋_GB2312"/>
          <w:kern w:val="0"/>
          <w:szCs w:val="32"/>
        </w:rPr>
        <w:t>　上诉应当递交上诉状。上诉状的内容，应当包括当事人的姓名，法人的名称及其法定代表人的姓名或者其他组织的名称及其主要负责人的姓名；原审人民法院名称、案件的编号和案由；上诉的请求和理由。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第一百六十六条</w:t>
      </w:r>
      <w:r>
        <w:rPr>
          <w:rFonts w:hint="eastAsia" w:ascii="宋体" w:hAnsi="宋体" w:eastAsia="仿宋_GB2312" w:cs="仿宋_GB2312"/>
          <w:kern w:val="0"/>
          <w:szCs w:val="32"/>
        </w:rPr>
        <w:t>　上诉状应当通过原审人民法院提出，并按照对方当事人或者代表人的人数提出副本。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当事人直接向第二审人民法院上诉的，第二审人民法院应当在五日内将上诉状移交原审人民法院。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第一百六十七条</w:t>
      </w:r>
      <w:r>
        <w:rPr>
          <w:rFonts w:hint="eastAsia" w:ascii="宋体" w:hAnsi="宋体" w:eastAsia="黑体" w:cs="黑体"/>
          <w:kern w:val="0"/>
          <w:szCs w:val="32"/>
          <w:lang w:val="en-US" w:eastAsia="zh-CN"/>
        </w:rPr>
        <w:t xml:space="preserve">  </w:t>
      </w:r>
      <w:r>
        <w:rPr>
          <w:rFonts w:hint="eastAsia" w:ascii="宋体" w:hAnsi="宋体" w:eastAsia="仿宋_GB2312" w:cs="仿宋_GB2312"/>
          <w:kern w:val="0"/>
          <w:szCs w:val="32"/>
        </w:rPr>
        <w:t>原审人民法院收到上诉状，应当在五日内将上诉状副本送达对方当事人，对方当事人在收到之日起十五日内提出答辩状。人民法院应当在收到答辩状之日起五日内将副本送达上诉人。对方当事人不提出答辩状的，不影响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原审人民法院收到上诉状、答辩状，应当在五日内连同全部案卷和证据，报送第二审人民法院。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第一百六十八条</w:t>
      </w:r>
      <w:r>
        <w:rPr>
          <w:rFonts w:hint="eastAsia" w:ascii="宋体" w:hAnsi="宋体" w:eastAsia="仿宋_GB2312" w:cs="仿宋_GB2312"/>
          <w:kern w:val="0"/>
          <w:szCs w:val="32"/>
        </w:rPr>
        <w:t>　第二审人民法院应当对上诉请求的有关事实和适用法律进行审查。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第一百六十九条</w:t>
      </w:r>
      <w:r>
        <w:rPr>
          <w:rFonts w:hint="eastAsia" w:ascii="宋体" w:hAnsi="宋体" w:eastAsia="仿宋_GB2312" w:cs="仿宋_GB2312"/>
          <w:kern w:val="0"/>
          <w:szCs w:val="32"/>
        </w:rPr>
        <w:t>　第二审人民法院对上诉案件，应当组成合议庭，开庭审理。经过阅卷、调查和询问当事人，对没有提出新的事实、证据或者理由，合议庭认为不需要开庭审理的，可以不开庭审理。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第二审人民法院审理上诉案件，可以在本院进行，也可以到案件发生地或者原审人民法院所在地进行。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第一百七十条</w:t>
      </w:r>
      <w:r>
        <w:rPr>
          <w:rFonts w:hint="eastAsia" w:ascii="宋体" w:hAnsi="宋体" w:eastAsia="仿宋_GB2312" w:cs="仿宋_GB2312"/>
          <w:kern w:val="0"/>
          <w:szCs w:val="32"/>
        </w:rPr>
        <w:t>　第二审人民法院对上诉案件，经过审理，按照下列情形，分别处理: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（一）原判决、裁定认定事实清楚，适用法律正确的，以判决、裁定方式驳回上诉，维持原判决、裁定；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（二）原判决、裁定认定事实错误或者适用法律错误的，以判决、裁定方式依法改判、撤销或者变更；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（三）原判决认定基本事实不清的，裁定撤销原判决，发回原审人民法院重审，或者查清事实后改判；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（四）原判决遗漏当事人或者违法缺席判决等严重违反法定程序的，裁定撤销原判决，发回原审人民法院重审。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原审人民法院对发回重审的案件作出判决后，当事人提起上诉的，第二审人民法院不得再次发回重审。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第一百七十一条</w:t>
      </w:r>
      <w:r>
        <w:rPr>
          <w:rFonts w:hint="eastAsia" w:ascii="宋体" w:hAnsi="宋体" w:eastAsia="仿宋_GB2312" w:cs="仿宋_GB2312"/>
          <w:kern w:val="0"/>
          <w:szCs w:val="32"/>
        </w:rPr>
        <w:t>　第二审人民法院对不服第一审人民法院裁定的上诉案件的处理，一律使用裁定。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第一百七十二条</w:t>
      </w:r>
      <w:r>
        <w:rPr>
          <w:rFonts w:hint="eastAsia" w:ascii="宋体" w:hAnsi="宋体" w:eastAsia="仿宋_GB2312" w:cs="仿宋_GB2312"/>
          <w:kern w:val="0"/>
          <w:szCs w:val="32"/>
        </w:rPr>
        <w:t>　第二审人民法院审理上诉案件，可以进行调解。调解达成协议，应当制作调解书，由审判人员、书记员署名，加盖人民法院印章。调解书送达后，原审人民法院的判决即视为撤销。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第一百七十三条</w:t>
      </w:r>
      <w:r>
        <w:rPr>
          <w:rFonts w:hint="eastAsia" w:ascii="宋体" w:hAnsi="宋体" w:eastAsia="仿宋_GB2312" w:cs="仿宋_GB2312"/>
          <w:kern w:val="0"/>
          <w:szCs w:val="32"/>
        </w:rPr>
        <w:t>　第二审人民法院判决宣告前，上诉人申请撤回上诉的，是否准许，由第二审人民法院裁定。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第一百七十四条</w:t>
      </w:r>
      <w:r>
        <w:rPr>
          <w:rFonts w:hint="eastAsia" w:ascii="宋体" w:hAnsi="宋体" w:eastAsia="仿宋_GB2312" w:cs="仿宋_GB2312"/>
          <w:kern w:val="0"/>
          <w:szCs w:val="32"/>
        </w:rPr>
        <w:t>　第二审人民法院审理上诉案件，除依照本章规定外，适用第一审普通程序。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第一百七十五条</w:t>
      </w:r>
      <w:r>
        <w:rPr>
          <w:rFonts w:hint="eastAsia" w:ascii="宋体" w:hAnsi="宋体" w:eastAsia="仿宋_GB2312" w:cs="仿宋_GB2312"/>
          <w:kern w:val="0"/>
          <w:szCs w:val="32"/>
        </w:rPr>
        <w:t>　第二审人民法院的判决、裁定，是终审的判决、裁定。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第一百七十六条</w:t>
      </w:r>
      <w:r>
        <w:rPr>
          <w:rFonts w:hint="eastAsia" w:ascii="宋体" w:hAnsi="宋体" w:eastAsia="仿宋_GB2312" w:cs="仿宋_GB2312"/>
          <w:kern w:val="0"/>
          <w:szCs w:val="32"/>
        </w:rPr>
        <w:t>　人民法院审理对判决的上诉案件，应当在第二审立案之日起三个月内审结。有特殊情况需要延长的，由本院院长批准。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人民法院审理对裁定的上诉案件，应当在第二审立案之日起三十日内作出终审裁定。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第十五章　</w:t>
      </w:r>
      <w:r>
        <w:rPr>
          <w:rFonts w:hint="eastAsia" w:ascii="宋体" w:hAnsi="宋体" w:eastAsia="黑体" w:cs="黑体"/>
          <w:kern w:val="0"/>
          <w:szCs w:val="32"/>
        </w:rPr>
        <w:t>特别程序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一般规定</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第一百七十七条</w:t>
      </w:r>
      <w:r>
        <w:rPr>
          <w:rFonts w:hint="eastAsia" w:ascii="宋体" w:hAnsi="宋体" w:eastAsia="仿宋_GB2312" w:cs="仿宋_GB2312"/>
          <w:kern w:val="0"/>
          <w:szCs w:val="32"/>
        </w:rPr>
        <w:t>　人民法院审理选民资格案件、宣告失踪或者宣告死亡案件、认定公民无民事行为能力或者限制民事行为能力案件、认定财产无主案件、确认调解协议案件和实现担保物权案件，适用本章规定。本章没有规定的，适用本法和其他法律的有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第一百七十八条</w:t>
      </w:r>
      <w:r>
        <w:rPr>
          <w:rFonts w:hint="eastAsia" w:ascii="宋体" w:hAnsi="宋体" w:eastAsia="仿宋_GB2312" w:cs="仿宋_GB2312"/>
          <w:kern w:val="0"/>
          <w:szCs w:val="32"/>
        </w:rPr>
        <w:t>　依照本章程序审理的案件，实行一审终审。选民资格案件或者重大、疑难的案件，由审判员组成合议庭审理；其他案件由审判员一人独任审理。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第一百七十九条</w:t>
      </w:r>
      <w:r>
        <w:rPr>
          <w:rFonts w:hint="eastAsia" w:ascii="宋体" w:hAnsi="宋体" w:eastAsia="仿宋_GB2312" w:cs="仿宋_GB2312"/>
          <w:kern w:val="0"/>
          <w:szCs w:val="32"/>
        </w:rPr>
        <w:t>　人民法院在依照本章程序审理案件的过程中，发现本案属于民事权益争议的，应当裁定终结特别程序，并告知利害关系人可以另行起诉。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第一百八十条</w:t>
      </w:r>
      <w:r>
        <w:rPr>
          <w:rFonts w:hint="eastAsia" w:ascii="宋体" w:hAnsi="宋体" w:eastAsia="仿宋_GB2312" w:cs="仿宋_GB2312"/>
          <w:kern w:val="0"/>
          <w:szCs w:val="32"/>
        </w:rPr>
        <w:t>　人民法院适用特别程序审理的案件，应当在立案之日起三十日内或者公告期满后三十日内审结。有特殊情况需要延长的，由本院院长批准。但审理选民资格的案件除外。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选民资格案件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第一百八十一条</w:t>
      </w:r>
      <w:r>
        <w:rPr>
          <w:rFonts w:hint="eastAsia" w:ascii="宋体" w:hAnsi="宋体" w:eastAsia="仿宋_GB2312" w:cs="仿宋_GB2312"/>
          <w:kern w:val="0"/>
          <w:szCs w:val="32"/>
        </w:rPr>
        <w:t>　公民不服选举委员会对选民资格的申诉所作的处理决定，可以在选举日的五日以前向选区所在地基层人民法院起诉。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第一百八十二条</w:t>
      </w:r>
      <w:r>
        <w:rPr>
          <w:rFonts w:hint="eastAsia" w:ascii="宋体" w:hAnsi="宋体" w:eastAsia="仿宋_GB2312" w:cs="仿宋_GB2312"/>
          <w:kern w:val="0"/>
          <w:szCs w:val="32"/>
        </w:rPr>
        <w:t>　人民法院受理选民资格案件后，必须在选举日前审结。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审理时，起诉人、选举委员会的代表和有关公民必须参加。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人民法院的判决书，应当在选举日前送达选举委员会和起诉人，并通知有关公民。</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第三节　宣告失踪、宣告死亡案件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第一百八十三条</w:t>
      </w:r>
      <w:r>
        <w:rPr>
          <w:rFonts w:hint="eastAsia" w:ascii="宋体" w:hAnsi="宋体" w:eastAsia="仿宋_GB2312" w:cs="仿宋_GB2312"/>
          <w:kern w:val="0"/>
          <w:szCs w:val="32"/>
        </w:rPr>
        <w:t>　公民下落不明满二年，利害关系人申请宣告其失踪的，向下落不明人住所地基层人民法院提出。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申请书应当写明失踪的事实、时间和请求，并附有公安机关或者其他有关机关关于该公民下落不明的书面证明。</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第一百八十四条</w:t>
      </w:r>
      <w:r>
        <w:rPr>
          <w:rFonts w:hint="eastAsia" w:ascii="宋体" w:hAnsi="宋体" w:eastAsia="仿宋_GB2312" w:cs="仿宋_GB2312"/>
          <w:kern w:val="0"/>
          <w:szCs w:val="32"/>
        </w:rPr>
        <w:t>　公民下落不明满四年，或者因意外事故下落不明满二年，或者因意外事故下落不明，经有关机关证明该公民不可能生存，利害关系人申请宣告其死亡的，向下落不明人住所地基层人民法院提出。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申请书应当写明下落不明的事实、时间和请求，并附有公安机关或者其他有关机关关于该公民下落不明的书面证明。</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第一百八十五条</w:t>
      </w:r>
      <w:r>
        <w:rPr>
          <w:rFonts w:hint="eastAsia" w:ascii="宋体" w:hAnsi="宋体" w:eastAsia="仿宋_GB2312" w:cs="仿宋_GB2312"/>
          <w:kern w:val="0"/>
          <w:szCs w:val="32"/>
        </w:rPr>
        <w:t>　人民法院受理宣告失踪、宣告死亡案件后，应当发出寻找下落不明人的公告。宣告失踪的公告期间为三个月，宣告死亡的公告期间为一年。因意外事故下落不明，经有关机关证明该公民不可能生存的，宣告死亡的公告期间为三个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公告期间届满，人民法院应当根据被宣告失踪、宣告死亡的事实是否得到确认，作出宣告失踪、宣告死亡的判决或者驳回申请的判决。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第一百八十六条</w:t>
      </w:r>
      <w:r>
        <w:rPr>
          <w:rFonts w:hint="eastAsia" w:ascii="宋体" w:hAnsi="宋体" w:eastAsia="仿宋_GB2312" w:cs="仿宋_GB2312"/>
          <w:kern w:val="0"/>
          <w:szCs w:val="32"/>
        </w:rPr>
        <w:t>　被宣告失踪、宣告死亡的公民重新出现，经本人或者利害关系人申请，人民法院应当作出新判决，撤销原判决。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第四节　认定公民无民事行为能力、限制民事行为能力案件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第一百八十七条</w:t>
      </w:r>
      <w:r>
        <w:rPr>
          <w:rFonts w:hint="eastAsia" w:ascii="宋体" w:hAnsi="宋体" w:eastAsia="仿宋_GB2312" w:cs="仿宋_GB2312"/>
          <w:kern w:val="0"/>
          <w:szCs w:val="32"/>
        </w:rPr>
        <w:t>　申请认定公民无民事行为能力或者限制民事行为能力，由其近亲属或者其他利害关系人向该公民住所地基层人民法院提出。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申请书应当写明该公民无民事行为能力或者限制民事行为能力的事实和根据。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第一百八十八条</w:t>
      </w:r>
      <w:r>
        <w:rPr>
          <w:rFonts w:hint="eastAsia" w:ascii="宋体" w:hAnsi="宋体" w:eastAsia="仿宋_GB2312" w:cs="仿宋_GB2312"/>
          <w:kern w:val="0"/>
          <w:szCs w:val="32"/>
        </w:rPr>
        <w:t>　人民法院受理申请后，必要时应当对被请求认定为无民事行为能力或者限制民事行为能力的公民进行鉴定。申请人已提供鉴定意见的，应当对鉴定意见进行审查。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第一百八十九条</w:t>
      </w:r>
      <w:r>
        <w:rPr>
          <w:rFonts w:hint="eastAsia" w:ascii="宋体" w:hAnsi="宋体" w:eastAsia="仿宋_GB2312" w:cs="仿宋_GB2312"/>
          <w:kern w:val="0"/>
          <w:szCs w:val="32"/>
        </w:rPr>
        <w:t>　人民法院审理认定公民无民事行为能力或者限制民事行为能力的案件，应当由该公民的近亲属为代理人，但申请人除外。近亲属互相推诿的，由人民法院指定其中一人为代理人。该公民健康情况许可的，还应当询问本人的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人民法院经审理认定申请有事实根据的，判决该公民为无民事行为能力或者限制民事行为能力人；认定申请没有事实根据的，应当判决予以驳回。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第一百九十条</w:t>
      </w:r>
      <w:r>
        <w:rPr>
          <w:rFonts w:hint="eastAsia" w:ascii="宋体" w:hAnsi="宋体" w:eastAsia="仿宋_GB2312" w:cs="仿宋_GB2312"/>
          <w:kern w:val="0"/>
          <w:szCs w:val="32"/>
        </w:rPr>
        <w:t>　人民法院根据被认定为无民事行为能力人、限制民事行为能力人或者他的监护人的申请，证实该公民无民事行为能力或者限制民事行为能力的原因已经消除的，应当作出新判决，撤销原判决。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第五节　认定财产无主案件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第一百九十一条</w:t>
      </w:r>
      <w:r>
        <w:rPr>
          <w:rFonts w:hint="eastAsia" w:ascii="宋体" w:hAnsi="宋体" w:eastAsia="仿宋_GB2312" w:cs="仿宋_GB2312"/>
          <w:kern w:val="0"/>
          <w:szCs w:val="32"/>
        </w:rPr>
        <w:t>　申请认定财产无主，由公民、法人或者其他组织向财产所在地基层人民法院提出。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申请书应当写明财产的种类、数量以及要求认定财产无主的根据。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第一百九十二条</w:t>
      </w:r>
      <w:r>
        <w:rPr>
          <w:rFonts w:hint="eastAsia" w:ascii="宋体" w:hAnsi="宋体" w:eastAsia="仿宋_GB2312" w:cs="仿宋_GB2312"/>
          <w:kern w:val="0"/>
          <w:szCs w:val="32"/>
        </w:rPr>
        <w:t>　人民法院受理申请后，经审查核实，应当发出财产认领公告。公告满一年无人认领的，判决认定财产无主，收归国家或者集体所有。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第一百九十三条</w:t>
      </w:r>
      <w:r>
        <w:rPr>
          <w:rFonts w:hint="eastAsia" w:ascii="宋体" w:hAnsi="宋体" w:eastAsia="仿宋_GB2312" w:cs="仿宋_GB2312"/>
          <w:kern w:val="0"/>
          <w:szCs w:val="32"/>
        </w:rPr>
        <w:t>　判决认定财产</w:t>
      </w:r>
      <w:r>
        <w:rPr>
          <w:rFonts w:hint="eastAsia" w:ascii="宋体" w:hAnsi="宋体" w:eastAsia="仿宋_GB2312" w:cs="仿宋_GB2312"/>
          <w:kern w:val="0"/>
          <w:szCs w:val="32"/>
          <w:highlight w:val="none"/>
        </w:rPr>
        <w:t>无主后</w:t>
      </w:r>
      <w:r>
        <w:rPr>
          <w:rFonts w:hint="eastAsia" w:ascii="宋体" w:hAnsi="宋体" w:eastAsia="仿宋_GB2312" w:cs="仿宋_GB2312"/>
          <w:kern w:val="0"/>
          <w:szCs w:val="32"/>
        </w:rPr>
        <w:t>，原财产所有人或者继承人出现，在民法通则规定的诉讼时效期间可以对财产提出请求，人民法院审查属实后，应当作出新判决，撤销原判决。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第六节　确认调解协议案件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第一百九十四条</w:t>
      </w:r>
      <w:r>
        <w:rPr>
          <w:rFonts w:hint="eastAsia" w:ascii="宋体" w:hAnsi="宋体" w:eastAsia="仿宋_GB2312" w:cs="仿宋_GB2312"/>
          <w:kern w:val="0"/>
          <w:szCs w:val="32"/>
        </w:rPr>
        <w:t>　申请司法确认调解协议，由双方当事人依照人民调解法等法律，自调解协议生效之日起三十日内，共同向调解组织所在地基层人民法院提出。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第一百九十五条</w:t>
      </w:r>
      <w:r>
        <w:rPr>
          <w:rFonts w:hint="eastAsia" w:ascii="宋体" w:hAnsi="宋体" w:eastAsia="仿宋_GB2312" w:cs="仿宋_GB2312"/>
          <w:kern w:val="0"/>
          <w:szCs w:val="32"/>
        </w:rPr>
        <w:t>　人民法院受理申请后，经审查，符合法律规定的，裁定调解协议有效，一方当事人拒绝履行或者未全部履行的，对方当事人可以向人民法院申请执行；不符合法律规定的，裁定驳回申请，当事人可以通过调解方式变更原调解协议或者达成新的调解协议，也可以向人民法院提起诉讼。</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第七节　实现担保物权案件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第一百九十六条</w:t>
      </w:r>
      <w:r>
        <w:rPr>
          <w:rFonts w:hint="eastAsia" w:ascii="宋体" w:hAnsi="宋体" w:eastAsia="仿宋_GB2312" w:cs="仿宋_GB2312"/>
          <w:kern w:val="0"/>
          <w:szCs w:val="32"/>
        </w:rPr>
        <w:t>　申请实现担保物权，由担保物权人以及其他有权请求实现担保物权的人依照物权法等法律，向担保财产所在地或者担保物权登记地基层人民法院提出。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第一百九十七条</w:t>
      </w:r>
      <w:r>
        <w:rPr>
          <w:rFonts w:hint="eastAsia" w:ascii="宋体" w:hAnsi="宋体" w:eastAsia="仿宋_GB2312" w:cs="仿宋_GB2312"/>
          <w:kern w:val="0"/>
          <w:szCs w:val="32"/>
        </w:rPr>
        <w:t>　人民法院受理申请后，经审查，符合法律规定的，裁定拍卖、变卖担保财产，当事人依据该裁定可以向人民法院申请执行；不符合法律规定的，裁定驳回申请，当事人可以向人民法院提起诉讼。</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第十六章　</w:t>
      </w:r>
      <w:r>
        <w:rPr>
          <w:rFonts w:hint="eastAsia" w:ascii="宋体" w:hAnsi="宋体" w:eastAsia="黑体" w:cs="黑体"/>
          <w:kern w:val="0"/>
          <w:szCs w:val="32"/>
        </w:rPr>
        <w:t>审判监督程序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第一百九十八条</w:t>
      </w:r>
      <w:r>
        <w:rPr>
          <w:rFonts w:hint="eastAsia" w:ascii="宋体" w:hAnsi="宋体" w:eastAsia="仿宋_GB2312" w:cs="仿宋_GB2312"/>
          <w:kern w:val="0"/>
          <w:szCs w:val="32"/>
        </w:rPr>
        <w:t>　各级人民法院院长对本院已经发生法律效力的判决、裁定、调解书，发现确有错误，认为需要再审的，应当提交审判委员会讨论决定。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最高人民法院对地方各级人民法院已经发生法律效力的判决、裁定、调解书，上级人民法院对下级人民法院已经发生法律效力的判决、裁定、调解书，发现确有错误的，有权提审或者指令下级人民法院再审。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第一百九十九条</w:t>
      </w:r>
      <w:r>
        <w:rPr>
          <w:rFonts w:hint="eastAsia" w:ascii="宋体" w:hAnsi="宋体" w:eastAsia="仿宋_GB2312" w:cs="仿宋_GB2312"/>
          <w:kern w:val="0"/>
          <w:szCs w:val="32"/>
        </w:rPr>
        <w:t>　当事人对已经发生法律效力的判决、裁定，认为有错误的，可以向上一级人民法院申请再审；当事人一方人数众多或者当事人双方为公民的案件，也可以向原审人民法院申请再审。当事人申请再审的，不停止判决、裁定的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第二百条</w:t>
      </w:r>
      <w:r>
        <w:rPr>
          <w:rFonts w:hint="eastAsia" w:ascii="宋体" w:hAnsi="宋体" w:eastAsia="仿宋_GB2312" w:cs="仿宋_GB2312"/>
          <w:kern w:val="0"/>
          <w:szCs w:val="32"/>
        </w:rPr>
        <w:t>　当事人的申请符合下列情形之一的，人民法院应当再审: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（一）有新的证据，足以推翻原判决、裁定的；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（二）原判决、裁定认定的基本事实缺乏证据证明的；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（三）原判决、裁定认定事实的主要证据是伪造的；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（四）原判决、裁定认定事实的主要证据未经质证的；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（五）对审理案件需要的主要证据，当事人因客观原因不能自行收集，书面申请人民法院调查收集，人民法院未调查收集的；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（六）原判决、裁定适用法律确有错误的；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（七）审判组织的组成不合法或者依法应当回避的审判人员没有回避的；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（八）无诉讼行为能力人未经法定代理人代为诉讼或者应当参加诉讼的当事人，因不能归责于本人或者其诉讼代理人的事由，未参加诉讼的；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（九）违反法律规定，剥夺当事人辩论权利的；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（十）未经传票传唤，缺席判决的；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（十一）原判决、裁定遗漏或者超出诉讼请求的；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（十二）据以作出原判决、裁定的法律文书被撤销或者变更的；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（十三）审判人员审理该案件时有贪污受贿，徇私舞弊，枉法裁判行为的。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第二百零一条</w:t>
      </w:r>
      <w:r>
        <w:rPr>
          <w:rFonts w:hint="eastAsia" w:ascii="宋体" w:hAnsi="宋体" w:eastAsia="仿宋_GB2312" w:cs="仿宋_GB2312"/>
          <w:kern w:val="0"/>
          <w:szCs w:val="32"/>
        </w:rPr>
        <w:t>　当事人对已经发生法律效力的调解书，提出证据证明调解违反自愿原则或者调解协议的内容违反法律的，可以申请再审。经人民法院审查属实的，应当再审。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第二百零二条</w:t>
      </w:r>
      <w:r>
        <w:rPr>
          <w:rFonts w:hint="eastAsia" w:ascii="宋体" w:hAnsi="宋体" w:eastAsia="仿宋_GB2312" w:cs="仿宋_GB2312"/>
          <w:kern w:val="0"/>
          <w:szCs w:val="32"/>
        </w:rPr>
        <w:t>　当事人对已经发生法律效力的解除婚姻关系的判决、调解书，不得申请再审。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第二百零三条</w:t>
      </w:r>
      <w:r>
        <w:rPr>
          <w:rFonts w:hint="eastAsia" w:ascii="宋体" w:hAnsi="宋体" w:eastAsia="仿宋_GB2312" w:cs="仿宋_GB2312"/>
          <w:kern w:val="0"/>
          <w:szCs w:val="32"/>
        </w:rPr>
        <w:t>　当事人申请再审的，应当提交再审申请书等材料。人民法院应当自收到再审申请书之日起五日内将再审申请书副本发送对方当事人。对方当事人应当自收到再审申请书副本之日起十五日内提交书面意见；不提交书面意见的，不影响人民法院审查。人民法院可以要求申请人和对方当事人补充有关材料，询问有关事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第二百零四条</w:t>
      </w:r>
      <w:r>
        <w:rPr>
          <w:rFonts w:hint="eastAsia" w:ascii="宋体" w:hAnsi="宋体" w:eastAsia="仿宋_GB2312" w:cs="仿宋_GB2312"/>
          <w:kern w:val="0"/>
          <w:szCs w:val="32"/>
        </w:rPr>
        <w:t>　人民法院应当自收到再审申请书之日起三个月内审查，符合本法规定的，裁定再审；不符合本法规定的，裁定驳回申请。有特殊情况需要延长的，由本院院长批准。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因当事人申请裁定再审的案件由中级人民法院以上的人民法院审理，但当事人依照本法第一百九十九条的规定选择向基层人民法院申请再审的除外。最高人民法院、高级人民法院裁定再审的案件，由本院再审或者交其他人民法院再审，也可以交原审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第二百零五条</w:t>
      </w:r>
      <w:r>
        <w:rPr>
          <w:rFonts w:hint="eastAsia" w:ascii="宋体" w:hAnsi="宋体" w:eastAsia="仿宋_GB2312" w:cs="仿宋_GB2312"/>
          <w:kern w:val="0"/>
          <w:szCs w:val="32"/>
        </w:rPr>
        <w:t>　当事人申请再审，应当在判决、裁定发生法律效力后六个月内提出；有本法第二百条第一项、第三项、第十二项、第十三项规定情形的，自知道或者应当知道之日起六个月内提出。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第二百零六条</w:t>
      </w:r>
      <w:r>
        <w:rPr>
          <w:rFonts w:hint="eastAsia" w:ascii="宋体" w:hAnsi="宋体" w:eastAsia="仿宋_GB2312" w:cs="仿宋_GB2312"/>
          <w:kern w:val="0"/>
          <w:szCs w:val="32"/>
        </w:rPr>
        <w:t>　按照审判监督程序决定再审的案件，裁定中止原判决、裁定、调解书的执行，但追索赡养费、扶养费、抚育费、抚恤金、医疗费用、劳动报酬等案件，可以不中止执行。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第二百零七条</w:t>
      </w:r>
      <w:r>
        <w:rPr>
          <w:rFonts w:hint="eastAsia" w:ascii="宋体" w:hAnsi="宋体" w:eastAsia="仿宋_GB2312" w:cs="仿宋_GB2312"/>
          <w:kern w:val="0"/>
          <w:szCs w:val="32"/>
        </w:rPr>
        <w:t>　人民法院按照审判监督程序再审的案件，发生法律效力的判决、裁定是由第一审法院作出的，按照第一审程序审理，所作的判决、裁定，当事人可以上诉；发生法律效力的判决、裁定是由第二审法院作出的，按照第二审程序审理，所作的判决、裁定，是发生法律效力的判决、裁定；上级人民法院按照审判监督程序提审的，按照第二审程序审理，所作的判决、裁定是发生法律效力的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人民法院审理再审案件，应当另行组成合议庭。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第二百零八条</w:t>
      </w:r>
      <w:r>
        <w:rPr>
          <w:rFonts w:hint="eastAsia" w:ascii="宋体" w:hAnsi="宋体" w:eastAsia="仿宋_GB2312" w:cs="仿宋_GB2312"/>
          <w:kern w:val="0"/>
          <w:szCs w:val="32"/>
        </w:rPr>
        <w:t>　最高人民检察院对各级人民法院已经发生法律效力的判决、裁定，上级人民检察院对下级人民法院已经发生法律效力的判决、裁定，发现有本法第二百条规定情形之一的，或者发现调解书损害国家利益、社会公共利益的，应当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地方各级人民检察院对同级人民法院已经发生法律效力的判决、裁定，发现有本法第二百条规定情形之一的，或者发现调解书损害国家利益、社会公共利益的，可以向同级人民法院提出检察建议，并报上级人民检察院备案；也可以提请上级人民检察院向同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各级人民检察院对审判监督程序以外的其他审判程序中审判人员的违法行为，有权向同级人民法院提出检察建议。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第二百零九条</w:t>
      </w:r>
      <w:r>
        <w:rPr>
          <w:rFonts w:hint="eastAsia" w:ascii="宋体" w:hAnsi="宋体" w:eastAsia="仿宋_GB2312" w:cs="仿宋_GB2312"/>
          <w:kern w:val="0"/>
          <w:szCs w:val="32"/>
        </w:rPr>
        <w:t>　有下列情形之一的，当事人可以向人民检察院申请检察建议或者抗诉: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（一）人民法院驳回再审申请的；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（二）人民法院逾期未对再审申请作出裁定的；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（三）再审判决、裁定有明显错误的。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人民检察院对当事人的申请应当在三个月内进行审查，作出提出或者不予提出检察建议或者抗诉的决定。当事人不得再次向人民检察院申请检察建议或者抗诉。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第二百一十条</w:t>
      </w:r>
      <w:r>
        <w:rPr>
          <w:rFonts w:hint="eastAsia" w:ascii="宋体" w:hAnsi="宋体" w:eastAsia="仿宋_GB2312" w:cs="仿宋_GB2312"/>
          <w:kern w:val="0"/>
          <w:szCs w:val="32"/>
        </w:rPr>
        <w:t>　人民检察院因履行法律监督职责提出检察建议或者抗诉的需要，可以向当事人或者案外人调查核实有关情况。</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第二百一十一条</w:t>
      </w:r>
      <w:r>
        <w:rPr>
          <w:rFonts w:hint="eastAsia" w:ascii="宋体" w:hAnsi="宋体" w:eastAsia="仿宋_GB2312" w:cs="仿宋_GB2312"/>
          <w:kern w:val="0"/>
          <w:szCs w:val="32"/>
        </w:rPr>
        <w:t>　人民检察院提出抗诉的案件，接受抗诉的人民法院应当自收到抗诉书之日起三十日内作出再审的裁定；有本法第二百条第一项至第五项规定情形之一的，可以</w:t>
      </w:r>
      <w:r>
        <w:rPr>
          <w:rFonts w:hint="eastAsia" w:ascii="宋体" w:hAnsi="宋体" w:eastAsia="仿宋_GB2312" w:cs="仿宋_GB2312"/>
          <w:kern w:val="0"/>
          <w:szCs w:val="32"/>
          <w:highlight w:val="none"/>
        </w:rPr>
        <w:t>交下</w:t>
      </w:r>
      <w:r>
        <w:rPr>
          <w:rFonts w:hint="eastAsia" w:ascii="宋体" w:hAnsi="宋体" w:eastAsia="仿宋_GB2312" w:cs="仿宋_GB2312"/>
          <w:kern w:val="0"/>
          <w:szCs w:val="32"/>
        </w:rPr>
        <w:t>一级人民法院再审，但</w:t>
      </w:r>
      <w:r>
        <w:rPr>
          <w:rFonts w:hint="eastAsia" w:ascii="宋体" w:hAnsi="宋体" w:eastAsia="仿宋_GB2312" w:cs="仿宋_GB2312"/>
          <w:kern w:val="0"/>
          <w:szCs w:val="32"/>
          <w:highlight w:val="none"/>
        </w:rPr>
        <w:t>经该下</w:t>
      </w:r>
      <w:r>
        <w:rPr>
          <w:rFonts w:hint="eastAsia" w:ascii="宋体" w:hAnsi="宋体" w:eastAsia="仿宋_GB2312" w:cs="仿宋_GB2312"/>
          <w:kern w:val="0"/>
          <w:szCs w:val="32"/>
        </w:rPr>
        <w:t>一级人民法院再审的除外。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第二百一十二条</w:t>
      </w:r>
      <w:r>
        <w:rPr>
          <w:rFonts w:hint="eastAsia" w:ascii="宋体" w:hAnsi="宋体" w:eastAsia="仿宋_GB2312" w:cs="仿宋_GB2312"/>
          <w:kern w:val="0"/>
          <w:szCs w:val="32"/>
        </w:rPr>
        <w:t>　人民检察院决定对人民法院的判决、裁定、调解书提出抗诉的，应当制作抗诉书。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第二百一十三条</w:t>
      </w:r>
      <w:r>
        <w:rPr>
          <w:rFonts w:hint="eastAsia" w:ascii="宋体" w:hAnsi="宋体" w:eastAsia="仿宋_GB2312" w:cs="仿宋_GB2312"/>
          <w:kern w:val="0"/>
          <w:szCs w:val="32"/>
        </w:rPr>
        <w:t>　人民检察院提出抗诉的案件，人民法院再审时，应当通知人民检察院派员出席法庭。</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第十七章　</w:t>
      </w:r>
      <w:r>
        <w:rPr>
          <w:rFonts w:hint="eastAsia" w:ascii="宋体" w:hAnsi="宋体" w:eastAsia="黑体" w:cs="黑体"/>
          <w:kern w:val="0"/>
          <w:szCs w:val="32"/>
        </w:rPr>
        <w:t>督促程序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第二百一十四条</w:t>
      </w:r>
      <w:r>
        <w:rPr>
          <w:rFonts w:hint="eastAsia" w:ascii="宋体" w:hAnsi="宋体" w:eastAsia="仿宋_GB2312" w:cs="仿宋_GB2312"/>
          <w:kern w:val="0"/>
          <w:szCs w:val="32"/>
        </w:rPr>
        <w:t>　债权人请求债务人给付金钱、有价证券，符合下列条件的，可以向有管辖权的基层人民法院申请支付令: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（一）债权人与债务人没有其他债务纠纷的；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（二）支付令能够送达债务人的。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申请书应当写明请求给付金钱或者有价证券的数量和所根据的事实、证据。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第二百一十五条</w:t>
      </w:r>
      <w:r>
        <w:rPr>
          <w:rFonts w:hint="eastAsia" w:ascii="宋体" w:hAnsi="宋体" w:eastAsia="仿宋_GB2312" w:cs="仿宋_GB2312"/>
          <w:kern w:val="0"/>
          <w:szCs w:val="32"/>
        </w:rPr>
        <w:t>　债权人提出申请后，人民法院应当在五日内通知债权人是否受理。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第二百一十六条</w:t>
      </w:r>
      <w:r>
        <w:rPr>
          <w:rFonts w:hint="eastAsia" w:ascii="宋体" w:hAnsi="宋体" w:eastAsia="仿宋_GB2312" w:cs="仿宋_GB2312"/>
          <w:kern w:val="0"/>
          <w:szCs w:val="32"/>
        </w:rPr>
        <w:t>　人民法院受理申请后，经审查债权人提供的事实、证据，对债权债务关系明确、合法的，应当在受理之日起十五日内向债务人发出支付令；申请不成立的，裁定予以驳回。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债务人应当自收到支付令之日起十五日内清偿债务，或者向人民法院提出书面异议。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债务人在前款规定的期间不提出异议又不履行支付令的，债权人可以向人民法院申请执行。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第二百一十七条</w:t>
      </w:r>
      <w:r>
        <w:rPr>
          <w:rFonts w:hint="eastAsia" w:ascii="宋体" w:hAnsi="宋体" w:eastAsia="仿宋_GB2312" w:cs="仿宋_GB2312"/>
          <w:kern w:val="0"/>
          <w:szCs w:val="32"/>
        </w:rPr>
        <w:t>　人民法院收到债务人提出的书面异议后，经审查，异议成立的，应当裁定终结督促程序，支付令自行失效。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支付令失效的，转入诉讼程序，但申请支付令的一方当事人不同意提起诉讼的除外。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第十八章　</w:t>
      </w:r>
      <w:r>
        <w:rPr>
          <w:rFonts w:hint="eastAsia" w:ascii="宋体" w:hAnsi="宋体" w:eastAsia="黑体" w:cs="黑体"/>
          <w:kern w:val="0"/>
          <w:szCs w:val="32"/>
        </w:rPr>
        <w:t>公示催告程序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第二百一十八条</w:t>
      </w:r>
      <w:r>
        <w:rPr>
          <w:rFonts w:hint="eastAsia" w:ascii="宋体" w:hAnsi="宋体" w:eastAsia="仿宋_GB2312" w:cs="仿宋_GB2312"/>
          <w:kern w:val="0"/>
          <w:szCs w:val="32"/>
        </w:rPr>
        <w:t>　按照规定可以背书转让的票据持有人，因票据被盗、遗失或者灭失，可以向票据支付地的基层人民法院申请公示催告。依照法律规定可以申请公示催告的其他事项，适用本章规定。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申请人应当向人民法院递交申请书，写明票面金额、发票人、持票人、背书人等票据主要内容和申请的理由、事实。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第二百一十九条</w:t>
      </w:r>
      <w:r>
        <w:rPr>
          <w:rFonts w:hint="eastAsia" w:ascii="宋体" w:hAnsi="宋体" w:eastAsia="仿宋_GB2312" w:cs="仿宋_GB2312"/>
          <w:kern w:val="0"/>
          <w:szCs w:val="32"/>
        </w:rPr>
        <w:t>　人民法院决定受理申请，应当同时通知支付人停止支付，并在三日内发出公告，催促利害关系人申报权利。公示催告的期间，由人民法院根据情况决定，但不得少于六十日。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第二百二十条</w:t>
      </w:r>
      <w:r>
        <w:rPr>
          <w:rFonts w:hint="eastAsia" w:ascii="宋体" w:hAnsi="宋体" w:eastAsia="仿宋_GB2312" w:cs="仿宋_GB2312"/>
          <w:kern w:val="0"/>
          <w:szCs w:val="32"/>
        </w:rPr>
        <w:t>　支付人收到人民法院停止支付的通知，应当停止支付，至公示催告程序终结。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公示催告期间，转让票据权利的行为无效。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第二百二十一条</w:t>
      </w:r>
      <w:r>
        <w:rPr>
          <w:rFonts w:hint="eastAsia" w:ascii="宋体" w:hAnsi="宋体" w:eastAsia="仿宋_GB2312" w:cs="仿宋_GB2312"/>
          <w:kern w:val="0"/>
          <w:szCs w:val="32"/>
        </w:rPr>
        <w:t>　利害关系人应当在公示催告期间向人民法院申报。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人民法院收到利害关系人的申报后，应当裁定终结公示催告程序，并通知申请人和支付人。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申请人或者申报人可以向人民法院起诉。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第二百二十二条</w:t>
      </w:r>
      <w:r>
        <w:rPr>
          <w:rFonts w:hint="eastAsia" w:ascii="宋体" w:hAnsi="宋体" w:eastAsia="仿宋_GB2312" w:cs="仿宋_GB2312"/>
          <w:kern w:val="0"/>
          <w:szCs w:val="32"/>
        </w:rPr>
        <w:t>　没有人申报的，人民法院应当根据申请人的申请，作出判决，宣告票据无效。判决应当公告，并通知支付人。自判决公告之日起，申请人有权向支付人请求支付。</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第二百二十三条</w:t>
      </w:r>
      <w:r>
        <w:rPr>
          <w:rFonts w:hint="eastAsia" w:ascii="宋体" w:hAnsi="宋体" w:eastAsia="仿宋_GB2312" w:cs="仿宋_GB2312"/>
          <w:kern w:val="0"/>
          <w:szCs w:val="32"/>
        </w:rPr>
        <w:t>　利害关系人因正当理由不能在判决前向人民法院申报的，自知道或者应当知道判决公告之日起一年内，可以向作出判决的人民法院起诉。</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第三编　执行程序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第十九章　</w:t>
      </w:r>
      <w:r>
        <w:rPr>
          <w:rFonts w:hint="eastAsia" w:ascii="宋体" w:hAnsi="宋体" w:eastAsia="黑体" w:cs="黑体"/>
          <w:kern w:val="0"/>
          <w:szCs w:val="32"/>
        </w:rPr>
        <w:t>一般规定</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第二百二十四条</w:t>
      </w:r>
      <w:r>
        <w:rPr>
          <w:rFonts w:hint="eastAsia" w:ascii="宋体" w:hAnsi="宋体" w:eastAsia="仿宋_GB2312" w:cs="仿宋_GB2312"/>
          <w:kern w:val="0"/>
          <w:szCs w:val="32"/>
        </w:rPr>
        <w:t>　发生法律效力的民事判决、裁定，以及刑事判决、裁定中的财产部分，由第一审人民法院或者与第一审人民法院同级的被执行的财产所在地人民法院执行。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法律规定由人民法院执行的其他法律文书，由被执行人住所地或者被执行的财产所在地人民法院执行。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第二百二十五条</w:t>
      </w:r>
      <w:r>
        <w:rPr>
          <w:rFonts w:hint="eastAsia" w:ascii="宋体" w:hAnsi="宋体" w:eastAsia="仿宋_GB2312" w:cs="仿宋_GB2312"/>
          <w:kern w:val="0"/>
          <w:szCs w:val="32"/>
        </w:rPr>
        <w:t>　当事人、利害关系人认为执行行为违反法律规定的，可以向负责执行的人民法院提出书面异议。当事人、利害关系人提出书面异议的，人民法院应当自收到书面异议之日起十五日内审查，理由成立的，裁定撤销或者改正；理由不成立的，裁定驳回。当事人、利害关系人对裁定不服的，可以自裁定送达之日起十日内向上一级人民法院申请复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第二百二十六条</w:t>
      </w:r>
      <w:r>
        <w:rPr>
          <w:rFonts w:hint="eastAsia" w:ascii="宋体" w:hAnsi="宋体" w:eastAsia="仿宋_GB2312" w:cs="仿宋_GB2312"/>
          <w:kern w:val="0"/>
          <w:szCs w:val="32"/>
        </w:rPr>
        <w:t>　人民法院自收到申请执行书之日起超过六个月未执行的，申请执行人可以向上一级人民法院申请执行。上一级人民法院经审查，可以责令原人民法院在一定期限内执行，也可以决定由本院执行或者指令其他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第二百二十七条</w:t>
      </w:r>
      <w:r>
        <w:rPr>
          <w:rFonts w:hint="eastAsia" w:ascii="宋体" w:hAnsi="宋体" w:eastAsia="仿宋_GB2312" w:cs="仿宋_GB2312"/>
          <w:kern w:val="0"/>
          <w:szCs w:val="32"/>
        </w:rPr>
        <w:t>　执行过程中，案外人对执行标的提出书面异议的，人民法院应当自收到书面异议之日起十五日内审查，理由成立的，裁定中止对该标</w:t>
      </w:r>
      <w:r>
        <w:rPr>
          <w:rFonts w:hint="eastAsia" w:ascii="宋体" w:hAnsi="宋体" w:eastAsia="仿宋_GB2312" w:cs="仿宋_GB2312"/>
          <w:kern w:val="0"/>
          <w:szCs w:val="32"/>
          <w:highlight w:val="none"/>
        </w:rPr>
        <w:t>的的</w:t>
      </w:r>
      <w:r>
        <w:rPr>
          <w:rFonts w:hint="eastAsia" w:ascii="宋体" w:hAnsi="宋体" w:eastAsia="仿宋_GB2312" w:cs="仿宋_GB2312"/>
          <w:kern w:val="0"/>
          <w:szCs w:val="32"/>
        </w:rPr>
        <w:t>执行；理由不成立的，裁定驳回。案外人、当事人对裁定不服，认为原判决、裁定错误的，依照审判监督程序办理；与原判决、裁定无关的，可以自裁定送达之日起十五日内向人民法院提起诉讼。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第二百二十八条</w:t>
      </w:r>
      <w:r>
        <w:rPr>
          <w:rFonts w:hint="eastAsia" w:ascii="宋体" w:hAnsi="宋体" w:eastAsia="仿宋_GB2312" w:cs="仿宋_GB2312"/>
          <w:kern w:val="0"/>
          <w:szCs w:val="32"/>
        </w:rPr>
        <w:t>　执行工作由执行员进行。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采取强制执行措施时，执行员应当出示证件。执行完毕后，应当将执行情况制作笔录，由在场的有关人员签名或者盖章。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人民法院根据需要可以设立执行机构。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第二百二十九条</w:t>
      </w:r>
      <w:r>
        <w:rPr>
          <w:rFonts w:hint="eastAsia" w:ascii="宋体" w:hAnsi="宋体" w:eastAsia="仿宋_GB2312" w:cs="仿宋_GB2312"/>
          <w:kern w:val="0"/>
          <w:szCs w:val="32"/>
        </w:rPr>
        <w:t>　被执行人或者被执行的财产在外地的，可以委托当地人民法院代为执行。受委托人民法院收到委托函件后，必须在十五日内开始执行，不得拒绝。执行完毕后，应当将执行结果及时函复委托人民法院；在三十日内如果还未执行完毕，也应当将执行情况函告委托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受委托人民法院自收到委托函件之日起十五日内不执行的，委托人民法院可以请求受委托人民法院的上级人民法院指令受委托人民法院执行。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第二百三十条</w:t>
      </w:r>
      <w:r>
        <w:rPr>
          <w:rFonts w:hint="eastAsia" w:ascii="宋体" w:hAnsi="宋体" w:eastAsia="仿宋_GB2312" w:cs="仿宋_GB2312"/>
          <w:kern w:val="0"/>
          <w:szCs w:val="32"/>
        </w:rPr>
        <w:t>　在执行中，双方当事人自行和解达成协议的，执行员应当将协议内容记入笔录，由双方当事人签名或者盖章。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申请执行人因受欺诈、胁迫与被执行人达成和解协议，或者当事人不履行和解协议的，人民法院可以根据当事人的申请，恢复对原生效法律文书的执行。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第二百三十一条</w:t>
      </w:r>
      <w:r>
        <w:rPr>
          <w:rFonts w:hint="eastAsia" w:ascii="宋体" w:hAnsi="宋体" w:eastAsia="仿宋_GB2312" w:cs="仿宋_GB2312"/>
          <w:kern w:val="0"/>
          <w:szCs w:val="32"/>
        </w:rPr>
        <w:t>　在执行中，被执行人向人民法院提供担保，并经申请执行人同意的，人民法院可以决定暂缓执行及暂缓执行的期限。被执行人逾期仍不履行的，人民法院有权执行被执行人的担保财产或者担保人的财产。</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第二百三十二条</w:t>
      </w:r>
      <w:r>
        <w:rPr>
          <w:rFonts w:hint="eastAsia" w:ascii="宋体" w:hAnsi="宋体" w:eastAsia="仿宋_GB2312" w:cs="仿宋_GB2312"/>
          <w:kern w:val="0"/>
          <w:szCs w:val="32"/>
        </w:rPr>
        <w:t>　作为被执行人的公民死亡的，以其遗产偿还债务。作为被执行人的法人或者其他组织终止的，由其权利义务承受人履行义务。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第二百三十三条</w:t>
      </w:r>
      <w:r>
        <w:rPr>
          <w:rFonts w:hint="eastAsia" w:ascii="宋体" w:hAnsi="宋体" w:eastAsia="仿宋_GB2312" w:cs="仿宋_GB2312"/>
          <w:kern w:val="0"/>
          <w:szCs w:val="32"/>
        </w:rPr>
        <w:t>　执行完毕后，据以执行的判决、裁定和其他法律文书确有错误，被人民法院撤销的，对已被执行的财产，人民法院应当作出裁定，责令取得财产的人返还；拒不返还的，强制执行。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第二百三十四条</w:t>
      </w:r>
      <w:r>
        <w:rPr>
          <w:rFonts w:hint="eastAsia" w:ascii="宋体" w:hAnsi="宋体" w:eastAsia="仿宋_GB2312" w:cs="仿宋_GB2312"/>
          <w:kern w:val="0"/>
          <w:szCs w:val="32"/>
        </w:rPr>
        <w:t>　人民法院制作的调解书的执行，适用本编的规定。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第二百三十五条</w:t>
      </w:r>
      <w:r>
        <w:rPr>
          <w:rFonts w:hint="eastAsia" w:ascii="宋体" w:hAnsi="宋体" w:eastAsia="仿宋_GB2312" w:cs="仿宋_GB2312"/>
          <w:kern w:val="0"/>
          <w:szCs w:val="32"/>
        </w:rPr>
        <w:t>　人民检察院有权对民事执行活动实行法律监督。</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第二十章　执行的申请和移送</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第二百三十六条</w:t>
      </w:r>
      <w:r>
        <w:rPr>
          <w:rFonts w:hint="eastAsia" w:ascii="宋体" w:hAnsi="宋体" w:eastAsia="仿宋_GB2312" w:cs="仿宋_GB2312"/>
          <w:kern w:val="0"/>
          <w:szCs w:val="32"/>
        </w:rPr>
        <w:t>　发生法律效力的民事判决、裁定，当事人必须履行。一方拒绝履行的，对方当事人可以向人民法院申请执行，也可以由审判员移送执行员执行。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调解书和其他应当由人民法院执行的法律文书，当事人必须履行。一方拒绝履行的，对方当事人可以向人民法院申请执行。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第二百三十七条</w:t>
      </w:r>
      <w:r>
        <w:rPr>
          <w:rFonts w:hint="eastAsia" w:ascii="宋体" w:hAnsi="宋体" w:eastAsia="仿宋_GB2312" w:cs="仿宋_GB2312"/>
          <w:kern w:val="0"/>
          <w:szCs w:val="32"/>
        </w:rPr>
        <w:t>　对依法设立的仲裁机构的裁决，一方当事人不履行的，对方当事人可以向有管辖权的人民法院申请执行。受申请的人民法院应当执行。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被申请人提出证据证明仲裁裁决有下列情形之一的，经人民法院组成合议庭审查核实，裁定不予执行: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（一）当事人在合同中没有订有仲裁条款或者事后没有达成书面仲裁协议的；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（二）裁决的事项不属于仲裁协议的范围或者仲裁机构无权仲裁的；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（三）仲裁庭的组成或者仲裁的程序违反法定程序的；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（四）裁决所根据的证据是伪造的；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（五）对方当事人向仲裁机构隐瞒了足以影响公正裁决的证据的；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（六）仲裁员在仲裁该案时有贪污受贿，徇私舞弊，枉法裁决行为的。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人民法院认定执行该裁决违背社会公共利益的，裁定不予执行。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裁定书应当送达双方当事人和仲裁机构。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仲裁裁决被人民法院裁定不予执行的，当事人可以根据双方达成的书面仲裁协议重新申请仲裁，也可以向人民法院起诉。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第二百三十八条</w:t>
      </w:r>
      <w:r>
        <w:rPr>
          <w:rFonts w:hint="eastAsia" w:ascii="宋体" w:hAnsi="宋体" w:eastAsia="仿宋_GB2312" w:cs="仿宋_GB2312"/>
          <w:kern w:val="0"/>
          <w:szCs w:val="32"/>
        </w:rPr>
        <w:t>　对公证机关依法赋予强制执行效力的债权文书，一方当事人不履行的，对方当事人可以向有管辖权的人民法院申请执行，受申请的人民法院应当执行。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公证债权文书确有错误的，人民法院裁定不予执行，并将裁定书送达双方当事人和公证机关。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第二百三十九条</w:t>
      </w:r>
      <w:r>
        <w:rPr>
          <w:rFonts w:hint="eastAsia" w:ascii="宋体" w:hAnsi="宋体" w:eastAsia="仿宋_GB2312" w:cs="仿宋_GB2312"/>
          <w:kern w:val="0"/>
          <w:szCs w:val="32"/>
        </w:rPr>
        <w:t>　申请执行的期间为二年。申请执行时效的中止、中断，适用法律有关诉讼时效中止、中断的规定。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前款规定的期间，从法律文书规定履行期间的最后一日起计算；法律文书规定分期履行的，从规定的每次履行期间的最后一日起计算；法律文书未规定履行期间的，从法律文书生效之日起计算。</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第二百四十条</w:t>
      </w:r>
      <w:r>
        <w:rPr>
          <w:rFonts w:hint="eastAsia" w:ascii="宋体" w:hAnsi="宋体" w:eastAsia="仿宋_GB2312" w:cs="仿宋_GB2312"/>
          <w:kern w:val="0"/>
          <w:szCs w:val="32"/>
        </w:rPr>
        <w:t>　执行员接到申请执行书或者移交执行书，应当向被执行人发出执行通知，并可以立即采取强制执行措施。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第二十一章　执行措施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第二百四十一条</w:t>
      </w:r>
      <w:r>
        <w:rPr>
          <w:rFonts w:hint="eastAsia" w:ascii="宋体" w:hAnsi="宋体" w:eastAsia="仿宋_GB2312" w:cs="仿宋_GB2312"/>
          <w:kern w:val="0"/>
          <w:szCs w:val="32"/>
        </w:rPr>
        <w:t>　被执行人未按执行通知履行法律文书确定的义务，应当报告当前以及收到执行通知之日前一年的财产情况。被执行人拒绝报告或者虚假报告的，人民法院可以根据情节轻重对被执行人或者其法定代理人、有关单位的主要负责人或者直接责任人员予以罚款、拘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第二百四十二条</w:t>
      </w:r>
      <w:r>
        <w:rPr>
          <w:rFonts w:hint="eastAsia" w:ascii="宋体" w:hAnsi="宋体" w:eastAsia="仿宋_GB2312" w:cs="仿宋_GB2312"/>
          <w:kern w:val="0"/>
          <w:szCs w:val="32"/>
        </w:rPr>
        <w:t>　被执行人未按执行通知履行法律文书确定的义务，人民法院有权向有关单位查询被执行人的存款、债券、股票、基金份额等财产情况。人民法院有权根据不同情形扣押、冻结、划拨、变价被执行人的财产。人民法院查询、扣押、冻结、划拨、变价的财产不得超出被执行人应当履行义务的范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人民法院决定扣押、冻结、划拨、变价财产，应当作出裁定，并发出协助执行通知书，有关单位必须办理。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第二百四十三条</w:t>
      </w:r>
      <w:r>
        <w:rPr>
          <w:rFonts w:hint="eastAsia" w:ascii="宋体" w:hAnsi="宋体" w:eastAsia="仿宋_GB2312" w:cs="仿宋_GB2312"/>
          <w:kern w:val="0"/>
          <w:szCs w:val="32"/>
        </w:rPr>
        <w:t>　被执行人未按执行通知履行法律文书确定的义务，人民法院有权扣留、提取被执行人应当履行义务部分的收入。但应当保留被执行人及其所扶养家属的生活必需费用。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人民法院扣留、提取收入时，应当作出裁定，并发出协助执行通知书，被执行人所在单位、银行、信用合作社和其他有储蓄业务的单位必须办理。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第二百四十四条</w:t>
      </w:r>
      <w:r>
        <w:rPr>
          <w:rFonts w:hint="eastAsia" w:ascii="宋体" w:hAnsi="宋体" w:eastAsia="仿宋_GB2312" w:cs="仿宋_GB2312"/>
          <w:kern w:val="0"/>
          <w:szCs w:val="32"/>
        </w:rPr>
        <w:t>　被执行人未按执行通知履行法律文书确定的义务，人民法院有权查封、扣押、冻结、拍卖、变卖被执行人应当履行义务部分的财产。但应当保留被执行人及其所扶养家属的生活必需品。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采取前款措施，人民法院应当作出裁定。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第二百四十五条</w:t>
      </w:r>
      <w:r>
        <w:rPr>
          <w:rFonts w:hint="eastAsia" w:ascii="宋体" w:hAnsi="宋体" w:eastAsia="仿宋_GB2312" w:cs="仿宋_GB2312"/>
          <w:kern w:val="0"/>
          <w:szCs w:val="32"/>
        </w:rPr>
        <w:t>　人民法院查封、扣押财产时，被执行人是公民的，应当通知被执行人或者他的成年家属到场；被执行人是法人或者其他组织的，应当通知其法定代表人或者主要负责人到场。拒不到场的，不影响执行。被执行人是公民的，其工作单位或者财产所在地的基层组织应当派人参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对被查封、扣押的财产，执行员必须造具清单，由在场人签名或者盖章后，交被执行人一份。被执行人是公民的，也可以交他的成年家属一份。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第二百四十六条</w:t>
      </w:r>
      <w:r>
        <w:rPr>
          <w:rFonts w:hint="eastAsia" w:ascii="宋体" w:hAnsi="宋体" w:eastAsia="仿宋_GB2312" w:cs="仿宋_GB2312"/>
          <w:kern w:val="0"/>
          <w:szCs w:val="32"/>
        </w:rPr>
        <w:t>　被查封的财产，执行员可以指定被执行人负责保管。因被执行人的过错造成的损失，由被执行人承担。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第二百四十七条</w:t>
      </w:r>
      <w:r>
        <w:rPr>
          <w:rFonts w:hint="eastAsia" w:ascii="宋体" w:hAnsi="宋体" w:eastAsia="仿宋_GB2312" w:cs="仿宋_GB2312"/>
          <w:kern w:val="0"/>
          <w:szCs w:val="32"/>
        </w:rPr>
        <w:t>　财产被查封、扣押后，执行员应当责令被执行人在指定期间履行法律文书确定的义务。被执行人逾期不履行的，人民法院应当拍卖被查封、扣押的财产；不适于拍卖或者当事人双方同意不进行拍卖的，人民法院可以委托有关单位变卖或者自行变卖。国家禁止自由买卖的物品，交有关单位按照国家规定的价格收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第二百四十八条</w:t>
      </w:r>
      <w:r>
        <w:rPr>
          <w:rFonts w:hint="eastAsia" w:ascii="宋体" w:hAnsi="宋体" w:eastAsia="仿宋_GB2312" w:cs="仿宋_GB2312"/>
          <w:kern w:val="0"/>
          <w:szCs w:val="32"/>
        </w:rPr>
        <w:t>　被执行人不履行法律文书确定的义务，并隐匿财产的，人民法院有权发出搜查令，对被执行人及其住所或者财产隐匿地进行搜查。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采取前款措施，由院长签发搜查令。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第二百四十九条</w:t>
      </w:r>
      <w:r>
        <w:rPr>
          <w:rFonts w:hint="eastAsia" w:ascii="宋体" w:hAnsi="宋体" w:eastAsia="仿宋_GB2312" w:cs="仿宋_GB2312"/>
          <w:kern w:val="0"/>
          <w:szCs w:val="32"/>
        </w:rPr>
        <w:t>　法律文书指定交付的财物或者票证，由执行员传唤双方当事人当面交付，或者由执行员转交，并由被交付人签收。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有关单位持有该项财物或者票证的，应当根据人民法院的协助执行通知书转交，并由被交付人签收。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有关公民持有该项财物或者票证的，人民法院通知其交出。拒不交出的，强制执行。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第二百五十条</w:t>
      </w:r>
      <w:r>
        <w:rPr>
          <w:rFonts w:hint="eastAsia" w:ascii="宋体" w:hAnsi="宋体" w:eastAsia="仿宋_GB2312" w:cs="仿宋_GB2312"/>
          <w:kern w:val="0"/>
          <w:szCs w:val="32"/>
        </w:rPr>
        <w:t>　强制迁出房屋或者强制退出土地，由院长签发公告，责令被执行人在指定期间履行。被执行人逾期不履行的，由执行员强制执行。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强制执行时，被执行人是公民的，应当通知被执行人或者他的成年家属到场；被执行人是法人或者其他组织的，应当通知其法定代表人或者主要负责人到场。拒不到场的，不影响执行。被执行人是公民的，其工作单位或者房屋、土地所在地的基层组织应当派人参加。执行员应当将强制执行情况记入笔录，由在场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强制迁出房屋被搬出的财物，由人民法院派人运至指定处所，交给被执行人。被执行人是公民的，也可以交给他的成年家属。因拒绝接收而造成的损失，由被执行人承担。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第二百五十一条</w:t>
      </w:r>
      <w:r>
        <w:rPr>
          <w:rFonts w:hint="eastAsia" w:ascii="宋体" w:hAnsi="宋体" w:eastAsia="仿宋_GB2312" w:cs="仿宋_GB2312"/>
          <w:kern w:val="0"/>
          <w:szCs w:val="32"/>
        </w:rPr>
        <w:t>　在执行中，需要办理有关财产权证照转移手续的，人民法院可以向有关单位发出协助执行通知书，有关单位必须办理。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第二百五十二条</w:t>
      </w:r>
      <w:r>
        <w:rPr>
          <w:rFonts w:hint="eastAsia" w:ascii="宋体" w:hAnsi="宋体" w:eastAsia="仿宋_GB2312" w:cs="仿宋_GB2312"/>
          <w:kern w:val="0"/>
          <w:szCs w:val="32"/>
        </w:rPr>
        <w:t>　对判决、裁定和其他法律文书指定的行为，被执行人未按执行通知履行的，人民法院可以强制执行或者委托有关单位或者其他人完成，费用由被执行人承担。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第二百五十三条</w:t>
      </w:r>
      <w:r>
        <w:rPr>
          <w:rFonts w:hint="eastAsia" w:ascii="宋体" w:hAnsi="宋体" w:eastAsia="仿宋_GB2312" w:cs="仿宋_GB2312"/>
          <w:kern w:val="0"/>
          <w:szCs w:val="32"/>
        </w:rPr>
        <w:t>　被执行人未按判决、裁定和其他法律文书指定的期间履行给付金钱义务的，应当加倍支付迟延履行期间的债务利息。被执行人未按判决、裁定和其他法律文书指定的期间履行其他义务的，应当支付迟延履行金。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第二百五十四条</w:t>
      </w:r>
      <w:r>
        <w:rPr>
          <w:rFonts w:hint="eastAsia" w:ascii="宋体" w:hAnsi="宋体" w:eastAsia="仿宋_GB2312" w:cs="仿宋_GB2312"/>
          <w:kern w:val="0"/>
          <w:szCs w:val="32"/>
        </w:rPr>
        <w:t>　人民法院采取本法第二百四十二条、第二百四十三条、第二百四十四条规定的执行措施后，被执行人仍不能偿还债务的，应当继续履行义务。债权人发现被执行人有其他财产的，可以随时请求人民法院执行。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第二百五十五条</w:t>
      </w:r>
      <w:r>
        <w:rPr>
          <w:rFonts w:hint="eastAsia" w:ascii="宋体" w:hAnsi="宋体" w:eastAsia="仿宋_GB2312" w:cs="仿宋_GB2312"/>
          <w:kern w:val="0"/>
          <w:szCs w:val="32"/>
        </w:rPr>
        <w:t>　被执行人不履行法律文书确定的义务的，人民法院可以对其采取或者通知有关单位协助采取限制出境，在征信系统记录、通过媒体公布不履行义务信息以及法律规定的其他措施。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第二十二章　执行中止和终结</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第二百五十六条</w:t>
      </w:r>
      <w:r>
        <w:rPr>
          <w:rFonts w:hint="eastAsia" w:ascii="宋体" w:hAnsi="宋体" w:eastAsia="仿宋_GB2312" w:cs="仿宋_GB2312"/>
          <w:kern w:val="0"/>
          <w:szCs w:val="32"/>
        </w:rPr>
        <w:t>　有下列情形之一的，人民法院应当裁定中止执行: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（一）申请人表示可以延期执行的；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（二）案外人对执行标的提出确有理由的异议的；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（三）作为一方当事人的公民死亡，需要等待继承人继承权利或者承担义务的；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（四）作为一方当事人的法人或者其他组织终止，尚未确定权利义务承受人的；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（五）人民法院认为应当中止执行的其他情形。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中止的情形消失后，恢复执行。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第二百五十七条</w:t>
      </w:r>
      <w:r>
        <w:rPr>
          <w:rFonts w:hint="eastAsia" w:ascii="宋体" w:hAnsi="宋体" w:eastAsia="仿宋_GB2312" w:cs="仿宋_GB2312"/>
          <w:kern w:val="0"/>
          <w:szCs w:val="32"/>
        </w:rPr>
        <w:t>　有下列情形之一的，人民法院裁定终结执行: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（一）申请人撤销申请的；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（二）据以执行的法律文书被撤销的；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（三）作为被执行人的公民死亡，无遗产可供执行，又无义务承担人的；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（四）追索赡养费、扶养费、抚育费案件的权利人死亡的；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（五）作为被执行人的公民因生活困难无力偿还借款，无收入来源，又丧失劳动能力的；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（六）人民法院认为应当终结执行的其他情形。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第二百五十八条</w:t>
      </w:r>
      <w:r>
        <w:rPr>
          <w:rFonts w:hint="eastAsia" w:ascii="宋体" w:hAnsi="宋体" w:eastAsia="仿宋_GB2312" w:cs="仿宋_GB2312"/>
          <w:kern w:val="0"/>
          <w:szCs w:val="32"/>
        </w:rPr>
        <w:t>　中止和终结执行的裁定，送达当事人后立即生效。</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第四编　涉外民事诉讼程序的特别规定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第二十三章　一般原则</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第二百五十九条</w:t>
      </w:r>
      <w:r>
        <w:rPr>
          <w:rFonts w:hint="eastAsia" w:ascii="宋体" w:hAnsi="宋体" w:eastAsia="仿宋_GB2312" w:cs="仿宋_GB2312"/>
          <w:kern w:val="0"/>
          <w:szCs w:val="32"/>
        </w:rPr>
        <w:t>　在中华人民共和国领域内进行涉外民事诉讼，适用本编规定。本编没有规定的，适用本法其他有关规定。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第二百六十条</w:t>
      </w:r>
      <w:r>
        <w:rPr>
          <w:rFonts w:hint="eastAsia" w:ascii="宋体" w:hAnsi="宋体" w:eastAsia="仿宋_GB2312" w:cs="仿宋_GB2312"/>
          <w:kern w:val="0"/>
          <w:szCs w:val="32"/>
        </w:rPr>
        <w:t>　中华人民共和国缔结或者参加的国际条约同本法有不同规定的，适用该国际条约的规定，但中华人民共和国声明保留的条款除外。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第二百六十一条</w:t>
      </w:r>
      <w:r>
        <w:rPr>
          <w:rFonts w:hint="eastAsia" w:ascii="宋体" w:hAnsi="宋体" w:eastAsia="仿宋_GB2312" w:cs="仿宋_GB2312"/>
          <w:kern w:val="0"/>
          <w:szCs w:val="32"/>
        </w:rPr>
        <w:t>　对享有外交特权与豁免的外国人、外国组织或者国际组织提起的民事诉讼，应当依照中华人民共和国有关法律和中华人民共和国缔结或者参加的国际条约的规定办理。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第二百六十二条</w:t>
      </w:r>
      <w:r>
        <w:rPr>
          <w:rFonts w:hint="eastAsia" w:ascii="宋体" w:hAnsi="宋体" w:eastAsia="仿宋_GB2312" w:cs="仿宋_GB2312"/>
          <w:kern w:val="0"/>
          <w:szCs w:val="32"/>
        </w:rPr>
        <w:t>　人民法院审理涉外民事案件，应当使用中华人民共和国通用的语言、文字。当事人要求提供翻译的，可以提供，费用由当事人承担。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第二百六十三条</w:t>
      </w:r>
      <w:r>
        <w:rPr>
          <w:rFonts w:hint="eastAsia" w:ascii="宋体" w:hAnsi="宋体" w:eastAsia="仿宋_GB2312" w:cs="仿宋_GB2312"/>
          <w:kern w:val="0"/>
          <w:szCs w:val="32"/>
        </w:rPr>
        <w:t>　外国人、无国籍人、外国企业和组织在人民法院起诉、应诉，需要委托律师代理诉讼的，必须委托中华人民共和国的律师。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第二百六十四条</w:t>
      </w:r>
      <w:r>
        <w:rPr>
          <w:rFonts w:hint="eastAsia" w:ascii="宋体" w:hAnsi="宋体" w:eastAsia="仿宋_GB2312" w:cs="仿宋_GB2312"/>
          <w:kern w:val="0"/>
          <w:szCs w:val="32"/>
        </w:rPr>
        <w:t>　在中华人民共和国领域内没有住所的外国人、无国籍人、外国企业和组织委托中华人民共和国律师或者其他人代理诉讼，从中华人民共和国领域外寄交或者托交的授权委托书，应当经所在国公证机关证明，并经中华人民共和国驻该国使领馆认证，或者履行中华人民共和国与该所在国订立的有关条约中规定的证明手续后，才具有效力。</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第二十四章　管辖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第二百六十五条</w:t>
      </w:r>
      <w:r>
        <w:rPr>
          <w:rFonts w:hint="eastAsia" w:ascii="宋体" w:hAnsi="宋体" w:eastAsia="仿宋_GB2312" w:cs="仿宋_GB2312"/>
          <w:kern w:val="0"/>
          <w:szCs w:val="32"/>
        </w:rPr>
        <w:t>　因合同纠纷或者其他财产权益纠纷，对在中华人民共和国领域内没有住所的被告提起的诉讼，如果合同在中华人民共和国领域内签订或者履行，或者诉讼标的物在中华人民共和国领域内，或者被告在中华人民共和国领域内有可供扣押的财产，或者被告在中华人民共和国领域内设有代表机构，可以由合同签订地、合同履行地、诉讼标的物所在地、可供扣押财产所在地、侵权行为地或者代表机构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第二百六十六条</w:t>
      </w:r>
      <w:r>
        <w:rPr>
          <w:rFonts w:hint="eastAsia" w:ascii="宋体" w:hAnsi="宋体" w:eastAsia="仿宋_GB2312" w:cs="仿宋_GB2312"/>
          <w:kern w:val="0"/>
          <w:szCs w:val="32"/>
        </w:rPr>
        <w:t>　因在中华人民共和国履行中外合资经营企业合同、中外合作经营企业合同、中外合作勘探开发自然资源合同发生纠纷提起的诉讼，由中华人民共和国人民法院管辖。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第二十五章　送达、期间</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第二百六十七条</w:t>
      </w:r>
      <w:r>
        <w:rPr>
          <w:rFonts w:hint="eastAsia" w:ascii="宋体" w:hAnsi="宋体" w:eastAsia="仿宋_GB2312" w:cs="仿宋_GB2312"/>
          <w:kern w:val="0"/>
          <w:szCs w:val="32"/>
        </w:rPr>
        <w:t>　人民法院对在中华人民共和国领域内没有住所的当事人送达诉讼文书，可以采用下列方式: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（一）依照受送达人所在国与中华人民共和国缔结或者共同参加的国际条约中规定的方式送达；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（二）通过外交途径送达；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（三）对具有中华人民共和国国籍的受送达人，可以委托中华人民共和国</w:t>
      </w:r>
      <w:r>
        <w:rPr>
          <w:rFonts w:hint="eastAsia" w:ascii="宋体" w:hAnsi="宋体" w:eastAsia="仿宋_GB2312" w:cs="仿宋_GB2312"/>
          <w:kern w:val="0"/>
          <w:szCs w:val="32"/>
          <w:highlight w:val="none"/>
        </w:rPr>
        <w:t>驻受</w:t>
      </w:r>
      <w:r>
        <w:rPr>
          <w:rFonts w:hint="eastAsia" w:ascii="宋体" w:hAnsi="宋体" w:eastAsia="仿宋_GB2312" w:cs="仿宋_GB2312"/>
          <w:kern w:val="0"/>
          <w:szCs w:val="32"/>
        </w:rPr>
        <w:t>送达人所在国的使领馆代为送达；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（四）向受送达人委托的有权代其接受送达的诉讼代理人送达；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（五）向受送达人在中华人民共和国领域内设立的代表机构或者有权接受送达的分支机构、业务代办人送达；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（六）受送达人所在国的法律允许邮寄送达的，可以邮寄送达，自邮寄之日起满三个月，送达回证没有退回，但根据各种情况足以认定已经送达的，期间届满之日视为送达；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（七）采用传真、电子邮件等能够确认受送达人收悉的方式送达；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（八）不能用上述方式送达的，公告送达，自公告之日起满三个月，即视为送达。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第二百六十八条</w:t>
      </w:r>
      <w:r>
        <w:rPr>
          <w:rFonts w:hint="eastAsia" w:ascii="宋体" w:hAnsi="宋体" w:eastAsia="仿宋_GB2312" w:cs="仿宋_GB2312"/>
          <w:kern w:val="0"/>
          <w:szCs w:val="32"/>
        </w:rPr>
        <w:t>　被告在中华人民共和国领域内没有住所的，人民法院应当将起诉状副本送达被告，并通知被告在收到起诉状副本后三十日内提出答辩状。被告申请延期的，是否准许，由人民法院决定。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第二百六十九条</w:t>
      </w:r>
      <w:r>
        <w:rPr>
          <w:rFonts w:hint="eastAsia" w:ascii="宋体" w:hAnsi="宋体" w:eastAsia="仿宋_GB2312" w:cs="仿宋_GB2312"/>
          <w:kern w:val="0"/>
          <w:szCs w:val="32"/>
        </w:rPr>
        <w:t>　在中华人民共和国领域内没有住所的当事人，不服第一审人民法院判决、裁定的，有权在判决书、裁定书送达之日起三十日内提起上诉。被上诉人在收到上诉状副本后，应当在三十日内提出答辩状。当事人不能在法定期间提起上诉或者提出答辩状，申请延期的，是否准许，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第二百七十条</w:t>
      </w:r>
      <w:r>
        <w:rPr>
          <w:rFonts w:hint="eastAsia" w:ascii="宋体" w:hAnsi="宋体" w:eastAsia="仿宋_GB2312" w:cs="仿宋_GB2312"/>
          <w:kern w:val="0"/>
          <w:szCs w:val="32"/>
        </w:rPr>
        <w:t>　人民法院审理涉外民事案件的期间，不受本法第一百四十九条、第一百七十六条规定的限制。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第二十六章　仲裁</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第二百七十一条</w:t>
      </w:r>
      <w:r>
        <w:rPr>
          <w:rFonts w:hint="eastAsia" w:ascii="宋体" w:hAnsi="宋体" w:eastAsia="仿宋_GB2312" w:cs="仿宋_GB2312"/>
          <w:kern w:val="0"/>
          <w:szCs w:val="32"/>
        </w:rPr>
        <w:t>　涉外经济贸易、运输和海事中发生的纠纷，当事人在合同</w:t>
      </w:r>
      <w:r>
        <w:rPr>
          <w:rFonts w:hint="eastAsia" w:ascii="宋体" w:hAnsi="宋体" w:eastAsia="仿宋_GB2312" w:cs="仿宋_GB2312"/>
          <w:kern w:val="0"/>
          <w:szCs w:val="32"/>
          <w:highlight w:val="none"/>
        </w:rPr>
        <w:t>中订</w:t>
      </w:r>
      <w:r>
        <w:rPr>
          <w:rFonts w:hint="eastAsia" w:ascii="宋体" w:hAnsi="宋体" w:eastAsia="仿宋_GB2312" w:cs="仿宋_GB2312"/>
          <w:kern w:val="0"/>
          <w:szCs w:val="32"/>
        </w:rPr>
        <w:t>有仲裁条款或者事后达成书面仲裁协议，提交中华人民共和国涉外仲裁机构或者其他仲裁机构仲裁的，当事人不得向人民法院起诉。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当事人在合同中没有订有仲裁条款或者事后没有达成书面仲裁协议的，可以向人民法院起诉。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第二百七十二条</w:t>
      </w:r>
      <w:r>
        <w:rPr>
          <w:rFonts w:hint="eastAsia" w:ascii="宋体" w:hAnsi="宋体" w:eastAsia="仿宋_GB2312" w:cs="仿宋_GB2312"/>
          <w:kern w:val="0"/>
          <w:szCs w:val="32"/>
        </w:rPr>
        <w:t>　当事人申请采取保全的，中华人民共和国的涉外仲裁机构应当将当事人的申请，提交被申请人住所地或者财产所在地的中级人民法院裁定。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第二百七十三条</w:t>
      </w:r>
      <w:r>
        <w:rPr>
          <w:rFonts w:hint="eastAsia" w:ascii="宋体" w:hAnsi="宋体" w:eastAsia="仿宋_GB2312" w:cs="仿宋_GB2312"/>
          <w:kern w:val="0"/>
          <w:szCs w:val="32"/>
        </w:rPr>
        <w:t>　经中华人民共和国涉外仲裁机构裁决的，当事人不得向人民法院起诉。一方当事人不履行仲裁裁决的，对方当事人可以向被申请人住所地或者财产所在地的中级人民法院申请执行。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第二百七十四条</w:t>
      </w:r>
      <w:r>
        <w:rPr>
          <w:rFonts w:hint="eastAsia" w:ascii="宋体" w:hAnsi="宋体" w:eastAsia="仿宋_GB2312" w:cs="仿宋_GB2312"/>
          <w:kern w:val="0"/>
          <w:szCs w:val="32"/>
        </w:rPr>
        <w:t>　对中华人民共和国涉外仲裁机构作出的裁决，被申请人提出证据证明仲裁裁决有下列情形之一的，经人民法院组成合议庭审查核实，裁定不予执行: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（一）当事人在合同中没有订有仲裁条款或者事后没有达成书面仲裁协议的；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（二）被申请人没有得到指定仲裁员或者进行仲裁程序的通知，或者由于其他不属于被申请人负责的原因未能陈述意见的；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（三）仲裁庭的组成或者仲裁的程序与仲裁规则不符的；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（四）裁决的事项不属于仲裁协议的范围或者仲裁机构无权仲裁的。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人民法院认定执行该裁决违背社会公共利益的，裁定不予执行。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第二百七十五条</w:t>
      </w:r>
      <w:r>
        <w:rPr>
          <w:rFonts w:hint="eastAsia" w:ascii="宋体" w:hAnsi="宋体" w:eastAsia="仿宋_GB2312" w:cs="仿宋_GB2312"/>
          <w:kern w:val="0"/>
          <w:szCs w:val="32"/>
        </w:rPr>
        <w:t>　仲裁裁决被人民法院裁定不予执行的，当事人可以根据双方达成的书面仲裁协议重新申请仲裁，也可以向人民法院起诉。</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第二十七章　司法协助</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第二百七十六条</w:t>
      </w:r>
      <w:r>
        <w:rPr>
          <w:rFonts w:hint="eastAsia" w:ascii="宋体" w:hAnsi="宋体" w:eastAsia="仿宋_GB2312" w:cs="仿宋_GB2312"/>
          <w:kern w:val="0"/>
          <w:szCs w:val="32"/>
        </w:rPr>
        <w:t>　根据中华人民共和国缔结或者参加的国际条约，或者按照互惠原则，人民法院和外国法院可以相互请求，代为送达文书、调查取证以及进行其他诉讼行为。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外国法院请求协助的事项有损于中华人民共和国的主权、安全或者社会公共利益的，人民法院不予执行。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第二百七十七条</w:t>
      </w:r>
      <w:r>
        <w:rPr>
          <w:rFonts w:hint="eastAsia" w:ascii="宋体" w:hAnsi="宋体" w:eastAsia="仿宋_GB2312" w:cs="仿宋_GB2312"/>
          <w:kern w:val="0"/>
          <w:szCs w:val="32"/>
        </w:rPr>
        <w:t>　请求和提供司法协助，应当依照中华人民共和国缔结或者参加的国际条约所规定的途径进行；没有条约关系的，通过外交途径进行。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外国驻中华人民共和国的使领馆可以向该国公民送达文书和调查取证，但不得违反中华人民共和国的法律，并不得采取强制措施。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除前款规定的情况外，未经中华人民共和国主管机关准许，任何外国机关或者个人不得在中华人民共和国领域内送达文书、调查取证。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第二百七十八条</w:t>
      </w:r>
      <w:r>
        <w:rPr>
          <w:rFonts w:hint="eastAsia" w:ascii="宋体" w:hAnsi="宋体" w:eastAsia="仿宋_GB2312" w:cs="仿宋_GB2312"/>
          <w:kern w:val="0"/>
          <w:szCs w:val="32"/>
        </w:rPr>
        <w:t>　外国法院请求人民法院提供司法协助的请求书及其所附文件，应当附有中文译本或者国际条约规定的其他文字文本。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人民法院请求外国法院提供司法协助的请求书及其所附文件，应当附有该国文字译本或者国际条约规定的其他文字文本。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第二百七十九条</w:t>
      </w:r>
      <w:r>
        <w:rPr>
          <w:rFonts w:hint="eastAsia" w:ascii="宋体" w:hAnsi="宋体" w:eastAsia="仿宋_GB2312" w:cs="仿宋_GB2312"/>
          <w:kern w:val="0"/>
          <w:szCs w:val="32"/>
        </w:rPr>
        <w:t>　人民法院提供司法协助，依照中华人民共和国法律规定的程序进行。外国法院请求采用特殊方式的，也可以按照其请求的特殊方式进行，但请求采用的特殊方式不得违反中华人民共和国法律。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第二百八十条</w:t>
      </w:r>
      <w:r>
        <w:rPr>
          <w:rFonts w:hint="eastAsia" w:ascii="宋体" w:hAnsi="宋体" w:eastAsia="仿宋_GB2312" w:cs="仿宋_GB2312"/>
          <w:kern w:val="0"/>
          <w:szCs w:val="32"/>
        </w:rPr>
        <w:t>　人民法院作出的发生法律效力的判决、裁定，如果被执行人或者其财产不在中华人民共和国领域内，当事人请求执行的，可以由当事人直接向有管辖权的外国法院申请承认和执行，也可以由人民法院依照中华人民共和国缔结或者参加的国际条约的规定，或者按照互惠原则，请求外国法院承认和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中华人民共和国涉外仲裁机构作出的发生法律效力的仲裁裁决，当事人请求执行的，如果被执行人或者其财产不在中华人民共和国领域内，应当由当事人直接向有管辖权的外国法院申请承认和执行。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第二百八十一条</w:t>
      </w:r>
      <w:r>
        <w:rPr>
          <w:rFonts w:hint="eastAsia" w:ascii="宋体" w:hAnsi="宋体" w:eastAsia="仿宋_GB2312" w:cs="仿宋_GB2312"/>
          <w:kern w:val="0"/>
          <w:szCs w:val="32"/>
        </w:rPr>
        <w:t>　外国法院作出的发生法律效力的判决、裁定，需要中华人民共和国人民法院承认和执行的，可以由当事人直接向中华人民共和国有管辖权的中级人民法院申请承认和执行，也可以由外国法院依照该国与中华人民共和国缔结或者参加的国际条约的规定，或者按照互惠原则，请求人民法院承认和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第二百八十二条</w:t>
      </w:r>
      <w:r>
        <w:rPr>
          <w:rFonts w:hint="eastAsia" w:ascii="宋体" w:hAnsi="宋体" w:eastAsia="仿宋_GB2312" w:cs="仿宋_GB2312"/>
          <w:kern w:val="0"/>
          <w:szCs w:val="32"/>
        </w:rPr>
        <w:t>　人民法院对申请或者请求承认和执行的外国法院作出的发生法律效力的判决、裁定，依照中华人民共和国缔结或者参加的国际条约，或者按照互惠原则进行审查后，认为不违反中华人民共和国法律的基本原则或者国家主权、安全、社会公共利益的，裁定承认其效力，需要执行的，发出执行令，依照本法的有关规定执行。违反中华人民共和国法律的基本原则或者国家主权、安全、社会公共利益的，不予承认和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第二百八十三条</w:t>
      </w:r>
      <w:r>
        <w:rPr>
          <w:rFonts w:hint="eastAsia" w:ascii="宋体" w:hAnsi="宋体" w:eastAsia="仿宋_GB2312" w:cs="仿宋_GB2312"/>
          <w:kern w:val="0"/>
          <w:szCs w:val="32"/>
        </w:rPr>
        <w:t>　国外仲裁机构的裁决，需要中华人民共和国人民法院承认和执行的，应当由当事人直接向被执行人住所地或者其财产所在地的中级人民法院申请，人民法院应当依照中华人民共和国缔结或者参加的国际条约，或者按照互惠原则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第二百八十四条</w:t>
      </w:r>
      <w:r>
        <w:rPr>
          <w:rFonts w:hint="eastAsia" w:ascii="宋体" w:hAnsi="宋体" w:eastAsia="仿宋_GB2312" w:cs="仿宋_GB2312"/>
          <w:kern w:val="0"/>
          <w:szCs w:val="32"/>
        </w:rPr>
        <w:t>　本法自公布之日起施行，《中华人民共和国民事诉讼法（试行）》同时废止。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br w:type="page"/>
      </w:r>
    </w:p>
    <w:p>
      <w:pPr>
        <w:widowControl w:val="0"/>
        <w:wordWrap/>
        <w:overflowPunct w:val="0"/>
        <w:adjustRightInd/>
        <w:snapToGrid/>
        <w:spacing w:beforeAutospacing="0" w:afterAutospacing="0" w:line="560" w:lineRule="exact"/>
        <w:jc w:val="center"/>
        <w:textAlignment w:val="auto"/>
        <w:outlineLvl w:val="0"/>
        <w:rPr>
          <w:rFonts w:hint="eastAsia" w:ascii="宋体" w:hAnsi="宋体" w:cs="Arial"/>
          <w:kern w:val="0"/>
          <w:sz w:val="44"/>
          <w:szCs w:val="44"/>
        </w:rPr>
      </w:pPr>
      <w:bookmarkStart w:id="221" w:name="_Toc10990"/>
      <w:r>
        <w:rPr>
          <w:rFonts w:hint="eastAsia" w:ascii="宋体" w:hAnsi="宋体" w:eastAsia="宋体" w:cs="宋体"/>
          <w:kern w:val="0"/>
          <w:sz w:val="44"/>
          <w:szCs w:val="44"/>
        </w:rPr>
        <w:t>中华人民共和国行政诉讼法</w:t>
      </w:r>
      <w:bookmarkEnd w:id="221"/>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楷体_GB2312"/>
          <w:kern w:val="0"/>
          <w:szCs w:val="32"/>
          <w:lang w:eastAsia="zh-CN"/>
        </w:rPr>
      </w:pPr>
      <w:r>
        <w:rPr>
          <w:rFonts w:hint="eastAsia" w:ascii="宋体" w:hAnsi="宋体" w:eastAsia="楷体_GB2312" w:cs="楷体_GB2312"/>
          <w:kern w:val="0"/>
          <w:szCs w:val="32"/>
          <w:lang w:eastAsia="zh-CN"/>
        </w:rPr>
        <w:t>（</w:t>
      </w:r>
      <w:r>
        <w:rPr>
          <w:rFonts w:hint="eastAsia" w:ascii="宋体" w:hAnsi="宋体" w:eastAsia="楷体_GB2312" w:cs="楷体_GB2312"/>
          <w:kern w:val="0"/>
          <w:szCs w:val="32"/>
        </w:rPr>
        <w:t>1989年4月4日第七届全国人民代表大会第二次会议通过</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根据2014年11月1日第十二届全国人民代表大会常务委员会第十一次会议《关于修改&lt;中华人民共和国行政诉讼法&gt;的决定》第一次修正</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根据2017年6月27日第十二届全国人民代表大会常务委员会第二十八次会议《关于修改&lt;中华人民共和国民事诉讼法&gt;和&lt;中华人民共和国行政诉讼法&gt;的决定》第二次修正</w:t>
      </w:r>
      <w:r>
        <w:rPr>
          <w:rFonts w:hint="eastAsia" w:ascii="宋体" w:hAnsi="宋体" w:eastAsia="楷体_GB2312" w:cs="楷体_GB2312"/>
          <w:kern w:val="0"/>
          <w:szCs w:val="32"/>
          <w:lang w:eastAsia="zh-CN"/>
        </w:rPr>
        <w:t>）</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w:t>
      </w:r>
      <w:r>
        <w:rPr>
          <w:rFonts w:hint="eastAsia" w:ascii="宋体" w:hAnsi="宋体" w:eastAsia="楷体_GB2312" w:cs="楷体_GB2312"/>
          <w:kern w:val="0"/>
          <w:szCs w:val="32"/>
          <w:lang w:val="en-US" w:eastAsia="zh-CN"/>
        </w:rPr>
        <w:t>　　</w:t>
      </w:r>
      <w:r>
        <w:rPr>
          <w:rFonts w:hint="eastAsia" w:ascii="宋体" w:hAnsi="宋体" w:eastAsia="楷体_GB2312" w:cs="楷体_GB2312"/>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第二章　受案范围</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第四章　诉讼参加人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第五章　证据</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第六章　起诉和受理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第七章　审理和判决</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第一审普通程序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第三节　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第四节　第二审程序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第五节　审判监督程序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第八章　执行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第九章　涉外行政诉讼</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第一章　</w:t>
      </w:r>
      <w:r>
        <w:rPr>
          <w:rFonts w:hint="eastAsia" w:ascii="宋体" w:hAnsi="宋体" w:eastAsia="黑体" w:cs="黑体"/>
          <w:kern w:val="0"/>
          <w:szCs w:val="32"/>
        </w:rPr>
        <w:t>总则</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第一条</w:t>
      </w:r>
      <w:r>
        <w:rPr>
          <w:rFonts w:hint="eastAsia" w:ascii="宋体" w:hAnsi="宋体" w:eastAsia="仿宋_GB2312" w:cs="仿宋_GB2312"/>
          <w:kern w:val="0"/>
          <w:szCs w:val="32"/>
        </w:rPr>
        <w:t>　为保证人民法院公正、及时审理行政案件，解决行政争议，保护公民、法人和其他组织的合法权益，监督行政机关依法行使职权，根据宪法，制定本法。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第二条</w:t>
      </w:r>
      <w:r>
        <w:rPr>
          <w:rFonts w:hint="eastAsia" w:ascii="宋体" w:hAnsi="宋体" w:eastAsia="仿宋_GB2312" w:cs="仿宋_GB2312"/>
          <w:kern w:val="0"/>
          <w:szCs w:val="32"/>
        </w:rPr>
        <w:t>　公民、法人或者其他组织认为行政机关和行政机关工作人员的行政行为侵犯其合法权益，有权依照本法向人民法院提起诉讼。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前款所称行政行为，包括法律、法规、规章授权的组织作出的行政行为。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第三条</w:t>
      </w:r>
      <w:r>
        <w:rPr>
          <w:rFonts w:hint="eastAsia" w:ascii="宋体" w:hAnsi="宋体" w:eastAsia="仿宋_GB2312" w:cs="仿宋_GB2312"/>
          <w:kern w:val="0"/>
          <w:szCs w:val="32"/>
        </w:rPr>
        <w:t>　人民法院应当保障公民、法人和其他组织的起诉权利，对应当受理的行政案件依法受理。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行政机关及其工作人员不得干预、阻碍人民法院受理行政案件。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被诉行政机关负责人应当出庭应诉。不能出庭的，应当委托行政机关相应的工作人员出庭。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第四条</w:t>
      </w:r>
      <w:r>
        <w:rPr>
          <w:rFonts w:hint="eastAsia" w:ascii="宋体" w:hAnsi="宋体" w:eastAsia="仿宋_GB2312" w:cs="仿宋_GB2312"/>
          <w:kern w:val="0"/>
          <w:szCs w:val="32"/>
        </w:rPr>
        <w:t>　人民法院依法对行政案件独立行使审判权，不受行政机关、社会团体和个人的干涉。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人民法院设行政审判庭，审理行政案件。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第五条</w:t>
      </w:r>
      <w:r>
        <w:rPr>
          <w:rFonts w:hint="eastAsia" w:ascii="宋体" w:hAnsi="宋体" w:eastAsia="仿宋_GB2312" w:cs="仿宋_GB2312"/>
          <w:kern w:val="0"/>
          <w:szCs w:val="32"/>
        </w:rPr>
        <w:t>　人民法院审理行政案件，以事实为根据，以法律为准绳。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第六条</w:t>
      </w:r>
      <w:r>
        <w:rPr>
          <w:rFonts w:hint="eastAsia" w:ascii="宋体" w:hAnsi="宋体" w:eastAsia="仿宋_GB2312" w:cs="仿宋_GB2312"/>
          <w:kern w:val="0"/>
          <w:szCs w:val="32"/>
        </w:rPr>
        <w:t>　人民法院审理行政案件，对行政行为是否合法进行审查。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第七条</w:t>
      </w:r>
      <w:r>
        <w:rPr>
          <w:rFonts w:hint="eastAsia" w:ascii="宋体" w:hAnsi="宋体" w:eastAsia="仿宋_GB2312" w:cs="仿宋_GB2312"/>
          <w:kern w:val="0"/>
          <w:szCs w:val="32"/>
        </w:rPr>
        <w:t>　人民法院审理行政案件，依法实行合议、回避、公开审判和两审终审制度。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第八条</w:t>
      </w:r>
      <w:r>
        <w:rPr>
          <w:rFonts w:hint="eastAsia" w:ascii="宋体" w:hAnsi="宋体" w:eastAsia="仿宋_GB2312" w:cs="仿宋_GB2312"/>
          <w:kern w:val="0"/>
          <w:szCs w:val="32"/>
        </w:rPr>
        <w:t>　当事人在行政诉讼中的法律地位平等。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第九条</w:t>
      </w:r>
      <w:r>
        <w:rPr>
          <w:rFonts w:hint="eastAsia" w:ascii="宋体" w:hAnsi="宋体" w:eastAsia="仿宋_GB2312" w:cs="仿宋_GB2312"/>
          <w:kern w:val="0"/>
          <w:szCs w:val="32"/>
        </w:rPr>
        <w:t>　各民族公民都有用本民族语言、文字进行行政诉讼的权利。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在少数民族聚居或者多民族共同居住的地区，人民法院应当用当地民族通用的语言、文字进行审理和发布法律文书。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人民法院应当对不通晓当地民族通用的语言、文字的诉讼参与人提供翻译。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第十条</w:t>
      </w:r>
      <w:r>
        <w:rPr>
          <w:rFonts w:hint="eastAsia" w:ascii="宋体" w:hAnsi="宋体" w:eastAsia="仿宋_GB2312" w:cs="仿宋_GB2312"/>
          <w:kern w:val="0"/>
          <w:szCs w:val="32"/>
        </w:rPr>
        <w:t>　当事人在行政诉讼中有权进行辩论。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第十一条</w:t>
      </w:r>
      <w:r>
        <w:rPr>
          <w:rFonts w:hint="eastAsia" w:ascii="宋体" w:hAnsi="宋体" w:eastAsia="仿宋_GB2312" w:cs="仿宋_GB2312"/>
          <w:kern w:val="0"/>
          <w:szCs w:val="32"/>
        </w:rPr>
        <w:t>　人民检察院有权对行政诉讼实行法律监督。</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第二章　</w:t>
      </w:r>
      <w:r>
        <w:rPr>
          <w:rFonts w:hint="eastAsia" w:ascii="宋体" w:hAnsi="宋体" w:eastAsia="黑体" w:cs="黑体"/>
          <w:kern w:val="0"/>
          <w:szCs w:val="32"/>
        </w:rPr>
        <w:t>受案范围</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第十二条</w:t>
      </w:r>
      <w:r>
        <w:rPr>
          <w:rFonts w:hint="eastAsia" w:ascii="宋体" w:hAnsi="宋体" w:eastAsia="仿宋_GB2312" w:cs="仿宋_GB2312"/>
          <w:kern w:val="0"/>
          <w:szCs w:val="32"/>
        </w:rPr>
        <w:t>　人民法院受理公民、法人或者其他组织提起的下列诉讼: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（一）对行政拘留、暂扣或者吊销许可证和执照、责令停产停业、没收违法所得、没收非法财物、罚款、警告等行政处罚不服的；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（二）对限制人身自由或者对财产的查封、扣押、冻结等行政强制措施和行政强制执行不服的；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（三）申请行政许可，行政机关拒绝或者在法定期限内不予答复，或者对行政机关作出的有关行政许可的其他决定不服的；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（四）对行政机关作出的关于确认土地、矿藏、水流、森林、山岭、草原、荒地、滩涂、海域等自然资源的所有权或者使用权的决定不服的；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（五）对征收、征用决定及其补偿决定不服的；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（六）申请行政机关履行保护人身权、财产权等合法权益的法定职责，行政机关拒绝履行或者不予答复的；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（七）认为行政机关侵犯其经营自主权或者农村土地承包经营权、农村土地经营权的；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（八）认为行政机关滥用行政权力排除或者限制竞争的；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（九）认为行政机关违法集资、摊派费用或者违法要求履行其他义务的；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（十）认为行政机关没有依法支付抚恤金、最低生活保障待遇或者社会保险待遇的；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（十一）认为行政机关不依法履行、未按照约定履行或者违法变更、解除政府特许经营协议、土地房屋征收补偿协议等协议的；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（十二）认为行政机关侵犯其他人身权、财产权等合法权益的。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除前款规定外，人民法院受理法律、法规规定可以提起诉讼的其他行政案件。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第十三条</w:t>
      </w:r>
      <w:r>
        <w:rPr>
          <w:rFonts w:hint="eastAsia" w:ascii="宋体" w:hAnsi="宋体" w:eastAsia="仿宋_GB2312" w:cs="仿宋_GB2312"/>
          <w:kern w:val="0"/>
          <w:szCs w:val="32"/>
        </w:rPr>
        <w:t>　人民法院不受理公民、法人或者其他组织对下列事项提起的诉讼: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（一）国防、外交等国家行为；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（二）行政法规、规章或者行政机关制定、发布的具有普遍约束力的决定、命令；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（三）行政机关对行政机关工作人员的奖惩、任免等决定；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（四）法律规定由行政机关最终裁决的行政行为。</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第三章　</w:t>
      </w:r>
      <w:r>
        <w:rPr>
          <w:rFonts w:hint="eastAsia" w:ascii="宋体" w:hAnsi="宋体" w:eastAsia="黑体" w:cs="黑体"/>
          <w:kern w:val="0"/>
          <w:szCs w:val="32"/>
        </w:rPr>
        <w:t>管辖</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第十四条</w:t>
      </w:r>
      <w:r>
        <w:rPr>
          <w:rFonts w:hint="eastAsia" w:ascii="宋体" w:hAnsi="宋体" w:eastAsia="仿宋_GB2312" w:cs="仿宋_GB2312"/>
          <w:kern w:val="0"/>
          <w:szCs w:val="32"/>
        </w:rPr>
        <w:t>　基层人民法院管辖第一审行政案件。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第十五条</w:t>
      </w:r>
      <w:r>
        <w:rPr>
          <w:rFonts w:hint="eastAsia" w:ascii="宋体" w:hAnsi="宋体" w:eastAsia="仿宋_GB2312" w:cs="仿宋_GB2312"/>
          <w:kern w:val="0"/>
          <w:szCs w:val="32"/>
        </w:rPr>
        <w:t>　中级人民法院管辖下列第一审行政案件: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（一）对国务院部门或者县级以上地方人民政府所作的行政行为提起诉讼的案件；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（二）海关处理的案件；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（三）本辖区内重大、复杂的案件；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（四）其他法律规定由中级人民法院管辖的案件。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第十六条</w:t>
      </w:r>
      <w:r>
        <w:rPr>
          <w:rFonts w:hint="eastAsia" w:ascii="宋体" w:hAnsi="宋体" w:eastAsia="仿宋_GB2312" w:cs="仿宋_GB2312"/>
          <w:kern w:val="0"/>
          <w:szCs w:val="32"/>
        </w:rPr>
        <w:t>　高级人民法院管辖本辖区内重大、复杂的第一审行政案件。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第十七条</w:t>
      </w:r>
      <w:r>
        <w:rPr>
          <w:rFonts w:hint="eastAsia" w:ascii="宋体" w:hAnsi="宋体" w:eastAsia="仿宋_GB2312" w:cs="仿宋_GB2312"/>
          <w:kern w:val="0"/>
          <w:szCs w:val="32"/>
        </w:rPr>
        <w:t>　最高人民法院管辖全国范围内重大、复杂的第一审行政案件。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第十八条</w:t>
      </w:r>
      <w:r>
        <w:rPr>
          <w:rFonts w:hint="eastAsia" w:ascii="宋体" w:hAnsi="宋体" w:eastAsia="仿宋_GB2312" w:cs="仿宋_GB2312"/>
          <w:kern w:val="0"/>
          <w:szCs w:val="32"/>
        </w:rPr>
        <w:t>　行政案件由最初作出行政行为的行政机关所在地人民法院管辖。经复议的案件，也可以由复议机关所在地人民法院管辖。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经最高人民法院批准，高级人民法院可以根据审判工作的实际情况，确定若干人民法院跨行政区域管辖行政案件。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第十九条</w:t>
      </w:r>
      <w:r>
        <w:rPr>
          <w:rFonts w:hint="eastAsia" w:ascii="宋体" w:hAnsi="宋体" w:eastAsia="仿宋_GB2312" w:cs="仿宋_GB2312"/>
          <w:kern w:val="0"/>
          <w:szCs w:val="32"/>
        </w:rPr>
        <w:t>　对限制人身自由的行政强制措施不服提起的诉讼，由被告所在地或者原告所在地人民法院管辖。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第二十条</w:t>
      </w:r>
      <w:r>
        <w:rPr>
          <w:rFonts w:hint="eastAsia" w:ascii="宋体" w:hAnsi="宋体" w:eastAsia="仿宋_GB2312" w:cs="仿宋_GB2312"/>
          <w:kern w:val="0"/>
          <w:szCs w:val="32"/>
        </w:rPr>
        <w:t>　因不动产提起的行政诉讼，由不动产所在地人民法院管辖。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第二十一条</w:t>
      </w:r>
      <w:r>
        <w:rPr>
          <w:rFonts w:hint="eastAsia" w:ascii="宋体" w:hAnsi="宋体" w:eastAsia="仿宋_GB2312" w:cs="仿宋_GB2312"/>
          <w:kern w:val="0"/>
          <w:szCs w:val="32"/>
        </w:rPr>
        <w:t>　两个以上人民法院都有管辖权的案件，原告可以选择其中一个人民法院提起诉讼。原告向两个以上有管辖权的人民法院提起诉讼的，由最先立案的人民法院管辖。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第二十二条</w:t>
      </w:r>
      <w:r>
        <w:rPr>
          <w:rFonts w:hint="eastAsia" w:ascii="宋体" w:hAnsi="宋体" w:eastAsia="仿宋_GB2312" w:cs="仿宋_GB2312"/>
          <w:kern w:val="0"/>
          <w:szCs w:val="32"/>
        </w:rPr>
        <w:t>　人民法院发现受理的案件不属于本院管辖的，应当移送有管辖权的人民法院，受移送的人民法院应当受理。受移送的人民法院认为受移送的案件按照规定不属于本院管辖的，应当报请上级人民法院指定管辖，不得再自行移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第二十三条</w:t>
      </w:r>
      <w:r>
        <w:rPr>
          <w:rFonts w:hint="eastAsia" w:ascii="宋体" w:hAnsi="宋体" w:eastAsia="仿宋_GB2312" w:cs="仿宋_GB2312"/>
          <w:kern w:val="0"/>
          <w:szCs w:val="32"/>
        </w:rPr>
        <w:t>　有管辖权的人民法院由于特殊原因不能行使管辖权的，由上级人民法院指定管辖。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人民法院对管辖权发生争议，由争议双方协商解决。协商不成的，报它们的共同上级人民法院指定管辖。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第二十四条</w:t>
      </w:r>
      <w:r>
        <w:rPr>
          <w:rFonts w:hint="eastAsia" w:ascii="宋体" w:hAnsi="宋体" w:eastAsia="仿宋_GB2312" w:cs="仿宋_GB2312"/>
          <w:kern w:val="0"/>
          <w:szCs w:val="32"/>
        </w:rPr>
        <w:t>　上级人民法院有权审理下级人民法院管辖的第一审行政案件。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下级人民法院对其管辖的第一审行政案件，认为需要由上级人民法院审理或者指定管辖的，可以报请上级人民法院决定。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第四章　</w:t>
      </w:r>
      <w:r>
        <w:rPr>
          <w:rFonts w:hint="eastAsia" w:ascii="宋体" w:hAnsi="宋体" w:eastAsia="黑体" w:cs="黑体"/>
          <w:kern w:val="0"/>
          <w:szCs w:val="32"/>
        </w:rPr>
        <w:t>诉讼参加人</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第二十五条</w:t>
      </w:r>
      <w:r>
        <w:rPr>
          <w:rFonts w:hint="eastAsia" w:ascii="宋体" w:hAnsi="宋体" w:eastAsia="仿宋_GB2312" w:cs="仿宋_GB2312"/>
          <w:kern w:val="0"/>
          <w:szCs w:val="32"/>
        </w:rPr>
        <w:t>　行政行为的相对人以及其他与行政行为有利害关系的公民、法人或者其他组织，有权提起诉讼。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有权提起诉讼的公民死亡，其近亲属可以提起诉讼。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有权提起诉讼的法人或者其他组织终止，承受其权利的法人或者其他组织可以提起诉讼。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检察院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行政机关不依法履行职责的，人民检察院依法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第二十六条</w:t>
      </w:r>
      <w:r>
        <w:rPr>
          <w:rFonts w:hint="eastAsia" w:ascii="宋体" w:hAnsi="宋体" w:eastAsia="仿宋_GB2312" w:cs="仿宋_GB2312"/>
          <w:kern w:val="0"/>
          <w:szCs w:val="32"/>
        </w:rPr>
        <w:t>　公民、法人或者其他组织直接向人民法院提起诉讼的，作出行政行为的行政机关是被告。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经复议的案件，复议机关决定维持原行政行为的，作出原行政行为的行政机关和复议机关是共同被告；复议机关改变原行政行为的，复议机关是被告。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复议机关在法定期限内未作出复议决定，公民、法人或者其他组织起诉原行政行为的，作出原行政行为的行政机关是被告；起诉复议机关不作为的，复议机关是被告。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两个以上行政机关作出同一行政行为的，共同作出行政行为的行政机关是共同被告。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行政机关委托的组织所作的行政行为，委托的行政机关是被告。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行政机关被撤销或者职权变更的，继续行使其职权的行政机关是被告。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第二十七条</w:t>
      </w:r>
      <w:r>
        <w:rPr>
          <w:rFonts w:hint="eastAsia" w:ascii="宋体" w:hAnsi="宋体" w:eastAsia="仿宋_GB2312" w:cs="仿宋_GB2312"/>
          <w:kern w:val="0"/>
          <w:szCs w:val="32"/>
        </w:rPr>
        <w:t>　当事人一方或者双方为二人以上，因同一行政行为发生的行政案件，或者因同类行政行为发生的行政案件、人民法院认为可以合并审理并经当事人同意的，为共同诉讼。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第二十八条</w:t>
      </w:r>
      <w:r>
        <w:rPr>
          <w:rFonts w:hint="eastAsia" w:ascii="宋体" w:hAnsi="宋体" w:eastAsia="仿宋_GB2312" w:cs="仿宋_GB2312"/>
          <w:kern w:val="0"/>
          <w:szCs w:val="32"/>
        </w:rPr>
        <w:t>　当事人一方人数众多的共同诉讼，可以由当事人推选代表人进行诉讼。代表人的诉讼行为对其所代表的当事人发生效力，但代表人变更、放弃诉讼请求或者承认对方当事人的诉讼请求，应当经被代表的当事人同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第二十九条</w:t>
      </w:r>
      <w:r>
        <w:rPr>
          <w:rFonts w:hint="eastAsia" w:ascii="宋体" w:hAnsi="宋体" w:eastAsia="仿宋_GB2312" w:cs="仿宋_GB2312"/>
          <w:kern w:val="0"/>
          <w:szCs w:val="32"/>
        </w:rPr>
        <w:t>　公民、法人或者其他组织同被诉行政行为有利害关系但没有提起诉讼，或者同案件处理结果有利害关系的，可以作为第三人申请参加诉讼，或者由人民法院通知参加诉讼。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人民法院判决第三人承担义务或者减损第三人权益的，第三人有权依法提起上诉。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第三十条</w:t>
      </w:r>
      <w:r>
        <w:rPr>
          <w:rFonts w:hint="eastAsia" w:ascii="宋体" w:hAnsi="宋体" w:eastAsia="仿宋_GB2312" w:cs="仿宋_GB2312"/>
          <w:kern w:val="0"/>
          <w:szCs w:val="32"/>
        </w:rPr>
        <w:t>　没有诉讼行为能力的公民，由其法定代理人代为诉讼。法定代理人互相推诿代理责任的，由人民法院指定其中一人代为诉讼。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第三十一条</w:t>
      </w:r>
      <w:r>
        <w:rPr>
          <w:rFonts w:hint="eastAsia" w:ascii="宋体" w:hAnsi="宋体" w:eastAsia="仿宋_GB2312" w:cs="仿宋_GB2312"/>
          <w:kern w:val="0"/>
          <w:szCs w:val="32"/>
        </w:rPr>
        <w:t>　当事人、法定代理人，可以委托一至二人作为诉讼代理人。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下列人员可以被委托为诉讼代理人: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（一）律师、基层法律服务工作者；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（二）当事人的近亲属或者工作人员；</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（三）当事人所在社区、单位以及有关社会团体推荐的公民。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第三十二条</w:t>
      </w:r>
      <w:r>
        <w:rPr>
          <w:rFonts w:hint="eastAsia" w:ascii="宋体" w:hAnsi="宋体" w:eastAsia="仿宋_GB2312" w:cs="仿宋_GB2312"/>
          <w:kern w:val="0"/>
          <w:szCs w:val="32"/>
        </w:rPr>
        <w:t>　代理诉讼的律师，有权按照规定查阅、复制本案有关材料，有权向有关组织和公民调查，收集与本案有关的证据。对涉及国家秘密、商业秘密和个人隐私的材料，应当依照法律规定保密。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当事人和其他诉讼代理人有权按照规定查阅、复制本案庭审材料，但涉及国家秘密、商业秘密和个人隐私的内容除外。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第五章　</w:t>
      </w:r>
      <w:r>
        <w:rPr>
          <w:rFonts w:hint="eastAsia" w:ascii="宋体" w:hAnsi="宋体" w:eastAsia="黑体" w:cs="黑体"/>
          <w:kern w:val="0"/>
          <w:szCs w:val="32"/>
        </w:rPr>
        <w:t>证据</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第三十三条</w:t>
      </w:r>
      <w:r>
        <w:rPr>
          <w:rFonts w:hint="eastAsia" w:ascii="宋体" w:hAnsi="宋体" w:eastAsia="仿宋_GB2312" w:cs="仿宋_GB2312"/>
          <w:kern w:val="0"/>
          <w:szCs w:val="32"/>
        </w:rPr>
        <w:t>　证据包括: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（一）书证；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（二）物证；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（三）视听资料；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（四）电子数据；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（五）证人证言；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（六）当事人的陈述；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（七）鉴定意见；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（八）勘验笔录、现场笔录。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以上证据经法庭审查属实，才能作为认定案件事实的根据。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第三十四条</w:t>
      </w:r>
      <w:r>
        <w:rPr>
          <w:rFonts w:hint="eastAsia" w:ascii="宋体" w:hAnsi="宋体" w:eastAsia="仿宋_GB2312" w:cs="仿宋_GB2312"/>
          <w:kern w:val="0"/>
          <w:szCs w:val="32"/>
        </w:rPr>
        <w:t>　被告对作出的行政行为负有举证责任，应当提供作出该行政行为的证据和所依据的规范性文件。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被告不提供或者无正当理由逾期提供证据，视为没有相应证据。但是，被诉行政行为涉及第三人合法权益，第三人提供证据的除外。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第三十五条</w:t>
      </w:r>
      <w:r>
        <w:rPr>
          <w:rFonts w:hint="eastAsia" w:ascii="宋体" w:hAnsi="宋体" w:eastAsia="仿宋_GB2312" w:cs="仿宋_GB2312"/>
          <w:kern w:val="0"/>
          <w:szCs w:val="32"/>
        </w:rPr>
        <w:t>　在诉讼过程中，被告及其诉讼代理人不得自行向原告、第三人和证人收集证据。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第三十六条</w:t>
      </w:r>
      <w:r>
        <w:rPr>
          <w:rFonts w:hint="eastAsia" w:ascii="宋体" w:hAnsi="宋体" w:eastAsia="仿宋_GB2312" w:cs="仿宋_GB2312"/>
          <w:kern w:val="0"/>
          <w:szCs w:val="32"/>
        </w:rPr>
        <w:t>　被告在作出行政行为时已经收集了证据，但因不可抗力等正当事由不能提供的，经人民法院准许，可以延期提供。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原告或者第三人提出了其在行政处理程序中没有提出的理由或者证据的，经人民法院准许，被告可以补充证据。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第三十七条</w:t>
      </w:r>
      <w:r>
        <w:rPr>
          <w:rFonts w:hint="eastAsia" w:ascii="宋体" w:hAnsi="宋体" w:eastAsia="仿宋_GB2312" w:cs="仿宋_GB2312"/>
          <w:kern w:val="0"/>
          <w:szCs w:val="32"/>
        </w:rPr>
        <w:t>　原告可以提供证明行政行为违法的证据。原告提供的证据不成立的，不免除被告的举证责任。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第三十八条</w:t>
      </w:r>
      <w:r>
        <w:rPr>
          <w:rFonts w:hint="eastAsia" w:ascii="宋体" w:hAnsi="宋体" w:eastAsia="仿宋_GB2312" w:cs="仿宋_GB2312"/>
          <w:kern w:val="0"/>
          <w:szCs w:val="32"/>
        </w:rPr>
        <w:t>　在起诉被告不履行法定职责的案件中，原告应当提供其向被告提出申请的证据。但有下列情形之一的除外: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（一）被告应当依职权主动履行法定职责的；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（二）原告因正当理由不能提供证据的。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在行政赔偿、补偿的案件中，原告应当对行政行为造成的损害提供证据。因被告的原因导致原告无法举证的，由被告承担举证责任。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第三十九条</w:t>
      </w:r>
      <w:r>
        <w:rPr>
          <w:rFonts w:hint="eastAsia" w:ascii="宋体" w:hAnsi="宋体" w:eastAsia="仿宋_GB2312" w:cs="仿宋_GB2312"/>
          <w:kern w:val="0"/>
          <w:szCs w:val="32"/>
        </w:rPr>
        <w:t>　人民法院有权要求当事人提供或者补充证据。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第四十条</w:t>
      </w:r>
      <w:r>
        <w:rPr>
          <w:rFonts w:hint="eastAsia" w:ascii="宋体" w:hAnsi="宋体" w:eastAsia="仿宋_GB2312" w:cs="仿宋_GB2312"/>
          <w:kern w:val="0"/>
          <w:szCs w:val="32"/>
        </w:rPr>
        <w:t>　人民法院有权向有关行政机关以及其他组织、公民调取证据。但是，不得为证明行政行为的合法性调取被告作出行政行为时未收集的证据。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第四十一条</w:t>
      </w:r>
      <w:r>
        <w:rPr>
          <w:rFonts w:hint="eastAsia" w:ascii="宋体" w:hAnsi="宋体" w:eastAsia="仿宋_GB2312" w:cs="仿宋_GB2312"/>
          <w:kern w:val="0"/>
          <w:szCs w:val="32"/>
        </w:rPr>
        <w:t>　与本案有关的下列证据，原告或者第三人不能自行收集的，可以申请人民法院调取: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（一）由国家机关保存而须由人民法院调取的证据；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（二）涉及国家秘密、商业秘密和个人隐私的证据；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（三）确因客观原因不能自行收集的其他证据。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第四十二条</w:t>
      </w:r>
      <w:r>
        <w:rPr>
          <w:rFonts w:hint="eastAsia" w:ascii="宋体" w:hAnsi="宋体" w:eastAsia="仿宋_GB2312" w:cs="仿宋_GB2312"/>
          <w:kern w:val="0"/>
          <w:szCs w:val="32"/>
        </w:rPr>
        <w:t>　在证据可能灭失或者以后难以取得的情况下，诉讼参加人可以向人民法院申请保全证据，人民法院也可以主动采取保全措施。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第四十三条</w:t>
      </w:r>
      <w:r>
        <w:rPr>
          <w:rFonts w:hint="eastAsia" w:ascii="宋体" w:hAnsi="宋体" w:eastAsia="仿宋_GB2312" w:cs="仿宋_GB2312"/>
          <w:kern w:val="0"/>
          <w:szCs w:val="32"/>
        </w:rPr>
        <w:t>　证据应当在法庭上出示，并由当事人互相质证。对涉及国家秘密、商业秘密和个人隐私的证据，不得在公开开庭时出示。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人民法院应当按照法定程序，全面、客观地审查核实证据。对未采纳的证据应当在裁判文书中说明理由。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以非法手段取得的证据，不得作为认定案件事实的根据。</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第六章　</w:t>
      </w:r>
      <w:r>
        <w:rPr>
          <w:rFonts w:hint="eastAsia" w:ascii="宋体" w:hAnsi="宋体" w:eastAsia="黑体" w:cs="黑体"/>
          <w:kern w:val="0"/>
          <w:szCs w:val="32"/>
        </w:rPr>
        <w:t>起诉和受理</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第四十四条</w:t>
      </w:r>
      <w:r>
        <w:rPr>
          <w:rFonts w:hint="eastAsia" w:ascii="宋体" w:hAnsi="宋体" w:eastAsia="仿宋_GB2312" w:cs="仿宋_GB2312"/>
          <w:kern w:val="0"/>
          <w:szCs w:val="32"/>
        </w:rPr>
        <w:t>　对属于人民法院受案范围的行政案件，公民、法人或者其他组织可以先向行政机关申请复议，对复议决定不服的，再向人民法院提起诉讼；也可以直接向人民法院提起诉讼。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法律、法规规定应当先向行政机关申请复议，对复议决定不服再向人民法院提起诉讼的，依照法律、法规的规定。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第四十五条</w:t>
      </w:r>
      <w:r>
        <w:rPr>
          <w:rFonts w:hint="eastAsia" w:ascii="宋体" w:hAnsi="宋体" w:eastAsia="仿宋_GB2312" w:cs="仿宋_GB2312"/>
          <w:kern w:val="0"/>
          <w:szCs w:val="32"/>
        </w:rPr>
        <w:t>　公民、法人或者其他组织不服复议决定的，可以在收到复议决定书之日起十五日内向人民法院提起诉讼。复议机关逾期不作决定的，申请人可以在复议期满之日起十五日内向人民法院提起诉讼。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第四十六条</w:t>
      </w:r>
      <w:r>
        <w:rPr>
          <w:rFonts w:hint="eastAsia" w:ascii="宋体" w:hAnsi="宋体" w:eastAsia="仿宋_GB2312" w:cs="仿宋_GB2312"/>
          <w:kern w:val="0"/>
          <w:szCs w:val="32"/>
        </w:rPr>
        <w:t>　公民、法人或者其他组织直接向人民法院提起诉讼的，应当自知道或者应当知道作出行政行为之日起六个月内提出。法律另有规定的除外。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因不动产提起诉讼的案件自行政行为作出之日起超过二十年，其他案件自行政行为作出之日起超过五年提起诉讼的，人民法院不予受理。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第四十七条</w:t>
      </w:r>
      <w:r>
        <w:rPr>
          <w:rFonts w:hint="eastAsia" w:ascii="宋体" w:hAnsi="宋体" w:eastAsia="仿宋_GB2312" w:cs="仿宋_GB2312"/>
          <w:kern w:val="0"/>
          <w:szCs w:val="32"/>
        </w:rPr>
        <w:t>　公民、法人或者其他组织申请行政机关履行保护其人身权、财产权等合法权益的法定职责，行政机关在接到申请之日起两个月内不履行的，公民、法人或者其他组织可以向人民法院提起诉讼。法律、法规对行政机关履行职责的期限另有规定的，从其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公民、法人或者其他组织在紧急情况下请求行政机关履行保护其人身权、财产权等合法权益的法定职责，行政机关不履行的，提起诉讼不受前款规定期限的限制。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第四十八条</w:t>
      </w:r>
      <w:r>
        <w:rPr>
          <w:rFonts w:hint="eastAsia" w:ascii="宋体" w:hAnsi="宋体" w:eastAsia="仿宋_GB2312" w:cs="仿宋_GB2312"/>
          <w:kern w:val="0"/>
          <w:szCs w:val="32"/>
        </w:rPr>
        <w:t>　公民、法人或者其他组织因不可抗力或者其他不属于其自身的原因耽误起诉期限的，被耽误的时间不计算在起诉期限内。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公民、法人或者其他组织因前款规定以外的其他特殊情况耽误起诉期限的，在障碍消除后十日内，可以申请延长期限，是否准许由人民法院决定。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第四十九条</w:t>
      </w:r>
      <w:r>
        <w:rPr>
          <w:rFonts w:hint="eastAsia" w:ascii="宋体" w:hAnsi="宋体" w:eastAsia="仿宋_GB2312" w:cs="仿宋_GB2312"/>
          <w:kern w:val="0"/>
          <w:szCs w:val="32"/>
        </w:rPr>
        <w:t>　提起诉讼应当符合下列条件: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（一）原告是符合本法第二十五条规定的公民、法人或者其他组织；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（二）有明确的被告；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（三）有具体的诉讼请求和事实根据；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（四）属于人民法院受案范围和受诉人民法院管辖。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第五十条</w:t>
      </w:r>
      <w:r>
        <w:rPr>
          <w:rFonts w:hint="eastAsia" w:ascii="宋体" w:hAnsi="宋体" w:eastAsia="仿宋_GB2312" w:cs="仿宋_GB2312"/>
          <w:kern w:val="0"/>
          <w:szCs w:val="32"/>
        </w:rPr>
        <w:t>　起诉应当向人民法院递交起诉状，并按照被告人数提出副本。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书写起诉状确有困难的，可以口头起诉，由人民法院记入笔录，出具注明日期的书面凭证，并告知对方当事人。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第五十一条</w:t>
      </w:r>
      <w:r>
        <w:rPr>
          <w:rFonts w:hint="eastAsia" w:ascii="宋体" w:hAnsi="宋体" w:eastAsia="仿宋_GB2312" w:cs="仿宋_GB2312"/>
          <w:kern w:val="0"/>
          <w:szCs w:val="32"/>
        </w:rPr>
        <w:t>　人民法院在接到起诉状时对符合本法规定的起诉条件的，应当登记立案。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当场不能判定是否符合本法规定的起诉条件的，应当接收起诉状，出具注明收到日期的书面凭证，并在七日内决定是否立案。不符合起诉条件的，作出不予立案的裁定。裁定书应当载明不予立案的理由。原告对裁定不服的，可以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起诉状内容欠缺或者有其他错误的，应当给予指导和释明，并一次性告知当事人需要补正的内容。不得未经指导和释明即以起诉不符合条件为由不接收起诉状。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于不接收起诉状、接收起诉状后不出具书面凭证，以及不一次性告知当事人需要补正的起诉状内容的，当事人可以向上级人民法院投诉，上级人民法院应当责令改正，并对直接负责的主管人员和其他直接责任人员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第五十二条</w:t>
      </w:r>
      <w:r>
        <w:rPr>
          <w:rFonts w:hint="eastAsia" w:ascii="宋体" w:hAnsi="宋体" w:eastAsia="仿宋_GB2312" w:cs="仿宋_GB2312"/>
          <w:kern w:val="0"/>
          <w:szCs w:val="32"/>
        </w:rPr>
        <w:t>　人民法院既不立案，又不作出不予立案裁定的，当事人可以向上一级人民法院起诉。上一级人民法院认为符合起诉条件的，应当立案、审理，也可以指定其他下级人民法院立案、审理。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第五十三条</w:t>
      </w:r>
      <w:r>
        <w:rPr>
          <w:rFonts w:hint="eastAsia" w:ascii="宋体" w:hAnsi="宋体" w:eastAsia="仿宋_GB2312" w:cs="仿宋_GB2312"/>
          <w:kern w:val="0"/>
          <w:szCs w:val="32"/>
        </w:rPr>
        <w:t>　公民、法人或者其他组织认为行政行为所依据的国务院部门和地方人民政府及其部门制定的规范性文件不合法，在对行政行为提起诉讼时，可以一并请求对该规范性文件进行审查。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前款规定的规范性文件不含规章。</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第七章　</w:t>
      </w:r>
      <w:r>
        <w:rPr>
          <w:rFonts w:hint="eastAsia" w:ascii="宋体" w:hAnsi="宋体" w:eastAsia="黑体" w:cs="黑体"/>
          <w:kern w:val="0"/>
          <w:szCs w:val="32"/>
        </w:rPr>
        <w:t>审理和判决</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一般规定</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第五十四条</w:t>
      </w:r>
      <w:r>
        <w:rPr>
          <w:rFonts w:hint="eastAsia" w:ascii="宋体" w:hAnsi="宋体" w:eastAsia="仿宋_GB2312" w:cs="仿宋_GB2312"/>
          <w:kern w:val="0"/>
          <w:szCs w:val="32"/>
        </w:rPr>
        <w:t>　人民法院公开审理行政案件，但涉及国家秘密、个人隐私和法律另有规定的除外。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涉及商业秘密的案件，当事人申请不公开审理的，可以不公开审理。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第五十五条</w:t>
      </w:r>
      <w:r>
        <w:rPr>
          <w:rFonts w:hint="eastAsia" w:ascii="宋体" w:hAnsi="宋体" w:eastAsia="仿宋_GB2312" w:cs="仿宋_GB2312"/>
          <w:kern w:val="0"/>
          <w:szCs w:val="32"/>
        </w:rPr>
        <w:t>　当事人认为审判人员与本案有利害关系或者有其他关系可能影响公正审判，有权申请审判人员回避。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审判人员认为自己与本案有利害关系或者有其他关系，应当申请回避。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前两款规定，适用于书记员、翻译人员、鉴定人、勘验人。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院长担任审判长时的回避，由审判委员会决定；审判人员的回避，由院长决定；其他人员的回避，由审判长决定。当事人对决定不服的，可以申请复议一次。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第五十六条</w:t>
      </w:r>
      <w:r>
        <w:rPr>
          <w:rFonts w:hint="eastAsia" w:ascii="宋体" w:hAnsi="宋体" w:eastAsia="仿宋_GB2312" w:cs="仿宋_GB2312"/>
          <w:kern w:val="0"/>
          <w:szCs w:val="32"/>
        </w:rPr>
        <w:t>　诉讼期间，不停止行政行为的执行。但有下列情形之一的，裁定停止执行: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（一）被告认为需要停止执行的；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（二）原告或者利害关系人申请停止执行，人民法院认为该行政行为的执行会造成难以弥补的损失，并且停止执行不损害国家利益、社会公共利益的；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（三）人民法院认为该行政行为的执行会给国家利益、社会公共利益造成重大损害的；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（四）法律、法规规定停止执行的。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当事人对停止执行或者不停止执行的裁定不服的，可以申请复议一次。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第五十七条</w:t>
      </w:r>
      <w:r>
        <w:rPr>
          <w:rFonts w:hint="eastAsia" w:ascii="宋体" w:hAnsi="宋体" w:eastAsia="仿宋_GB2312" w:cs="仿宋_GB2312"/>
          <w:kern w:val="0"/>
          <w:szCs w:val="32"/>
        </w:rPr>
        <w:t>　人民法院对起诉行政机关没有依法支付抚恤金、最低生活保障金和工伤、医疗社会保险金的案件，权利义务关系明确、不先予执行将严重影响原告生活的，可以根据原告的申请，裁定先予执行。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当事人对先予执行裁定不服的，可以申请复议一次。复议期间不停止裁定的执行。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第五十八条</w:t>
      </w:r>
      <w:r>
        <w:rPr>
          <w:rFonts w:hint="eastAsia" w:ascii="宋体" w:hAnsi="宋体" w:eastAsia="仿宋_GB2312" w:cs="仿宋_GB2312"/>
          <w:kern w:val="0"/>
          <w:szCs w:val="32"/>
        </w:rPr>
        <w:t>　经人民法院传票传唤，原告无正当理由拒不到庭，或者未经法庭许可中途退庭的，可以按照撤诉处理；被告无正当理由拒不到庭，或者未经法庭许可中途退庭的，可以缺席判决。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第五十九条</w:t>
      </w:r>
      <w:r>
        <w:rPr>
          <w:rFonts w:hint="eastAsia" w:ascii="宋体" w:hAnsi="宋体" w:eastAsia="仿宋_GB2312" w:cs="仿宋_GB2312"/>
          <w:kern w:val="0"/>
          <w:szCs w:val="32"/>
        </w:rPr>
        <w:t>　诉讼参与人或者其他人有下列行为之一的，人民法院可以根据情节轻重，予以训诫、责令具结悔过或者处一万元以下的罚款、十五日以下的拘留；构成犯罪的，依法追究刑事责任: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（一）有义务协助调查、执行的人，对人民法院的协助调查决定、协助执行通知书，无故推拖、拒绝或者妨碍调查、执行的；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（二）伪造、隐藏、毁灭证据或者提供虚假证明材料，妨碍人民法院审理案件的；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（三）指使、贿买、胁迫他人作伪证或者威胁、阻止证人作证的；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（四）隐藏、转移、变卖、毁损已被查封、扣押、冻结的财产的；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（五）以欺骗、胁迫等非法手段使原告撤诉的；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（六）以暴力、威胁或者其他方法阻碍人民法院工作人员执行职务，或者以哄闹、冲击法庭等方法扰乱人民法院工作秩序的；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（七）对人民法院审判人员或者其他工作人员、诉讼参与人、协助调查和执行的人员恐吓、侮辱、诽谤、诬陷、殴打、围攻或者打击报复的。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人民法院对有前款规定的行为之一的单位，可以对其主要负责人或者直接责任人员依照前款规定予以罚款、拘留；构成犯罪的，依法追究刑事责任。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罚款、拘留须经人民法院院长批准。当事人不服的，可以向上一级人民法院申请复议一次。复议期间不停止执行。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第六十条</w:t>
      </w:r>
      <w:r>
        <w:rPr>
          <w:rFonts w:hint="eastAsia" w:ascii="宋体" w:hAnsi="宋体" w:eastAsia="仿宋_GB2312" w:cs="仿宋_GB2312"/>
          <w:kern w:val="0"/>
          <w:szCs w:val="32"/>
        </w:rPr>
        <w:t>　人民法院审理行政案件，不适用调解。但是，行政赔偿、补偿以及行政机关行使法律、法规规定的自由裁量权的案件可以调解。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调解应当遵循自愿、合法原则，不得损害国家利益、社会公共利益和他人合法权益。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第六十一条</w:t>
      </w:r>
      <w:r>
        <w:rPr>
          <w:rFonts w:hint="eastAsia" w:ascii="宋体" w:hAnsi="宋体" w:eastAsia="仿宋_GB2312" w:cs="仿宋_GB2312"/>
          <w:kern w:val="0"/>
          <w:szCs w:val="32"/>
        </w:rPr>
        <w:t>　在涉及行政许可、登记、征收、征用和行政机关对民事争议所作的裁决的行政诉讼中，当事人申请一并解决相关民事争议的，人民法院可以一并审理。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在行政诉讼中，人民法院认为行政案件的审理需以民事诉讼的裁判为依据的，可以裁定中止行政诉讼。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第六十二条</w:t>
      </w:r>
      <w:r>
        <w:rPr>
          <w:rFonts w:hint="eastAsia" w:ascii="宋体" w:hAnsi="宋体" w:eastAsia="仿宋_GB2312" w:cs="仿宋_GB2312"/>
          <w:kern w:val="0"/>
          <w:szCs w:val="32"/>
        </w:rPr>
        <w:t>　人民法院对行政案件宣告判决或者裁定前，原告申请撤诉的，或者被告改变其所作的行政行为，原告同意并申请撤诉的，是否准许，由人民法院裁定。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第六十三条</w:t>
      </w:r>
      <w:r>
        <w:rPr>
          <w:rFonts w:hint="eastAsia" w:ascii="宋体" w:hAnsi="宋体" w:eastAsia="仿宋_GB2312" w:cs="仿宋_GB2312"/>
          <w:kern w:val="0"/>
          <w:szCs w:val="32"/>
        </w:rPr>
        <w:t>　人民法院审理行政案件，以法律和行政法规、地方性法规为依据。地方性法规适用于本行政区域内发生的行政案件。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人民法院审理民族自治地方的行政案件，并以该民族自治地方的自治条例和单行条例为依据。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人民法院审理行政案件，参照规章。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第六十四条</w:t>
      </w:r>
      <w:r>
        <w:rPr>
          <w:rFonts w:hint="eastAsia" w:ascii="宋体" w:hAnsi="宋体" w:eastAsia="仿宋_GB2312" w:cs="仿宋_GB2312"/>
          <w:kern w:val="0"/>
          <w:szCs w:val="32"/>
        </w:rPr>
        <w:t>　人民法院在审理行政案件中，经审查认为本法第五十三条规定的规范性文件不合法的，不作为认定行政行为合法的依据，并向制定机关提出处理建议。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第六十五条</w:t>
      </w:r>
      <w:r>
        <w:rPr>
          <w:rFonts w:hint="eastAsia" w:ascii="宋体" w:hAnsi="宋体" w:eastAsia="仿宋_GB2312" w:cs="仿宋_GB2312"/>
          <w:kern w:val="0"/>
          <w:szCs w:val="32"/>
        </w:rPr>
        <w:t>　人民法院应当公开发生法律效力的判决书、裁定书，供公众查阅，但涉及国家秘密、商业秘密和个人隐私的内容除外。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第六十六条</w:t>
      </w:r>
      <w:r>
        <w:rPr>
          <w:rFonts w:hint="eastAsia" w:ascii="宋体" w:hAnsi="宋体" w:eastAsia="仿宋_GB2312" w:cs="仿宋_GB2312"/>
          <w:kern w:val="0"/>
          <w:szCs w:val="32"/>
        </w:rPr>
        <w:t>　人民法院在审理行政案件中，认为行政机关的主管人员、直接责任人员违法违纪的，应当将有关材料移送监察机关、该行政机关或者其上一级行政机关；认为有犯罪行为的，应当将有关材料移送公安、检察机关。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被告经传票传唤无正当理由拒不到庭，或者未经法庭许可中途退庭的，可以将被告拒不到庭或者中途退庭的情况予以公告，并可以向监察机关或者被告的上一级行政机关提出依法给予其主要负责人或者直接责任人员处分的司法建议。</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第一审普通程序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第六十七条</w:t>
      </w:r>
      <w:r>
        <w:rPr>
          <w:rFonts w:hint="eastAsia" w:ascii="宋体" w:hAnsi="宋体" w:eastAsia="仿宋_GB2312" w:cs="仿宋_GB2312"/>
          <w:kern w:val="0"/>
          <w:szCs w:val="32"/>
        </w:rPr>
        <w:t>　人民法院应当在立案之日起五日内，将起诉状副本发送被告。被告应当在收到起诉状副本之日起十五日内向人民法院提交作出行政行为的证据和所依据的规范性文件，并提出答辩状。人民法院应当在收到答辩状之日起五日内，将答辩状副本发送原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被告不提出答辩状的，不影响人民法院审理。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第六十八条</w:t>
      </w:r>
      <w:r>
        <w:rPr>
          <w:rFonts w:hint="eastAsia" w:ascii="宋体" w:hAnsi="宋体" w:eastAsia="仿宋_GB2312" w:cs="仿宋_GB2312"/>
          <w:kern w:val="0"/>
          <w:szCs w:val="32"/>
        </w:rPr>
        <w:t>　人民法院审理行政案件，由审判员组成合议庭，或者由审判员、陪审员组成合议庭。合议庭的成员，应当是三人以上的单数。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第六十九条</w:t>
      </w:r>
      <w:r>
        <w:rPr>
          <w:rFonts w:hint="eastAsia" w:ascii="宋体" w:hAnsi="宋体" w:eastAsia="仿宋_GB2312" w:cs="仿宋_GB2312"/>
          <w:kern w:val="0"/>
          <w:szCs w:val="32"/>
        </w:rPr>
        <w:t>　行政行为证据确凿，适用法律、法规正确，符合法定程序的，或者原告申请被告履行法定职责或者给付义务理由不成立的，人民法院判决驳回原告的诉讼请求。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第七十条</w:t>
      </w:r>
      <w:r>
        <w:rPr>
          <w:rFonts w:hint="eastAsia" w:ascii="宋体" w:hAnsi="宋体" w:eastAsia="仿宋_GB2312" w:cs="仿宋_GB2312"/>
          <w:kern w:val="0"/>
          <w:szCs w:val="32"/>
        </w:rPr>
        <w:t>　行政行为有下列情形之一的，人民法院判决撤销或者部分撤销，并可以判决被告重新作出行政行为: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（一）主要证据不足的；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（二）适用法律、法规错误的；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（三）违反法定程序的；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lang w:val="en-US" w:eastAsia="zh-CN"/>
        </w:rPr>
      </w:pPr>
      <w:r>
        <w:rPr>
          <w:rFonts w:hint="eastAsia" w:ascii="宋体" w:hAnsi="宋体" w:eastAsia="仿宋_GB2312" w:cs="仿宋_GB2312"/>
          <w:kern w:val="0"/>
          <w:szCs w:val="32"/>
        </w:rPr>
        <w:t>　　（四）超越职权的；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（五）滥用职权的；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（六）明显不当的。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第七十一条</w:t>
      </w:r>
      <w:r>
        <w:rPr>
          <w:rFonts w:hint="eastAsia" w:ascii="宋体" w:hAnsi="宋体" w:eastAsia="仿宋_GB2312" w:cs="仿宋_GB2312"/>
          <w:kern w:val="0"/>
          <w:szCs w:val="32"/>
        </w:rPr>
        <w:t>　人民法院判决被告重新作出行政行为的，被告不得以</w:t>
      </w:r>
      <w:r>
        <w:rPr>
          <w:rFonts w:hint="eastAsia" w:ascii="宋体" w:hAnsi="宋体" w:eastAsia="仿宋_GB2312" w:cs="仿宋_GB2312"/>
          <w:kern w:val="0"/>
          <w:szCs w:val="32"/>
          <w:highlight w:val="none"/>
        </w:rPr>
        <w:t>同</w:t>
      </w:r>
      <w:r>
        <w:rPr>
          <w:rFonts w:hint="eastAsia" w:ascii="宋体" w:hAnsi="宋体" w:eastAsia="仿宋_GB2312" w:cs="仿宋_GB2312"/>
          <w:kern w:val="0"/>
          <w:szCs w:val="32"/>
        </w:rPr>
        <w:t>一的事实和理由作出与原行政行为基本相同的行政行为。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第七十二条</w:t>
      </w:r>
      <w:r>
        <w:rPr>
          <w:rFonts w:hint="eastAsia" w:ascii="宋体" w:hAnsi="宋体" w:eastAsia="仿宋_GB2312" w:cs="仿宋_GB2312"/>
          <w:kern w:val="0"/>
          <w:szCs w:val="32"/>
        </w:rPr>
        <w:t>　人民法院经过审理，查明被告不履行法定职责的，判决被告在一定期限内履行。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第七十三条</w:t>
      </w:r>
      <w:r>
        <w:rPr>
          <w:rFonts w:hint="eastAsia" w:ascii="宋体" w:hAnsi="宋体" w:eastAsia="仿宋_GB2312" w:cs="仿宋_GB2312"/>
          <w:kern w:val="0"/>
          <w:szCs w:val="32"/>
        </w:rPr>
        <w:t>　人民法院经过审理，查明被告依法负有给付义务的，判决被告履行给付义务。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第七十四条</w:t>
      </w:r>
      <w:r>
        <w:rPr>
          <w:rFonts w:hint="eastAsia" w:ascii="宋体" w:hAnsi="宋体" w:eastAsia="仿宋_GB2312" w:cs="仿宋_GB2312"/>
          <w:kern w:val="0"/>
          <w:szCs w:val="32"/>
        </w:rPr>
        <w:t>　行政行为有下列情形之一的，人民法院判决确认违法，但不撤销行政行为: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（一）行政行为依法应当撤销，但撤销会给国家利益、社会公共利益造成重大损害的；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（二）行政行为程序轻微违法，但对原告权利不产生实际影响的。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行政行为有下列情形之一，不需要撤销或者判决履行的，人民法院判决确认违法: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（一）行政行为违法，但不具有可撤销内容的；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（二）被告改变原违法行政行为，原告仍要求确认原行政行为违法的；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（三）被告不履行或者拖延履行法定职责，判决履行没有意义的。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第七十五条</w:t>
      </w:r>
      <w:r>
        <w:rPr>
          <w:rFonts w:hint="eastAsia" w:ascii="宋体" w:hAnsi="宋体" w:eastAsia="仿宋_GB2312" w:cs="仿宋_GB2312"/>
          <w:kern w:val="0"/>
          <w:szCs w:val="32"/>
        </w:rPr>
        <w:t xml:space="preserve"> 行政行为有实施主体不具有行政主体资格或者没有依据等重大且明显违法情形，原告申请确认行政行为无效的，人民法院判决确认无效。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第七十六条</w:t>
      </w:r>
      <w:r>
        <w:rPr>
          <w:rFonts w:hint="eastAsia" w:ascii="宋体" w:hAnsi="宋体" w:eastAsia="仿宋_GB2312" w:cs="仿宋_GB2312"/>
          <w:kern w:val="0"/>
          <w:szCs w:val="32"/>
        </w:rPr>
        <w:t>　人民法院判决确认违法或者无效的，可以同时判决责令被告采取补救措施；给原告造成损失的，依法判决被告承担赔偿责任。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第七十七条</w:t>
      </w:r>
      <w:r>
        <w:rPr>
          <w:rFonts w:hint="eastAsia" w:ascii="宋体" w:hAnsi="宋体" w:eastAsia="仿宋_GB2312" w:cs="仿宋_GB2312"/>
          <w:kern w:val="0"/>
          <w:szCs w:val="32"/>
        </w:rPr>
        <w:t>　行政处罚明显不当，或者其他行政行为涉及对款额的确定、认定确有错误的，人民法院可以判决变更。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人民法院判决变更，不得加重原告的义务或者减损原告的权益。但利害关系人同为原告，且诉讼请求相反的除外。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第七十八条</w:t>
      </w:r>
      <w:r>
        <w:rPr>
          <w:rFonts w:hint="eastAsia" w:ascii="宋体" w:hAnsi="宋体" w:eastAsia="仿宋_GB2312" w:cs="仿宋_GB2312"/>
          <w:kern w:val="0"/>
          <w:szCs w:val="32"/>
        </w:rPr>
        <w:t>　被告不依法履行、未按照约定履行或者违法变更、解除本法第十二条第一款第十一项规定的协议的，人民法院判决被告承担继续履行、采取补救措施或者赔偿损失等责任。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被告变更、解除本法第十二条第一款第十一项规定的协议合法，但未依法给予补偿的，人民法院判决给予补偿。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第七十九条</w:t>
      </w:r>
      <w:r>
        <w:rPr>
          <w:rFonts w:hint="eastAsia" w:ascii="宋体" w:hAnsi="宋体" w:eastAsia="仿宋_GB2312" w:cs="仿宋_GB2312"/>
          <w:kern w:val="0"/>
          <w:szCs w:val="32"/>
        </w:rPr>
        <w:t>　复议机关与作出原行政行为的行政机关为共同被告的案件，人民法院应当对复议决定和原行政行为一并作出裁判。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第八十条</w:t>
      </w:r>
      <w:r>
        <w:rPr>
          <w:rFonts w:hint="eastAsia" w:ascii="宋体" w:hAnsi="宋体" w:eastAsia="仿宋_GB2312" w:cs="仿宋_GB2312"/>
          <w:kern w:val="0"/>
          <w:szCs w:val="32"/>
        </w:rPr>
        <w:t>　人民法院对公开审理和不公开审理的案件，一律公开宣告判决。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当庭宣判的，应当在十日内发送判决书；定期宣判的，宣判后立即发给判决书。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宣告判决时，必须告知当事人上诉权利、上诉期限和上诉的人民法院。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第八十一条</w:t>
      </w:r>
      <w:r>
        <w:rPr>
          <w:rFonts w:hint="eastAsia" w:ascii="宋体" w:hAnsi="宋体" w:eastAsia="仿宋_GB2312" w:cs="仿宋_GB2312"/>
          <w:kern w:val="0"/>
          <w:szCs w:val="32"/>
        </w:rPr>
        <w:t>　人民法院应当在立案之日起六个月内作出第一审判决。有特殊情况需要延长的，由高级人民法院批准，高级人民法院审理第一审案件需要延长的，由最高人民法院批准。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第三节　简易程序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第八十二条</w:t>
      </w:r>
      <w:r>
        <w:rPr>
          <w:rFonts w:hint="eastAsia" w:ascii="宋体" w:hAnsi="宋体" w:eastAsia="仿宋_GB2312" w:cs="仿宋_GB2312"/>
          <w:kern w:val="0"/>
          <w:szCs w:val="32"/>
        </w:rPr>
        <w:t>　人民法院审理下列第一审行政案件，认为事实清楚、权利义务关系明确、争议不大的，可以适用简易程序: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（一）被诉行政行为是依法当场作出的；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（二）案件涉及款额二千元以下的；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（三）属于政府信息公开案件的。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除前款规定以外的第一审行政案件，当事人各方同意适用简易程序的，可以适用简易程序。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发回重审、按照审判监督程序再审的案件不适用简易程序。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第八十三条</w:t>
      </w:r>
      <w:r>
        <w:rPr>
          <w:rFonts w:hint="eastAsia" w:ascii="宋体" w:hAnsi="宋体" w:eastAsia="仿宋_GB2312" w:cs="仿宋_GB2312"/>
          <w:kern w:val="0"/>
          <w:szCs w:val="32"/>
        </w:rPr>
        <w:t>　适用简易程序审理的行政案件，由审判员一人独任审理，并应当在立案之日起四十五日内审结。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第八十四条</w:t>
      </w:r>
      <w:r>
        <w:rPr>
          <w:rFonts w:hint="eastAsia" w:ascii="宋体" w:hAnsi="宋体" w:eastAsia="仿宋_GB2312" w:cs="仿宋_GB2312"/>
          <w:kern w:val="0"/>
          <w:szCs w:val="32"/>
        </w:rPr>
        <w:t>　人民法院在审理过程中，发现案件不宜适用简易程序的，裁定转为普通程序。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第四节　第二审程序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第八十五条</w:t>
      </w:r>
      <w:r>
        <w:rPr>
          <w:rFonts w:hint="eastAsia" w:ascii="宋体" w:hAnsi="宋体" w:eastAsia="仿宋_GB2312" w:cs="仿宋_GB2312"/>
          <w:kern w:val="0"/>
          <w:szCs w:val="32"/>
        </w:rPr>
        <w:t>　当事人不服人民法院第一审判决的，有权在判决书送达之日起十五日内向上一级人民法院提起上诉。当事人不服人民法院第一审裁定的，有权在裁定书送达之日起十日内向上一级人民法院提起上诉。逾期不提起上诉的，人民法院的第一审判决或者裁定发生法律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第八十六条</w:t>
      </w:r>
      <w:r>
        <w:rPr>
          <w:rFonts w:hint="eastAsia" w:ascii="宋体" w:hAnsi="宋体" w:eastAsia="仿宋_GB2312" w:cs="仿宋_GB2312"/>
          <w:kern w:val="0"/>
          <w:szCs w:val="32"/>
        </w:rPr>
        <w:t>　人民法院对上诉案件，应当组成合议庭，开庭审理。经过阅卷、调查和询问当事人，对没有提出新的事实、证据或者理由，合议庭认为不需要开庭审理的，也可以不开庭审理。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第八十七条</w:t>
      </w:r>
      <w:r>
        <w:rPr>
          <w:rFonts w:hint="eastAsia" w:ascii="宋体" w:hAnsi="宋体" w:eastAsia="仿宋_GB2312" w:cs="仿宋_GB2312"/>
          <w:kern w:val="0"/>
          <w:szCs w:val="32"/>
        </w:rPr>
        <w:t>　人民法院审理上诉案件，应当对原审人民法院的判决、裁定和被诉行政行为进行全面审查。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第八十八条</w:t>
      </w:r>
      <w:r>
        <w:rPr>
          <w:rFonts w:hint="eastAsia" w:ascii="宋体" w:hAnsi="宋体" w:eastAsia="仿宋_GB2312" w:cs="仿宋_GB2312"/>
          <w:kern w:val="0"/>
          <w:szCs w:val="32"/>
        </w:rPr>
        <w:t>　人民法院审理上诉案件，应当在收到上诉状之日起三个月内作出终审判决。有特殊情况需要延长的，由高级人民法院批准，高级人民法院审理上诉案件需要延长的，由最高人民法院批准。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第八十九条</w:t>
      </w:r>
      <w:r>
        <w:rPr>
          <w:rFonts w:hint="eastAsia" w:ascii="宋体" w:hAnsi="宋体" w:eastAsia="仿宋_GB2312" w:cs="仿宋_GB2312"/>
          <w:kern w:val="0"/>
          <w:szCs w:val="32"/>
        </w:rPr>
        <w:t>　人民法院审理上诉案件，按照下列情形，分别处理: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（一）原判决、裁定认定事实清楚，适用法律、法规正确的，判决或者裁定驳回上诉，维持原判决、裁定；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（二）原判决、裁定认定事实错误或者适用法律、法规错误的，依法改判、撤销或者变更；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（三）原判决认定基本事实不清、证据不足的，发回原审人民法院重审，或者查清事实后改判；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（四）原判决遗漏当事人或者违法缺席判决等严重违反法定程序的，裁定撤销原判决，发回原审人民法院重审。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原审人民法院对发回重审的案件作出判决后，当事人提起上诉的，第二审人民法院不得再次发回重审。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人民法院审理上诉案件，需要改变原审判决的，应当同时对被诉行政行为作出判决。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第五节　审判监督程序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第九十条</w:t>
      </w:r>
      <w:r>
        <w:rPr>
          <w:rFonts w:hint="eastAsia" w:ascii="宋体" w:hAnsi="宋体" w:eastAsia="仿宋_GB2312" w:cs="仿宋_GB2312"/>
          <w:kern w:val="0"/>
          <w:szCs w:val="32"/>
        </w:rPr>
        <w:t>　当事人对已经发生法律效力的判决、裁定，认为确有错误的，可以向上一级人民法院申请再审，但判决、裁定不停止执行。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第九十一条</w:t>
      </w:r>
      <w:r>
        <w:rPr>
          <w:rFonts w:hint="eastAsia" w:ascii="宋体" w:hAnsi="宋体" w:eastAsia="仿宋_GB2312" w:cs="仿宋_GB2312"/>
          <w:kern w:val="0"/>
          <w:szCs w:val="32"/>
        </w:rPr>
        <w:t>　当事人的申请符合下列情形之一的，人民法院应当再审: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（一）不予立案或者驳回起诉确有错误的；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（二）有新的证据，足以推翻原判决、裁定的；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（三）原判决、裁定认定事实的主要证据不足、未经质证或者系伪造的；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（四）原判决、裁定适用法律、法规确有错误的；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（五）违反法律规定的诉讼程序，可能影响公正审判的；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（六）原判决、裁定遗漏诉讼请求的；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（七）据以作出原判决、裁定的法律文书被撤销或者变更的；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（八）审判人员在审理该案件时有贪污受贿、徇私舞弊、枉法裁判行为的。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第九十二条</w:t>
      </w:r>
      <w:r>
        <w:rPr>
          <w:rFonts w:hint="eastAsia" w:ascii="宋体" w:hAnsi="宋体" w:eastAsia="仿宋_GB2312" w:cs="仿宋_GB2312"/>
          <w:kern w:val="0"/>
          <w:szCs w:val="32"/>
        </w:rPr>
        <w:t>　各级人民法院院长对本院已经发生法律效力的判决、裁定，发现有本法第九十一条规定情形之一，或者发现调解违反自愿原则或者调解书内容违法，认为需要再审的，应当提交审判委员会讨论决定。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最高人民法院对地方各级人民法院已经发生法律效力的判决、裁定，上级人民法院对下级人民法院已经发生法律效力的判决、裁定，发现有本法第九十一条规定情形之一，或者发现调解违反自愿原则或者调解书内容违法的，有权提审或者指令下级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第九十三条</w:t>
      </w:r>
      <w:r>
        <w:rPr>
          <w:rFonts w:hint="eastAsia" w:ascii="宋体" w:hAnsi="宋体" w:eastAsia="仿宋_GB2312" w:cs="仿宋_GB2312"/>
          <w:kern w:val="0"/>
          <w:szCs w:val="32"/>
        </w:rPr>
        <w:t>　最高人民检察院对各级人民法院已经发生法律效力的判决、裁定，上级人民检察院对下级人民法院已经发生法律效力的判决、裁定，发现有本法第九十一条规定情形之一，或者发现调解书损害国家利益、社会公共利益的，应当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地方各级人民检察院对同级人民法院已经发生法律效力的判决、裁定，发现有本法第九十一条规定情形之一，或者发现调解书损害国家利益、社会公共利益的，可以向同级人民法院提出检察建议，并报上级人民检察院备案；也可以提请上级人民检察院向同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各级人民检察院对审判监督程序以外的其他审判程序中审判人员的违法行为，有权向同级人民法院提出检察建议。</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第八章　</w:t>
      </w:r>
      <w:r>
        <w:rPr>
          <w:rFonts w:hint="eastAsia" w:ascii="宋体" w:hAnsi="宋体" w:eastAsia="黑体" w:cs="黑体"/>
          <w:kern w:val="0"/>
          <w:szCs w:val="32"/>
        </w:rPr>
        <w:t>执行</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第九十四条</w:t>
      </w:r>
      <w:r>
        <w:rPr>
          <w:rFonts w:hint="eastAsia" w:ascii="宋体" w:hAnsi="宋体" w:eastAsia="仿宋_GB2312" w:cs="仿宋_GB2312"/>
          <w:kern w:val="0"/>
          <w:szCs w:val="32"/>
        </w:rPr>
        <w:t>　当事人必须履行人民法院发生法律效力的判决、裁定、调解书。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第九十五条</w:t>
      </w:r>
      <w:r>
        <w:rPr>
          <w:rFonts w:hint="eastAsia" w:ascii="宋体" w:hAnsi="宋体" w:eastAsia="仿宋_GB2312" w:cs="仿宋_GB2312"/>
          <w:kern w:val="0"/>
          <w:szCs w:val="32"/>
        </w:rPr>
        <w:t>　公民、法人或者其他组织拒绝履行判决、裁定、调解书的，行政机关或者第三人可以向第一审人民法院申请强制执行，或者由行政机关依法强制执行。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第九十六条</w:t>
      </w:r>
      <w:r>
        <w:rPr>
          <w:rFonts w:hint="eastAsia" w:ascii="宋体" w:hAnsi="宋体" w:eastAsia="仿宋_GB2312" w:cs="仿宋_GB2312"/>
          <w:kern w:val="0"/>
          <w:szCs w:val="32"/>
        </w:rPr>
        <w:t>　行政机关拒绝履行判决、裁定、调解书的，第一审人民法院可以采取下列措施: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（一）对应当归还的罚款或者应当给付的款额，通知银行从该行政机关的账户内划拨；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（二）在规定期限内不履行的，从期满之日起，对该行政机关负责人按日处五十元至一百元的罚款；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（三）将行政机关拒绝履行的情况予以公告；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（四）向监察机关或者该行政机关的上一级行政机关提出司法建议。接受司法建议的机关，根据有关规定进行处理，并将处理情况告知人民法院；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（五）拒不履行判决、裁定、调解书，社会影响恶劣的，可以对该行政机关直接负责的主管人员和其他直接责任人员予以拘留；情节严重，构成犯罪的，依法追究刑事责任。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第九十七条</w:t>
      </w:r>
      <w:r>
        <w:rPr>
          <w:rFonts w:hint="eastAsia" w:ascii="宋体" w:hAnsi="宋体" w:eastAsia="仿宋_GB2312" w:cs="仿宋_GB2312"/>
          <w:kern w:val="0"/>
          <w:szCs w:val="32"/>
        </w:rPr>
        <w:t>　公民、法人或者其他组织对行政行为在法定期限内不提起诉讼又不履行的，行政机关可以申请人民法院强制执行，或者依法强制执行。</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第九章　</w:t>
      </w:r>
      <w:r>
        <w:rPr>
          <w:rFonts w:hint="eastAsia" w:ascii="宋体" w:hAnsi="宋体" w:eastAsia="黑体" w:cs="黑体"/>
          <w:kern w:val="0"/>
          <w:szCs w:val="32"/>
        </w:rPr>
        <w:t>涉外行政诉讼</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第九十八条</w:t>
      </w:r>
      <w:r>
        <w:rPr>
          <w:rFonts w:hint="eastAsia" w:ascii="宋体" w:hAnsi="宋体" w:eastAsia="仿宋_GB2312" w:cs="仿宋_GB2312"/>
          <w:kern w:val="0"/>
          <w:szCs w:val="32"/>
        </w:rPr>
        <w:t>　外国人、无国籍人、外国组织在中华人民共和国进行行政诉讼，适用本法。法律另有规定的除外。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第九十九条</w:t>
      </w:r>
      <w:r>
        <w:rPr>
          <w:rFonts w:hint="eastAsia" w:ascii="宋体" w:hAnsi="宋体" w:eastAsia="仿宋_GB2312" w:cs="仿宋_GB2312"/>
          <w:kern w:val="0"/>
          <w:szCs w:val="32"/>
        </w:rPr>
        <w:t>　外国人、无国籍人、外国组织在中华人民共和国进行行政诉讼，同中华人民共和国公民、组织有同等的诉讼权利和义务。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外国法院对中华人民共和国公民、组织的行政诉讼权利加以限制的，人民法院对该国公民、组织的行政诉讼权利，实行对等原则。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第一百条</w:t>
      </w:r>
      <w:r>
        <w:rPr>
          <w:rFonts w:hint="eastAsia" w:ascii="宋体" w:hAnsi="宋体" w:eastAsia="仿宋_GB2312" w:cs="仿宋_GB2312"/>
          <w:kern w:val="0"/>
          <w:szCs w:val="32"/>
        </w:rPr>
        <w:t>　外国人、无国籍人、外国组织在中华人民共和国进行行政诉讼，委托律师代理诉讼的，应当委托中华人民共和国律师机构的律师。</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第十章　</w:t>
      </w:r>
      <w:r>
        <w:rPr>
          <w:rFonts w:hint="eastAsia" w:ascii="宋体" w:hAnsi="宋体" w:eastAsia="黑体" w:cs="黑体"/>
          <w:kern w:val="0"/>
          <w:szCs w:val="32"/>
        </w:rPr>
        <w:t>附则</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第一百零一条</w:t>
      </w:r>
      <w:r>
        <w:rPr>
          <w:rFonts w:hint="eastAsia" w:ascii="宋体" w:hAnsi="宋体" w:eastAsia="仿宋_GB2312" w:cs="仿宋_GB2312"/>
          <w:kern w:val="0"/>
          <w:szCs w:val="32"/>
        </w:rPr>
        <w:t>　人民法院审理行政案件，关于期间、送达、财产保全、开庭审理、调解、中止诉讼、终结诉讼、简易程序、执行等，以及人民检察院对行政案件受理、审理、裁判、执行的监督，本法没有规定的，适用《中华人民共和国民事诉讼法》的相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第一百零二条</w:t>
      </w:r>
      <w:r>
        <w:rPr>
          <w:rFonts w:hint="eastAsia" w:ascii="宋体" w:hAnsi="宋体" w:eastAsia="仿宋_GB2312" w:cs="仿宋_GB2312"/>
          <w:kern w:val="0"/>
          <w:szCs w:val="32"/>
        </w:rPr>
        <w:t>　人民法院审理行政案件，应当收取诉讼费用。诉讼费用由败诉方承担，双方都有责任的由双方分担。收取诉讼费用的具体办法另行规定。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第一百零三条</w:t>
      </w:r>
      <w:r>
        <w:rPr>
          <w:rFonts w:hint="eastAsia" w:ascii="宋体" w:hAnsi="宋体" w:eastAsia="仿宋_GB2312" w:cs="仿宋_GB2312"/>
          <w:kern w:val="0"/>
          <w:szCs w:val="32"/>
        </w:rPr>
        <w:t>　本法自1990年10月1日起施行。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ascii="宋体" w:hAnsi="宋体" w:eastAsia="宋体" w:cs="Arial"/>
          <w:bCs/>
          <w:sz w:val="44"/>
          <w:szCs w:val="44"/>
        </w:rPr>
      </w:pPr>
      <w:bookmarkStart w:id="222" w:name="_Toc1912"/>
      <w:r>
        <w:rPr>
          <w:rFonts w:hint="eastAsia" w:ascii="宋体" w:hAnsi="宋体" w:eastAsia="宋体" w:cs="Arial"/>
          <w:bCs/>
          <w:sz w:val="44"/>
          <w:szCs w:val="44"/>
        </w:rPr>
        <w:t>中华人民共和国传染病防治法实施办法</w:t>
      </w:r>
      <w:bookmarkEnd w:id="222"/>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（1991年10月4日国务院批准　1991年12月6日卫生部令第17号发布）</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预防</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疫情报告</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控制</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监督</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罚则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根据《中华人民共和国传染病防治法》（以下简称《传染病防治法》）的规定，制定本办法。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国家对传染病实行预防为主的方针，各级政府在制定社会经济发展规划时，必须包括传染病防治目标，并组织有关部门共同实施。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各级政府卫生行政部门对传染病防治工作实施统一监督管理。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受国务院卫生行政部门委托的其他有关部门卫生主管机构，在本系统内行使《传染病防治法》第三十二条第一款所列职权。</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军队的传染病防治工作，依照《传染病防治法》和本办法中的有关规定以及国家其他有关规定，由中国人民解放军卫生主管部门实施监督管理。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各级各类卫生防疫机构按照专业分工承担传染病监测管理的责任和范围，由省级政府卫生行政部门确定。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铁路、交通、民航、厂（场）矿的卫生防疫机构，承担本系统传染病监测管理工作，并接受本系统上级卫生主管机构和省级政府卫生行政部门指定的卫生防疫机构的业务指导。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各级各类医疗保健机构承担传染病防治管理的责任和范围，由当地政府卫生行政部门确定。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各级政府对预防、控制传染病做出显著成绩和贡献的单位和个人，应当给予奖励。</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预防</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各级政府应当组织有关部门，开展传染病预防知识和防治措施的卫生健康教育。</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各级政府组织开展爱国卫生活动。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铁路、交通、民航部门负责组织消除交通工具的鼠害和各种病媒昆虫的危害。</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农业、林业部门负责组织消除农田、牧场及林区的鼠害。</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国务院各有关部委消除钉螺危害的分工，按照国务院的有关规定办理。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集中式供水必须符合国家《生活饮用水卫生标准》。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各单位自备水源，未经城市建设部门和卫生行政部门批准，不得与城镇集中式供水系统连接。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地方各级政府应当有计划地建设和改造公共卫生没施。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城市应当按照城市环境卫生设施标准修建公共厕所、垃圾粪便的无害化处理场和污水、雨水排放处理系统等公共卫生设施。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农村应当逐步改造厕所，对粪便进行无害化处理，加强对公共生活用水的卫生管理。建立必要的卫生管理制度。饮用水水源附近禁止有污水池、粪堆（坑）等污染源。禁止在饮用水水源附近洗刷便器和运输粪便的工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国家实行有计划的预防接种制度。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中华人民共和国境内的任何人均应按照有关规定接受预防接种。</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各省、自治区、直辖市政府卫生行政部门可以根据当地传染病的流行情况，增加预防接种项目。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国家对儿童实行预防接种证制度。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适龄儿童应当按照国家有关规定，接受预防接种。适龄儿童的家长或者监护人应当及时向医疗保健机构申请办理预防接种证。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托幼机构、学校在办理入托、入学手续时，应当查验预防接种证，未按规定接种的儿童应当及时补种。</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各级各类医疗保健机构的预防保健组织或者人员，在本单位及责任地段内承担下列工作：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（一）传染病疫情报告和管理；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（二）传染病预防和控制工作；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（三）卫生行政部门指定的卫生防疫机构交付的传染病防治和监测任务。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医疗保健机构必须按照国务院卫生行政部门的有关规定，严格执行消毒隔离制度，防止医院内感染和医源性感染。</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卫生防疫机构和从事致病性微生物实验的科研、教学、生产等单位必须做到：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（一）建立健全防止致病性微生物扩散的制度和人体防护措施；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（二）严格执行实验操作规程，对实验后的样品、器材、污染物品等，按照有关规定严格消毒后处理；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（三）实验动物必须按照国家有关规定进行管理。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传染病的菌（毒）种分为下列三类：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一类：鼠疫耶尔森氏菌、霍乱弧菌；天花病毒、艾滋病病毒；</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二类：布氏菌、炭疽菌、麻风杆菌；肝炎病毒、狂犬病毒、出血热病毒、登革热病毒；斑疹伤寒立克次体；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类：脑膜炎双球菌、链球菌、淋病双球菌、结核杆菌、百日咳嗜血杆菌、白喉棒状杆菌、沙门氏菌、志贺氏菌、破伤风梭状杆菌；钩端螺旋体、梅毒螺旋体；乙型脑炎病毒、脊髓灰质炎病毒、流感病毒、流行性腮腺炎病毒、麻疹病毒、风疹病毒。</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国务院卫生行政部门可以根据情况增加或者减少菌（毒）种的种类。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国家对传染病菌（毒）种的保藏、携带、运输实行严格管理：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（一）菌（毒）种的保藏由国务院卫生行政部门指定的单位负责。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（二）一、二类菌（毒）种的供应由国务院卫生行政部门指定的保藏管理单位供应。三类菌（毒）种由设有专业实验室的单位或者国务院卫生行政部门指定的保藏管理单位供应。</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（三）使用一类菌（毒）种的单位，必须经国务院卫生行政部门批准；使用二类菌〔毒）种的单位必须经省级政府卫生行政部门批准；使用三类菌（毒）种的单位，应当经县级政府卫生行政部门批准。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（四）一、二类菌（毒）种，应派专人向供应单位领取，不得邮寄。三类菌（毒）种的邮寄必须持有邮寄单位的证明，并按照菌（毒）种邮寄与包装的有关规定办理。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对患有下列传染病的病人或者病原携带者予以必要的隔离治疗，直至医疗保健机构证明其不具有传染性时、方可恢复工作：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（一）鼠疫、霍乱；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（二）艾滋病、病毒性肝炎、细菌性和阿米巴痢疾、伤寒和副伤寒、炭疽、斑疹伤寒、麻疹、百日咳、白喉、脊髓灰质炎、流行性脑脊髓膜炎、猩红热、流行性出血热、登革热、淋病、梅毒；</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（三）肺结核、麻风病、流行性腮腺炎、风疹、急性出血性结膜炎。</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从事饮水、饮食、整容、保育等易使传染病扩散工作的从业人员，必须按照国家有关规定取得健康合格证后方可上岗。</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招用流动人员二百人以上的用工单位，应当向当地政府卫生行政部门指定的卫生防疫机构报告，并按照要求采取预防控制传染病的卫生措施。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被甲类传染病病原体污染的污水、污物、粪便，有关单位和个人必须在卫生防疫人员的指导监督下，按照下列要求进行处理：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（一）被鼠疫病原体污染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⒈被污染的室内空气、地面、四壁必须进行严格消毒，被污染的物品必须严格消毒或者焚烧处理；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⒉彻底消除鼠疫疫区内的鼠类、蚤类；发现病鼠、死鼠应当送检；解剖检验后的鼠尸必须焚化；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⒊疫区内啮齿类动物的皮毛不能就地进行有效的消毒处理时，必须在卫生防疫机构的监督下焚烧。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（二）被霍乱病原体污染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⒈被污染的饮用水，必须进行严格消毒处理；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⒉污水经消毒处理后排放；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⒊被污染的食物要就地封存，消毒处理；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⒋粪便消毒处理达到无害化；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⒌被污染的物品，必须进行严格消毒或者焚烧处理。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被伤寒和副伤寒、细菌性痢疾、脊髓灰质炎、病毒性肝炎病原体污染的水、物品、粪便，有关单位和个人应当按照下列要求进行处理：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（一）被污染的饮用水，应当进行严格消毒处理；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（二）污水经消毒处理后排放；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（三）被污染的物品，应当进行严格消毒处理或者焚烧处理；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（四）粪便消毒处理达到无害化。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死于炭疽的动物尸体必须就地焚化，被污染的用具必须消毒处理，被污染的土地、草皮消毒后，必须将十厘米厚的表层土铲除，并在远离水源及河流的地方深埋。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出售、运输被传染病病原体污染或者来自疫区可能被传染病病原体污染的皮毛、旧衣物及生活用品等，必须按照卫生防疫机构的要求进行必要的卫生处理。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用于预防传染病的菌苗、疫苗等生物制品，由各省、自治区、直辖市卫生防疫机构统一向生物制品生产单位订购，其他任何单位和个人不得经营。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用于预防传染病的菌苗、疫苗等生物制品必须在卫生防疫机构监督指导下使用。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凡从事可能导致经血液传播传染病的美容、整容等单位和个人，必须执行国务院卫生行政部门的有关规定。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血站（库）、生物制品生产单位，必须严格执行国务院卫生行政部门的有关规定，保证血液、血液制品的质量，防止因输入血液、血液制品引起病毒性肝炎、艾滋病、疟疾等疾病的发生。任何单位和个人不准使用国务院卫生行政部门禁止进口的血液和血液制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生产、经营、使用消毒药剂和消毒器械、卫生用品、卫生材料、一次性医疗器材、隐形眼镜、人造器官等必须符合国家有关标准，不符合国家有关标准的不得生产、经营和使用。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发现人畜共患传染病已在人、畜间流行时，卫生行政部门与畜牧兽医部门应当深入疫区，按照职责分别对人、畜开展防治工作。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传染病流行区的家畜家禽，未经畜牧兽医部门检疫不得外运。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进入鼠疫自然疫源地捕猎旱獭应按照国家有关规定执行。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狂犬病的防治管理工作按照下列规定分工负责：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（一）公安部门负责县以上城市养犬的审批与违章养犬的处理，捕杀狂犬、野犬。</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（二）畜牧兽医部门负责兽用狂犬病疫苗的研制、生产和供应；对城乡经批准的养犬进行预防接种、登记和发放“家犬免疫证”；对犬类狂犬病的疫情进行监测和负责进出口犬类的检疫、免疫及管理。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（三）乡（镇）政府负责辖区内养犬的管理，捕杀狂犬、野犬。</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（四）卫生部门负责人用狂犬病疫苗的供应、接种和病人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的诊治。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自然疫源地或者可能是自然疫源地的地区计划兴建大型建设项目时，建设单位在设计任务书批准后，应当向当地卫生防疫机构申请对施工环境进行卫生调查，并根据卫生防疫机构的意见采取必要的卫生防疫措施后，方可办理开工手续。</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兴建城市规划内的建设项目，属于在自然疫源地和可能是自然疫源地范围内的，城市规划主管部门在核发建设工程规划许可证明中．必须有卫生防疫部门提出的有关意见及结论。建设单位在施工过程中，必地采取预防传染病传播和扩散的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卫生防疫机构接到在自然疫源地和可能是自然疫源地范围内兴办大型建设项目的建设单位的卫生调查申请后，应当及时组成调查组到现场进行调查，并提出该地区自然环境中可能存在的传染病病种、流行范围、流行强度及预防措施等意见和结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在自然疫源地或者可能是自然疫源地内施工的建设单位，应当设立预防保健组织负责施工期间的卫生防疫工作。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凡在生产、工作中接触传染病病原体的工作人员，可以按照国家有关规定申领卫生防疫津贴。</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疫情报告</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执行职务的医疗保健人员、卫生防疫人员为责任疫情报告人。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责任疫情报告人应当按照本办法第三十五条规定的时限向卫生行政部门指定的卫生防疫机构报告疫情，并做疫情登记。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责任疫情报告人发现甲类传染病和乙类传染病中的艾滋病、肺炭疽的病人、病原携带者和疑似传染病病人时，城镇于六小时内，农村于十二小时内，以最快的通讯方式向发病地的卫生防疫机构报告，并同时报出传染病报告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责任疫情报告人发现乙类传染病病人、病原携带者和疑似传染病病人时，城镇于十二小时内，农村于二十四小时内向发病地的卫生防疫机构报出传染病报告卡。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责任疫情报告人在丙类传染病监测区内发现丙类传染病病人时，应当在二十四小时内向发病地的卫生防疫机构报出传染病报告卡。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传染病暴发、流行时，责任疫情报告人应当以最快的通讯方式向当地卫生防疫机构报告疫情。接到疫情报告的卫生防疫机构应当以最快的通讯方式报告上级卫生防疫机构和当地政府卫生行政部门，卫生行政部门接到报告后，应当立即报告当地政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省级政府卫生行政部门接到发现甲类传染病和发生传染病暴发、流行的报告后，应当于六小时内报告国务院卫生行政部门。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流动人员中的传染病病人、病原携带者和疑似传染病病人的传染病报告、处理由诊治地负责，其疫情登记、统计由户口所在地负责。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铁路、交通、民航、厂（场）矿的卫生防疫机构，应当定期向所在地卫生行政部门指定的卫生防疫机构报告疫情。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军队的传染病疫情，由中国人民解放军卫生主管部门根据军队有关规定向国务院卫生行政部门报告。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军队的医疗保健和卫生防疫机构，发现地方就诊的传染病病人、病原携带者、疑似传染病病人时，应当按照本办法第三十五条的规定报告疫清，并接受当地卫生防疫机构的业务指导。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国境口岸所在地卫生行政部门指定的卫生防疫机构和港口、机场、铁路卫生防疫机构和国境卫生检疫机关在发现国境卫生检疫法规定的检疫传染病时，应当互相通报疫情。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发现人畜共患传染病时，卫生防疫机构和畜牧兽医部门应当互相通报疫情。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各级政府卫生行政部门指定的卫生防疫机构应当对辖区内各类医疗保健机构的疫情登记报告和管理情况定期进行核实、检查、指导。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传染病报告卡片邮寄信封应当印有明显的“红十字”标志及写明ＸＸ卫生防疫机构收的字样。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邮电部门应当及时传递疫情报告的电话或者信卡，并实行邮资总付。</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医务人员未经县级以上政府卫生行政部门批准，不得将就诊的淋病、梅毒、麻风病、艾滋病病人和艾滋病病原携带者及其家属的姓名、住址和个人病史公开。</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控制</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卫生防疫机构和医疗保健机构传染病的疫情处理实行分级分工管理。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艾滋病的监测管理按照国务院有关规定执行。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淋病、梅毒病人应当在医疗保健机构、卫生防疫机构接受治疗。尚未治愈前，不得进入公共浴池、游泳池。</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医疗保健机构或者卫生防疫机构在诊治中发现甲类传染病的疑似病人，应当在二日内作出明确诊断。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甲类传染病病人和病原携带者以及乙类传染病中的艾滋病、淋病、梅毒病人的密切接触者必须按照有关规定接受检疫、医学检查和防治措施。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前款以外的乙类传染病病人及病原携带者的密切接触者，应当接受医学检查和防治措施。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甲类传染病疑似病人或者病原携带者的密切接触者，经留验排除是病人或者病原携带者后，留验期间的工资福利待遇由所属单位按出勤照发。</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发现甲类传染病病人、病原携带者或者疑似病人的污染场所，卫生防疫机构接到疫情报告后，应立即进行严格的卫生处理。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地方各级政府卫生行政部门发现本地区发生从未有过的传染病或者国家已宣布消除的传染病时，应当立即采取措施，必要时，向当地政府报告。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在传染病暴发、流行区域，当地政府应当根据传染病疫情控制的需要，组织卫生、医药、公安、工商、交通、水利、城建、农业、商业、民政、邮电、广播电视等部门采取下列预防、控制措施：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（一）对病人进行抢救、隔离治疗；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（二）加强粪便管理，清除垃圾、污物；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（三）加强自来水和其他饮用水的管理，保护饮用水源；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（四）消除病媒昆虫、钉螺、鼠类及其他染疫动物；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（五）加强易使传染病传播扩散活动的卫生管理；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（六）开展防病知识的宣传；</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（七）组织对传染病病人、病原携带者、染疫动物密切接触人群的检疫、预防服药、应急接种等；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（八）供应用于预防和控制疫情所必需的药品、生物制品、消毒药品、器械等；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（九）保证居民生活必需品的供应。</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县级以上政府接到下一级政府关于采取《传染病防治法》第二十五条规定的紧急措施报告时，应当在二十四小时内做出决定。下一级政府在上一级政府作出决定前、必要时，可以临时采取《传染病防治法》第二十五条第一款第（一）、（四）项紧急措施，但不得超过二十四小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撤销采取《传染病防治法》第二十五条紧急措施的条件是：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（一）甲类传染病病人、病原携带者全部治愈，乙类传染病病人、病原携带者得到有效的隔离治疗；病人尸体得到严格消毒处理；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（二）污染的物品及环境已经过消毒等卫生处理，有关病媒昆虫、染疫动物基本消除；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（三）暴发、流行的传染病病种，经过最长潜伏期后，未发现新的传染病病人，疫情得到有效的控制。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因患鼠疫、霍乱和炭疽病死亡的病人尸体，由治疗病人的医疗单位负责消毒处理，处理后应当立即火化。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患病毒性肝炎、伤寒和副伤寒、艾滋病、白喉、炭疽、脊髓灰质炎死亡的病人尸体，由治疗病人的医疗单位或者当地卫生防疫机构消毒处理后火化。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不具备火化条件的农村、边远地区，由治疗病人的医疗单位或者当地卫生防疫机构负责消毒后，可选远离居民点五百米以外、远离饮用水源五十米以外的地方，将尸体在距地面两米以下深埋。</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民族自治地方执行前款的规定，依照《传染病防治法》第二十八条第三款的规定办理。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医疗保健机构、卫生防疫机构经县级以上政府卫生行政部门的批准可以对传染病病人尸体或者疑似传染病病人的尸体进行解剖查验。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卫生防疫机构处理传染病疫情的人员，可以凭当地政府卫生行政部门出具的处理疫情证明及有效的身份证明，优先在铁路、交通、民航部门购票，铁路、交通、民航部门应当保证售给最近一次通往目的地的车、船、机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交付运输的处理疫情的物品应当有明显标志，铁路、交通、民航部门应当保证用最快通往目的地的交通工具运出。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第五十八条　</w:t>
      </w:r>
      <w:r>
        <w:rPr>
          <w:rFonts w:hint="eastAsia" w:ascii="宋体" w:hAnsi="宋体" w:cs="Arial"/>
          <w:kern w:val="0"/>
          <w:szCs w:val="32"/>
        </w:rPr>
        <w:t>用于传染病监督控制的车辆，其标志由国务院卫生行政部门会同有关部门统一制定。任何单位和个人不得阻拦依法执行处理疫情任务的车辆和人员。</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监督</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第五十九条　</w:t>
      </w:r>
      <w:r>
        <w:rPr>
          <w:rFonts w:hint="eastAsia" w:ascii="宋体" w:hAnsi="宋体" w:cs="Arial"/>
          <w:kern w:val="0"/>
          <w:szCs w:val="32"/>
        </w:rPr>
        <w:t>地方各级政府卫生行政部门、卫生防疫机构和受国务院卫生行政部门委托的其他有关部门卫生主管机构推荐的传染病管理监督员，由省级以上政府卫生行政部门聘任并发给证件。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省级政府卫生行政部门聘任的传染病管理监督员，报国务院卫生行政部门备案。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第六十条　</w:t>
      </w:r>
      <w:r>
        <w:rPr>
          <w:rFonts w:hint="eastAsia" w:ascii="宋体" w:hAnsi="宋体" w:cs="Arial"/>
          <w:kern w:val="0"/>
          <w:szCs w:val="32"/>
        </w:rPr>
        <w:t>传染病管理监督员执行下列任务：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（一）监督检查《传染病防治法》及本办法的执行情况；</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（二）进行现场调查，包括采集必需的标本及查阅、索取、翻印复制必要的文字、图片、声像资料等，并根据调查情况写出书面报告；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（三）对违法单位或者个人提出处罚建议；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（四）执行卫生行政部门或者其他有关部门卫生主管机构交付的任务；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（五）及时提出预防和控制传染病措施的建议。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第六十一条　</w:t>
      </w:r>
      <w:r>
        <w:rPr>
          <w:rFonts w:hint="eastAsia" w:ascii="宋体" w:hAnsi="宋体" w:cs="Arial"/>
          <w:kern w:val="0"/>
          <w:szCs w:val="32"/>
        </w:rPr>
        <w:t>各级各类医疗保健机构内设立的传染病管理检查员，由本单位推荐，经县级以上政府卫生行政部门或受国务院卫生行政部门委托的其他部门卫生主管机构批准并发给证件。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第六十二条　</w:t>
      </w:r>
      <w:r>
        <w:rPr>
          <w:rFonts w:hint="eastAsia" w:ascii="宋体" w:hAnsi="宋体" w:cs="Arial"/>
          <w:kern w:val="0"/>
          <w:szCs w:val="32"/>
        </w:rPr>
        <w:t>传染病管理检查员执行下列任务：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（一）宣传《传染病防治法》及本办法，检查本单位和责任地段的传染病防治措施的实施和疫情报告执行情况；</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（二）对本单位和责任地段的传染病防治工作进行技术指导；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（三）执行卫生行政部门和卫生防疫机构对本单位及责任地段提出的改进传染病防治管理工作的意见；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（四）定期向卫生行政部门指定的卫生防度机构汇报工作情况，遇到紧急情况及时报告。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第六十三条　</w:t>
      </w:r>
      <w:r>
        <w:rPr>
          <w:rFonts w:hint="eastAsia" w:ascii="宋体" w:hAnsi="宋体" w:cs="Arial"/>
          <w:kern w:val="0"/>
          <w:szCs w:val="32"/>
        </w:rPr>
        <w:t>传染病管理监督员、传染病管理检查员执行任务时，有关单位和个人必须给予协助。</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第六十四条　</w:t>
      </w:r>
      <w:r>
        <w:rPr>
          <w:rFonts w:hint="eastAsia" w:ascii="宋体" w:hAnsi="宋体" w:cs="Arial"/>
          <w:kern w:val="0"/>
          <w:szCs w:val="32"/>
        </w:rPr>
        <w:t>传染病管理监督员的解聘和传染病管理检查员资格的取消，由原发证机关决定，并通知其所在单位和个人。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第六十五条　</w:t>
      </w:r>
      <w:r>
        <w:rPr>
          <w:rFonts w:hint="eastAsia" w:ascii="宋体" w:hAnsi="宋体" w:cs="Arial"/>
          <w:kern w:val="0"/>
          <w:szCs w:val="32"/>
        </w:rPr>
        <w:t>县级以上政府卫生行政部门和受国务院卫生行政部门委托的部门，可以成立传染病技术鉴定组织。</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罚则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第六十六条　</w:t>
      </w:r>
      <w:r>
        <w:rPr>
          <w:rFonts w:hint="eastAsia" w:ascii="宋体" w:hAnsi="宋体" w:cs="Arial"/>
          <w:kern w:val="0"/>
          <w:szCs w:val="32"/>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（一）集中式供水单位供应的饮用水不符合国家规定的《生活饮用水卫生标准》的；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（二）单位自备水源未经批准与城镇供水系统连接的；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（三）未按城市环境卫生设施标准修建公共卫生设施致使垃圾、粪便、污水不能进行无害化处理的；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（四）对被传染病病原体污染的污水、污物、粪便不按规定进行消毒处理的；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（五）对被甲类和乙类传染病病人、病原携带者、疑似传染病病人污染的场所、物品未按照卫生防疫机构的要求实施必要的卫生处理的；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（六）造成传染病的医原性感染、医院内感染、实验室感染和致病性微生物扩散的；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（七）生产、经营、使用消毒药剂和消毒器械、卫生用品、卫生材料、一次性医疗器材、隐形眼镜、人造器官等不符合国家卫生标准，可能造成传染病的传播、扩散或者造成传染病的传播、扩散的；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（八）准许或者纵容传染病病人、病原携带者和疑似传染病病人，从事国务院卫生行政部门规定禁止从事的易使该传染病扩散的工作的；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（九）传染病病人、病原携带者故意传播传染病，造成他人感染的；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（十）甲类传染病病人、病原携带者或者疑似传染病病人，乙类传染病中艾滋病、肺炭疽病人拒绝进行隔离治疗的；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（十一）招用流动人员的用工单位，未向卫生防疫机构报告并未采取卫生措施，造成传染病传播、流行的；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（十二）违章养犬或者拒绝、阻挠捕杀违章犬，造成咬伤他人或者导致人群中发生狂犬病的。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前款所称情节较严重的，是指下列情形之一：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（一）造成甲类传染病、艾滋病、肺炭疽传播危险的；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（二）造成除艾滋病、肺炭疽之外的乙、丙类传染病暴发、流行的；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（三）造成传染病菌（毒）种扩散的；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（四）造成病人残疾、死亡的；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（五）拒绝执行《传染病防治法》及本办法的规定，屡经教育仍继续违法的；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第六十七条　</w:t>
      </w:r>
      <w:r>
        <w:rPr>
          <w:rFonts w:hint="eastAsia" w:ascii="宋体" w:hAnsi="宋体" w:cs="Arial"/>
          <w:kern w:val="0"/>
          <w:szCs w:val="32"/>
        </w:rPr>
        <w:t>在自然疫源地和可能是自然疫源地的地区兴建大型建设项目未经卫生调查即进行施工的，由县级以上政府卫生行政部门责令限期改正，可以处二千元以上二万元以下的罚款。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第六十八条　</w:t>
      </w:r>
      <w:r>
        <w:rPr>
          <w:rFonts w:hint="eastAsia" w:ascii="宋体" w:hAnsi="宋体" w:cs="Arial"/>
          <w:kern w:val="0"/>
          <w:szCs w:val="32"/>
        </w:rPr>
        <w:t>单位和个人出售、运输被传染病病原体污染和来自疫区可能被传染病病原体污染的皮毛、旧衣物及生活用品的，由县级以上政府卫生行政部门责令限期进行卫生处理，可以处出售金额一倍以下的罚款；造成传染病流行的，根据情节，可以处相当出售金额三倍以下的罚款，危害严重，出售金额不满二千元的，以二千元计算；对主管人员和直接责任人员由所在单位或者上级机关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第六十九条　</w:t>
      </w:r>
      <w:r>
        <w:rPr>
          <w:rFonts w:hint="eastAsia" w:ascii="宋体" w:hAnsi="宋体" w:cs="Arial"/>
          <w:kern w:val="0"/>
          <w:szCs w:val="32"/>
        </w:rPr>
        <w:t>单位和个人非法经营、出售用于预防传染病菌苗、疫苗等生物制品的，县级以上政府卫生行政部门可以处相当出售金额三倍以下的罚款，危害严重，出售金额不满五千元的，以五千元计算；对主管人员和直接责任人员由所在单位或者上级机关根据情节，可以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第七十条　</w:t>
      </w:r>
      <w:r>
        <w:rPr>
          <w:rFonts w:hint="eastAsia" w:ascii="宋体" w:hAnsi="宋体" w:cs="Arial"/>
          <w:kern w:val="0"/>
          <w:szCs w:val="32"/>
        </w:rPr>
        <w:t>有下列行为之一的单位和个人，县级以上政府卫生行政部门报请同级政府批准，对单位予以通报批评；对主管人员和直接责任人员由所在单位或者上级机关给予行政处分：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（一）传染病暴发、流行时，妨碍或者拒绝执行政府采取紧急措施的；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（二）传染病暴发、流行时，医疗保健人员、卫生防疫人员拒绝执行各级政府卫生行政部门调集其参加控制疫情的决定的；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（三）对控制传染病暴发、流行负有责任的部门拒绝执行政府有关控制疫情决定的；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（四）无故阻止和拦截依法执行处理疫情任务的车辆和人员的。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第七十一条　</w:t>
      </w:r>
      <w:r>
        <w:rPr>
          <w:rFonts w:hint="eastAsia" w:ascii="宋体" w:hAnsi="宋体" w:cs="Arial"/>
          <w:kern w:val="0"/>
          <w:szCs w:val="32"/>
        </w:rPr>
        <w:t>执行职务的医疗保健人员、卫生防疫人员和责任单位，不报、漏报、迟报传染病疫情的，由县级以上政府卫生行政部门责令限期改正，对主管人员和直接责任人员由其所在单位或者上级机关根据情节，可以给予行政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个体行医人员在执行职务时，不报、漏报、迟报传染病疫情的，由县级以上政府卫生行政部门责令限期改正，限期内不改的，可以处一百元以上五百元以下罚款；对造成传染病传播流行的，可以处二百元以上二千元以下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第七十二条　</w:t>
      </w:r>
      <w:r>
        <w:rPr>
          <w:rFonts w:hint="eastAsia" w:ascii="宋体" w:hAnsi="宋体" w:cs="Arial"/>
          <w:kern w:val="0"/>
          <w:szCs w:val="32"/>
        </w:rPr>
        <w:t>县级政府卫生行政部门可以作出处一万元以下罚款的决定；决定处一万元以上罚款的，须报上一级政府卫生行政部门批准。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受国务院卫生行政部门委托的有关部门卫生主管机构可以作出处二千元以下罚款的决定；决定处二千元以上罚款的，须报当地县级以上政府卫生行政部门批准。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县级以上政府卫生行政部门在收取罚款时，应当出具正式的罚款收据。罚款全部上缴国库。</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第七十三条　</w:t>
      </w:r>
      <w:r>
        <w:rPr>
          <w:rFonts w:hint="eastAsia" w:ascii="宋体" w:hAnsi="宋体" w:cs="Arial"/>
          <w:kern w:val="0"/>
          <w:szCs w:val="32"/>
        </w:rPr>
        <w:t>《传染病防治法》及本办法的用语含义如下：</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传染病病人、疑似传染病病人：指根据国务院卫生行政部门发布的《中华人民共和国传染病防治法规定管理的传染病诊断标准》，符合传染病病人和疑似传染病病人诊断标准的人。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病原携带者：指感染病原体无临床症状但能排出病原体的人。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暴发：指在一个局部地区，短期内，突然发生多例同一种传染病病人。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流行：指一个地区某种传染病发病率显著超过该病历年的一般发病率水平。</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重大传染病疫情：指《传染病防治法》第二十五条所称的传染病的暴发、流行。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传染病监测：指对人群传染病的发生、流行及影响因素进行有计划地、系统地长期观察。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疫区：指传染病在人群中暴发或者流行，其病原体向周围传播时可能波及的地区。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人畜共患传染病：指鼠疫、流行性出血热、狂犬病、钩端螺旋体病、布鲁氏菌病、炭疽、流行性乙型脑炎、黑热病、包虫病、血吸虫病。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自然疫源地：指某些传染病的病原体在自然界的野生动物中长期保存并造成动物间流行的地区。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可能是自然疫源地：指在自然界中具有自然疫源性疾病存在的传染源和传播媒介，但尚未查明的地区。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医源性感染：指在医学服务中，因病原体传播引起的感染。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医院内感染：指就诊患者在医疗保健机构内受到的感染。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实验室感染：指从事实验室工作时，因接触病原体所致的感染。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消毒：指用化学、物理、生物的方法杀灭或者消除环境中的致病性微生物。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卫生处理：棺消毒、杀虫、灭鼠等卫生措施以及隔离、留验、就地检验等医学措施。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卫生防疫机构：指卫生防疫站、结核病防治研究所（院）、寄生虫病防治研究所（站）、血吸虫病防治研究所（站）、皮肤病性病防治研究所（站）、地方病防治研究所（站）、鼠疫防治站（所）、乡镇预防保健站（所）及与上述机构专业相同的单位。</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医疗保健机构：指医院、卫生院（所）、门诊部（所）、疗养院（所）、妇幼保健院（站）及与上述机构业务活动相同的单位。</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第七十四条　</w:t>
      </w:r>
      <w:r>
        <w:rPr>
          <w:rFonts w:hint="eastAsia" w:ascii="宋体" w:hAnsi="宋体" w:cs="Arial"/>
          <w:kern w:val="0"/>
          <w:szCs w:val="32"/>
        </w:rPr>
        <w:t>省、自治区、直辖市政府可以根据《传染病防治法》和本办法制定实施细则。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第七十五条　</w:t>
      </w:r>
      <w:r>
        <w:rPr>
          <w:rFonts w:hint="eastAsia" w:ascii="宋体" w:hAnsi="宋体" w:cs="Arial"/>
          <w:kern w:val="0"/>
          <w:szCs w:val="32"/>
        </w:rPr>
        <w:t>本办法由国务院卫生行政部门负责解释。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第七十六条　</w:t>
      </w:r>
      <w:r>
        <w:rPr>
          <w:rFonts w:hint="eastAsia" w:ascii="宋体" w:hAnsi="宋体" w:cs="Arial"/>
          <w:kern w:val="0"/>
          <w:szCs w:val="32"/>
        </w:rPr>
        <w:t>本办法自发布之日起施行。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rPr>
      </w:pPr>
      <w:bookmarkStart w:id="223" w:name="_Toc18525"/>
      <w:r>
        <w:rPr>
          <w:rFonts w:hint="eastAsia" w:ascii="宋体" w:hAnsi="宋体" w:eastAsia="宋体" w:cs="宋体"/>
          <w:kern w:val="0"/>
          <w:sz w:val="44"/>
          <w:szCs w:val="44"/>
        </w:rPr>
        <w:t>疫苗流通和预防接种管理条例</w:t>
      </w:r>
      <w:bookmarkEnd w:id="223"/>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Arial"/>
          <w:szCs w:val="32"/>
        </w:rPr>
      </w:pPr>
      <w:r>
        <w:rPr>
          <w:rFonts w:hint="eastAsia" w:ascii="宋体" w:hAnsi="宋体" w:eastAsia="楷体_GB2312" w:cs="Arial"/>
          <w:szCs w:val="32"/>
        </w:rPr>
        <w:t>（2005年3月24日中华人民共和国国务院令第434号公布　根据2016年4月23日国务院令第668号《国务院关于修改〈疫苗流通和预防接种管理条例〉的决定》修订）</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第一条</w:t>
      </w:r>
      <w:r>
        <w:rPr>
          <w:rFonts w:hint="eastAsia" w:ascii="宋体" w:hAnsi="宋体" w:cs="Arial"/>
          <w:kern w:val="0"/>
          <w:szCs w:val="32"/>
        </w:rPr>
        <w:t xml:space="preserve"> 为了加强对疫苗流通和预防接种的管理，预防、控制传染病的发生、流行，保障人体健康和公共卫生，根据《中华人民共和国药品管理法》（以下简称药品管理法）和《中华人民共和国传染病防治法》（以下简称传染病防治法），制定本条例。</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第二条</w:t>
      </w:r>
      <w:r>
        <w:rPr>
          <w:rFonts w:hint="eastAsia" w:ascii="宋体" w:hAnsi="宋体" w:cs="Arial"/>
          <w:kern w:val="0"/>
          <w:szCs w:val="32"/>
        </w:rPr>
        <w:t xml:space="preserve"> 本条例所称疫苗，是指为了预防、控制传染病的发生、流行，用于人体预防接种的疫苗类预防性生物制品。</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分为两类。第一类疫苗，是指政府免费向公民提供，公民应当依照政府的规定受种的疫苗，包括国家免疫规划确定的疫苗，省、自治区、直辖市人民政府在执行国家免疫规划时增加的疫苗，以及县级以上人民政府或者其卫生主管部门组织的应急接种或者群体性预防接种所使用的疫苗；第二类疫苗，是指由公民自费并且自愿受种的其他疫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第三条</w:t>
      </w:r>
      <w:r>
        <w:rPr>
          <w:rFonts w:hint="eastAsia" w:ascii="宋体" w:hAnsi="宋体" w:cs="Arial"/>
          <w:kern w:val="0"/>
          <w:szCs w:val="32"/>
        </w:rPr>
        <w:t xml:space="preserve"> 接种第一类疫苗由政府承担费用。接种第二类疫苗由受种者或者其监护人承担费用。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第四条</w:t>
      </w:r>
      <w:r>
        <w:rPr>
          <w:rFonts w:hint="eastAsia" w:ascii="宋体" w:hAnsi="宋体" w:cs="Arial"/>
          <w:kern w:val="0"/>
          <w:szCs w:val="32"/>
        </w:rPr>
        <w:t xml:space="preserve"> 疫苗的流通、预防接种及其监督管理适用本条例。</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第五条</w:t>
      </w:r>
      <w:r>
        <w:rPr>
          <w:rFonts w:hint="eastAsia" w:ascii="宋体" w:hAnsi="宋体" w:cs="Arial"/>
          <w:kern w:val="0"/>
          <w:szCs w:val="32"/>
        </w:rPr>
        <w:t xml:space="preserve"> 国务院卫生主管部门根据全国范围内的传染病流行情况、人群免疫状况等因素，制定国家免疫规划；会同国务院财政部门拟订纳入国家免疫规划的疫苗种类，报国务院批准后公布。</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省、自治区、直辖市人民政府在执行国家免疫规划时，根据本行政区域的传染病流行情况、人群免疫状况等因素，可以增加免费向公民提供的疫苗种类，并报国务院卫生主管部门备案。</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第六条</w:t>
      </w:r>
      <w:r>
        <w:rPr>
          <w:rFonts w:hint="eastAsia" w:ascii="宋体" w:hAnsi="宋体" w:cs="Arial"/>
          <w:kern w:val="0"/>
          <w:szCs w:val="32"/>
        </w:rPr>
        <w:t xml:space="preserve"> 国家实行有计划的预防接种制度，推行扩大免疫规划。</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需要接种第一类疫苗的受种者应当依照本条例规定受种；受种者为未成年人的，其监护人应当配合有关的疾病预防控制机构和医疗机构等医疗卫生机构，保证受种者及时受种。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第七条</w:t>
      </w:r>
      <w:r>
        <w:rPr>
          <w:rFonts w:hint="eastAsia" w:ascii="宋体" w:hAnsi="宋体" w:cs="Arial"/>
          <w:kern w:val="0"/>
          <w:szCs w:val="32"/>
        </w:rPr>
        <w:t xml:space="preserve"> 国务院卫生主管部门负责全国预防接种的监督管理工作。县级以上地方人民政府卫生主管部门负责本行政区域内预防接种的监督管理工作。</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国务院药品监督管理部门负责全国疫苗的质量和流通的监督管理工作。省、自治区、直辖市人民政府药品监督管理部门负责本行政区域内疫苗的质量和流通的监督管理工作。</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第八条</w:t>
      </w:r>
      <w:r>
        <w:rPr>
          <w:rFonts w:hint="eastAsia" w:ascii="宋体" w:hAnsi="宋体" w:cs="Arial"/>
          <w:kern w:val="0"/>
          <w:szCs w:val="32"/>
        </w:rPr>
        <w:t xml:space="preserve"> 经县级人民政府卫生主管部门依照本条例规定指定的医疗卫生机构（以下称接种单位），承担预防接种工作。县级人民政府卫生主管部门指定接种单位时，应当明确其责任区域。</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县级以上人民政府应当对承担预防接种工作并作出显著成绩和贡献的接种单位及其工作人员给予奖励。</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第九条</w:t>
      </w:r>
      <w:r>
        <w:rPr>
          <w:rFonts w:hint="eastAsia" w:ascii="宋体" w:hAnsi="宋体" w:cs="Arial"/>
          <w:kern w:val="0"/>
          <w:szCs w:val="32"/>
        </w:rPr>
        <w:t xml:space="preserve"> 国家支持、鼓励单位和个人参与预防接种工作。各级人民政府应当完善有关制度，方便单位和个人参与预防接种工作的宣传、教育和捐赠等活动。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居民委员会、村民委员会应当配合有关部门开展与预防接种有关的宣传、教育工作，并协助组织居民、村民受种第一类疫苗。</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第二章　疫苗流通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第十条</w:t>
      </w:r>
      <w:r>
        <w:rPr>
          <w:rFonts w:hint="eastAsia" w:ascii="宋体" w:hAnsi="宋体" w:cs="Arial"/>
          <w:kern w:val="0"/>
          <w:szCs w:val="32"/>
        </w:rPr>
        <w:t xml:space="preserve"> 采购疫苗，应当通过省级公共资源交易平台进行。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 xml:space="preserve">第十一条 </w:t>
      </w:r>
      <w:r>
        <w:rPr>
          <w:rFonts w:hint="eastAsia" w:ascii="宋体" w:hAnsi="宋体" w:cs="Arial"/>
          <w:kern w:val="0"/>
          <w:szCs w:val="32"/>
        </w:rPr>
        <w:t>省级疾病预防控制机构应当根据国家免疫规划和本地区预防、控制传染病的发生、流行的需要，制定本地区第一类疫苗的使用计划（以下称使用计划），并向依照国家有关规定负责采购第一类疫苗的部门报告，同时报同级人民政府卫生主管部门备案。使用计划应当包括疫苗的品种、数量、供应渠道与供应方式等内容。</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第十二条</w:t>
      </w:r>
      <w:r>
        <w:rPr>
          <w:rFonts w:hint="eastAsia" w:ascii="宋体" w:hAnsi="宋体" w:cs="Arial"/>
          <w:kern w:val="0"/>
          <w:szCs w:val="32"/>
        </w:rPr>
        <w:t xml:space="preserve"> 依照国家有关规定负责采购第一类疫苗的部门应当依法与疫苗生产企业签订政府采购合同，约定疫苗的品种、数量、价格等内容。</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第十三条</w:t>
      </w:r>
      <w:r>
        <w:rPr>
          <w:rFonts w:hint="eastAsia" w:ascii="宋体" w:hAnsi="宋体" w:cs="Arial"/>
          <w:kern w:val="0"/>
          <w:szCs w:val="32"/>
        </w:rPr>
        <w:t xml:space="preserve"> 疫苗生产企业应当按照政府采购合同的约定，向省级疾病预防控制机构或者其指定的其他疾病预防控制机构供应第一类疫苗，不得向其他单位或者个人供应。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生产企业应当在其供应的纳入国家免疫规划疫苗的最小外包装的显著位置，标明“免费”字样以及国务院卫生主管部门规定的“免疫规划”专用标识。具体管理办法由国务院药品监督管理部门会同国务院卫生主管部门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第十四条</w:t>
      </w:r>
      <w:r>
        <w:rPr>
          <w:rFonts w:hint="eastAsia" w:ascii="宋体" w:hAnsi="宋体" w:cs="Arial"/>
          <w:kern w:val="0"/>
          <w:szCs w:val="32"/>
        </w:rPr>
        <w:t xml:space="preserve"> 省级疾病预防控制机构应当做好分发第一类疫苗的组织工作，并按照使用计划将第一类疫苗组织分发到设区的市级疾病预防控制机构或者县级疾病预防控制机构。县级疾病预防控制机构应当按照使用计划将第一类疫苗分发到接种单位和乡级医疗卫生机构。乡级医疗卫生机构应当将第一类疫苗分发到承担预防接种工作的村医疗卫生机构。医疗卫生机构不得向其他单位或者个人分发第一类疫苗；分发第一类疫苗，不得收取任何费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传染病暴发、流行时，县级以上地方人民政府或者其卫生主管部门需要采取应急接种措施的，设区的市级以上疾病预防控制机构可以直接向接种单位分发第一类疫苗。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第十五条</w:t>
      </w:r>
      <w:r>
        <w:rPr>
          <w:rFonts w:hint="eastAsia" w:ascii="宋体" w:hAnsi="宋体" w:cs="Arial"/>
          <w:kern w:val="0"/>
          <w:szCs w:val="32"/>
        </w:rPr>
        <w:t xml:space="preserve"> 第二类疫苗由省级疾病预防控制机构组织在省级公共资源交易平台集中采购，由县级疾病预防控制机构向疫苗生产企业采购后供应给本行政区域的接种单位。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疫苗生产企业应当直接向县级疾病预防控制机构配送第二类疫苗，或者委托具备冷链储存、运输条件的企业配送。接受委托配送第二类疫苗的企业不得委托配送。</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县级疾病预防控制机构向接种单位供应第二类疫苗可以收取疫苗费用以及储存、运输费用。疫苗费用按照采购价格收取，储存、运输费用按照省、自治区、直辖市的规定收取。收费情况应当向社会公开。</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第十六条</w:t>
      </w:r>
      <w:r>
        <w:rPr>
          <w:rFonts w:hint="eastAsia" w:ascii="宋体" w:hAnsi="宋体" w:cs="Arial"/>
          <w:kern w:val="0"/>
          <w:szCs w:val="32"/>
        </w:rPr>
        <w:t xml:space="preserve"> 疾病预防控制机构、接种单位、疫苗生产企业、接受委托配送疫苗的企业应当遵守疫苗储存、运输管理规范，保证疫苗质量。疫苗储存、运输的全过程应当始终处于规定的温度环境，不得脱离冷链，并定时监测、记录温度。对于冷链运输时间长、需要配送至偏远地区的疫苗，省级疾病预防控制机构应当提出加贴温度控制标签的要求。</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疫苗储存、运输管理的相关规范由国务院卫生主管部门、药品监督管理部门制定。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第十七条</w:t>
      </w:r>
      <w:r>
        <w:rPr>
          <w:rFonts w:hint="eastAsia" w:ascii="宋体" w:hAnsi="宋体" w:cs="Arial"/>
          <w:kern w:val="0"/>
          <w:szCs w:val="32"/>
        </w:rPr>
        <w:t xml:space="preserve"> 疫苗生产企业在销售疫苗时，应当提供由药品检验机构依法签发的生物制品每批检验合格或者审核批准证明复印件，并加盖企业印章；销售进口疫苗的，还应当提供进口药品通关单复印件，并加盖企业印章。</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疾病预防控制机构、接种单位在接收或者购进疫苗时，应当向疫苗生产企业索取前款规定的证明文件，并保存至超过疫苗有效期2年备查。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第十八条</w:t>
      </w:r>
      <w:r>
        <w:rPr>
          <w:rFonts w:hint="eastAsia" w:ascii="宋体" w:hAnsi="宋体" w:cs="Arial"/>
          <w:kern w:val="0"/>
          <w:szCs w:val="32"/>
        </w:rPr>
        <w:t xml:space="preserve"> 疫苗生产企业应当依照药品管理法和国务院药品监督管理部门的规定，建立真实、完整的销售记录，并保存至超过疫苗有效期2年备查。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疾病预防控制机构应当依照国务院卫生主管部门的规定，建立真实、完整的购进、储存、分发、供应记录，做到票、账、货、款一致，并保存至超过疫苗有效期2年备查。疾病预防控制机构接收或者购进疫苗时应当索要疫苗储存、运输全过程的温度监测记录；对不能提供全过程温度监测记录或者温度控制不符合要求的，不得接收或者购进，并应当立即向药品监督管理部门、卫生主管部门报告。</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第三章　疫苗接种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第十九条</w:t>
      </w:r>
      <w:r>
        <w:rPr>
          <w:rFonts w:hint="eastAsia" w:ascii="宋体" w:hAnsi="宋体" w:cs="Arial"/>
          <w:kern w:val="0"/>
          <w:szCs w:val="32"/>
        </w:rPr>
        <w:t xml:space="preserve"> 国务院卫生主管部门应当制定、公布预防接种工作规范，并根据疫苗的国家标准，结合传染病流行病学调查信息，制定、公布纳入国家免疫规划疫苗的免疫程序和其他疫苗的免疫程序或者使用指导原则。</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省、自治区、直辖市人民政府卫生主管部门应当根据国务院卫生主管部门制定的免疫程序、疫苗使用指导原则，结合本行政区域的传染病流行情况，制定本行政区域的接种方案，并报国务院卫生主管部门备案。</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第二十条</w:t>
      </w:r>
      <w:r>
        <w:rPr>
          <w:rFonts w:hint="eastAsia" w:ascii="宋体" w:hAnsi="宋体" w:cs="Arial"/>
          <w:kern w:val="0"/>
          <w:szCs w:val="32"/>
        </w:rPr>
        <w:t xml:space="preserve"> 各级疾病预防控制机构依照各自职责，根据国家免疫规划或者接种方案，开展与预防接种相关的宣传、培训、技术指导、监测、评价、流行病学调查、应急处置等工作，并依照国务院卫生主管部门的规定作好记录。</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第二十一条</w:t>
      </w:r>
      <w:r>
        <w:rPr>
          <w:rFonts w:hint="eastAsia" w:ascii="宋体" w:hAnsi="宋体" w:cs="Arial"/>
          <w:kern w:val="0"/>
          <w:szCs w:val="32"/>
        </w:rPr>
        <w:t xml:space="preserve"> 接种单位应当具备下列条件：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（一）具有医疗机构执业许可证件；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（二）具有经过县级人民政府卫生主管部门组织的预防接种专业培训并考核合格的执业医师、执业助理医师、护士或者乡村医生；</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（三）具有符合疫苗储存、运输管理规范的冷藏设施、设备和冷藏保管制度。</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承担预防接种工作的城镇医疗卫生机构，应当设立预防接种门诊。</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第二十二条</w:t>
      </w:r>
      <w:r>
        <w:rPr>
          <w:rFonts w:hint="eastAsia" w:ascii="宋体" w:hAnsi="宋体" w:cs="Arial"/>
          <w:kern w:val="0"/>
          <w:szCs w:val="32"/>
        </w:rPr>
        <w:t xml:space="preserve"> 接种单位应当承担责任区域内的预防接种工作，并接受所在地的县级疾病预防控制机构的技术指导。</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第二十三条</w:t>
      </w:r>
      <w:r>
        <w:rPr>
          <w:rFonts w:hint="eastAsia" w:ascii="宋体" w:hAnsi="宋体" w:cs="Arial"/>
          <w:kern w:val="0"/>
          <w:szCs w:val="32"/>
        </w:rPr>
        <w:t xml:space="preserve"> 接种单位接收第一类疫苗或者购进第二类疫苗，应当索要疫苗储存、运输全过程的温度监测记录，建立并保存真实、完整的接收、购进记录，做到票、账、货、款一致。对不能提供全过程温度监测记录或者温度控制不符合要求的，接种单位不得接收或者购进，并应当立即向所在地县级人民政府药品监督管理部门、卫生主管部门报告。</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接种单位应当根据预防接种工作的需要，制定第一类疫苗的需求计划和第二类疫苗的购买计划，并向县级人民政府卫生主管部门和县级疾病预防控制机构报告。</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第二十四条</w:t>
      </w:r>
      <w:r>
        <w:rPr>
          <w:rFonts w:hint="eastAsia" w:ascii="宋体" w:hAnsi="宋体" w:cs="Arial"/>
          <w:kern w:val="0"/>
          <w:szCs w:val="32"/>
        </w:rPr>
        <w:t xml:space="preserve"> 接种单位接种疫苗，应当遵守预防接种工作规范、免疫程序、疫苗使用指导原则和接种方案，并在其接种场所的显著位置公示第一类疫苗的品种和接种方法。</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第二十五条</w:t>
      </w:r>
      <w:r>
        <w:rPr>
          <w:rFonts w:hint="eastAsia" w:ascii="宋体" w:hAnsi="宋体" w:cs="Arial"/>
          <w:kern w:val="0"/>
          <w:szCs w:val="32"/>
        </w:rPr>
        <w:t xml:space="preserve"> 医疗卫生人员在实施接种前，应当告知受种者或者其监护人所接种疫苗的品种、作用、禁忌、不良反应以及注意事项，询问受种者的健康状况以及是否有接种禁忌等情况，并如实记录告知和询问情况。受种者或者其监护人应当了解预防接种的相关知识，并如实提供受种者的健康状况和接种禁忌等情况。</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医疗卫生人员应当对符合接种条件的受种者实施接种，并依照国务院卫生主管部门的规定，记录疫苗的品种、生产企业、最小包装单位的识别信息、有效期、接种时间、实施接种的医疗卫生人员、受种者等内容。接种记录保存时间不得少于5年。</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对于因有接种禁忌而不能接种的受种者，医疗卫生人员应当对受种者或者其监护人提出医学建议。</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第二十六条</w:t>
      </w:r>
      <w:r>
        <w:rPr>
          <w:rFonts w:hint="eastAsia" w:ascii="宋体" w:hAnsi="宋体" w:cs="Arial"/>
          <w:kern w:val="0"/>
          <w:szCs w:val="32"/>
        </w:rPr>
        <w:t xml:space="preserve"> 国家对儿童实行预防接种证制度。在儿童出生后1个月内，其监护人应当到儿童居住地承担预防接种工作的接种单位为其办理预防接种证。接种单位对儿童实施接种时，应当查验预防接种证，并作好记录。</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儿童离开原居住地期间，由现居住地承担预防接种工作的接种单位负责对其实施接种。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预防接种证的格式由省、自治区、直辖市人民政府卫生主管部门制定。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第二十七条</w:t>
      </w:r>
      <w:r>
        <w:rPr>
          <w:rFonts w:hint="eastAsia" w:ascii="宋体" w:hAnsi="宋体" w:cs="Arial"/>
          <w:kern w:val="0"/>
          <w:szCs w:val="32"/>
        </w:rPr>
        <w:t xml:space="preserve"> 儿童入托、入学时，托幼机构、学校应当查验预防接种证，发现未依照国家免疫规划受种的儿童，应当向所在地的县级疾病预防控制机构或者儿童居住地承担预防接种工作的接种单位报告，并配合疾病预防控制机构或者接种单位督促其监护人在儿童入托、入学后及时到接种单位补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第二十八条</w:t>
      </w:r>
      <w:r>
        <w:rPr>
          <w:rFonts w:hint="eastAsia" w:ascii="宋体" w:hAnsi="宋体" w:cs="Arial"/>
          <w:kern w:val="0"/>
          <w:szCs w:val="32"/>
        </w:rPr>
        <w:t xml:space="preserve"> 接种单位应当按照国家免疫规划对居住在其责任区域内需要接种第一类疫苗的受种者接种，并达到国家免疫规划所要求的接种率。</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疾病预防控制机构应当及时向接种单位分发第一类疫苗。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受种者或者其监护人要求自费选择接种第一类疫苗的同品种疫苗的，提供服务的接种单位应当告知费用承担、异常反应补偿方式以及本条例第二十五条规定的有关内容。</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第二十九条</w:t>
      </w:r>
      <w:r>
        <w:rPr>
          <w:rFonts w:hint="eastAsia" w:ascii="宋体" w:hAnsi="宋体" w:cs="Arial"/>
          <w:kern w:val="0"/>
          <w:szCs w:val="32"/>
        </w:rPr>
        <w:t xml:space="preserve"> 接种单位应当依照国务院卫生主管部门的规定对接种情况进行登记，并向所在地的县级人民政府卫生主管部门和县级疾病预防控制机构报告。接种单位在完成国家免疫规划后剩余第一类疫苗的，应当向原疫苗分发单位报告，并说明理由。</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第三十条</w:t>
      </w:r>
      <w:r>
        <w:rPr>
          <w:rFonts w:hint="eastAsia" w:ascii="宋体" w:hAnsi="宋体" w:cs="Arial"/>
          <w:kern w:val="0"/>
          <w:szCs w:val="32"/>
        </w:rPr>
        <w:t xml:space="preserve"> 接种单位接种第一类疫苗不得收取任何费用。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接种单位接种第二类疫苗可以收取服务费、接种耗材费，具体收费标准由所在地的省、自治区、直辖市人民政府价格主管部门核定。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第三十一条</w:t>
      </w:r>
      <w:r>
        <w:rPr>
          <w:rFonts w:hint="eastAsia" w:ascii="宋体" w:hAnsi="宋体" w:cs="Arial"/>
          <w:kern w:val="0"/>
          <w:szCs w:val="32"/>
        </w:rPr>
        <w:t xml:space="preserve"> 县级以上地方人民政府卫生主管部门根据传染病监测和预警信息，为了预防、控制传染病的暴发、流行，需要在本行政区域内部分地区进行群体性预防接种的，应当报经本级人民政府决定，并向省、自治区、直辖市人民政府卫生主管部门备案；需要在省、自治区、直辖市行政区域全部范围内进行群体性预防接种的，应当由省、自治区、直辖市人民政府卫生主管部门报经本级人民政府决定，并向国务院卫生主管部门备案。需要在全国范围或者跨省、自治区、直辖市范围内进行群体性预防接种的，应当由国务院卫生主管部门决定。作出批准决定的人民政府或者国务院卫生主管部门应当组织有关部门做好人员培训、宣传教育、物资调用等工作。</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任何单位或者个人不得擅自进行群体性预防接种。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第三十二条</w:t>
      </w:r>
      <w:r>
        <w:rPr>
          <w:rFonts w:hint="eastAsia" w:ascii="宋体" w:hAnsi="宋体" w:cs="Arial"/>
          <w:kern w:val="0"/>
          <w:szCs w:val="32"/>
        </w:rPr>
        <w:t xml:space="preserve"> 传染病暴发、流行时，县级以上地方人民政府或者其卫生主管部门需要采取应急接种措施的，依照传染病防治法和《突发公共卫生事件应急条例》的规定执行。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第三十三条</w:t>
      </w:r>
      <w:r>
        <w:rPr>
          <w:rFonts w:hint="eastAsia" w:ascii="宋体" w:hAnsi="宋体" w:cs="Arial"/>
          <w:kern w:val="0"/>
          <w:szCs w:val="32"/>
        </w:rPr>
        <w:t xml:space="preserve"> 国务院卫生主管部门或者省、自治区、直辖市人民政府卫生主管部门可以根据传染病监测和预警信息发布接种第二类疫苗的建议信息，其他任何单位和个人不得发布。</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接种第二类疫苗的建议信息应当包含所针对传染病的防治知识、相关的接种方案等内容，但不得涉及具体的疫苗生产企业。</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第四章　保障措施</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第三十四条</w:t>
      </w:r>
      <w:r>
        <w:rPr>
          <w:rFonts w:hint="eastAsia" w:ascii="宋体" w:hAnsi="宋体" w:cs="Arial"/>
          <w:kern w:val="0"/>
          <w:szCs w:val="32"/>
        </w:rPr>
        <w:t xml:space="preserve"> 县级以上人民政府应当将与国家免疫规划有关的预防接种工作纳入本行政区域的国民经济和社会发展计划，对预防接种工作所需经费予以保障，保证达到国家免疫规划所要求的接种率，确保国家免疫规划的实施。</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第三十五条</w:t>
      </w:r>
      <w:r>
        <w:rPr>
          <w:rFonts w:hint="eastAsia" w:ascii="宋体" w:hAnsi="宋体" w:cs="Arial"/>
          <w:kern w:val="0"/>
          <w:szCs w:val="32"/>
        </w:rPr>
        <w:t xml:space="preserve"> 省、自治区、直辖市人民政府根据本行政区域传染病流行趋势，在国务院卫生主管部门确定的传染病预防、控制项目范围内，确定本行政区域与预防接种相关的项目，并保证项目的实施。</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第三十六条</w:t>
      </w:r>
      <w:r>
        <w:rPr>
          <w:rFonts w:hint="eastAsia" w:ascii="宋体" w:hAnsi="宋体" w:cs="Arial"/>
          <w:kern w:val="0"/>
          <w:szCs w:val="32"/>
        </w:rPr>
        <w:t xml:space="preserve"> 省、自治区、直辖市人民政府应当对购买、运输第一类疫苗所需经费予以保障，并保证本行政区域内疾病预防控制机构和接种单位冷链系统的建设、运转。</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国家根据需要对贫困地区的预防接种工作给予适当支持。</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第三十七条</w:t>
      </w:r>
      <w:r>
        <w:rPr>
          <w:rFonts w:hint="eastAsia" w:ascii="宋体" w:hAnsi="宋体" w:cs="Arial"/>
          <w:kern w:val="0"/>
          <w:szCs w:val="32"/>
        </w:rPr>
        <w:t xml:space="preserve"> 县级人民政府应当保证实施国家免疫规划的预防接种所需经费，并依照国家有关规定对从事预防接种工作的乡村医生和其他基层预防保健人员给予适当补助。</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省、自治区、直辖市人民政府和设区的市级人民政府应当对困难地区的县级人民政府开展与预防接种相关的工作给予必要的经费补助。</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第三十八条</w:t>
      </w:r>
      <w:r>
        <w:rPr>
          <w:rFonts w:hint="eastAsia" w:ascii="宋体" w:hAnsi="宋体" w:cs="Arial"/>
          <w:kern w:val="0"/>
          <w:szCs w:val="32"/>
        </w:rPr>
        <w:t xml:space="preserve"> 县级以上人民政府负责疫苗和有关物资的储备，以备调用。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第三十九条</w:t>
      </w:r>
      <w:r>
        <w:rPr>
          <w:rFonts w:hint="eastAsia" w:ascii="宋体" w:hAnsi="宋体" w:cs="Arial"/>
          <w:kern w:val="0"/>
          <w:szCs w:val="32"/>
        </w:rPr>
        <w:t xml:space="preserve"> 各级财政安排用于预防接种的经费应当专款专用，任何单位和个人不得挪用、挤占。有关单位和个人使用用于预防接种的经费应当依法接受审计机关的审计监督。</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第五章　预防接种异常反应的处理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第四十条</w:t>
      </w:r>
      <w:r>
        <w:rPr>
          <w:rFonts w:hint="eastAsia" w:ascii="宋体" w:hAnsi="宋体" w:cs="Arial"/>
          <w:kern w:val="0"/>
          <w:szCs w:val="32"/>
        </w:rPr>
        <w:t xml:space="preserve"> 预防接种异常反应，是指合格的疫苗在实施规范接种过程中或者实施规范接种后造成受种者机体组织器官、功能损害，相关各方均无过错的药品不良反应。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第四十一条</w:t>
      </w:r>
      <w:r>
        <w:rPr>
          <w:rFonts w:hint="eastAsia" w:ascii="宋体" w:hAnsi="宋体" w:cs="Arial"/>
          <w:kern w:val="0"/>
          <w:szCs w:val="32"/>
        </w:rPr>
        <w:t xml:space="preserve"> 下列情形不属于预防接种异常反应：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（一）因疫苗本身特性引起的接种后一般反应；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（二）因疫苗质量不合格给受种者造成的损害；</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（三）因接种单位违反预防接种工作规范、免疫程序、疫苗使用指导原则、接种方案给受种者造成的损害；</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（四）受种者在接种时正处于某种疾病的潜伏期或者前驱期，接种后偶合发病；</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（五）受种者有疫苗说明书规定的接种禁忌，在接种前受种者或者其监护人未如实提供受种者的健康状况和接种禁忌等情况，接种后受种者原有疾病急性复发或者病情加重；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（六）因心理因素发生的个体或者群体的心因性反应。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第四十二条</w:t>
      </w:r>
      <w:r>
        <w:rPr>
          <w:rFonts w:hint="eastAsia" w:ascii="宋体" w:hAnsi="宋体" w:cs="Arial"/>
          <w:kern w:val="0"/>
          <w:szCs w:val="32"/>
        </w:rPr>
        <w:t xml:space="preserve"> 疾病预防控制机构和接种单位及其医疗卫生人员发现预防接种异常反应、疑似预防接种异常反应或者接到相关报告的，应当依照预防接种工作规范及时处理，并立即报告所在地的县级人民政府卫生主管部门、药品监督管理部门。接到报告的卫生主管部门、药品监督管理部门应当立即组织调查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第四十三条</w:t>
      </w:r>
      <w:r>
        <w:rPr>
          <w:rFonts w:hint="eastAsia" w:ascii="宋体" w:hAnsi="宋体" w:cs="Arial"/>
          <w:kern w:val="0"/>
          <w:szCs w:val="32"/>
        </w:rPr>
        <w:t xml:space="preserve"> 县级以上地方人民政府卫生主管部门、药品监督管理部门应当将在本行政区域内发生的预防接种异常反应及其处理的情况，分别逐级上报至国务院卫生主管部门和药品监督管理部门。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第四十四条</w:t>
      </w:r>
      <w:r>
        <w:rPr>
          <w:rFonts w:hint="eastAsia" w:ascii="宋体" w:hAnsi="宋体" w:cs="Arial"/>
          <w:kern w:val="0"/>
          <w:szCs w:val="32"/>
        </w:rPr>
        <w:t xml:space="preserve"> 预防接种异常反应争议发生后，接种单位或者受种方可以请求接种单位所在地的县级人民政府卫生主管部门处理。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因预防接种导致受种者死亡、严重残疾或者群体性疑似预防接种异常反应，接种单位或者受种方请求县级人民政府卫生主管部门处理的，接到处理请求的卫生主管部门应当采取必要的应急处置措施，及时向本级人民政府报告，并移送上一级人民政府卫生主管部门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第四十五条</w:t>
      </w:r>
      <w:r>
        <w:rPr>
          <w:rFonts w:hint="eastAsia" w:ascii="宋体" w:hAnsi="宋体" w:cs="Arial"/>
          <w:kern w:val="0"/>
          <w:szCs w:val="32"/>
        </w:rPr>
        <w:t xml:space="preserve"> 预防接种异常反应的鉴定参照《医疗事故处理条例》执行，具体办法由国务院卫生主管部门会同国务院药品监督管理部门制定。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第四十六条</w:t>
      </w:r>
      <w:r>
        <w:rPr>
          <w:rFonts w:hint="eastAsia" w:ascii="宋体" w:hAnsi="宋体" w:cs="Arial"/>
          <w:kern w:val="0"/>
          <w:szCs w:val="32"/>
        </w:rPr>
        <w:t xml:space="preserve"> 因预防接种异常反应造成受种者死亡、严重残疾或者器官组织损伤的，应当给予一次性补偿。</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因接种第一类疫苗引起预防接种异常反应需要对受种者予以补偿的，补偿费用由省、自治区、直辖市人民政府财政部门在预防接种工作经费中安排。因接种第二类疫苗引起预防接种异常反应需要对受种者予以补偿的，补偿费用由相关的疫苗生产企业承担。国家鼓励建立通过商业保险等形式对预防接种异常反应受种者予以补偿的机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预防接种异常反应具体补偿办法由省、自治区、直辖市人民政府制定。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第四十七条</w:t>
      </w:r>
      <w:r>
        <w:rPr>
          <w:rFonts w:hint="eastAsia" w:ascii="宋体" w:hAnsi="宋体" w:cs="Arial"/>
          <w:kern w:val="0"/>
          <w:szCs w:val="32"/>
        </w:rPr>
        <w:t xml:space="preserve"> 因疫苗质量不合格给受种者造成损害的，依照药品管理法的有关规定处理；因接种单位违反预防接种工作规范、免疫程序、疫苗使用指导原则、接种方案给受种者造成损害的，依照《医疗事故处理条例》的有关规定处理。</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第六章　监督管理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第四十八条</w:t>
      </w:r>
      <w:r>
        <w:rPr>
          <w:rFonts w:hint="eastAsia" w:ascii="宋体" w:hAnsi="宋体" w:cs="Arial"/>
          <w:kern w:val="0"/>
          <w:szCs w:val="32"/>
        </w:rPr>
        <w:t xml:space="preserve"> 药品监督管理部门依照药品管理法及其实施条例的有关规定，对疫苗在储存、运输、供应、销售、分发和使用等环节中的质量进行监督检查，并将检查结果及时向同级卫生主管部门通报。药品监督管理部门根据监督检查需要对疫苗进行抽查检验的，有关单位和个人应当予以配合，不得拒绝。</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第四十九条</w:t>
      </w:r>
      <w:r>
        <w:rPr>
          <w:rFonts w:hint="eastAsia" w:ascii="宋体" w:hAnsi="宋体" w:cs="Arial"/>
          <w:kern w:val="0"/>
          <w:szCs w:val="32"/>
        </w:rPr>
        <w:t xml:space="preserve"> 药品监督管理部门在监督检查中，对有证据证明可能危害人体健康的疫苗及其有关材料可以采取查封、扣押的措施，并在7日内作出处理决定；疫苗需要检验的，应当自检验报告书发出之日起15日内作出处理决定。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疾病预防控制机构、接种单位、疫苗生产企业发现假劣或者质量可疑的疫苗，应当立即停止接种、分发、供应、销售，并立即向所在地的县级人民政府卫生主管部门和药品监督管理部门报告，不得自行处理。接到报告的卫生主管部门应当立即组织疾病预防控制机构和接种单位采取必要的应急处置措施，同时向上级卫生主管部门报告；接到报告的药品监督管理部门应当对假劣或者质量可疑的疫苗依法采取查封、扣押等措施。</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第五十条</w:t>
      </w:r>
      <w:r>
        <w:rPr>
          <w:rFonts w:hint="eastAsia" w:ascii="宋体" w:hAnsi="宋体" w:cs="Arial"/>
          <w:kern w:val="0"/>
          <w:szCs w:val="32"/>
        </w:rPr>
        <w:t xml:space="preserve"> 县级以上人民政府卫生主管部门在各自职责范围内履行下列监督检查职责：</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（一）对医疗卫生机构实施国家免疫规划的情况进行监督检查；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（二）对疾病预防控制机构开展与预防接种相关的宣传、培训、技术指导等工作进行监督检查；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（三）对医疗卫生机构分发和购买疫苗的情况进行监督检查。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卫生主管部门应当主要通过对医疗卫生机构依照本条例规定所作的疫苗分发、储存、运输和接种等记录进行检查，履行监督管理职责；必要时，可以进行现场监督检查。卫生主管部门对监督检查情况应当予以记录，发现违法行为的，应当责令有关单位立即改正。</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第五十一条</w:t>
      </w:r>
      <w:r>
        <w:rPr>
          <w:rFonts w:hint="eastAsia" w:ascii="宋体" w:hAnsi="宋体" w:cs="Arial"/>
          <w:kern w:val="0"/>
          <w:szCs w:val="32"/>
        </w:rPr>
        <w:t xml:space="preserve"> 卫生主管部门、药品监督管理部门的工作人员依法履行监督检查职责时，不得少于2人，并出示证明文件；对被检查人的商业秘密应当保密。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第五十二条</w:t>
      </w:r>
      <w:r>
        <w:rPr>
          <w:rFonts w:hint="eastAsia" w:ascii="宋体" w:hAnsi="宋体" w:cs="Arial"/>
          <w:kern w:val="0"/>
          <w:szCs w:val="32"/>
        </w:rPr>
        <w:t xml:space="preserve"> 卫生主管部门、药品监督管理部门发现疫苗质量问题和预防接种异常反应以及其他情况时，应当及时互相通报，实现信息共享。</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第五十三条</w:t>
      </w:r>
      <w:r>
        <w:rPr>
          <w:rFonts w:hint="eastAsia" w:ascii="宋体" w:hAnsi="宋体" w:cs="Arial"/>
          <w:kern w:val="0"/>
          <w:szCs w:val="32"/>
        </w:rPr>
        <w:t xml:space="preserve"> 任何单位和个人有权向卫生主管部门、药品监督管理部门举报违反本条例规定的行为，有权向本级人民政府、上级人民政府有关部门举报卫生主管部门、药品监督管理部门未依法履行监督管理职责的情况。接到举报的有关人民政府、卫生主管部门、药品监督管理部门对有关举报应当及时核实、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第五十四条</w:t>
      </w:r>
      <w:r>
        <w:rPr>
          <w:rFonts w:hint="eastAsia" w:ascii="宋体" w:hAnsi="宋体" w:cs="Arial"/>
          <w:kern w:val="0"/>
          <w:szCs w:val="32"/>
        </w:rPr>
        <w:t xml:space="preserve"> 国家建立疫苗全程追溯制度。国务院药品监督管理部门会同国务院卫生主管部门制定统一的疫苗追溯体系技术规范。</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生产企业、疾病预防控制机构、接种单位应当依照药品管理法、本条例和国务院药品监督管理部门、卫生主管部门的规定建立疫苗追溯体系，如实记录疫苗的流通、使用信息，实现疫苗最小包装单位的生产、储存、运输、使用全过程可追溯。</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国务院药品监督管理部门会同国务院卫生主管部门建立疫苗全程追溯协作机制。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第五十五条</w:t>
      </w:r>
      <w:r>
        <w:rPr>
          <w:rFonts w:hint="eastAsia" w:ascii="宋体" w:hAnsi="宋体" w:cs="Arial"/>
          <w:kern w:val="0"/>
          <w:szCs w:val="32"/>
        </w:rPr>
        <w:t xml:space="preserve"> 疾病预防控制机构、接种单位对包装无法识别、超过有效期、脱离冷链、经检验不符合标准、来源不明的疫苗，应当如实登记，向所在地县级人民政府药品监督管理部门报告，由县级人民政府药品监督管理部门会同同级卫生主管部门按照规定监督销毁。疾病预防控制机构、接种单位应当如实记录销毁情况，销毁记录保存时间不得少于5年。</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第七章　法律责任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第五十六条</w:t>
      </w:r>
      <w:r>
        <w:rPr>
          <w:rFonts w:hint="eastAsia" w:ascii="宋体" w:hAnsi="宋体" w:cs="Arial"/>
          <w:kern w:val="0"/>
          <w:szCs w:val="32"/>
        </w:rPr>
        <w:t xml:space="preserve"> 县级以上人民政府卫生主管部门、药品监督管理部门违反本条例规定，有下列情形之一的，由本级人民政府、上级人民政府卫生主管部门或者药品监督管理部门责令改正，通报批评；造成受种者人身损害，传染病传播、流行或者其他严重后果的，对直接负责的主管人员和其他直接责任人员依法给予处分；造成特别严重后果的，其主要负责人还应当引咎辞职；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（一）未依照本条例规定履行监督检查职责，或者发现违法行为不及时查处的；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（二）未及时核实、处理对下级卫生主管部门、药品监督管理部门不履行监督管理职责的举报的；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（三）接到发现预防接种异常反应或者疑似预防接种异常反应的相关报告，未立即组织调查处理的；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（四）擅自进行群体性预防接种的；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（五）违反本条例的其他失职、渎职行为。</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第五十七条</w:t>
      </w:r>
      <w:r>
        <w:rPr>
          <w:rFonts w:hint="eastAsia" w:ascii="宋体" w:hAnsi="宋体" w:cs="Arial"/>
          <w:kern w:val="0"/>
          <w:szCs w:val="32"/>
        </w:rPr>
        <w:t xml:space="preserve"> 县级以上人民政府未依照本条例规定履行预防接种保障职责的，由上级人民政府责令改正，通报批评；造成传染病传播、流行或者其他严重后果的，对直接负责的主管人员和其他直接责任人员依法给予处分；发生特别严重的疫苗质量安全事件或者连续发生严重的疫苗质量安全事件的地区，其人民政府主要负责人还应当引咎辞职；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第五十八条</w:t>
      </w:r>
      <w:r>
        <w:rPr>
          <w:rFonts w:hint="eastAsia" w:ascii="宋体" w:hAnsi="宋体" w:cs="Arial"/>
          <w:kern w:val="0"/>
          <w:szCs w:val="32"/>
        </w:rPr>
        <w:t xml:space="preserve"> 疾病预防控制机构有下列情形之一的，由县级以上人民政府卫生主管部门责令改正，通报批评，给予警告；有违法所得的，没收违法所得；拒不改正的，对主要负责人、直接负责的主管人员和其他直接责任人员依法给予警告至降级的处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（一）未按照使用计划将第一类疫苗分发到下级疾病预防控制机构、接种单位、乡级医疗卫生机构的；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（二）未依照规定建立并保存疫苗购进、储存、分发、供应记录的；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（三）接收或者购进疫苗时未依照规定索要温度监测记录，接收、购进不符合要求的疫苗，或者未依照规定报告的。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乡级医疗卫生机构未依照本条例规定将第一类疫苗分发到承担预防接种工作的村医疗卫生机构的，依照前款的规定给予处罚。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第五十九条</w:t>
      </w:r>
      <w:r>
        <w:rPr>
          <w:rFonts w:hint="eastAsia" w:ascii="宋体" w:hAnsi="宋体" w:cs="Arial"/>
          <w:kern w:val="0"/>
          <w:szCs w:val="32"/>
        </w:rPr>
        <w:t xml:space="preserve"> 接种单位有下列情形之一的，由所在地的县级人民政府卫生主管部门责令改正，给予警告；拒不改正的，对主要负责人、直接负责的主管人员依法给予警告至降级的处分，对负有责任的医疗卫生人员责令暂停3个月以上6个月以下的执业活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（一）接收或者购进疫苗时未依照规定索要温度监测记录，接收、购进不符合要求的疫苗，或者未依照规定报告的；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（二）未依照规定建立并保存真实、完整的疫苗接收或者购进记录的；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（三）未在其接种场所的显著位置公示第一类疫苗的品种和接种方法的；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（四）医疗卫生人员在接种前，未依照本条例规定告知、询问受种者或者其监护人有关情况的；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（五）实施预防接种的医疗卫生人员未依照规定填写并保存接种记录的；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（六）未依照规定对接种疫苗的情况进行登记并报告的。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第六十条</w:t>
      </w:r>
      <w:r>
        <w:rPr>
          <w:rFonts w:hint="eastAsia" w:ascii="宋体" w:hAnsi="宋体" w:cs="Arial"/>
          <w:kern w:val="0"/>
          <w:szCs w:val="32"/>
        </w:rPr>
        <w:t xml:space="preserve"> 疾病预防控制机构、接种单位有下列情形之一的，由县级以上地方人民政府卫生主管部门责令改正，给予警告；有违法所得的，没收违法所得；拒不改正的，对主要负责人、直接负责的主管人员和其他直接责任人员依法给予警告至撤职的处分；造成受种者人身损害或者其他严重后果的，对主要负责人、直接负责的主管人员依法给予开除的处分，并由原发证部门吊销负有责任的医疗卫生人员的执业证书；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（一）违反本条例规定，未通过省级公共资源交易平台采购疫苗的；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（二）违反本条例规定，从疫苗生产企业、县级疾病预防控制机构以外的单位或者个人购进第二类疫苗的；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（三）接种疫苗未遵守预防接种工作规范、免疫程序、疫苗使用指导原则、接种方案的；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（四）发现预防接种异常反应或者疑似预防接种异常反应，未依照规定及时处理或者报告的；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（五）擅自进行群体性预防接种的；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（六）未依照规定对包装无法识别、超过有效期、脱离冷链、经检验不符合标准、来源不明的疫苗进行登记、报告，或者未依照规定记录销毁情况的。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第六十一条</w:t>
      </w:r>
      <w:r>
        <w:rPr>
          <w:rFonts w:hint="eastAsia" w:ascii="宋体" w:hAnsi="宋体" w:cs="Arial"/>
          <w:kern w:val="0"/>
          <w:szCs w:val="32"/>
        </w:rPr>
        <w:t xml:space="preserve"> 疾病预防控制机构、接种单位在疫苗分发、供应和接种过程中违反本条例规定收取费用的，由所在地的县级人民政府卫生主管部门监督其将违法收取的费用退还给原缴费的单位或者个人，并由县级以上人民政府价格主管部门依法给予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第六十二条</w:t>
      </w:r>
      <w:r>
        <w:rPr>
          <w:rFonts w:hint="eastAsia" w:ascii="宋体" w:hAnsi="宋体" w:cs="Arial"/>
          <w:kern w:val="0"/>
          <w:szCs w:val="32"/>
        </w:rPr>
        <w:t xml:space="preserve"> 药品检验机构出具虚假的疫苗检验报告的，依照药品管理法第八十六条的规定处罚。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第六十三条</w:t>
      </w:r>
      <w:r>
        <w:rPr>
          <w:rFonts w:hint="eastAsia" w:ascii="宋体" w:hAnsi="宋体" w:cs="Arial"/>
          <w:kern w:val="0"/>
          <w:szCs w:val="32"/>
        </w:rPr>
        <w:t xml:space="preserve"> 疫苗生产企业未依照规定建立并保存疫苗销售记录的，依照药品管理法第七十八条的规定处罚。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第六十四条</w:t>
      </w:r>
      <w:r>
        <w:rPr>
          <w:rFonts w:hint="eastAsia" w:ascii="宋体" w:hAnsi="宋体" w:cs="Arial"/>
          <w:kern w:val="0"/>
          <w:szCs w:val="32"/>
        </w:rPr>
        <w:t xml:space="preserve"> 疫苗生产企业未依照规定在纳入国家免疫规划疫苗的最小外包装上标明“免费”字样以及“免疫规划”专用标识的，由药品监督管理部门责令改正，给予警告；拒不改正的，处5000元以上2万元以下的罚款，并封存相关的疫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第六十五条</w:t>
      </w:r>
      <w:r>
        <w:rPr>
          <w:rFonts w:hint="eastAsia" w:ascii="宋体" w:hAnsi="宋体" w:cs="Arial"/>
          <w:kern w:val="0"/>
          <w:szCs w:val="32"/>
        </w:rPr>
        <w:t xml:space="preserve"> 疫苗生产企业向县级疾病预防控制机构以外的单位或者个人销售第二类疫苗的，由药品监督管理部门没收违法销售的疫苗，并处违法销售的疫苗货值金额2倍以上5倍以下的罚款；有违法所得的，没收违法所得；其直接负责的主管人员和其他直接责任人员5年内不得从事药品生产经营活动；情节严重的，依法吊销疫苗生产资格或者撤销疫苗进口批准证明文件，其直接负责的主管人员和其他直接责任人员10年内不得从事药品生产经营活动；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第六十六条</w:t>
      </w:r>
      <w:r>
        <w:rPr>
          <w:rFonts w:hint="eastAsia" w:ascii="宋体" w:hAnsi="宋体" w:cs="Arial"/>
          <w:kern w:val="0"/>
          <w:szCs w:val="32"/>
        </w:rPr>
        <w:t xml:space="preserve"> 疾病预防控制机构、接种单位、疫苗生产企业、接受委托配送疫苗的企业未在规定的冷藏条件下储存、运输疫苗的，由药品监督管理部门责令改正，给予警告，对所储存、运输的疫苗予以销毁；由卫生主管部门对疾病预防控制机构、接种单位的主要负责人、直接负责的主管人员和其他直接责任人员依法给予警告至撤职的处分，造成严重后果的，依法给予开除的处分，并吊销接种单位的接种资格；由药品监督管理部门依法责令疫苗生产企业、接受委托配送疫苗的企业停产、停业整顿，并处违反规定储存、运输的疫苗货值金额2倍以上5倍以下的罚款，造成严重后果的，依法吊销疫苗生产资格或者撤销疫苗进口批准证明文件，其直接负责的主管人员和其他直接责任人员10年内不得从事药品生产经营活动；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第六十七条</w:t>
      </w:r>
      <w:r>
        <w:rPr>
          <w:rFonts w:hint="eastAsia" w:ascii="宋体" w:hAnsi="宋体" w:cs="Arial"/>
          <w:kern w:val="0"/>
          <w:szCs w:val="32"/>
        </w:rPr>
        <w:t xml:space="preserve"> 违反本条例规定发布接种第二类疫苗的建议信息的，由所在地或者行为发生地的县级人民政府卫生主管部门责令通过大众媒体消除影响，给予警告；有违法所得的，没收违法所得，并处违法所得1倍以上3倍以下的罚款；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第六十八条</w:t>
      </w:r>
      <w:r>
        <w:rPr>
          <w:rFonts w:hint="eastAsia" w:ascii="宋体" w:hAnsi="宋体" w:cs="Arial"/>
          <w:kern w:val="0"/>
          <w:szCs w:val="32"/>
        </w:rPr>
        <w:t xml:space="preserve"> 未经卫生主管部门依法指定擅自从事接种工作的，由所在地或者行为发生地的县级人民政府卫生主管部门责令改正，给予警告；有违法持有的疫苗的，没收违法持有的疫苗；有违法所得的，没收违法所得；拒不改正的，对主要负责人、直接负责的主管人员和其他直接责任人员依法给予警告、降级的处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第六十九条</w:t>
      </w:r>
      <w:r>
        <w:rPr>
          <w:rFonts w:hint="eastAsia" w:ascii="宋体" w:hAnsi="宋体" w:cs="Arial"/>
          <w:kern w:val="0"/>
          <w:szCs w:val="32"/>
        </w:rPr>
        <w:t xml:space="preserve"> 儿童入托、入学时，托幼机构、学校未依照规定查验预防接种证，或者发现未依照规定受种的儿童后未向疾病预防控制机构或者接种单位报告的，由县级以上地方人民政府教育主管部门责令改正，给予警告；拒不改正的，对主要负责人、直接负责的主管人员和其他直接责任人员依法给予处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第七十条</w:t>
      </w:r>
      <w:r>
        <w:rPr>
          <w:rFonts w:hint="eastAsia" w:ascii="宋体" w:hAnsi="宋体" w:cs="Arial"/>
          <w:kern w:val="0"/>
          <w:szCs w:val="32"/>
        </w:rPr>
        <w:t xml:space="preserve"> 违反本条例规定，疫苗生产企业、县级疾病预防控制机构以外的单位或者个人经营疫苗的，由药品监督管理部门依照药品管理法第七十二条的规定处罚。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第七十一条</w:t>
      </w:r>
      <w:r>
        <w:rPr>
          <w:rFonts w:hint="eastAsia" w:ascii="宋体" w:hAnsi="宋体" w:cs="Arial"/>
          <w:kern w:val="0"/>
          <w:szCs w:val="32"/>
        </w:rPr>
        <w:t xml:space="preserve"> 卫生主管部门、疾病预防控制机构、接种单位以外的单位或者个人违反本条例规定进行群体性预防接种的，由县级以上人民政府卫生主管部门责令立即改正，没收违法持有的疫苗，并处违法持有的疫苗货值金额2倍以上5倍以下的罚款；有违法所得的，没收违法所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 xml:space="preserve">第七十二条 </w:t>
      </w:r>
      <w:r>
        <w:rPr>
          <w:rFonts w:hint="eastAsia" w:ascii="宋体" w:hAnsi="宋体" w:cs="Arial"/>
          <w:kern w:val="0"/>
          <w:szCs w:val="32"/>
        </w:rPr>
        <w:t>单位和个人违反本条例规定，给受种者人身、财产造成损害的，依法承担民事责任。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第七十三条</w:t>
      </w:r>
      <w:r>
        <w:rPr>
          <w:rFonts w:hint="eastAsia" w:ascii="宋体" w:hAnsi="宋体" w:cs="Arial"/>
          <w:kern w:val="0"/>
          <w:szCs w:val="32"/>
        </w:rPr>
        <w:t xml:space="preserve"> 以发生预防接种异常反应为由，寻衅滋事，扰乱接种单位的正常医疗秩序和预防接种异常反应鉴定工作的，依法给予治安管理处罚；构成犯罪的，依法追究刑事责任。</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第八章　附则</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第七十四条</w:t>
      </w:r>
      <w:r>
        <w:rPr>
          <w:rFonts w:hint="eastAsia" w:ascii="宋体" w:hAnsi="宋体" w:cs="Arial"/>
          <w:kern w:val="0"/>
          <w:szCs w:val="32"/>
        </w:rPr>
        <w:t xml:space="preserve"> 本条例中下列用语的含义：</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国家免疫规划，是指按照国家或者省、自治区、直辖市确定的疫苗品种、免疫程序或者接种方案，在人群中有计划地进行预防接种，以预防和控制特定传染病的发生和流行。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冷链，是指为保证疫苗从疫苗生产企业到接种单位运转过程中的质量而装备的储存、运输冷藏设施、设备。</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一般反应，是指在免疫接种后发生的，由疫苗本身所固有的特性引起的，对机体只会造成一过性生理功能障碍的反应，主要有发热和局部红肿，同时可能伴有全身不适、倦怠、食欲不振、乏力等综合症状。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疫苗生产企业，是指我国境内的疫苗生产企业以及向我国出口疫苗的境外疫苗厂商指定的在我国境内的代理机构。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第七十五条</w:t>
      </w:r>
      <w:r>
        <w:rPr>
          <w:rFonts w:hint="eastAsia" w:ascii="宋体" w:hAnsi="宋体" w:cs="Arial"/>
          <w:kern w:val="0"/>
          <w:szCs w:val="32"/>
        </w:rPr>
        <w:t xml:space="preserve"> 出入境预防接种管理办法由国家出入境检验检疫部门另行制定。</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bCs/>
          <w:sz w:val="44"/>
          <w:szCs w:val="44"/>
        </w:rPr>
      </w:pPr>
      <w:r>
        <w:rPr>
          <w:rFonts w:hint="eastAsia" w:ascii="宋体" w:hAnsi="宋体" w:eastAsia="黑体" w:cs="Arial"/>
          <w:kern w:val="0"/>
          <w:szCs w:val="32"/>
        </w:rPr>
        <w:t>第七十六条</w:t>
      </w:r>
      <w:r>
        <w:rPr>
          <w:rFonts w:hint="eastAsia" w:ascii="宋体" w:hAnsi="宋体" w:cs="Arial"/>
          <w:kern w:val="0"/>
          <w:szCs w:val="32"/>
        </w:rPr>
        <w:t xml:space="preserve"> 本条例自2005年6月1日起施行。</w:t>
      </w:r>
      <w:r>
        <w:rPr>
          <w:rFonts w:hint="eastAsia" w:ascii="宋体" w:hAnsi="宋体" w:eastAsia="宋体" w:cs="宋体"/>
          <w:bCs/>
          <w:sz w:val="44"/>
          <w:szCs w:val="44"/>
        </w:rPr>
        <w:br w:type="page"/>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150" w:afterAutospacing="0"/>
        <w:ind w:left="0" w:leftChars="0" w:right="0" w:firstLine="0" w:firstLineChars="0"/>
        <w:jc w:val="center"/>
        <w:textAlignment w:val="baseline"/>
        <w:outlineLvl w:val="0"/>
        <w:rPr>
          <w:rFonts w:hint="eastAsia" w:ascii="宋体" w:hAnsi="宋体" w:eastAsia="宋体" w:cs="宋体"/>
          <w:b w:val="0"/>
          <w:bCs/>
          <w:kern w:val="2"/>
          <w:sz w:val="44"/>
          <w:szCs w:val="44"/>
          <w:lang w:val="en-US" w:eastAsia="zh-CN" w:bidi="ar-SA"/>
        </w:rPr>
      </w:pPr>
      <w:bookmarkStart w:id="224" w:name="_Toc2641"/>
      <w:r>
        <w:rPr>
          <w:rFonts w:hint="eastAsia" w:ascii="宋体" w:hAnsi="宋体" w:eastAsia="宋体" w:cs="宋体"/>
          <w:b w:val="0"/>
          <w:bCs/>
          <w:kern w:val="2"/>
          <w:sz w:val="44"/>
          <w:szCs w:val="44"/>
          <w:lang w:val="en-US" w:eastAsia="zh-CN" w:bidi="ar-SA"/>
        </w:rPr>
        <w:t>中华人民共和国中医药条例</w:t>
      </w:r>
      <w:bookmarkEnd w:id="224"/>
    </w:p>
    <w:p>
      <w:pPr>
        <w:widowControl w:val="0"/>
        <w:wordWrap/>
        <w:overflowPunct w:val="0"/>
        <w:spacing w:beforeAutospacing="0" w:afterAutospacing="0" w:line="560" w:lineRule="exact"/>
        <w:ind w:left="640" w:leftChars="200" w:right="640" w:rightChars="200"/>
        <w:textAlignment w:val="auto"/>
        <w:outlineLvl w:val="9"/>
        <w:rPr>
          <w:rFonts w:hint="eastAsia" w:ascii="宋体" w:hAnsi="宋体" w:eastAsia="楷体_GB2312" w:cs="Arial"/>
          <w:szCs w:val="32"/>
          <w:lang w:val="en-US" w:eastAsia="zh-CN"/>
        </w:rPr>
      </w:pPr>
    </w:p>
    <w:p>
      <w:pPr>
        <w:widowControl w:val="0"/>
        <w:wordWrap/>
        <w:overflowPunct w:val="0"/>
        <w:spacing w:beforeAutospacing="0" w:afterAutospacing="0" w:line="560" w:lineRule="exact"/>
        <w:ind w:left="640" w:leftChars="200" w:right="640" w:rightChars="200"/>
        <w:textAlignment w:val="auto"/>
        <w:outlineLvl w:val="9"/>
        <w:rPr>
          <w:rFonts w:hint="eastAsia" w:ascii="楷体" w:hAnsi="楷体" w:eastAsia="楷体" w:cs="楷体"/>
          <w:szCs w:val="32"/>
          <w:lang w:eastAsia="zh-CN"/>
        </w:rPr>
      </w:pPr>
      <w:r>
        <w:rPr>
          <w:rFonts w:hint="eastAsia" w:ascii="楷体" w:hAnsi="楷体" w:eastAsia="楷体" w:cs="楷体"/>
          <w:szCs w:val="32"/>
          <w:lang w:eastAsia="zh-CN"/>
        </w:rPr>
        <w:t>（</w:t>
      </w:r>
      <w:r>
        <w:rPr>
          <w:rFonts w:hint="eastAsia" w:ascii="楷体" w:hAnsi="楷体" w:eastAsia="楷体" w:cs="楷体"/>
          <w:szCs w:val="32"/>
        </w:rPr>
        <w:t>2003年4月2日国务院第3次常务会议通过</w:t>
      </w:r>
      <w:r>
        <w:rPr>
          <w:rFonts w:hint="eastAsia" w:ascii="楷体" w:hAnsi="楷体" w:eastAsia="楷体" w:cs="楷体"/>
          <w:szCs w:val="32"/>
          <w:lang w:val="en-US" w:eastAsia="zh-CN"/>
        </w:rPr>
        <w:t xml:space="preserve"> </w:t>
      </w:r>
      <w:r>
        <w:rPr>
          <w:rFonts w:hint="eastAsia" w:ascii="楷体" w:hAnsi="楷体" w:eastAsia="楷体" w:cs="楷体"/>
          <w:szCs w:val="32"/>
        </w:rPr>
        <w:t>中华人民共和国国务院令第374号公布</w:t>
      </w:r>
      <w:r>
        <w:rPr>
          <w:rFonts w:hint="eastAsia" w:ascii="楷体" w:hAnsi="楷体" w:eastAsia="楷体" w:cs="楷体"/>
          <w:szCs w:val="32"/>
          <w:lang w:eastAsia="zh-CN"/>
        </w:rPr>
        <w:t>）</w:t>
      </w:r>
    </w:p>
    <w:p>
      <w:pPr>
        <w:widowControl w:val="0"/>
        <w:wordWrap/>
        <w:overflowPunct w:val="0"/>
        <w:spacing w:beforeAutospacing="0" w:afterAutospacing="0" w:line="560" w:lineRule="exact"/>
        <w:ind w:left="640" w:leftChars="200" w:right="640" w:rightChars="200"/>
        <w:textAlignment w:val="auto"/>
        <w:outlineLvl w:val="9"/>
        <w:rPr>
          <w:rFonts w:hint="eastAsia" w:ascii="宋体" w:hAnsi="宋体" w:eastAsia="楷体_GB2312" w:cs="Arial"/>
          <w:szCs w:val="32"/>
          <w:lang w:eastAsia="zh-CN"/>
        </w:rPr>
      </w:pPr>
    </w:p>
    <w:p>
      <w:pPr>
        <w:widowControl w:val="0"/>
        <w:wordWrap/>
        <w:adjustRightInd/>
        <w:snapToGrid/>
        <w:spacing w:line="560" w:lineRule="exact"/>
        <w:jc w:val="center"/>
        <w:textAlignment w:val="auto"/>
        <w:outlineLvl w:val="9"/>
        <w:rPr>
          <w:rFonts w:hint="eastAsia" w:ascii="仿宋" w:hAnsi="仿宋" w:eastAsia="仿宋" w:cs="仿宋"/>
          <w:bCs/>
          <w:sz w:val="32"/>
          <w:szCs w:val="32"/>
        </w:rPr>
      </w:pPr>
      <w:r>
        <w:rPr>
          <w:rFonts w:hint="eastAsia" w:ascii="黑体" w:hAnsi="黑体" w:eastAsia="黑体" w:cs="黑体"/>
          <w:bCs/>
          <w:kern w:val="0"/>
          <w:szCs w:val="32"/>
        </w:rPr>
        <w:t>第一章 总</w:t>
      </w:r>
      <w:r>
        <w:rPr>
          <w:rFonts w:hint="eastAsia" w:ascii="黑体" w:hAnsi="黑体" w:eastAsia="黑体" w:cs="黑体"/>
          <w:bCs/>
          <w:sz w:val="32"/>
          <w:szCs w:val="32"/>
        </w:rPr>
        <w:t>则</w:t>
      </w:r>
    </w:p>
    <w:p>
      <w:pPr>
        <w:widowControl w:val="0"/>
        <w:wordWrap/>
        <w:adjustRightInd/>
        <w:snapToGrid/>
        <w:spacing w:line="560" w:lineRule="exact"/>
        <w:textAlignment w:val="auto"/>
        <w:outlineLvl w:val="9"/>
        <w:rPr>
          <w:rFonts w:hint="eastAsia" w:ascii="仿宋" w:hAnsi="仿宋" w:eastAsia="仿宋" w:cs="仿宋"/>
          <w:bCs/>
          <w:sz w:val="32"/>
          <w:szCs w:val="32"/>
        </w:rPr>
      </w:pP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第一条</w:t>
      </w:r>
      <w:r>
        <w:rPr>
          <w:rFonts w:hint="eastAsia" w:ascii="仿宋" w:hAnsi="仿宋" w:eastAsia="仿宋" w:cs="仿宋"/>
          <w:bCs/>
          <w:sz w:val="32"/>
          <w:szCs w:val="32"/>
        </w:rPr>
        <w:t xml:space="preserve"> 为了继承和发展中医药学，保障和促进中医药事业的发展，保护人体健康，制定本条例。</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第二条</w:t>
      </w:r>
      <w:r>
        <w:rPr>
          <w:rFonts w:hint="eastAsia" w:ascii="仿宋" w:hAnsi="仿宋" w:eastAsia="仿宋" w:cs="仿宋"/>
          <w:bCs/>
          <w:sz w:val="32"/>
          <w:szCs w:val="32"/>
        </w:rPr>
        <w:t xml:space="preserve"> 在中华人民共和国境内从事中医医疗、预防、保健、康复服务和中医药教育、科研、对外交流以及中医药事业管理活动的单位或者个人，应当遵守本条例。</w:t>
      </w:r>
      <w:r>
        <w:rPr>
          <w:rFonts w:hint="eastAsia" w:ascii="仿宋" w:hAnsi="仿宋" w:eastAsia="仿宋" w:cs="仿宋"/>
          <w:bCs/>
          <w:sz w:val="32"/>
          <w:szCs w:val="32"/>
        </w:rPr>
        <w:br w:type="textWrapping"/>
      </w:r>
      <w:r>
        <w:rPr>
          <w:rFonts w:hint="eastAsia" w:ascii="仿宋" w:hAnsi="仿宋" w:eastAsia="仿宋" w:cs="仿宋"/>
          <w:bCs/>
          <w:sz w:val="32"/>
          <w:szCs w:val="32"/>
        </w:rPr>
        <w:t>　　中药的研制、生产、经营、使用和监督管理依照《中华人民共和国药品管理法》执行。</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第三条</w:t>
      </w:r>
      <w:r>
        <w:rPr>
          <w:rFonts w:hint="eastAsia" w:ascii="仿宋" w:hAnsi="仿宋" w:eastAsia="仿宋" w:cs="仿宋"/>
          <w:bCs/>
          <w:sz w:val="32"/>
          <w:szCs w:val="32"/>
        </w:rPr>
        <w:t xml:space="preserve"> 国家保护、扶持、发展中医药事业，实行中西医并重的方针，鼓励中西医相互学习、相互补充、共同提高，推动中医、西医两种医学体系的有机结合，全面发展我国中医药事业。</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第四条</w:t>
      </w:r>
      <w:r>
        <w:rPr>
          <w:rFonts w:hint="eastAsia" w:ascii="仿宋" w:hAnsi="仿宋" w:eastAsia="仿宋" w:cs="仿宋"/>
          <w:bCs/>
          <w:sz w:val="32"/>
          <w:szCs w:val="32"/>
        </w:rPr>
        <w:t xml:space="preserve"> 发展中医药事业应当遵循继承与创新相结合的原则，保持和发扬中医药特色和优势，积极利用现代科学技术，促进中医药理论和实践的发展，推进中医药现代化。</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第五条</w:t>
      </w:r>
      <w:r>
        <w:rPr>
          <w:rFonts w:hint="eastAsia" w:ascii="仿宋" w:hAnsi="仿宋" w:eastAsia="仿宋" w:cs="仿宋"/>
          <w:bCs/>
          <w:sz w:val="32"/>
          <w:szCs w:val="32"/>
        </w:rPr>
        <w:t xml:space="preserve"> 县级以上各级人民政府应当将中医药事业纳入国民经济和社会发展计划，使中医药事业与经济、社会协调发展。</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县级以上地方人民政府在制定区域卫生规划时，应当根据本地区社会、经济发展状况和居民医疗需求，统筹安排中医医疗机构的设置和布局，完善城乡中医服务网络。</w:t>
      </w:r>
      <w:r>
        <w:rPr>
          <w:rFonts w:hint="eastAsia" w:ascii="仿宋" w:hAnsi="仿宋" w:eastAsia="仿宋" w:cs="仿宋"/>
          <w:bCs/>
          <w:sz w:val="32"/>
          <w:szCs w:val="32"/>
        </w:rPr>
        <w:br w:type="textWrapping"/>
      </w:r>
      <w:r>
        <w:rPr>
          <w:rFonts w:hint="eastAsia" w:ascii="宋体" w:hAnsi="宋体" w:eastAsia="黑体" w:cs="Arial"/>
          <w:kern w:val="0"/>
          <w:szCs w:val="32"/>
        </w:rPr>
        <w:t>　　第六条</w:t>
      </w:r>
      <w:r>
        <w:rPr>
          <w:rFonts w:hint="eastAsia" w:ascii="仿宋" w:hAnsi="仿宋" w:eastAsia="仿宋" w:cs="仿宋"/>
          <w:bCs/>
          <w:sz w:val="32"/>
          <w:szCs w:val="32"/>
        </w:rPr>
        <w:t xml:space="preserve"> 国务院中医药管理部门负责全国中医药管理工作。国务院有关部门在各自的职责范围内负责与中医药有关的工作。</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县级以上地方人民政府负责中医药管理的部门负责本行政区域内的中医药管理工作。县级以上地方人民政府有关部门在各自的职责范围内负责与中医药有关的工作。</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xml:space="preserve">第七条 </w:t>
      </w:r>
      <w:r>
        <w:rPr>
          <w:rFonts w:hint="eastAsia" w:ascii="仿宋" w:hAnsi="仿宋" w:eastAsia="仿宋" w:cs="仿宋"/>
          <w:bCs/>
          <w:sz w:val="32"/>
          <w:szCs w:val="32"/>
        </w:rPr>
        <w:t>对在继承和发展中医药事业中做出显著贡献和在边远地区从事中医药工作做出突出成绩的单位和个人，县级以上各级人民政府应当给予奖励。</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第二章 中医医疗机构与从业人员</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第八条</w:t>
      </w:r>
      <w:r>
        <w:rPr>
          <w:rFonts w:hint="eastAsia" w:ascii="仿宋" w:hAnsi="仿宋" w:eastAsia="仿宋" w:cs="仿宋"/>
          <w:bCs/>
          <w:sz w:val="32"/>
          <w:szCs w:val="32"/>
        </w:rPr>
        <w:t xml:space="preserve"> 开办中医医疗机构，应当符合国务院卫生行政部门制定的中医医疗机构设置标准和当地区域卫生规划，并按照《医疗机构管理条例》的规定办理审批手续，取得医疗机构执业许可证后，方可从事中医医疗活动。</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第九条</w:t>
      </w:r>
      <w:r>
        <w:rPr>
          <w:rFonts w:hint="eastAsia" w:ascii="仿宋" w:hAnsi="仿宋" w:eastAsia="仿宋" w:cs="仿宋"/>
          <w:bCs/>
          <w:sz w:val="32"/>
          <w:szCs w:val="32"/>
        </w:rPr>
        <w:t xml:space="preserve"> 中医医疗机构从事医疗服务活动，应当充分发挥中医药特色和优势，遵循中医药自身发展规律，运用传统理论和方法，结合现代科学技术手段，发挥中医药在防治疾病、保健、康复中的作用，为群众提供价格合理、质量优良的中医药服务。</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第十条</w:t>
      </w:r>
      <w:r>
        <w:rPr>
          <w:rFonts w:hint="eastAsia" w:ascii="仿宋" w:hAnsi="仿宋" w:eastAsia="仿宋" w:cs="仿宋"/>
          <w:bCs/>
          <w:sz w:val="32"/>
          <w:szCs w:val="32"/>
        </w:rPr>
        <w:t xml:space="preserve"> 依法设立的社区卫生服务中心（站）、乡镇卫生院等城乡基层卫生服务机构，应当能够提供中医医疗服务。</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第十一条</w:t>
      </w:r>
      <w:r>
        <w:rPr>
          <w:rFonts w:hint="eastAsia" w:ascii="仿宋" w:hAnsi="仿宋" w:eastAsia="仿宋" w:cs="仿宋"/>
          <w:bCs/>
          <w:sz w:val="32"/>
          <w:szCs w:val="32"/>
        </w:rPr>
        <w:t xml:space="preserve"> 中医从业人员，应当依照有关卫生管理的法律、行政法规、部门规章的规定通过资格考试，并经注册取得执业证书后，方可从事中医服务活动。</w:t>
      </w:r>
      <w:r>
        <w:rPr>
          <w:rFonts w:hint="eastAsia" w:ascii="仿宋" w:hAnsi="仿宋" w:eastAsia="仿宋" w:cs="仿宋"/>
          <w:bCs/>
          <w:sz w:val="32"/>
          <w:szCs w:val="32"/>
        </w:rPr>
        <w:br w:type="textWrapping"/>
      </w:r>
      <w:r>
        <w:rPr>
          <w:rFonts w:hint="eastAsia" w:ascii="仿宋" w:hAnsi="仿宋" w:eastAsia="仿宋" w:cs="仿宋"/>
          <w:bCs/>
          <w:sz w:val="32"/>
          <w:szCs w:val="32"/>
        </w:rPr>
        <w:t>　　以师承方式学习中医学的人员以及确有专长的人员，应当按照国务院卫生行政部门的规定，通过执业医师或者执业助理医师资格考核考试，并经注册取得医师执业证书后，方可从事中医医疗活动。</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第十二条</w:t>
      </w:r>
      <w:r>
        <w:rPr>
          <w:rFonts w:hint="eastAsia" w:ascii="仿宋" w:hAnsi="仿宋" w:eastAsia="仿宋" w:cs="仿宋"/>
          <w:bCs/>
          <w:sz w:val="32"/>
          <w:szCs w:val="32"/>
        </w:rPr>
        <w:t xml:space="preserve"> 中医从业人员应当遵守相应的中医诊断治疗原则、医疗技术标准和技术操作规范。</w:t>
      </w:r>
      <w:r>
        <w:rPr>
          <w:rFonts w:hint="eastAsia" w:ascii="仿宋" w:hAnsi="仿宋" w:eastAsia="仿宋" w:cs="仿宋"/>
          <w:bCs/>
          <w:sz w:val="32"/>
          <w:szCs w:val="32"/>
        </w:rPr>
        <w:br w:type="textWrapping"/>
      </w:r>
      <w:r>
        <w:rPr>
          <w:rFonts w:hint="eastAsia" w:ascii="仿宋" w:hAnsi="仿宋" w:eastAsia="仿宋" w:cs="仿宋"/>
          <w:bCs/>
          <w:sz w:val="32"/>
          <w:szCs w:val="32"/>
        </w:rPr>
        <w:t>　　全科医师和乡村医生应当具备中医药基本知识以及运用中医诊疗知识、技术，处理常见病和多发病的基本技能。</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第十三条</w:t>
      </w:r>
      <w:r>
        <w:rPr>
          <w:rFonts w:hint="eastAsia" w:ascii="仿宋" w:hAnsi="仿宋" w:eastAsia="仿宋" w:cs="仿宋"/>
          <w:bCs/>
          <w:sz w:val="32"/>
          <w:szCs w:val="32"/>
        </w:rPr>
        <w:t xml:space="preserve"> 发布中医医疗广告，医疗机构应当按照规定向所在地省、自治区、直辖市人民政府负责中医药管理的部门申请并报送有关材料。省、自治区、直辖市人民政府负责中医药管理的部门应当自收到有关材料之日起１０个工作日内进行审查，并作出是否核发中医医疗广告批准文号的决定。对符合规定要求的，发给中医医疗广告批准文号。未取得中医医疗广告批准文号的，不得发布中医医疗广告。</w:t>
      </w:r>
      <w:r>
        <w:rPr>
          <w:rFonts w:hint="eastAsia" w:ascii="仿宋" w:hAnsi="仿宋" w:eastAsia="仿宋" w:cs="仿宋"/>
          <w:bCs/>
          <w:sz w:val="32"/>
          <w:szCs w:val="32"/>
        </w:rPr>
        <w:br w:type="textWrapping"/>
      </w:r>
      <w:r>
        <w:rPr>
          <w:rFonts w:hint="eastAsia" w:ascii="仿宋" w:hAnsi="仿宋" w:eastAsia="仿宋" w:cs="仿宋"/>
          <w:bCs/>
          <w:sz w:val="32"/>
          <w:szCs w:val="32"/>
        </w:rPr>
        <w:t>　　发布的中医医疗广告，其内容应当与审查批准发布的内容一致。　　</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第三章 中医药教育与科研</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黑体" w:hAnsi="黑体" w:eastAsia="黑体" w:cs="黑体"/>
          <w:bCs/>
          <w:kern w:val="0"/>
          <w:szCs w:val="32"/>
        </w:rPr>
        <w:t>　</w:t>
      </w: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第十四条</w:t>
      </w:r>
      <w:r>
        <w:rPr>
          <w:rFonts w:hint="eastAsia" w:ascii="仿宋" w:hAnsi="仿宋" w:eastAsia="仿宋" w:cs="仿宋"/>
          <w:bCs/>
          <w:sz w:val="32"/>
          <w:szCs w:val="32"/>
        </w:rPr>
        <w:t xml:space="preserve"> 国家采取措施发展中医药教育事业。</w:t>
      </w:r>
      <w:r>
        <w:rPr>
          <w:rFonts w:hint="eastAsia" w:ascii="仿宋" w:hAnsi="仿宋" w:eastAsia="仿宋" w:cs="仿宋"/>
          <w:bCs/>
          <w:sz w:val="32"/>
          <w:szCs w:val="32"/>
        </w:rPr>
        <w:br w:type="textWrapping"/>
      </w:r>
      <w:r>
        <w:rPr>
          <w:rFonts w:hint="eastAsia" w:ascii="仿宋" w:hAnsi="仿宋" w:eastAsia="仿宋" w:cs="仿宋"/>
          <w:bCs/>
          <w:sz w:val="32"/>
          <w:szCs w:val="32"/>
        </w:rPr>
        <w:t>　　各类中医药教育机构应当加强中医药基础理论教学，重视中医药基础理论与中医药临床实践相结合，推进素质教育。</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第十五条</w:t>
      </w:r>
      <w:r>
        <w:rPr>
          <w:rFonts w:hint="eastAsia" w:ascii="仿宋" w:hAnsi="仿宋" w:eastAsia="仿宋" w:cs="仿宋"/>
          <w:bCs/>
          <w:sz w:val="32"/>
          <w:szCs w:val="32"/>
        </w:rPr>
        <w:t xml:space="preserve"> 设立各类中医药教育机构，应当符合国家规定的设置标准，并建立符合国家规定标准的临床教学基地。</w:t>
      </w:r>
      <w:r>
        <w:rPr>
          <w:rFonts w:hint="eastAsia" w:ascii="仿宋" w:hAnsi="仿宋" w:eastAsia="仿宋" w:cs="仿宋"/>
          <w:bCs/>
          <w:sz w:val="32"/>
          <w:szCs w:val="32"/>
        </w:rPr>
        <w:br w:type="textWrapping"/>
      </w:r>
      <w:r>
        <w:rPr>
          <w:rFonts w:hint="eastAsia" w:ascii="仿宋" w:hAnsi="仿宋" w:eastAsia="仿宋" w:cs="仿宋"/>
          <w:bCs/>
          <w:sz w:val="32"/>
          <w:szCs w:val="32"/>
        </w:rPr>
        <w:t>　　中医药教育机构的设置标准，由国务院卫生行政部门会同国务院教育行政部门制定；中医药教育机构临床教学基地标准，由国务院卫生行政部门制定。</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第十六条</w:t>
      </w:r>
      <w:r>
        <w:rPr>
          <w:rFonts w:hint="eastAsia" w:ascii="仿宋" w:hAnsi="仿宋" w:eastAsia="仿宋" w:cs="仿宋"/>
          <w:bCs/>
          <w:sz w:val="32"/>
          <w:szCs w:val="32"/>
        </w:rPr>
        <w:t xml:space="preserve"> 国家鼓励开展中医药专家学术经验和技术专长继承工作，培养高层次的中医临床人才和中药技术人才。</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第十七条</w:t>
      </w:r>
      <w:r>
        <w:rPr>
          <w:rFonts w:hint="eastAsia" w:ascii="仿宋" w:hAnsi="仿宋" w:eastAsia="仿宋" w:cs="仿宋"/>
          <w:bCs/>
          <w:sz w:val="32"/>
          <w:szCs w:val="32"/>
        </w:rPr>
        <w:t xml:space="preserve"> 承担中医药专家学术经验和技术专长继承工作的指导老师应当具备下列条件：</w:t>
      </w:r>
      <w:r>
        <w:rPr>
          <w:rFonts w:hint="eastAsia" w:ascii="仿宋" w:hAnsi="仿宋" w:eastAsia="仿宋" w:cs="仿宋"/>
          <w:bCs/>
          <w:sz w:val="32"/>
          <w:szCs w:val="32"/>
        </w:rPr>
        <w:br w:type="textWrapping"/>
      </w:r>
      <w:r>
        <w:rPr>
          <w:rFonts w:hint="eastAsia" w:ascii="仿宋" w:hAnsi="仿宋" w:eastAsia="仿宋" w:cs="仿宋"/>
          <w:bCs/>
          <w:sz w:val="32"/>
          <w:szCs w:val="32"/>
        </w:rPr>
        <w:t>　　（一）具有较高学术水平和丰富的实践经验、技术专长和良好的职业品德；</w:t>
      </w:r>
      <w:r>
        <w:rPr>
          <w:rFonts w:hint="eastAsia" w:ascii="仿宋" w:hAnsi="仿宋" w:eastAsia="仿宋" w:cs="仿宋"/>
          <w:bCs/>
          <w:sz w:val="32"/>
          <w:szCs w:val="32"/>
        </w:rPr>
        <w:br w:type="textWrapping"/>
      </w:r>
      <w:r>
        <w:rPr>
          <w:rFonts w:hint="eastAsia" w:ascii="仿宋" w:hAnsi="仿宋" w:eastAsia="仿宋" w:cs="仿宋"/>
          <w:bCs/>
          <w:sz w:val="32"/>
          <w:szCs w:val="32"/>
        </w:rPr>
        <w:t>　　（二）从事中医药专业工作３０年以上并担任高级专业技术职务１０年以上。</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第十八条</w:t>
      </w:r>
      <w:r>
        <w:rPr>
          <w:rFonts w:hint="eastAsia" w:ascii="仿宋" w:hAnsi="仿宋" w:eastAsia="仿宋" w:cs="仿宋"/>
          <w:bCs/>
          <w:sz w:val="32"/>
          <w:szCs w:val="32"/>
        </w:rPr>
        <w:t xml:space="preserve"> 中医药专家学术经验和技术专长继承工作的继承人应当具备下列条件：</w:t>
      </w:r>
      <w:r>
        <w:rPr>
          <w:rFonts w:hint="eastAsia" w:ascii="仿宋" w:hAnsi="仿宋" w:eastAsia="仿宋" w:cs="仿宋"/>
          <w:bCs/>
          <w:sz w:val="32"/>
          <w:szCs w:val="32"/>
        </w:rPr>
        <w:br w:type="textWrapping"/>
      </w:r>
      <w:r>
        <w:rPr>
          <w:rFonts w:hint="eastAsia" w:ascii="仿宋" w:hAnsi="仿宋" w:eastAsia="仿宋" w:cs="仿宋"/>
          <w:bCs/>
          <w:sz w:val="32"/>
          <w:szCs w:val="32"/>
        </w:rPr>
        <w:t>　　（一）具有大学本科以上学历和良好的职业品德；</w:t>
      </w:r>
      <w:r>
        <w:rPr>
          <w:rFonts w:hint="eastAsia" w:ascii="仿宋" w:hAnsi="仿宋" w:eastAsia="仿宋" w:cs="仿宋"/>
          <w:bCs/>
          <w:sz w:val="32"/>
          <w:szCs w:val="32"/>
        </w:rPr>
        <w:br w:type="textWrapping"/>
      </w:r>
      <w:r>
        <w:rPr>
          <w:rFonts w:hint="eastAsia" w:ascii="仿宋" w:hAnsi="仿宋" w:eastAsia="仿宋" w:cs="仿宋"/>
          <w:bCs/>
          <w:sz w:val="32"/>
          <w:szCs w:val="32"/>
        </w:rPr>
        <w:t>　　（二）受聘于医疗卫生机构或者医学教育、科研机构从事中医药工作，并担任中级以上专业技术职务。</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第十九条</w:t>
      </w:r>
      <w:r>
        <w:rPr>
          <w:rFonts w:hint="eastAsia" w:ascii="仿宋" w:hAnsi="仿宋" w:eastAsia="仿宋" w:cs="仿宋"/>
          <w:bCs/>
          <w:sz w:val="32"/>
          <w:szCs w:val="32"/>
        </w:rPr>
        <w:t xml:space="preserve"> 中医药专家学术经验和技术专长继承工作的指导老师以及继承人的管理办法，由国务院中医药管理部门会同有关部门制定。</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第二十条</w:t>
      </w:r>
      <w:r>
        <w:rPr>
          <w:rFonts w:hint="eastAsia" w:ascii="仿宋" w:hAnsi="仿宋" w:eastAsia="仿宋" w:cs="仿宋"/>
          <w:bCs/>
          <w:sz w:val="32"/>
          <w:szCs w:val="32"/>
        </w:rPr>
        <w:t xml:space="preserve"> 省、自治区、直辖市人民政府负责中医药管理的部门应当依据国家有关规定，完善本地区中医药人员继续教育制度，制定中医药人员培训规划。</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县级以上地方人民政府负责中医药管理的部门应当按照中医药人员培训规划的要求，对城乡基层卫生服务人员进行中医药基本知识和基本技能的培训。</w:t>
      </w:r>
      <w:r>
        <w:rPr>
          <w:rFonts w:hint="eastAsia" w:ascii="仿宋" w:hAnsi="仿宋" w:eastAsia="仿宋" w:cs="仿宋"/>
          <w:bCs/>
          <w:sz w:val="32"/>
          <w:szCs w:val="32"/>
        </w:rPr>
        <w:br w:type="textWrapping"/>
      </w:r>
      <w:r>
        <w:rPr>
          <w:rFonts w:hint="eastAsia" w:ascii="仿宋" w:hAnsi="仿宋" w:eastAsia="仿宋" w:cs="仿宋"/>
          <w:bCs/>
          <w:sz w:val="32"/>
          <w:szCs w:val="32"/>
        </w:rPr>
        <w:t>　　医疗机构应当为中医药技术人员接受继续教育创造条件。</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第二十一条</w:t>
      </w:r>
      <w:r>
        <w:rPr>
          <w:rFonts w:hint="eastAsia" w:ascii="仿宋" w:hAnsi="仿宋" w:eastAsia="仿宋" w:cs="仿宋"/>
          <w:bCs/>
          <w:sz w:val="32"/>
          <w:szCs w:val="32"/>
        </w:rPr>
        <w:t xml:space="preserve"> 国家发展中医药科学技术，将其纳入科学技术发展规划，加强重点中医药科研机构建设。</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县级以上地方人民政府应当充分利用中医药资源，重视中医药科学研究和技术开发，采取措施开发、推广、应用中医药技术成果，促进中医药科学技术发展。</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第二十二条</w:t>
      </w:r>
      <w:r>
        <w:rPr>
          <w:rFonts w:hint="eastAsia" w:ascii="仿宋" w:hAnsi="仿宋" w:eastAsia="仿宋" w:cs="仿宋"/>
          <w:bCs/>
          <w:sz w:val="32"/>
          <w:szCs w:val="32"/>
        </w:rPr>
        <w:t xml:space="preserve"> 中医药科学研究应当注重运用传统方法和现代方法开展中医药基础理论研究和临床研究，运用中医药理论和现代科学技术开展对常见病、多发病和疑难病的防治研究。</w:t>
      </w:r>
      <w:r>
        <w:rPr>
          <w:rFonts w:hint="eastAsia" w:ascii="仿宋" w:hAnsi="仿宋" w:eastAsia="仿宋" w:cs="仿宋"/>
          <w:bCs/>
          <w:sz w:val="32"/>
          <w:szCs w:val="32"/>
        </w:rPr>
        <w:br w:type="textWrapping"/>
      </w:r>
      <w:r>
        <w:rPr>
          <w:rFonts w:hint="eastAsia" w:ascii="仿宋" w:hAnsi="仿宋" w:eastAsia="仿宋" w:cs="仿宋"/>
          <w:bCs/>
          <w:sz w:val="32"/>
          <w:szCs w:val="32"/>
        </w:rPr>
        <w:t>　　中医药科研机构、高等院校、医疗机构应当加强中医药科研的协作攻关和中医药科技成果的推广应用，培养中医药学科带头人和中青年技术骨干。</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第二十三条</w:t>
      </w:r>
      <w:r>
        <w:rPr>
          <w:rFonts w:hint="eastAsia" w:ascii="仿宋" w:hAnsi="仿宋" w:eastAsia="仿宋" w:cs="仿宋"/>
          <w:bCs/>
          <w:sz w:val="32"/>
          <w:szCs w:val="32"/>
        </w:rPr>
        <w:t xml:space="preserve"> 捐献对中医药科学技术发展有重大意义的中医诊疗方法和中医药文献、秘方、验方的，参照《国家科学技术奖励条例》的规定给予奖励。</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第二十四条</w:t>
      </w:r>
      <w:r>
        <w:rPr>
          <w:rFonts w:hint="eastAsia" w:ascii="仿宋" w:hAnsi="仿宋" w:eastAsia="仿宋" w:cs="仿宋"/>
          <w:bCs/>
          <w:sz w:val="32"/>
          <w:szCs w:val="32"/>
        </w:rPr>
        <w:t xml:space="preserve"> 国家支持中医药的对外交流与合作，推进中医药的国际传播。</w:t>
      </w:r>
      <w:r>
        <w:rPr>
          <w:rFonts w:hint="eastAsia" w:ascii="仿宋" w:hAnsi="仿宋" w:eastAsia="仿宋" w:cs="仿宋"/>
          <w:bCs/>
          <w:sz w:val="32"/>
          <w:szCs w:val="32"/>
        </w:rPr>
        <w:br w:type="textWrapping"/>
      </w:r>
      <w:r>
        <w:rPr>
          <w:rFonts w:hint="eastAsia" w:ascii="仿宋" w:hAnsi="仿宋" w:eastAsia="仿宋" w:cs="仿宋"/>
          <w:bCs/>
          <w:sz w:val="32"/>
          <w:szCs w:val="32"/>
        </w:rPr>
        <w:t>　　重大中医药科研成果的推广、转让、对外交流，中外合作研究中医药技术，应当经省级以上人民政府负责中医药管理的部门批准，防止重大中医药资源流失。</w:t>
      </w:r>
      <w:r>
        <w:rPr>
          <w:rFonts w:hint="eastAsia" w:ascii="仿宋" w:hAnsi="仿宋" w:eastAsia="仿宋" w:cs="仿宋"/>
          <w:bCs/>
          <w:sz w:val="32"/>
          <w:szCs w:val="32"/>
        </w:rPr>
        <w:br w:type="textWrapping"/>
      </w:r>
      <w:r>
        <w:rPr>
          <w:rFonts w:hint="eastAsia" w:ascii="仿宋" w:hAnsi="仿宋" w:eastAsia="仿宋" w:cs="仿宋"/>
          <w:bCs/>
          <w:sz w:val="32"/>
          <w:szCs w:val="32"/>
        </w:rPr>
        <w:t>　　属于国家科学技术秘密的中医药科研成果，确需转让、对外交流的，应当符合有关保守国家秘密的法律、行政法规和部门规章的规定。</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第四章 保障措施</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黑体" w:hAnsi="黑体" w:eastAsia="黑体" w:cs="黑体"/>
          <w:bCs/>
          <w:kern w:val="0"/>
          <w:szCs w:val="32"/>
        </w:rPr>
        <w:t>　</w:t>
      </w: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第二十五条</w:t>
      </w:r>
      <w:r>
        <w:rPr>
          <w:rFonts w:hint="eastAsia" w:ascii="仿宋" w:hAnsi="仿宋" w:eastAsia="仿宋" w:cs="仿宋"/>
          <w:bCs/>
          <w:sz w:val="32"/>
          <w:szCs w:val="32"/>
        </w:rPr>
        <w:t xml:space="preserve"> 县级以上地方人民政府应当根据中医药事业发展的需要以及本地区国民经济和社会发展状况，逐步增加对中医药事业的投入，扶持中医药事业的发展。</w:t>
      </w:r>
      <w:r>
        <w:rPr>
          <w:rFonts w:hint="eastAsia" w:ascii="仿宋" w:hAnsi="仿宋" w:eastAsia="仿宋" w:cs="仿宋"/>
          <w:bCs/>
          <w:sz w:val="32"/>
          <w:szCs w:val="32"/>
        </w:rPr>
        <w:br w:type="textWrapping"/>
      </w:r>
      <w:r>
        <w:rPr>
          <w:rFonts w:hint="eastAsia" w:ascii="仿宋" w:hAnsi="仿宋" w:eastAsia="仿宋" w:cs="仿宋"/>
          <w:bCs/>
          <w:sz w:val="32"/>
          <w:szCs w:val="32"/>
        </w:rPr>
        <w:t>　　任何单位和个人不得将中医药事业经费挪作他用。</w:t>
      </w:r>
      <w:r>
        <w:rPr>
          <w:rFonts w:hint="eastAsia" w:ascii="仿宋" w:hAnsi="仿宋" w:eastAsia="仿宋" w:cs="仿宋"/>
          <w:bCs/>
          <w:sz w:val="32"/>
          <w:szCs w:val="32"/>
        </w:rPr>
        <w:br w:type="textWrapping"/>
      </w:r>
      <w:r>
        <w:rPr>
          <w:rFonts w:hint="eastAsia" w:ascii="仿宋" w:hAnsi="仿宋" w:eastAsia="仿宋" w:cs="仿宋"/>
          <w:bCs/>
          <w:sz w:val="32"/>
          <w:szCs w:val="32"/>
        </w:rPr>
        <w:t>　　国家鼓励境内外组织和个人通过捐资、投资等方式扶持中医药事业发展。</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第二十六条</w:t>
      </w:r>
      <w:r>
        <w:rPr>
          <w:rFonts w:hint="eastAsia" w:ascii="仿宋" w:hAnsi="仿宋" w:eastAsia="仿宋" w:cs="仿宋"/>
          <w:bCs/>
          <w:sz w:val="32"/>
          <w:szCs w:val="32"/>
        </w:rPr>
        <w:t xml:space="preserve"> 非营利性中医医疗机构，依照国家有关规定享受财政补贴、税收减免等优惠政策。</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第二十七条</w:t>
      </w:r>
      <w:r>
        <w:rPr>
          <w:rFonts w:hint="eastAsia" w:ascii="仿宋" w:hAnsi="仿宋" w:eastAsia="仿宋" w:cs="仿宋"/>
          <w:bCs/>
          <w:sz w:val="32"/>
          <w:szCs w:val="32"/>
        </w:rPr>
        <w:t xml:space="preserve"> 县级以上地方人民政府劳动保障行政部门确定的城镇职工基本医疗保险定点医疗机构，应当包括符合条件的中医医疗机构。</w:t>
      </w:r>
      <w:r>
        <w:rPr>
          <w:rFonts w:hint="eastAsia" w:ascii="仿宋" w:hAnsi="仿宋" w:eastAsia="仿宋" w:cs="仿宋"/>
          <w:bCs/>
          <w:sz w:val="32"/>
          <w:szCs w:val="32"/>
        </w:rPr>
        <w:br w:type="textWrapping"/>
      </w:r>
      <w:r>
        <w:rPr>
          <w:rFonts w:hint="eastAsia" w:ascii="仿宋" w:hAnsi="仿宋" w:eastAsia="仿宋" w:cs="仿宋"/>
          <w:bCs/>
          <w:sz w:val="32"/>
          <w:szCs w:val="32"/>
        </w:rPr>
        <w:t>　　获得定点资格的中医医疗机构，应当按照规定向参保人员提供基本医疗服务。</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第二十八条</w:t>
      </w:r>
      <w:r>
        <w:rPr>
          <w:rFonts w:hint="eastAsia" w:ascii="仿宋" w:hAnsi="仿宋" w:eastAsia="仿宋" w:cs="仿宋"/>
          <w:bCs/>
          <w:sz w:val="32"/>
          <w:szCs w:val="32"/>
        </w:rPr>
        <w:t xml:space="preserve"> 县级以上各级人民政府应当采取措施加强对中医药文献的收集、整理、研究和保护工作。</w:t>
      </w:r>
      <w:r>
        <w:rPr>
          <w:rFonts w:hint="eastAsia" w:ascii="仿宋" w:hAnsi="仿宋" w:eastAsia="仿宋" w:cs="仿宋"/>
          <w:bCs/>
          <w:sz w:val="32"/>
          <w:szCs w:val="32"/>
        </w:rPr>
        <w:br w:type="textWrapping"/>
      </w:r>
      <w:r>
        <w:rPr>
          <w:rFonts w:hint="eastAsia" w:ascii="仿宋" w:hAnsi="仿宋" w:eastAsia="仿宋" w:cs="仿宋"/>
          <w:bCs/>
          <w:sz w:val="32"/>
          <w:szCs w:val="32"/>
        </w:rPr>
        <w:t>　　有关单位和中医医疗机构应当加强重要中医药文献资料的管理、保护和利用。</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第二十九条</w:t>
      </w:r>
      <w:r>
        <w:rPr>
          <w:rFonts w:hint="eastAsia" w:ascii="仿宋" w:hAnsi="仿宋" w:eastAsia="仿宋" w:cs="仿宋"/>
          <w:bCs/>
          <w:sz w:val="32"/>
          <w:szCs w:val="32"/>
        </w:rPr>
        <w:t xml:space="preserve"> 国家保护野生中药材资源，扶持濒危动植物中药材人工代用品的研究和开发利用。</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县级以上地方人民政府应当加强中药材的合理开发和利用，鼓励建立中药材种植、培育基地，促进短缺中药材的开发、生产。</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第三十条</w:t>
      </w:r>
      <w:r>
        <w:rPr>
          <w:rFonts w:hint="eastAsia" w:ascii="仿宋" w:hAnsi="仿宋" w:eastAsia="仿宋" w:cs="仿宋"/>
          <w:bCs/>
          <w:sz w:val="32"/>
          <w:szCs w:val="32"/>
        </w:rPr>
        <w:t xml:space="preserve"> 与中医药有关的评审或者鉴定活动，应当体现中医药特色，遵循中医药自身的发展规律。</w:t>
      </w:r>
      <w:r>
        <w:rPr>
          <w:rFonts w:hint="eastAsia" w:ascii="仿宋" w:hAnsi="仿宋" w:eastAsia="仿宋" w:cs="仿宋"/>
          <w:bCs/>
          <w:sz w:val="32"/>
          <w:szCs w:val="32"/>
        </w:rPr>
        <w:br w:type="textWrapping"/>
      </w:r>
      <w:r>
        <w:rPr>
          <w:rFonts w:hint="eastAsia" w:ascii="仿宋" w:hAnsi="仿宋" w:eastAsia="仿宋" w:cs="仿宋"/>
          <w:bCs/>
          <w:sz w:val="32"/>
          <w:szCs w:val="32"/>
        </w:rPr>
        <w:t>　　中医药专业技术职务任职资格的评审，中医医疗、教育、科研机构的评审、评估，中医药科研课题的立项和成果鉴定，应当成立专门的中医药评审、鉴定组织或者由中医药专家参加评审、鉴定。　　</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第五章 法律责任</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第三十一条</w:t>
      </w:r>
      <w:r>
        <w:rPr>
          <w:rFonts w:hint="eastAsia" w:ascii="仿宋" w:hAnsi="仿宋" w:eastAsia="仿宋" w:cs="仿宋"/>
          <w:bCs/>
          <w:sz w:val="32"/>
          <w:szCs w:val="32"/>
        </w:rPr>
        <w:t xml:space="preserve"> 负责中医药管理的部门的工作人员在中医药管理工作中违反本条例的规定，利用职务上的便利收受他人财物或者获取其他利益，滥用职权，玩忽职守，或者发现违法行为不予查处，造成严重后果，构成犯罪的，依法追究刑事责任；尚不够刑事处罚的，依法给予降级或者撤职的行政处分。</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第三十二条</w:t>
      </w:r>
      <w:r>
        <w:rPr>
          <w:rFonts w:hint="eastAsia" w:ascii="仿宋" w:hAnsi="仿宋" w:eastAsia="仿宋" w:cs="仿宋"/>
          <w:bCs/>
          <w:sz w:val="32"/>
          <w:szCs w:val="32"/>
        </w:rPr>
        <w:t xml:space="preserve"> 中医医疗机构违反本条例的规定，有下列情形之一的，由县级以上地方人民政府负责中医药管理的部门责令限期改正；逾期不改正的，责令停业整顿，直至由原审批机关吊销其医疗机构执业许可证、取消其城镇职工基本医疗保险定点医疗机构资格，并对负有责任的主管人员和其他直接责任人员依法给予纪律处分：</w:t>
      </w:r>
      <w:r>
        <w:rPr>
          <w:rFonts w:hint="eastAsia" w:ascii="仿宋" w:hAnsi="仿宋" w:eastAsia="仿宋" w:cs="仿宋"/>
          <w:bCs/>
          <w:sz w:val="32"/>
          <w:szCs w:val="32"/>
        </w:rPr>
        <w:br w:type="textWrapping"/>
      </w:r>
      <w:r>
        <w:rPr>
          <w:rFonts w:hint="eastAsia" w:ascii="仿宋" w:hAnsi="仿宋" w:eastAsia="仿宋" w:cs="仿宋"/>
          <w:bCs/>
          <w:sz w:val="32"/>
          <w:szCs w:val="32"/>
        </w:rPr>
        <w:t>　　（一）不符合中医医疗机构设置标准的；</w:t>
      </w:r>
      <w:r>
        <w:rPr>
          <w:rFonts w:hint="eastAsia" w:ascii="仿宋" w:hAnsi="仿宋" w:eastAsia="仿宋" w:cs="仿宋"/>
          <w:bCs/>
          <w:sz w:val="32"/>
          <w:szCs w:val="32"/>
        </w:rPr>
        <w:br w:type="textWrapping"/>
      </w:r>
      <w:r>
        <w:rPr>
          <w:rFonts w:hint="eastAsia" w:ascii="仿宋" w:hAnsi="仿宋" w:eastAsia="仿宋" w:cs="仿宋"/>
          <w:bCs/>
          <w:sz w:val="32"/>
          <w:szCs w:val="32"/>
        </w:rPr>
        <w:t>　　（二）获得城镇职工基本医疗保险定点医疗机构资格，未按照规定向参保人员提供基本医疗服务的。</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第三十三条</w:t>
      </w:r>
      <w:r>
        <w:rPr>
          <w:rFonts w:hint="eastAsia" w:ascii="仿宋" w:hAnsi="仿宋" w:eastAsia="仿宋" w:cs="仿宋"/>
          <w:bCs/>
          <w:sz w:val="32"/>
          <w:szCs w:val="32"/>
        </w:rPr>
        <w:t xml:space="preserve"> 未经批准擅自开办中医医疗机构或者未按照规定通过执业医师或者执业助理医师资格考试取得执业许可，从事中医医疗活动的，依照《中华人民共和国执业医师法》和《医疗机构管理条例》的有关规定给予处罚。</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第三十四条</w:t>
      </w:r>
      <w:r>
        <w:rPr>
          <w:rFonts w:hint="eastAsia" w:ascii="仿宋" w:hAnsi="仿宋" w:eastAsia="仿宋" w:cs="仿宋"/>
          <w:bCs/>
          <w:sz w:val="32"/>
          <w:szCs w:val="32"/>
        </w:rPr>
        <w:t xml:space="preserve"> 中医药教育机构违反本条例的规定，有下列情形之一的，由县级以上地方人民政府负责中医药管理的部门责令限期改正；逾期不改正的，由原审批机关予以撤销：</w:t>
      </w:r>
      <w:r>
        <w:rPr>
          <w:rFonts w:hint="eastAsia" w:ascii="仿宋" w:hAnsi="仿宋" w:eastAsia="仿宋" w:cs="仿宋"/>
          <w:bCs/>
          <w:sz w:val="32"/>
          <w:szCs w:val="32"/>
        </w:rPr>
        <w:br w:type="textWrapping"/>
      </w:r>
      <w:r>
        <w:rPr>
          <w:rFonts w:hint="eastAsia" w:ascii="仿宋" w:hAnsi="仿宋" w:eastAsia="仿宋" w:cs="仿宋"/>
          <w:bCs/>
          <w:sz w:val="32"/>
          <w:szCs w:val="32"/>
        </w:rPr>
        <w:t>　　（一）不符合规定的设置标准的；</w:t>
      </w:r>
      <w:r>
        <w:rPr>
          <w:rFonts w:hint="eastAsia" w:ascii="仿宋" w:hAnsi="仿宋" w:eastAsia="仿宋" w:cs="仿宋"/>
          <w:bCs/>
          <w:sz w:val="32"/>
          <w:szCs w:val="32"/>
        </w:rPr>
        <w:br w:type="textWrapping"/>
      </w:r>
      <w:r>
        <w:rPr>
          <w:rFonts w:hint="eastAsia" w:ascii="仿宋" w:hAnsi="仿宋" w:eastAsia="仿宋" w:cs="仿宋"/>
          <w:bCs/>
          <w:sz w:val="32"/>
          <w:szCs w:val="32"/>
        </w:rPr>
        <w:t>　　（二）没有建立符合规定标准的临床教学基地的。</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第三十五条</w:t>
      </w:r>
      <w:r>
        <w:rPr>
          <w:rFonts w:hint="eastAsia" w:ascii="仿宋" w:hAnsi="仿宋" w:eastAsia="仿宋" w:cs="仿宋"/>
          <w:bCs/>
          <w:sz w:val="32"/>
          <w:szCs w:val="32"/>
        </w:rPr>
        <w:t xml:space="preserve"> 违反本条例规定，造成重大中医药资源流失和国家科学技术秘密泄露，情节严重，构成犯罪的，依法追究刑事责任；尚不够刑事处罚的，由县级以上地方人民政府负责中医药管理的部门责令改正，对负有责任的主管人员和其他直接责任人员依法给予纪律处分。</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第三十六条</w:t>
      </w:r>
      <w:r>
        <w:rPr>
          <w:rFonts w:hint="eastAsia" w:ascii="仿宋" w:hAnsi="仿宋" w:eastAsia="仿宋" w:cs="仿宋"/>
          <w:bCs/>
          <w:sz w:val="32"/>
          <w:szCs w:val="32"/>
        </w:rPr>
        <w:t xml:space="preserve"> 违反本条例规定，损毁或者破坏中医药文献的，由县级以上地方人民政府负责中医药管理的部门责令改正，对负有责任的主管人员和其他直接责任人员依法给予纪律处分；损毁或者破坏属于国家保护文物的中医药文献，情节严重，构成犯罪的，依法追究刑事责任。</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第三十七条</w:t>
      </w:r>
      <w:r>
        <w:rPr>
          <w:rFonts w:hint="eastAsia" w:ascii="仿宋" w:hAnsi="仿宋" w:eastAsia="仿宋" w:cs="仿宋"/>
          <w:bCs/>
          <w:sz w:val="32"/>
          <w:szCs w:val="32"/>
        </w:rPr>
        <w:t xml:space="preserve"> 篡改经批准的中医医疗广告内容的，由原审批部门撤销广告批准文号，１年内不受理该中医医疗机构的广告审批申请。</w:t>
      </w:r>
      <w:r>
        <w:rPr>
          <w:rFonts w:hint="eastAsia" w:ascii="仿宋" w:hAnsi="仿宋" w:eastAsia="仿宋" w:cs="仿宋"/>
          <w:bCs/>
          <w:sz w:val="32"/>
          <w:szCs w:val="32"/>
        </w:rPr>
        <w:br w:type="textWrapping"/>
      </w:r>
      <w:r>
        <w:rPr>
          <w:rFonts w:hint="eastAsia" w:ascii="仿宋" w:hAnsi="仿宋" w:eastAsia="仿宋" w:cs="仿宋"/>
          <w:bCs/>
          <w:sz w:val="32"/>
          <w:szCs w:val="32"/>
        </w:rPr>
        <w:t>　　负责中医药管理的部门撤销中医医疗广告批准文号后，应当自作出行政处理决定之日起５个工作日内通知广告监督管理机关。广告监督管理机关应当自收到负责中医药管理的部门通知之日起１５个工作日内，依照《中华人民共和国广告法》的有关规定查处。　　</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第六章 附则</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黑体" w:hAnsi="黑体" w:eastAsia="黑体" w:cs="黑体"/>
          <w:bCs/>
          <w:kern w:val="0"/>
          <w:szCs w:val="32"/>
        </w:rPr>
        <w:t>　</w:t>
      </w: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第三十八条</w:t>
      </w:r>
      <w:r>
        <w:rPr>
          <w:rFonts w:hint="eastAsia" w:ascii="仿宋" w:hAnsi="仿宋" w:eastAsia="仿宋" w:cs="仿宋"/>
          <w:bCs/>
          <w:sz w:val="32"/>
          <w:szCs w:val="32"/>
        </w:rPr>
        <w:t xml:space="preserve"> 本条例所称中医医疗机构，是指依法取得医疗机构执业许可证的中医、中西医结合的医院、门诊部和诊所。</w:t>
      </w:r>
      <w:r>
        <w:rPr>
          <w:rFonts w:hint="eastAsia" w:ascii="仿宋" w:hAnsi="仿宋" w:eastAsia="仿宋" w:cs="仿宋"/>
          <w:bCs/>
          <w:sz w:val="32"/>
          <w:szCs w:val="32"/>
        </w:rPr>
        <w:br w:type="textWrapping"/>
      </w:r>
      <w:r>
        <w:rPr>
          <w:rFonts w:hint="eastAsia" w:ascii="仿宋" w:hAnsi="仿宋" w:eastAsia="仿宋" w:cs="仿宋"/>
          <w:bCs/>
          <w:sz w:val="32"/>
          <w:szCs w:val="32"/>
        </w:rPr>
        <w:t>　　民族医药的管理参照本条例执行。</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第三十九条</w:t>
      </w:r>
      <w:r>
        <w:rPr>
          <w:rFonts w:hint="eastAsia" w:ascii="仿宋" w:hAnsi="仿宋" w:eastAsia="仿宋" w:cs="仿宋"/>
          <w:bCs/>
          <w:sz w:val="32"/>
          <w:szCs w:val="32"/>
        </w:rPr>
        <w:t xml:space="preserve"> 本条例自２００３年１０月１日起施行。</w:t>
      </w:r>
      <w:r>
        <w:rPr>
          <w:rFonts w:hint="eastAsia" w:ascii="仿宋" w:hAnsi="仿宋" w:eastAsia="仿宋" w:cs="仿宋"/>
          <w:bCs/>
          <w:sz w:val="32"/>
          <w:szCs w:val="32"/>
        </w:rPr>
        <w:br w:type="page"/>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150" w:afterAutospacing="0"/>
        <w:ind w:left="0" w:leftChars="0" w:right="0" w:firstLine="0" w:firstLineChars="0"/>
        <w:jc w:val="center"/>
        <w:textAlignment w:val="baseline"/>
        <w:outlineLvl w:val="0"/>
        <w:rPr>
          <w:rFonts w:hint="eastAsia" w:ascii="宋体" w:hAnsi="宋体" w:eastAsia="宋体" w:cs="宋体"/>
          <w:b w:val="0"/>
          <w:bCs/>
          <w:kern w:val="2"/>
          <w:sz w:val="44"/>
          <w:szCs w:val="44"/>
          <w:lang w:val="en-US" w:eastAsia="zh-CN" w:bidi="ar-SA"/>
        </w:rPr>
      </w:pPr>
      <w:bookmarkStart w:id="225" w:name="_Toc24061"/>
      <w:r>
        <w:rPr>
          <w:rFonts w:hint="eastAsia" w:ascii="宋体" w:hAnsi="宋体" w:eastAsia="宋体" w:cs="宋体"/>
          <w:b w:val="0"/>
          <w:bCs/>
          <w:kern w:val="2"/>
          <w:sz w:val="44"/>
          <w:szCs w:val="44"/>
          <w:lang w:val="en-US" w:eastAsia="zh-CN" w:bidi="ar-SA"/>
        </w:rPr>
        <w:t>中华人民共和国陆生野生动物保护实施条例</w:t>
      </w:r>
      <w:bookmarkEnd w:id="225"/>
    </w:p>
    <w:p>
      <w:pPr>
        <w:widowControl w:val="0"/>
        <w:wordWrap/>
        <w:adjustRightInd/>
        <w:snapToGrid/>
        <w:spacing w:line="560" w:lineRule="exact"/>
        <w:textAlignment w:val="auto"/>
        <w:rPr>
          <w:rFonts w:hint="eastAsia" w:ascii="仿宋" w:hAnsi="仿宋" w:eastAsia="仿宋" w:cs="仿宋"/>
          <w:kern w:val="0"/>
          <w:szCs w:val="32"/>
        </w:rPr>
      </w:pPr>
    </w:p>
    <w:p>
      <w:pPr>
        <w:widowControl w:val="0"/>
        <w:wordWrap/>
        <w:overflowPunct w:val="0"/>
        <w:spacing w:beforeAutospacing="0" w:afterAutospacing="0" w:line="560" w:lineRule="exact"/>
        <w:ind w:left="640" w:leftChars="200" w:right="640" w:rightChars="200"/>
        <w:textAlignment w:val="auto"/>
        <w:outlineLvl w:val="9"/>
        <w:rPr>
          <w:rFonts w:hint="eastAsia" w:ascii="楷体" w:hAnsi="楷体" w:eastAsia="楷体" w:cs="楷体"/>
          <w:szCs w:val="32"/>
          <w:lang w:eastAsia="zh-CN"/>
        </w:rPr>
      </w:pPr>
      <w:r>
        <w:rPr>
          <w:rFonts w:hint="eastAsia" w:ascii="楷体" w:hAnsi="楷体" w:eastAsia="楷体" w:cs="楷体"/>
          <w:szCs w:val="32"/>
          <w:lang w:eastAsia="zh-CN"/>
        </w:rPr>
        <w:t>（1992年2月12日国务院批准1992年3月1日林业部发布　根据2011年1月8日《国务院关于废止和修改部分行政法规的决定》第一次修订　根据2016年2月6日《国务院关于修改部分行政法规的决定》第二次修订）</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第一条</w:t>
      </w:r>
      <w:r>
        <w:rPr>
          <w:rFonts w:hint="eastAsia" w:ascii="仿宋" w:hAnsi="仿宋" w:eastAsia="仿宋" w:cs="仿宋"/>
          <w:kern w:val="0"/>
          <w:szCs w:val="32"/>
        </w:rPr>
        <w:t xml:space="preserve"> 根据《中华人民共和国野生动物保护法》（以下简称《野生动物保护法》）的规定，制定本条例。</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第二条</w:t>
      </w:r>
      <w:r>
        <w:rPr>
          <w:rFonts w:hint="eastAsia" w:ascii="仿宋" w:hAnsi="仿宋" w:eastAsia="仿宋" w:cs="仿宋"/>
          <w:kern w:val="0"/>
          <w:szCs w:val="32"/>
        </w:rPr>
        <w:t xml:space="preserve"> 本条例所称陆生野生动物，是指依法受保护的珍贵、濒危、有益的和有重要经济、科学研究价值的陆生野生动物（以下简称野生动物）；所称野生动物产品，是指陆生野生动物的任何部分及其衍生物。</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第三条 </w:t>
      </w:r>
      <w:r>
        <w:rPr>
          <w:rFonts w:hint="eastAsia" w:ascii="仿宋" w:hAnsi="仿宋" w:eastAsia="仿宋" w:cs="仿宋"/>
          <w:kern w:val="0"/>
          <w:szCs w:val="32"/>
        </w:rPr>
        <w:t>国务院林业行政主管部门主管全国陆生野生动物管理工作。</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省、自治区、直辖市人民政府林业行政主管部门主管本行政区域内陆生野生动物管理工作。自治州、县和市人民政府陆生野生动物管理工作的行政主管部门，由省、自治区、直辖市人民政府确定。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第四条</w:t>
      </w:r>
      <w:r>
        <w:rPr>
          <w:rFonts w:hint="eastAsia" w:ascii="仿宋" w:hAnsi="仿宋" w:eastAsia="仿宋" w:cs="仿宋"/>
          <w:kern w:val="0"/>
          <w:szCs w:val="32"/>
        </w:rPr>
        <w:t xml:space="preserve"> 县级以上各级人民政府有关主管部门应当鼓励、支持有关科研、教学单位开展野生动物科学研究工作。</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第五条</w:t>
      </w:r>
      <w:r>
        <w:rPr>
          <w:rFonts w:hint="eastAsia" w:ascii="仿宋" w:hAnsi="仿宋" w:eastAsia="仿宋" w:cs="仿宋"/>
          <w:kern w:val="0"/>
          <w:szCs w:val="32"/>
        </w:rPr>
        <w:t xml:space="preserve"> 野生动物行政主管部门有权对《野生动物保护法》和本条例的实施情况进行监督检查，被检查的单位和个人应当给予配合。</w:t>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第二章　野生动物保护</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第六条</w:t>
      </w:r>
      <w:r>
        <w:rPr>
          <w:rFonts w:hint="eastAsia" w:ascii="仿宋" w:hAnsi="仿宋" w:eastAsia="仿宋" w:cs="仿宋"/>
          <w:kern w:val="0"/>
          <w:szCs w:val="32"/>
        </w:rPr>
        <w:t xml:space="preserve"> 县级以上地方各级人民政府应当开展保护野生动物的宣传教育，可以确定适当时间为保护野生动物宣传月、爱鸟周等，提高公民保护野生动物的意识。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第七条</w:t>
      </w:r>
      <w:r>
        <w:rPr>
          <w:rFonts w:hint="eastAsia" w:ascii="仿宋" w:hAnsi="仿宋" w:eastAsia="仿宋" w:cs="仿宋"/>
          <w:kern w:val="0"/>
          <w:szCs w:val="32"/>
        </w:rPr>
        <w:t xml:space="preserve"> 国务院林业行政主管部门和省、自治区、直辖市人民政府林业行政主管部门，应当定期组织野生动物资源调查，建立资源档案，为制定野生动物资源保护发展方案、制定和调整国家和地方重点保护野生动物名录提供依据。</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野生动物资源普查每十年进行一次。</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第八条</w:t>
      </w:r>
      <w:r>
        <w:rPr>
          <w:rFonts w:hint="eastAsia" w:ascii="仿宋" w:hAnsi="仿宋" w:eastAsia="仿宋" w:cs="仿宋"/>
          <w:kern w:val="0"/>
          <w:szCs w:val="32"/>
        </w:rPr>
        <w:t xml:space="preserve"> 县级以上各级人民政府野生动物行政主管部门，应当组织社会各方面力量，采取生物技术措施和工程技术措施，维护和改善野生动物生存环境，保护和发展野生动物资源。</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禁止任何单位和个人破坏国家和地方重点保护野生动物的生息繁衍场所和生存条件。</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第九条</w:t>
      </w:r>
      <w:r>
        <w:rPr>
          <w:rFonts w:hint="eastAsia" w:ascii="仿宋" w:hAnsi="仿宋" w:eastAsia="仿宋" w:cs="仿宋"/>
          <w:kern w:val="0"/>
          <w:szCs w:val="32"/>
        </w:rPr>
        <w:t xml:space="preserve"> 任何单位和个人发现受伤、病弱、饥饿、受困、迷途的国家和地方重点保护野生动物时，应当及时报告当地野生动物行政主管部门，由其采取救护措施；也可以就近送具备救护条件的单位救护。救护单位应当立即报告野生动物行政主管部门，并按照国务院林业行政主管部门的规定办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第十条</w:t>
      </w:r>
      <w:r>
        <w:rPr>
          <w:rFonts w:hint="eastAsia" w:ascii="仿宋" w:hAnsi="仿宋" w:eastAsia="仿宋" w:cs="仿宋"/>
          <w:kern w:val="0"/>
          <w:szCs w:val="32"/>
        </w:rPr>
        <w:t xml:space="preserve"> 有关单位和个人对国家和地方重点保护野生动物可能造成的危害，应当采取防范措施。因保护国家和地方重点保护野生动物受到损失的，可以向当地人民政府野生动物行政主管部门提出补偿要求。经调查属实并确实需要补偿的，由当地人民政府按照省、自治区、直辖市人民政府的有关规定给予补偿。</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第三章　野生动物猎捕管理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第十一条</w:t>
      </w:r>
      <w:r>
        <w:rPr>
          <w:rFonts w:hint="eastAsia" w:ascii="仿宋" w:hAnsi="仿宋" w:eastAsia="仿宋" w:cs="仿宋"/>
          <w:kern w:val="0"/>
          <w:szCs w:val="32"/>
        </w:rPr>
        <w:t xml:space="preserve"> 禁止猎捕、杀害国家重点保护野生动物。</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有下列情形之一，需要猎捕国家重点保护野生动物的，必须申请特许猎捕证：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（一）为进行野生动物科学考察、资源调查，必须猎捕的；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（二）为驯养繁殖国家重点保护野生动物，必须从野外获取种源的；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（三）为承担省级以上科学研究项目或者国家医药生产任务，必须从野外获取国家重点保护野生动物的；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（四）为宣传、普及野生动物知识或者教学、展览的需要，必须从野外获取国家重点保护野生动物的；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（五）因国事活动的需要，必须从野外获取国家重点保护野生动物的；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（六）为调控国家重点保护野生动物种群数量和结构，经科学论证必须猎捕的；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（七）因其他特殊情况，必须捕捉、猎捕国家重点保护野生动物的。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第十二条 </w:t>
      </w:r>
      <w:r>
        <w:rPr>
          <w:rFonts w:hint="eastAsia" w:ascii="仿宋" w:hAnsi="仿宋" w:eastAsia="仿宋" w:cs="仿宋"/>
          <w:kern w:val="0"/>
          <w:szCs w:val="32"/>
        </w:rPr>
        <w:t>申请特许猎捕证的程序如下：</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（一）需要捕捉国家一级保护野生动物的，必须附具申请人所在地和捕捉地的省、自治区、直辖市人民政府林业行政主管部门签署的意见，向国务院林业行政主管部门申请特许猎捕证；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（二）需要在本省、自治区、直辖市猎捕国家二级保护野生动物的，必须附具申请人所在地的县级人民政府野生动物行政主管部门签署的意见，向省、自治区、直辖市人民政府林业行政主管部门申请特许猎捕证；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需要跨省、自治区、直辖市猎捕国家二级保护野生动物的，必须附具申请人所在地的省、自治区、直辖市人民政府林业行政主管部门签署的意见，向猎捕地的省、自治区、直辖市人民政府林业行政主管部门申请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动物园需要申请捕捉国家一级保护野生动物的，在向国务院林业行政主管部门申请特许猎捕证前，须经国务院建设行政主管部门审核同意；需要申请捕捉国家二级保护野生动物的，在向申请人所在地的省、自治区、直辖市人民政府林业行政主管部门申请特许猎捕证前，须经同级政府建设行政主管部门审核同意。</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负责核发特许猎捕证的部门接到申请后，应当在3个月内作出批准或者不批准的决定。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第十三条</w:t>
      </w:r>
      <w:r>
        <w:rPr>
          <w:rFonts w:hint="eastAsia" w:ascii="仿宋" w:hAnsi="仿宋" w:eastAsia="仿宋" w:cs="仿宋"/>
          <w:kern w:val="0"/>
          <w:szCs w:val="32"/>
        </w:rPr>
        <w:t xml:space="preserve"> 有下列情形之一的，不予发放特许猎捕证：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（一）申请猎捕者有条件以合法的非猎捕方式获得国家重点保护野生动物的种源、产品或者达到所需目的的；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（二）猎捕申请不符合国家有关规定或者申请使用的猎捕工具、方法以及猎捕时间、地点不当的；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（三）根据野生动物资源现状不宜捕捉、猎捕的。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第十四条</w:t>
      </w:r>
      <w:r>
        <w:rPr>
          <w:rFonts w:hint="eastAsia" w:ascii="仿宋" w:hAnsi="仿宋" w:eastAsia="仿宋" w:cs="仿宋"/>
          <w:kern w:val="0"/>
          <w:szCs w:val="32"/>
        </w:rPr>
        <w:t xml:space="preserve"> 取得特许猎捕证的单位和个人，必须按照特许猎捕证规定的种类、数量、地点、期限、工具和方法进行猎捕，防止误伤野生动物或者破坏其生存环境。猎捕作业完成后，应当在10日内向猎捕地的县级人民政府野生动物行政主管部门申请查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县级人民政府野生动物行政主管部门对在本行政区域内猎捕国家重点保护野生动物的活动，应当进行监督检查，并及时向批准猎捕的机关报告监督检查结果。</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第十五条</w:t>
      </w:r>
      <w:r>
        <w:rPr>
          <w:rFonts w:hint="eastAsia" w:ascii="仿宋" w:hAnsi="仿宋" w:eastAsia="仿宋" w:cs="仿宋"/>
          <w:kern w:val="0"/>
          <w:szCs w:val="32"/>
        </w:rPr>
        <w:t xml:space="preserve"> 猎捕非国家重点保护野生动物的，必须持有狩猎证，并按照狩猎证规定的种类、数量、地点、期限、工具和方法进行猎捕。</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狩猎证由省、自治区、直辖市人民政府林业行政主管部门按照国务院林业行政主管部门的规定印制，县级人民政府野生动物行政主管部门或者其授权的单位核发。</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狩猎证每年验证1次。</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第十六条</w:t>
      </w:r>
      <w:r>
        <w:rPr>
          <w:rFonts w:hint="eastAsia" w:ascii="仿宋" w:hAnsi="仿宋" w:eastAsia="仿宋" w:cs="仿宋"/>
          <w:kern w:val="0"/>
          <w:szCs w:val="32"/>
        </w:rPr>
        <w:t xml:space="preserve"> 省、自治区、直辖市人民政府林业行政主管部门，应当根据本行政区域内非国家重点保护野生动物的资源现状，确定狩猎动物种类，并实行年度猎捕量限额管理。狩猎动物种类和年度猎捕量限额，由县级人民政府野生动物行政主管部门按照保护资源、永续利用的原则提出，经省、自治区、直辖市人民政府林业行政主管部门批准，报国务院林业行政主管部门备案。</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第十七条</w:t>
      </w:r>
      <w:r>
        <w:rPr>
          <w:rFonts w:hint="eastAsia" w:ascii="仿宋" w:hAnsi="仿宋" w:eastAsia="仿宋" w:cs="仿宋"/>
          <w:kern w:val="0"/>
          <w:szCs w:val="32"/>
        </w:rPr>
        <w:t xml:space="preserve"> 县级以上地方各级人民政府野生动物行政主管部门应当组织狩猎者有计划地开展狩猎活动。</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在适合狩猎的区域建立固定狩猎场所的，必须经省、自治区、直辖市人民政府林业行政主管部门批准。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第十八条</w:t>
      </w:r>
      <w:r>
        <w:rPr>
          <w:rFonts w:hint="eastAsia" w:ascii="仿宋" w:hAnsi="仿宋" w:eastAsia="仿宋" w:cs="仿宋"/>
          <w:kern w:val="0"/>
          <w:szCs w:val="32"/>
        </w:rPr>
        <w:t xml:space="preserve"> 禁止使用军用武器、汽枪、毒药、炸药、地枪、排铳、非人为直接操作并危害人畜安全的狩猎装置、夜间照明行猎、歼灭性围猎、火攻、烟熏以及县级以上各级人民政府或者其野生动物行政主管部门规定禁止使用的其他狩猎工具和方法狩猎。</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第十九条</w:t>
      </w:r>
      <w:r>
        <w:rPr>
          <w:rFonts w:hint="eastAsia" w:ascii="仿宋" w:hAnsi="仿宋" w:eastAsia="仿宋" w:cs="仿宋"/>
          <w:kern w:val="0"/>
          <w:szCs w:val="32"/>
        </w:rPr>
        <w:t xml:space="preserve"> 外国人在中国境内对国家重点保护野生动物进行野外考察、标本采集或者在野外拍摄电影、录像的，必须向国家重点保护野生动物所在地的省、自治区、直辖市人民政府林业行政主管部门提出申请，经其审核后，报国务院林业行政主管部门或者其授权的单位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第二十条</w:t>
      </w:r>
      <w:r>
        <w:rPr>
          <w:rFonts w:hint="eastAsia" w:ascii="仿宋" w:hAnsi="仿宋" w:eastAsia="仿宋" w:cs="仿宋"/>
          <w:kern w:val="0"/>
          <w:szCs w:val="32"/>
        </w:rPr>
        <w:t xml:space="preserve"> 外国人在中国境内狩猎，必须在国务院林业行政主管部门批准的对外国人开放的狩猎场所内进行，并遵守中国有关法律、法规的规定。</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第四章　野生动物驯养繁殖管理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第二十一条</w:t>
      </w:r>
      <w:r>
        <w:rPr>
          <w:rFonts w:hint="eastAsia" w:ascii="仿宋" w:hAnsi="仿宋" w:eastAsia="仿宋" w:cs="仿宋"/>
          <w:kern w:val="0"/>
          <w:szCs w:val="32"/>
        </w:rPr>
        <w:t xml:space="preserve"> 驯养繁殖国家重点保护野生动物的，应当持有驯养繁殖许可证。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国务院林业行政主管部门和省、自治区、直辖市人民政府林业行政主管部门可以根据实际情况和工作需要，委托同级有关部门审批或者核发国家重点保护野生动物驯养繁殖许可证。动物园驯养繁殖国家重点保护野生动物的，林业行政主管部门可以委托同级建设行政主管部门核发驯养繁殖许可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驯养繁殖许可证由国务院林业行政主管部门印制。</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第二十二条 </w:t>
      </w:r>
      <w:r>
        <w:rPr>
          <w:rFonts w:hint="eastAsia" w:ascii="仿宋" w:hAnsi="仿宋" w:eastAsia="仿宋" w:cs="仿宋"/>
          <w:kern w:val="0"/>
          <w:szCs w:val="32"/>
        </w:rPr>
        <w:t>从国外或者外省、自治区、直辖市引进野生动物进行驯养繁殖的，应当采取适当措施，防止其逃至野外；需要将其放生于野外的，放生单位应当向所在省、自治区、直辖市人民政府林业行政主管部门提出申请，经省级以上人民政府林业行政主管部门指定的科研机构进行科学论证后，报国务院林业行政主管部门或者其授权的单位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擅自将引进的野生动物放生于野外或者因管理不当使其逃至野外的，由野生动物行政主管部门责令限期捕回或者采取其他补救措施。</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第二十三条</w:t>
      </w:r>
      <w:r>
        <w:rPr>
          <w:rFonts w:hint="eastAsia" w:ascii="仿宋" w:hAnsi="仿宋" w:eastAsia="仿宋" w:cs="仿宋"/>
          <w:kern w:val="0"/>
          <w:szCs w:val="32"/>
        </w:rPr>
        <w:t xml:space="preserve"> 从国外引进的珍贵、濒危野生动物，经国务院林业行政主管部门核准，可以视为国家重点保护野生动物；从国外引进的其他野生动物，经省、自治区、直辖市人民政府林业行政主管部门核准，可以视为地方重点保护野生动物。</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第五章　野生动物经营利用管理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第二十四条</w:t>
      </w:r>
      <w:r>
        <w:rPr>
          <w:rFonts w:hint="eastAsia" w:ascii="仿宋" w:hAnsi="仿宋" w:eastAsia="仿宋" w:cs="仿宋"/>
          <w:kern w:val="0"/>
          <w:szCs w:val="32"/>
        </w:rPr>
        <w:t xml:space="preserve"> 收购驯养繁殖的国家重点保护野生动物或者其产品的单位，由省、自治区、直辖市人民政府林业行政主管部门商有关部门提出，经同级人民政府或者其授权的单位批准，凭批准文件向工商行政管理部门申请登记注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依照前款规定经核准登记的单位，不得收购未经批准出售的国家重点保护野生动物或者其产品。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第二十五条</w:t>
      </w:r>
      <w:r>
        <w:rPr>
          <w:rFonts w:hint="eastAsia" w:ascii="仿宋" w:hAnsi="仿宋" w:eastAsia="仿宋" w:cs="仿宋"/>
          <w:kern w:val="0"/>
          <w:szCs w:val="32"/>
        </w:rPr>
        <w:t xml:space="preserve"> 经营利用非国家重点保护野生动物或者其产品的，应当向工商行政管理部门申请登记注册。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第二十六条</w:t>
      </w:r>
      <w:r>
        <w:rPr>
          <w:rFonts w:hint="eastAsia" w:ascii="仿宋" w:hAnsi="仿宋" w:eastAsia="仿宋" w:cs="仿宋"/>
          <w:kern w:val="0"/>
          <w:szCs w:val="32"/>
        </w:rPr>
        <w:t xml:space="preserve"> 禁止在集贸市场出售、收购国家重点保护野生动物或者其产品。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持有狩猎证的单位和个人需要出售依法获得的非国家重点保护野生动物或者其产品的，应当按照狩猎证规定的种类、数量向经核准登记的单位出售，或者在当地人民政府有关部门指定的集贸市场出售。</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第二十七条</w:t>
      </w:r>
      <w:r>
        <w:rPr>
          <w:rFonts w:hint="eastAsia" w:ascii="仿宋" w:hAnsi="仿宋" w:eastAsia="仿宋" w:cs="仿宋"/>
          <w:kern w:val="0"/>
          <w:szCs w:val="32"/>
        </w:rPr>
        <w:t xml:space="preserve"> 县级以上各级人民政府野生动物行政主管部门和工商行政管理部门，应当对野生动物或者其产品的经营利用建立监督检查制度，加强对经营利用野生动物或者其产品的监督管理。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对进入集贸市场的野生动物或者其产品，由工商行政管理部门进行监督管理；在集贸市场以外经营野生动物或者其产品，由野生动物行政主管部门、工商行政管理部门或者其授权的单位进行监督管理。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第二十八条</w:t>
      </w:r>
      <w:r>
        <w:rPr>
          <w:rFonts w:hint="eastAsia" w:ascii="仿宋" w:hAnsi="仿宋" w:eastAsia="仿宋" w:cs="仿宋"/>
          <w:kern w:val="0"/>
          <w:szCs w:val="32"/>
        </w:rPr>
        <w:t xml:space="preserve"> 运输、携带国家重点保护野生动物或者其产品出县境的，应当凭特许猎捕证、驯养繁殖许可证，向县级人民政府野生动物行政主管部门提出申请，报省、自治区、直辖市人民政府林业行政主管部门或者其授权的单位批准。动物园之间因繁殖动物，需要运输国家重点保护野生动物的，可以由省、自治区、直辖市人民政府林业行政主管部门授权同级建设行政主管部门审批。</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第二十九条</w:t>
      </w:r>
      <w:r>
        <w:rPr>
          <w:rFonts w:hint="eastAsia" w:ascii="仿宋" w:hAnsi="仿宋" w:eastAsia="仿宋" w:cs="仿宋"/>
          <w:kern w:val="0"/>
          <w:szCs w:val="32"/>
        </w:rPr>
        <w:t xml:space="preserve"> 出口国家重点保护野生动物或者其产品的，以及进出口中国参加的国际公约所限制进出口的野生动物或者其产品的，必须经进出口单位或者个人所在地的省、自治区、直辖市人民政府林业行政主管部门审核，报国务院林业行政主管部门或者国务院批准；属于贸易性进出口活动的，必须由具有有关商品进出口权的单位承担。</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动物园因交换动物需要进出口前款所称野生动物的，国务院林业行政主管部门批准前或者国务院林业行政主管部门报请国务院批准前，应当经国务院建设行政主管部门审核同意。</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第三十条 </w:t>
      </w:r>
      <w:r>
        <w:rPr>
          <w:rFonts w:hint="eastAsia" w:ascii="仿宋" w:hAnsi="仿宋" w:eastAsia="仿宋" w:cs="仿宋"/>
          <w:kern w:val="0"/>
          <w:szCs w:val="32"/>
        </w:rPr>
        <w:t>利用野生动物或者其产品举办出国展览等活动的经济收益，主要用于野生动物保护事业。</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第六章　奖励和惩罚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第三十一条</w:t>
      </w:r>
      <w:r>
        <w:rPr>
          <w:rFonts w:hint="eastAsia" w:ascii="仿宋" w:hAnsi="仿宋" w:eastAsia="仿宋" w:cs="仿宋"/>
          <w:kern w:val="0"/>
          <w:szCs w:val="32"/>
        </w:rPr>
        <w:t xml:space="preserve"> 有下列事迹之一的单位和个人，由县级以上人民政府或者其野生动物行政主管部门给予奖励：</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（一）在野生动物资源调查、保护管理、宣传教育、开发利用方面有突出贡献的；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（二）严格执行野生动物保护法规，成绩显著的；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（三）拯救、保护和驯养繁殖珍贵、濒危野生动物取得显著成效的；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（四）发现违反野生动物保护法规行为，及时制止或者检举有功的；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（五）在查处破坏野生动物资源案件中有重要贡献的；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（六）在野生动物科学研究中取得重大成果或者在应用推广科研成果中取得显著效益的；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（七）在基层从事野生动物保护管理工作五年以上并取得显著成绩的；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（八）在野生动物保护管理工作中有其他特殊贡献的。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第三十二条</w:t>
      </w:r>
      <w:r>
        <w:rPr>
          <w:rFonts w:hint="eastAsia" w:ascii="仿宋" w:hAnsi="仿宋" w:eastAsia="仿宋" w:cs="仿宋"/>
          <w:kern w:val="0"/>
          <w:szCs w:val="32"/>
        </w:rPr>
        <w:t xml:space="preserve"> 非法捕杀国家重点保护野生动物的，依照刑法有关规定追究刑事责任；情节显著轻微危害不大的，或者犯罪情节轻微不需要判处刑罚的，由野生动物行政主管部门没收猎获物、猎捕工具和违法所得，吊销特许猎捕证，并处以相当于猎获物价值10倍以下的罚款，没有猎获物的处1万元以下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第三十三条</w:t>
      </w:r>
      <w:r>
        <w:rPr>
          <w:rFonts w:hint="eastAsia" w:ascii="仿宋" w:hAnsi="仿宋" w:eastAsia="仿宋" w:cs="仿宋"/>
          <w:kern w:val="0"/>
          <w:szCs w:val="32"/>
        </w:rPr>
        <w:t xml:space="preserve"> 违反野生动物保护法规，在禁猎区、禁猎期或者使用禁用的工具、方法猎捕非国家重点保护野生动物，依照《野生动物保护法》第三十二条的规定处以罚款的，按照下列规定执行：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（一）有猎获物的，处以相当于猎获物价值8倍以下的罚款；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（二）没有猎获物的，处2000元以下罚款。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第三十四条 </w:t>
      </w:r>
      <w:r>
        <w:rPr>
          <w:rFonts w:hint="eastAsia" w:ascii="仿宋" w:hAnsi="仿宋" w:eastAsia="仿宋" w:cs="仿宋"/>
          <w:kern w:val="0"/>
          <w:szCs w:val="32"/>
        </w:rPr>
        <w:t>违反野生动物保护法规，未取得狩猎证或者未按照狩猎证规定猎捕非国家重点保护野生动物，依照《野生动物保护法》第三十三条的规定处以罚款的，按照下列规定执行：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（一）有猎获物的，处以相当于猎获物价值5倍以下的罚款；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（二）没有猎获物的，处1000元以下罚款。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第三十五条</w:t>
      </w:r>
      <w:r>
        <w:rPr>
          <w:rFonts w:hint="eastAsia" w:ascii="仿宋" w:hAnsi="仿宋" w:eastAsia="仿宋" w:cs="仿宋"/>
          <w:kern w:val="0"/>
          <w:szCs w:val="32"/>
        </w:rPr>
        <w:t xml:space="preserve"> 违反野生动物保护法规，在自然保护区、禁猎区破坏国家或者地方重点保护野生动物主要生息繁衍场所，依照《野生动物保护法》第三十四条的规定处以罚款的，按照相当于恢复原状所需费用3倍以下的标准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在自然保护区、禁猎区破坏非国家或者地方重点保护野生动物主要生息繁衍场所的，由野生动物行政主管部门责令停止破坏行为，限期恢复原状，并处以恢复原状所需费用2倍以下的罚款。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第三十六条</w:t>
      </w:r>
      <w:r>
        <w:rPr>
          <w:rFonts w:hint="eastAsia" w:ascii="仿宋" w:hAnsi="仿宋" w:eastAsia="仿宋" w:cs="仿宋"/>
          <w:kern w:val="0"/>
          <w:szCs w:val="32"/>
        </w:rPr>
        <w:t xml:space="preserve"> 违反野生动物保护法规，出售、收购、运输、携带国家或者地方重点保护野生动物或者其产品的，由工商行政管理部门或者其授权的野生动物行政主管部门没收实物和违法所得，可以并处相当于实物价值10倍以下的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第三十七条</w:t>
      </w:r>
      <w:r>
        <w:rPr>
          <w:rFonts w:hint="eastAsia" w:ascii="仿宋" w:hAnsi="仿宋" w:eastAsia="仿宋" w:cs="仿宋"/>
          <w:kern w:val="0"/>
          <w:szCs w:val="32"/>
        </w:rPr>
        <w:t xml:space="preserve"> 伪造、倒卖、转让狩猎证或者驯养繁殖许可证，依照《野生动物保护法》第三十七条的规定处以罚款的，按照5000元以下的标准执行。伪造、倒卖、转让特许猎捕证或者允许进出口证明书，依照《野生动物保护法》第三十七条的规定处以罚款的，按照5万元以下的标准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第三十八条</w:t>
      </w:r>
      <w:r>
        <w:rPr>
          <w:rFonts w:hint="eastAsia" w:ascii="仿宋" w:hAnsi="仿宋" w:eastAsia="仿宋" w:cs="仿宋"/>
          <w:kern w:val="0"/>
          <w:szCs w:val="32"/>
        </w:rPr>
        <w:t xml:space="preserve"> 违反野生动物保护法规，未取得驯养繁殖许可证或者超越驯养繁殖许可证规定范围驯养繁殖国家重点保护野生动物的，由野生动物行政主管部门没收违法所得，处3000元以下罚款，可以并处没收野生动物、吊销驯养繁殖许可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第三十九条</w:t>
      </w:r>
      <w:r>
        <w:rPr>
          <w:rFonts w:hint="eastAsia" w:ascii="仿宋" w:hAnsi="仿宋" w:eastAsia="仿宋" w:cs="仿宋"/>
          <w:kern w:val="0"/>
          <w:szCs w:val="32"/>
        </w:rPr>
        <w:t xml:space="preserve"> 外国人未经批准在中国境内对国家重点保护野生动物进行野外考察、标本采集或者在野外拍摄电影、录像的，由野生动物行政主管部门没收考察、拍摄的资料以及所获标本，可以并处5万元以下罚款。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第四十条</w:t>
      </w:r>
      <w:r>
        <w:rPr>
          <w:rFonts w:hint="eastAsia" w:ascii="仿宋" w:hAnsi="仿宋" w:eastAsia="仿宋" w:cs="仿宋"/>
          <w:kern w:val="0"/>
          <w:szCs w:val="32"/>
        </w:rPr>
        <w:t xml:space="preserve"> 有下列行为之一，尚不构成犯罪，应当给予治安管理处罚的，由公安机关依照《中华人民共和国治安管理处罚法》的规定予以处罚：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（一）拒绝、阻碍野生动物行政管理人员依法执行职务的；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（二）偷窃、哄抢或者故意损坏野生动物保护仪器设备或者设施的；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（三）偷窃、哄抢、抢夺非国家重点保护野生动物或者其产品的；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（四）未经批准猎捕少量非国家重点保护野生动物的。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第四十一条</w:t>
      </w:r>
      <w:r>
        <w:rPr>
          <w:rFonts w:hint="eastAsia" w:ascii="仿宋" w:hAnsi="仿宋" w:eastAsia="仿宋" w:cs="仿宋"/>
          <w:kern w:val="0"/>
          <w:szCs w:val="32"/>
        </w:rPr>
        <w:t xml:space="preserve"> 违反野生动物保护法规，被责令限期捕回而不捕的，被责令限期恢复原状而不恢复的，野生动物行政主管部门或者其授权的单位可以代为捕回或者恢复原状，由被责令限期捕回者或者被责令限期恢复原状者承担全部捕回或者恢复原状所需的费用。</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第四十二条</w:t>
      </w:r>
      <w:r>
        <w:rPr>
          <w:rFonts w:hint="eastAsia" w:ascii="仿宋" w:hAnsi="仿宋" w:eastAsia="仿宋" w:cs="仿宋"/>
          <w:kern w:val="0"/>
          <w:szCs w:val="32"/>
        </w:rPr>
        <w:t xml:space="preserve"> 违反野生动物保护法规，构成犯罪的，依法追究刑事责任。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第四十三条</w:t>
      </w:r>
      <w:r>
        <w:rPr>
          <w:rFonts w:hint="eastAsia" w:ascii="仿宋" w:hAnsi="仿宋" w:eastAsia="仿宋" w:cs="仿宋"/>
          <w:kern w:val="0"/>
          <w:szCs w:val="32"/>
        </w:rPr>
        <w:t xml:space="preserve"> 依照野生动物保护法规没收的实物，按照国务院林业行政主管部门的规定处理。</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第七章　附则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第四十四条</w:t>
      </w:r>
      <w:r>
        <w:rPr>
          <w:rFonts w:hint="eastAsia" w:ascii="仿宋" w:hAnsi="仿宋" w:eastAsia="仿宋" w:cs="仿宋"/>
          <w:kern w:val="0"/>
          <w:szCs w:val="32"/>
        </w:rPr>
        <w:t xml:space="preserve"> 本条例由国务院林业行政主管部门负责解释。</w:t>
      </w:r>
    </w:p>
    <w:p>
      <w:pPr>
        <w:widowControl w:val="0"/>
        <w:wordWrap/>
        <w:adjustRightInd/>
        <w:snapToGrid/>
        <w:spacing w:line="560" w:lineRule="exact"/>
        <w:ind w:firstLine="640" w:firstLineChars="200"/>
        <w:textAlignment w:val="auto"/>
        <w:rPr>
          <w:rFonts w:hint="eastAsia" w:ascii="宋体" w:hAnsi="宋体" w:eastAsia="宋体" w:cs="Arial"/>
          <w:bCs/>
          <w:sz w:val="44"/>
          <w:szCs w:val="44"/>
        </w:rPr>
      </w:pPr>
      <w:r>
        <w:rPr>
          <w:rFonts w:hint="eastAsia" w:ascii="宋体" w:hAnsi="宋体" w:eastAsia="黑体" w:cs="Arial"/>
          <w:kern w:val="0"/>
          <w:szCs w:val="32"/>
        </w:rPr>
        <w:t>第四十五条</w:t>
      </w:r>
      <w:r>
        <w:rPr>
          <w:rFonts w:hint="eastAsia" w:ascii="仿宋" w:hAnsi="仿宋" w:eastAsia="仿宋" w:cs="仿宋"/>
          <w:kern w:val="0"/>
          <w:szCs w:val="32"/>
        </w:rPr>
        <w:t xml:space="preserve"> 本条例自发布之日起施行。</w:t>
      </w: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26" w:name="_Toc24596"/>
      <w:r>
        <w:rPr>
          <w:rFonts w:hint="eastAsia" w:ascii="宋体" w:hAnsi="宋体" w:eastAsia="宋体" w:cs="宋体"/>
          <w:sz w:val="44"/>
          <w:szCs w:val="44"/>
        </w:rPr>
        <w:t>中华人民共和国水生野生动物保护实施条例</w:t>
      </w:r>
      <w:bookmarkEnd w:id="226"/>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both"/>
        <w:textAlignment w:val="auto"/>
        <w:rPr>
          <w:rFonts w:hint="eastAsia" w:ascii="楷体" w:hAnsi="楷体" w:eastAsia="楷体" w:cs="楷体"/>
          <w:sz w:val="32"/>
          <w:szCs w:val="32"/>
        </w:rPr>
      </w:pPr>
      <w:r>
        <w:rPr>
          <w:rFonts w:hint="eastAsia" w:ascii="楷体" w:hAnsi="楷体" w:eastAsia="楷体" w:cs="楷体"/>
          <w:sz w:val="32"/>
          <w:szCs w:val="32"/>
        </w:rPr>
        <w:t>（1993年9月17日国务院批准　1993年10月5日农业部令第1号发布　根据2011年1月8日《国务院关于废止和修改部分行政法规的决定》第一次修订　根据2013年12月7日《国务院关于修改部分行政法规的决定》第二次修订）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根据《中华人民共和国野生动物保护法》（以下简称《野生动物保护法》）的规定，制定本条例。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本条例所称水生野生动物，是指珍贵、濒危的水生野生动物；所称水生野生动物产品，是指珍贵、濒危的水生野生动物的任何部分及其衍生物。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国务院渔业行政主管部门主管全国水生野生动物管理工作。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县级以上地方人民政府渔业行政主管部门主管本行政区域内水生野生动物管理工作。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《野生动物保护法》和本条例规定的渔业行政主管部门的行政处罚权，可以由其所属的渔政监督管理机构行使。</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县级以上各级人民政府及其有关主管部门应当鼓励、支持有关科研单位、教学单位开展水生野生动物科学研究工作。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渔业行政主管部门及其所属的渔政监督管理机构，有权对《野生动物保护法》和本条例的实施情况进行监督检查，被检查的单位和个人应当给予配合。</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水生野生动物保护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国务院渔业行政主管部门和省、自治区、直辖市人民政府渔业行政主管部门，应当定期组织水生野生动物资源调查，建立资源档案，为制定水生野生动物资源保护发展规划、制定和调整国家和地方重点保护水生野生动物名录提供依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渔业行政主管部门应当组织社会各方面力量，采取有效措施，维护和改善水生野生动物的生存环境，保护和增殖水生野生动物资源。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禁止任何单位和个人破坏国家重点保护的和地方重点保护的水生野生动物生息繁衍的水域、场所和生存条件。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任何单位和个人对侵占或者破坏水生野生动物资源的行为，有权向当地渔业行政主管部门或者其所属的渔政监督管理机构检举和控告。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任何单位和个人发现受伤、搁浅和因误入港湾、河汊而被困的水生野生动物时，应当及时报告当地渔业行政主管部门或者其所属的渔政监督管理机构，由其采取紧急救护措施；也可以要求附近具备救护条件的单位采取紧急救护措施，并报告渔业行政主管部门。已经死亡的水生野生动物，由渔业行政主管部门妥善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捕捞作业时误捕水生野生动物的，应当立即无条件放生。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因保护国家重点保护的和地方重点保护的水生野生动物受到损失的，可以向当地人民政府渔业行政主管部门提出补偿要求。经调查属实并确实需要补偿的，由当地人民政府按照省、自治区、直辖市人民政府有关规定给予补偿。</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国务院渔业行政主管部门和省、自治区、直辖市人民政府，应当在国家重点保护的和地方重点保护的水生野生动物的主要生息繁衍的地区和水域，划定水生野生动物自然保护区，加强对国家和地方重点保护水生野生动物及其生存环境的保护管理，具体办法由国务院另行规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水生野生动物管理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第十二条 </w:t>
      </w:r>
      <w:r>
        <w:rPr>
          <w:rFonts w:hint="eastAsia" w:ascii="仿宋" w:hAnsi="仿宋" w:eastAsia="仿宋" w:cs="仿宋"/>
          <w:sz w:val="32"/>
          <w:szCs w:val="32"/>
        </w:rPr>
        <w:t>禁止捕捉、杀害国家重点保护的水生野生动物。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有下列情形之一，确需捕捉国家重点保护的水生野生动物的，必须申请特许捕捉证：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（一）为进行水生野生动物科学考察、资源调查，必须捕捉的；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（二）为驯养繁殖国家重点保护的水生野生动物，必须从自然水域或者场所获取种源的；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（三）为承担省级以上科学研究项目或者国家医药生产任务，必须从自然水域或者场所获取国家重点保护的水生野生动物的；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（四）为宣传、普及水生野生动物知识或者教学、展览的需要，必须从自然水域或者场所获取国家重点保护的水生野生动物的；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（五）因其他特殊情况，必须捕捉的。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申请特许捕捉证的程序：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（一）需要捕捉国家一级保护水生野生动物的，必须附具申请人所在地和捕捉地的省、自治区、直辖市人民政府渔业行政主管部门签署的意见，向国务院渔业行政主管部门申请特许捕捉证；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（二）需要在本省、自治区、直辖市捕捉国家二级保护水生野生动物的，必须附具申请人所在地的县级人民政府渔业行政主管部门签署的意见，向省、自治区、直辖市人民政府渔业行政主管部门申请特许捕捉证；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需要跨省、自治区、直辖市捕捉国家二级保护水生野生动物的，必须附具申请人所在地的省、自治区、直辖市人民政府渔业行政主管部门签署的意见，向捕捉地的省、自治区、直辖市人民政府渔业行政主管部门申请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园申请捕捉国家一级保护水生野生动物的，在向国务院渔业行政主管部门申请特许捕捉证前，须经国务院建设行政主管部门审核同意；申请捕捉国家二级保护水生野生动物的，在向申请人所在地的省、自治区、直辖市人民政府渔业行政主管部门申请特许捕捉证前，须经同级人民政府建设行政主管部门审核同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负责核发特许捕捉证的部门接到申请后，应当自接到申请之日起3个月内作出批准或者不批准的决定。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有下列情形之一的，不予发放特许捕捉证：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（一）申请人有条件以合法的非捕捉方式获得国家重点保护的水生野生动物的种源、产品或者达到其目的的；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（二）捕捉申请不符合国家有关规定，或者申请使用的捕捉工具、方法以及捕捉时间、地点不当的；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（三）根据水生野生动物资源现状不宜捕捉的。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取得特许捕捉证的单位和个人，必须按照特许捕捉证规定的种类、数量、地点、期限、工具和方法进行捕捉，防止误伤水生野生动物或者破坏其生存环境。捕捉作业完成后，应当及时向捕捉地的县级人民政府渔业行政主管部门或者其所属的渔政监督管理机构申请查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县级人民政府渔业行政主管部门或者其所属的渔政监督管理机构对在本行政区域内捕捉国家重点保护的水生野生动物的活动，应当进行监督检查，并及时向批准捕捉的部门报告监督检查结果。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外国人在中国境内进行有关水生野生动物科学考察、标本采集、拍摄电影、录像等活动的，必须经国家重点保护的水生野生动物所在地的省、自治区、直辖市人民政府渔业行政主管部门批准。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驯养繁殖国家一级保护水生野生动物的，应当持有国务院渔业行政主管部门核发的驯养繁殖许可证；驯养繁殖国家二级保护水生野生动物的，应当持有省、自治区、直辖市人民政府渔业行政主管部门核发的驯养繁殖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动物园驯养繁殖国家重点保护的水生野生动物的，渔业行政主管部门可以委托同级建设行政主管部门核发驯养繁殖许可证。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禁止出售、收购国家重点保护的水生野生动物或者其产品。因科学研究、驯养繁殖、展览等特殊情况，需要出售、收购、利用国家一级保护水生野生动物或者其产品的，必须向省、自治区、直辖市人民政府渔业行政主管部门提出申请，经其签署意见后，报国务院渔业行政主管部门批准；需要出售、收购、利用国家二级保护水生野生动物或者其产品的，必须向省、自治区、直辖市人民政府渔业行政主管部门提出申请，并经其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县级以上各级人民政府渔业行政主管部门和工商行政管理部门，应当对水生野生动物或者其产品的经营利用建立监督检查制度，加强对经营利用水生野生动物或者其产品的监督管理。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进入集贸市场的水生野生动物或者其产品，由工商行政管理部门进行监督管理，渔业行政主管部门给予协助；在集贸市场以外经营水生野生动物或者其产品，由渔业行政主管部门、工商行政管理部门或者其授权的单位进行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运输、携带国家重点保护的水生野生动物或者其产品出县境的，应当凭特许捕捉证或者驯养繁殖许可证，向县级人民政府渔业行政主管部门提出申请，报省、自治区、直辖市人民政府渔业行政主管部门或者其授权的单位批准。动物园之间因繁殖动物，需要运输国家重点保护的水生野生动物的，可以由省、自治区、直辖市人民政府渔业行政主管部门授权同级建设行政主管部门审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交通、铁路、民航和邮政企业对没有合法运输证明的水生野生动物或者其产品，应当及时通知有关主管部门处理，不得承运、收寄。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从国外引进水生野生动物的，应当向省、自治区、直辖市人民政府渔业行政主管部门提出申请，经省级以上人民政府渔业行政主管部门指定的科研机构进行科学论证后，报国务院渔业行政主管部门批准。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出口国家重点保护的水生野生动物或者其产品的，进出口中国参加的国际公约所限制进出口的水生野生动物或者其产品的，必须经进出口单位或者个人所在地的省、自治区、直辖市人民政府渔业行政主管部门审核，报国务院渔业行政主管部门批准；属于贸易性进出口活动的，必须由具有有关商品进出口权的单位承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动物园因交换动物需要进出口前款所称水生野生动物的，在国务院渔业行政主管部门批准前，应当经国务院建设行政主管部门审核同意。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利用水生野生动物或者其产品举办展览等活动的经济收益，主要用于水生野生动物保护事业。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奖励和惩罚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有下列事迹之一的单位和个人，由县级以上人民政府或者其渔业行政主管部门给予奖励：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（一）在水生野生动物资源调查、保护管理、宣传教育、开发利用方面有突出贡献的；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（二）严格执行野生动物保护法规，成绩显著的；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（三）拯救、保护和驯养繁殖水生野生动物取得显著成效的；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（四）发现违反水生野生动物保护法律、法规的行为，及时制止或者检举有功的；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（五）在查处破坏水生野生动物资源案件中作出重要贡献的；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（六）在水生野生动物科学研究中取得重大成果或者在应用推广有关的科研成果中取得显著效益的；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（七）在基层从事水生野生动物保护管理工作5年以上并取得显著成绩的；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（八）在水生野生动物保护管理工作中有其他特殊贡献的。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非法捕杀国家重点保护的水生野生动物的，依照刑法有关规定追究刑事责任；情节显著轻微危害不大的，或者犯罪情节轻微不需要判处刑罚的，由渔业行政主管部门没收捕获物、捕捉工具和违法所得，吊销特许捕捉证，并处以相当于捕获物价值10倍以下的罚款，没有捕获物的处以1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违反野生动物保护法律、法规，在水生野生动物自然保护区破坏国家重点保护的或者地方重点保护的水生野生动物主要生息繁衍场所，依照《野生动物保护法》第三十四条的规定处以罚款的，罚款幅度为恢复原状所需费用的3倍以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违反野生动物保护法律、法规，出售、收购、运输、携带国家重点保护的或者地方重点保护的水生野生动物或者其产品的，由工商行政管理部门或者其授权的渔业行政主管部门没收实物和违法所得，可以并处相当于实物价值10倍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伪造、倒卖、转让驯养繁殖许可证，依照《野生动物保护法》第三十七条的规定处以罚款的，罚款幅度为5000元以下。伪造、倒卖、转让特许捕捉证或者允许进出口证明书，依照《野生动物保护法》第三十七条的规定处以罚款的，罚款幅度为5万元以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违反野生动物保护法规，未取得驯养繁殖许可证或者超越驯养繁殖许可证规定范围，驯养繁殖国家重点保护的水生野生动物的，由渔业行政主管部门没收违法所得，处3000元以下的罚款，可以并处没收水生野生动物、吊销驯养繁殖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外国人未经批准在中国境内对国家重点保护的水生野生动物进行科学考察、标本采集、拍摄电影、录像的，由渔业行政主管部门没收考察、拍摄的资料以及所获标本，可以并处5万元以下的罚款。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有下列行为之一，尚不构成犯罪，应当给予治安管理处罚的，由公安机关依照《中华人民共和国治安管理处罚法》的规定予以处罚：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（一）拒绝、阻碍渔政检查人员依法执行职务的；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（二）偷窃、哄抢或者故意损坏野生动物保护仪器设备或者设施的。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依照野生动物保护法规的规定没收的实物，按照国务院渔业行政主管部门的有关规定处理。</w:t>
      </w:r>
    </w:p>
    <w:p>
      <w:pPr>
        <w:widowControl w:val="0"/>
        <w:wordWrap/>
        <w:adjustRightInd/>
        <w:snapToGrid/>
        <w:spacing w:line="560" w:lineRule="exact"/>
        <w:ind w:firstLine="640" w:firstLineChars="200"/>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本条例由国务院渔业行政主管部门负责解释。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本条例自发布之日起施行。</w:t>
      </w:r>
    </w:p>
    <w:p>
      <w:pPr>
        <w:widowControl w:val="0"/>
        <w:wordWrap/>
        <w:adjustRightInd/>
        <w:snapToGrid/>
        <w:spacing w:line="560" w:lineRule="exact"/>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27" w:name="_Toc17770"/>
      <w:r>
        <w:rPr>
          <w:rFonts w:hint="eastAsia" w:ascii="宋体" w:hAnsi="宋体" w:eastAsia="宋体" w:cs="宋体"/>
          <w:sz w:val="44"/>
          <w:szCs w:val="44"/>
        </w:rPr>
        <w:t>中华人民共和国</w:t>
      </w:r>
      <w:bookmarkEnd w:id="227"/>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28" w:name="_Toc27075"/>
      <w:r>
        <w:rPr>
          <w:rFonts w:hint="eastAsia" w:ascii="宋体" w:hAnsi="宋体" w:eastAsia="宋体" w:cs="宋体"/>
          <w:sz w:val="44"/>
          <w:szCs w:val="44"/>
        </w:rPr>
        <w:t>濒危野生动植物进出口管理条例</w:t>
      </w:r>
      <w:bookmarkEnd w:id="228"/>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rPr>
      </w:pPr>
      <w:r>
        <w:rPr>
          <w:rFonts w:hint="eastAsia" w:ascii="楷体" w:hAnsi="楷体" w:eastAsia="楷体" w:cs="楷体"/>
          <w:sz w:val="32"/>
          <w:szCs w:val="32"/>
        </w:rPr>
        <w:t>（2006年4月29日国务院令第465号公布　根据2018年3月19日《国务院关于修改和废止部分行政法规的决定》修正 根据2019年3月2日《国务院关于修改部分行政法规的决定》修正）</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为了加强对濒危野生动植物及其产品的进出口管理，保护和合理利用野生动植物资源，履行《濒危野生动植物种国际贸易公约》（以下简称公约），制定本条例。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进口或者出口公约限制进出口的濒危野生动植物及其产品，应当遵守本条例。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出口国家重点保护的野生动植物及其产品，依照本条例有关出口濒危野生动植物及其产品的规定办理。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国务院林业、农业（渔业）主管部门（以下称国务院野生动植物主管部门），按照职责分工主管全国濒危野生动植物及其产品的进出口管理工作，并做好与履行公约有关的工作。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国务院其他有关部门依照有关法律、行政法规的规定，在各自的职责范围内负责做好相关工作。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国家濒危物种进出口管理机构代表中国政府履行公约，依照本条例的规定对经国务院野生动植物主管部门批准出口的国家重点保护的野生动植物及其产品、批准进口或者出口的公约限制进出口的濒危野生动植物及其产品，核发允许进出口证明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国家濒危物种进出口科学机构依照本条例，组织陆生野生动物、水生野生动物和野生植物等方面的专家，从事有关濒危野生动植物及其产品进出口的科学咨询工作。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禁止进口或者出口公约禁止以商业贸易为目的进出口的濒危野生动植物及其产品，因科学研究、驯养繁殖、人工培育、文化交流等特殊情况，需要进口或者出口的，应当经国务院野生动植物主管部门批准；按照有关规定由国务院批准的，应当报经国务院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禁止出口未定名的或者新发现并有重要价值的野生动植物及其产品以及国务院或者国务院野生动植物主管部门禁止出口的濒危野生动植物及其产品。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进口或者出口公约限制进出口的濒危野生动植物及其产品，出口国务院或者国务院野生动植物主管部门限制出口的野生动植物及其产品，应当经国务院野生动植物主管部门批准。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进口濒危野生动植物及其产品的，必须具备下列条件：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（一）对濒危野生动植物及其产品的使用符合国家有关规定；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（二）具有有效控制措施并符合生态安全要求；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（三）申请人提供的材料真实有效；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（四）国务院野生动植物主管部门公示的其他条件。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出口濒危野生动植物及其产品的，必须具备下列条件：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（一）符合生态安全要求和公共利益；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（二）来源合法；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（三）申请人提供的材料真实有效；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（四）不属于国务院或者国务院野生动植物主管部门禁止出口的；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（五）国务院野生动植物主管部门公示的其他条件。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进口或者出口濒危野生动植物及其产品的，申请人应当按照管理权限，向其所在地的省、自治区、直辖市人民政府农业（渔业）主管部门提出申请，或者向国务院林业主管部门提出申请，并提交下列材料：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（一）进口或者出口合同；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（二）濒危野生动植物及其产品的名称、种类、数量和用途；</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（三）活体濒危野生动物装运设施的说明资料；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（四）国务院野生动植物主管部门公示的其他应当提交的材料。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省、自治区、直辖市人民政府农业（渔业）主管部门应当自收到申请之日起10个工作日内签署意见，并将全部申请材料转报国务院农业（渔业）主管部门。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国务院野生动植物主管部门应当自收到申请之日起20个工作日内，作出批准或者不予批准的决定，并书面通知申请人。在20个工作日内不能作出决定的，经本行政机关负责人批准，可以延长10个工作日，延长的期限和理由应当通知申请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申请人取得国务院野生动植物主管部门的进出口批准文件后，应当在批准文件规定的有效期内，向国家濒危物种进出口管理机构申请核发允许进出口证明书。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申请核发允许进出口证明书时应当提交下列材料：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（一）允许进出口证明书申请表；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（二）进出口批准文件；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（三）进口或者出口合同。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口公约限制进出口的濒危野生动植物及其产品的，申请人还应当提交出口国（地区）濒危物种进出口管理机构核发的允许出口证明材料；出口公约禁止以商业贸易为目的进出口的濒危野生动植物及其产品的，申请人还应当提交进口国（地区）濒危物种进出口管理机构核发的允许进口证明材料；进口的濒危野生动植物及其产品再出口时，申请人还应当提交海关进口货物报关单和海关签注的允许进口证明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国家濒危物种进出口管理机构应当自收到申请之日起20个工作日内，作出审核决定。对申请材料齐全、符合本条例规定和公约要求的，应当核发允许进出口证明书；对不予核发允许进出口证明书的，应当书面通知申请人和国务院野生动植物主管部门并说明理由。在20个工作日内不能作出决定的，经本机构负责人批准，可以延长10个工作日，延长的期限和理由应当通知申请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国家濒危物种进出口管理机构在审核时，对申请材料不符合要求的，应当在5个工作日内一次性通知申请人需要补正的全部内容。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国家濒危物种进出口管理机构在核发允许进出口证明书时，需要咨询国家濒危物种进出口科学机构的意见，或者需要向境外相关机构核实允许进出口证明材料等有关内容的，应当自收到申请之日起5个工作日内，将有关材料送国家濒危物种进出口科学机构咨询意见或者向境外相关机构核实有关内容。咨询意见、核实内容所需时间不计入核发允许进出口证明书工作日之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国务院野生动植物主管部门和省、自治区、直辖市人民政府野生动植物主管部门以及国家濒危物种进出口管理机构，在审批濒危野生动植物及其产品进出口时，除收取国家规定的费用外，不得收取其他费用。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因进口或者出口濒危野生动植物及其产品对野生动植物资源、生态安全造成或者可能造成严重危害和影响的，由国务院野生动植物主管部门提出临时禁止或者限制濒危野生动植物及其产品进出口的措施，报国务院批准后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从不属于任何国家管辖的海域获得的濒危野生动植物及其产品，进入中国领域的，参照本条例有关进口的规定管理。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进口濒危野生动植物及其产品涉及外来物种管理的，出口濒危野生动植物及其产品涉及种质资源管理的，应当遵守国家有关规定。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进口或者出口濒危野生动植物及其产品的，应当在国务院野生动植物主管部门会同海关总署指定并经国务院批准的口岸进行。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进口或者出口濒危野生动植物及其产品的，应当按照允许进出口证明书规定的种类、数量、口岸、期限完成进出口活动。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第二十一条 </w:t>
      </w:r>
      <w:r>
        <w:rPr>
          <w:rFonts w:hint="eastAsia" w:ascii="仿宋" w:hAnsi="仿宋" w:eastAsia="仿宋" w:cs="仿宋"/>
          <w:sz w:val="32"/>
          <w:szCs w:val="32"/>
        </w:rPr>
        <w:t>进口或者出口濒危野生动植物及其产品的，应当向海关提交允许进出口证明书，接受海关监管，并自海关放行之日起30日内，将海关验讫的允许进出口证明书副本交国家濒危物种进出口管理机构备案。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过境、转运和通运的濒危野生动植物及其产品，自入境起至出境前由海关监管。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进出保税区、出口加工区等海关特定监管区域和保税场所的濒危野生动植物及其产品，应当接受海关监管，并按照海关总署和国家濒危物种进出口管理机构的规定办理进出口手续。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进口或者出口濒危野生动植物及其产品的，应当凭允许进出口证明书向海关报检，并接受检验检疫。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国家濒危物种进出口管理机构应当将核发允许进出口证明书的有关资料和濒危野生动植物及其产品年度进出口情况，及时抄送国务院野生动植物主管部门及其他有关主管部门。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进出口批准文件由国务院野生动植物主管部门组织统一印制；允许进出口证明书及申请表由国家濒危物种进出口管理机构组织统一印制。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野生动植物主管部门、国家濒危物种进出口管理机构的工作人员，利用职务上的便利收取他人财物或者谋取其他利益，不依照本条例的规定批准进出口、核发允许进出口证明书，情节严重，构成犯罪的，依法追究刑事责任；尚不构成犯罪的，依法给予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国家濒危物种进出口科学机构的工作人员，利用职务上的便利收取他人财物或者谋取其他利益，出具虚假意见，情节严重，构成犯罪的，依法追究刑事责任；尚不构成犯罪的，依法给予处分。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非法进口、出口或者以其他方式走私濒危野生动植物及其产品的，由海关依照海关法的有关规定予以处罚；情节严重，构成犯罪的，依法追究刑事责任。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罚没的实物移交野生动植物主管部门依法处理；罚没的实物依法需要实施检疫的，经检疫合格后，予以处理。罚没的实物需要返还原出口国（地区）的，应当由野生动植物主管部门移交国家濒危物种进出口管理机构依照公约规定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伪造、倒卖或者转让进出口批准文件或者允许进出口证明书的，由野生动植物主管部门或者市场监督管理部门按照职责分工依法予以处罚；情节严重，构成犯罪的，依法追究刑事责任。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本条例自2006年9月1日起施行。</w:t>
      </w:r>
    </w:p>
    <w:p>
      <w:pPr>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29" w:name="_Toc31253"/>
      <w:r>
        <w:rPr>
          <w:rFonts w:hint="eastAsia" w:ascii="宋体" w:hAnsi="宋体" w:eastAsia="宋体" w:cs="Arial"/>
          <w:bCs/>
          <w:sz w:val="44"/>
          <w:szCs w:val="44"/>
        </w:rPr>
        <w:t>中华人民共和国渔业法实施细则</w:t>
      </w:r>
      <w:bookmarkEnd w:id="229"/>
    </w:p>
    <w:p>
      <w:pPr>
        <w:widowControl w:val="0"/>
        <w:wordWrap/>
        <w:adjustRightInd/>
        <w:snapToGrid/>
        <w:spacing w:line="560" w:lineRule="exact"/>
        <w:textAlignment w:val="auto"/>
        <w:rPr>
          <w:rFonts w:hint="eastAsia" w:ascii="宋体" w:hAnsi="宋体" w:cs="Arial"/>
          <w:kern w:val="0"/>
          <w:szCs w:val="32"/>
        </w:rPr>
      </w:pPr>
    </w:p>
    <w:p>
      <w:pPr>
        <w:widowControl w:val="0"/>
        <w:wordWrap/>
        <w:overflowPunct w:val="0"/>
        <w:adjustRightInd/>
        <w:snapToGrid/>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w:t>
      </w:r>
      <w:r>
        <w:rPr>
          <w:rFonts w:hint="eastAsia" w:ascii="楷体" w:hAnsi="楷体" w:eastAsia="楷体" w:cs="楷体"/>
          <w:szCs w:val="32"/>
          <w:lang w:val="en-US" w:eastAsia="zh-CN"/>
        </w:rPr>
        <w:t>1987</w:t>
      </w:r>
      <w:r>
        <w:rPr>
          <w:rFonts w:hint="eastAsia" w:ascii="楷体" w:hAnsi="楷体" w:eastAsia="楷体" w:cs="楷体"/>
          <w:szCs w:val="32"/>
        </w:rPr>
        <w:t>年</w:t>
      </w:r>
      <w:r>
        <w:rPr>
          <w:rFonts w:hint="eastAsia" w:ascii="楷体" w:hAnsi="楷体" w:eastAsia="楷体" w:cs="楷体"/>
          <w:szCs w:val="32"/>
          <w:lang w:val="en-US" w:eastAsia="zh-CN"/>
        </w:rPr>
        <w:t>10</w:t>
      </w:r>
      <w:r>
        <w:rPr>
          <w:rFonts w:hint="eastAsia" w:ascii="楷体" w:hAnsi="楷体" w:eastAsia="楷体" w:cs="楷体"/>
          <w:szCs w:val="32"/>
        </w:rPr>
        <w:t>月</w:t>
      </w:r>
      <w:r>
        <w:rPr>
          <w:rFonts w:hint="eastAsia" w:ascii="楷体" w:hAnsi="楷体" w:eastAsia="楷体" w:cs="楷体"/>
          <w:szCs w:val="32"/>
          <w:lang w:val="en-US" w:eastAsia="zh-CN"/>
        </w:rPr>
        <w:t>14</w:t>
      </w:r>
      <w:r>
        <w:rPr>
          <w:rFonts w:hint="eastAsia" w:ascii="楷体" w:hAnsi="楷体" w:eastAsia="楷体" w:cs="楷体"/>
          <w:szCs w:val="32"/>
        </w:rPr>
        <w:t>日国务院批准</w:t>
      </w:r>
      <w:r>
        <w:rPr>
          <w:rFonts w:hint="eastAsia" w:ascii="楷体" w:hAnsi="楷体" w:eastAsia="楷体" w:cs="楷体"/>
          <w:szCs w:val="32"/>
          <w:lang w:val="en-US" w:eastAsia="zh-CN"/>
        </w:rPr>
        <w:t xml:space="preserve"> 1987</w:t>
      </w:r>
      <w:r>
        <w:rPr>
          <w:rFonts w:hint="eastAsia" w:ascii="楷体" w:hAnsi="楷体" w:eastAsia="楷体" w:cs="楷体"/>
          <w:szCs w:val="32"/>
        </w:rPr>
        <w:t>年</w:t>
      </w:r>
      <w:r>
        <w:rPr>
          <w:rFonts w:hint="eastAsia" w:ascii="楷体" w:hAnsi="楷体" w:eastAsia="楷体" w:cs="楷体"/>
          <w:szCs w:val="32"/>
          <w:lang w:val="en-US" w:eastAsia="zh-CN"/>
        </w:rPr>
        <w:t>10</w:t>
      </w:r>
      <w:r>
        <w:rPr>
          <w:rFonts w:hint="eastAsia" w:ascii="楷体" w:hAnsi="楷体" w:eastAsia="楷体" w:cs="楷体"/>
          <w:szCs w:val="32"/>
        </w:rPr>
        <w:t>月</w:t>
      </w:r>
      <w:r>
        <w:rPr>
          <w:rFonts w:hint="eastAsia" w:ascii="楷体" w:hAnsi="楷体" w:eastAsia="楷体" w:cs="楷体"/>
          <w:szCs w:val="32"/>
          <w:lang w:val="en-US" w:eastAsia="zh-CN"/>
        </w:rPr>
        <w:t>20</w:t>
      </w:r>
      <w:r>
        <w:rPr>
          <w:rFonts w:hint="eastAsia" w:ascii="楷体" w:hAnsi="楷体" w:eastAsia="楷体" w:cs="楷体"/>
          <w:szCs w:val="32"/>
        </w:rPr>
        <w:t>日农牧渔业部发布）</w:t>
      </w:r>
    </w:p>
    <w:p>
      <w:pPr>
        <w:widowControl w:val="0"/>
        <w:wordWrap/>
        <w:adjustRightInd/>
        <w:snapToGrid/>
        <w:spacing w:line="560" w:lineRule="exact"/>
        <w:textAlignment w:val="auto"/>
        <w:rPr>
          <w:rFonts w:hint="eastAsia" w:ascii="宋体" w:hAnsi="宋体" w:cs="Arial"/>
          <w:kern w:val="0"/>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第一条</w:t>
      </w:r>
      <w:r>
        <w:rPr>
          <w:rFonts w:hint="eastAsia" w:ascii="仿宋" w:hAnsi="仿宋" w:eastAsia="仿宋" w:cs="仿宋"/>
          <w:kern w:val="0"/>
          <w:szCs w:val="32"/>
        </w:rPr>
        <w:t xml:space="preserve"> 根据《中华人民共和国渔业法》（以下简称《渔业法》）第三十四条的规定，制定本实施细则。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第二条</w:t>
      </w:r>
      <w:r>
        <w:rPr>
          <w:rFonts w:hint="eastAsia" w:ascii="仿宋" w:hAnsi="仿宋" w:eastAsia="仿宋" w:cs="仿宋"/>
          <w:kern w:val="0"/>
          <w:szCs w:val="32"/>
        </w:rPr>
        <w:t xml:space="preserve"> 《渔业法》及本实施细则中下列用语的含义是：</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（一）“中华人民共和国的内水”，是指中华人民共和国领海基线向陆一侧的海域和江河、湖泊等内陆水域。</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（二）“中华人民共和国管辖的一切其他海域”，是指根据中华人民共和国法律，中华人民共和国缔结、参加的国际条约、协定或者其他有关国际法，而由中华人民共和国管辖的海域。</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（三）“渔业水域”，是指中华人民共和国管辖水域中鱼、虾、蟹、贝类的产卵场、索饵场、越冬场、洄游通道和鱼、虾、蟹、贝、藻类及其他水生动植物的养殖场所。</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第二章　渔业的监督管理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第三条</w:t>
      </w:r>
      <w:r>
        <w:rPr>
          <w:rFonts w:hint="eastAsia" w:ascii="仿宋" w:hAnsi="仿宋" w:eastAsia="仿宋" w:cs="仿宋"/>
          <w:kern w:val="0"/>
          <w:szCs w:val="32"/>
        </w:rPr>
        <w:t xml:space="preserve"> 国家对渔业的监督管理，实行统一领导、分级管理。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国务院划定的“机动渔船底拖网禁渔区线”外侧，属于中华人民共和国管辖海域的渔业，由国务院渔业行政主管部门及其所属的海区渔政管理机构监督管理；“机动渔船底拖网禁渔区线”内侧海域的渔业，除国家另有规定者外，由毗邻海域的省、自治区、直辖市人民政府渔业行政主管部门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内陆水域渔业，按照行政区划由当地县级以上地方人民政府渔业行政主管部门监督管理；跨行政区域的内陆水域渔业，由有关县级以上地方人民政府协商制定管理办法，或者由上一级人民政府渔业行政主管部门及其所属的渔政监督管理机构监督管理；跨省、自治区、直辖市的大型江河的渔业，可以由国务院渔业行政主管部门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重要的、洄游性的共用渔业资源，由国家统一管理；定居性的、小宗的渔业资源，由地方人民政府渔业行政主管部门管理。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第四条</w:t>
      </w:r>
      <w:r>
        <w:rPr>
          <w:rFonts w:hint="eastAsia" w:ascii="仿宋" w:hAnsi="仿宋" w:eastAsia="仿宋" w:cs="仿宋"/>
          <w:kern w:val="0"/>
          <w:szCs w:val="32"/>
        </w:rPr>
        <w:t xml:space="preserve"> “机动渔船底拖网禁渔区线”内侧海域的渔业，由有关省、自治区、直辖市人民政府渔业行政主管部门协商划定监督管理范围；划定监督管理范围有困难的，可划叠区或者共管区管理，必要时由国务院渔业行政主管部门决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第五条</w:t>
      </w:r>
      <w:r>
        <w:rPr>
          <w:rFonts w:hint="eastAsia" w:ascii="仿宋" w:hAnsi="仿宋" w:eastAsia="仿宋" w:cs="仿宋"/>
          <w:kern w:val="0"/>
          <w:szCs w:val="32"/>
        </w:rPr>
        <w:t xml:space="preserve"> 渔场和渔汛生产，应当以渔业资源可捕量为依据，按照有利于保护、增殖和合理利用渔业资源，优先安排邻近地区、兼顾其他地区的原则，统筹安排。</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舟山渔场冬季带鱼汛，浙江渔场大场鱼汛，闽东、闽中渔场大黄鱼汛，吕泗渔场大黄鱼、小黄鱼、鲳鱼汛，渤海渔场秋季对虾汛等主要渔场、渔汛和跨海区管理线的捕捞作业，由国务院渔业行政主管部门或其授权单位安排。</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第六条</w:t>
      </w:r>
      <w:r>
        <w:rPr>
          <w:rFonts w:hint="eastAsia" w:ascii="仿宋" w:hAnsi="仿宋" w:eastAsia="仿宋" w:cs="仿宋"/>
          <w:kern w:val="0"/>
          <w:szCs w:val="32"/>
        </w:rPr>
        <w:t xml:space="preserve"> 国务院渔业行政主管部门的渔政渔港监督管理机构，代表国家行使渔政渔港监督管理权。</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国务院渔业行政主管部门在黄渤海、东海、南海三个海区设渔政监督管理机构；在重要渔港、边境水域和跨省、自治区、直辖市的大型江河，根据需要设渔政渔港监督管理机构。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第七条</w:t>
      </w:r>
      <w:r>
        <w:rPr>
          <w:rFonts w:hint="eastAsia" w:ascii="仿宋" w:hAnsi="仿宋" w:eastAsia="仿宋" w:cs="仿宋"/>
          <w:kern w:val="0"/>
          <w:szCs w:val="32"/>
        </w:rPr>
        <w:t xml:space="preserve"> 渔政检查人员有权对各种渔业及渔业船舶的证件、渔船、渔具、渔获物和捕捞方法，进行检查。</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渔政检查人员经国务院渔业行政主管部门或者省级人民政府渔业行政主管部门考核，合格者可执行公务。</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 xml:space="preserve">第八条 </w:t>
      </w:r>
      <w:r>
        <w:rPr>
          <w:rFonts w:hint="eastAsia" w:ascii="仿宋" w:hAnsi="仿宋" w:eastAsia="仿宋" w:cs="仿宋"/>
          <w:kern w:val="0"/>
          <w:szCs w:val="32"/>
        </w:rPr>
        <w:t>渔业行政主管部门及其所属的渔政监督管理机构，应当与公安、海监、交通、环保、工商行政管理等有关部门相互协作，监督检查渔业法规的施行。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第九条</w:t>
      </w:r>
      <w:r>
        <w:rPr>
          <w:rFonts w:hint="eastAsia" w:ascii="仿宋" w:hAnsi="仿宋" w:eastAsia="仿宋" w:cs="仿宋"/>
          <w:kern w:val="0"/>
          <w:szCs w:val="32"/>
        </w:rPr>
        <w:t xml:space="preserve"> 群众性护渔管理组织，应当在当地县级以上人民政府渔业行政主管部门的业务指导下，依法开展护渔管理工作。</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第三章　养殖业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第十条</w:t>
      </w:r>
      <w:r>
        <w:rPr>
          <w:rFonts w:hint="eastAsia" w:ascii="仿宋" w:hAnsi="仿宋" w:eastAsia="仿宋" w:cs="仿宋"/>
          <w:kern w:val="0"/>
          <w:szCs w:val="32"/>
        </w:rPr>
        <w:t xml:space="preserve"> 使用全民所有的水面、滩涂，从事养殖生产的全民所有制单位和集体所有制单位，应当向县级以上地方人民政府申请养殖使用证。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全民所有的水面、滩涂在一县行政区域内的，由该县人民政府核发养殖使用证；跨县的，由有关县协商核发养殖使用证，必要时由上级人民政府决定核发养殖使用证。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第十一条</w:t>
      </w:r>
      <w:r>
        <w:rPr>
          <w:rFonts w:hint="eastAsia" w:ascii="仿宋" w:hAnsi="仿宋" w:eastAsia="仿宋" w:cs="仿宋"/>
          <w:kern w:val="0"/>
          <w:szCs w:val="32"/>
        </w:rPr>
        <w:t xml:space="preserve"> 领取养殖使用证的单位，无正当理由未从事养殖生产，或者放养量低于当地同类养殖水域平均放养量６０％的，应当视为荒芜。</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第十二条</w:t>
      </w:r>
      <w:r>
        <w:rPr>
          <w:rFonts w:hint="eastAsia" w:ascii="仿宋" w:hAnsi="仿宋" w:eastAsia="仿宋" w:cs="仿宋"/>
          <w:kern w:val="0"/>
          <w:szCs w:val="32"/>
        </w:rPr>
        <w:t xml:space="preserve"> 全民所有的水面、滩涂中的鱼、虾、蟹、贝、藻类的自然产卵场、繁殖场、索饵场及重要的洄游通道必须予以保护，不得划作养殖场所。</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第十三条</w:t>
      </w:r>
      <w:r>
        <w:rPr>
          <w:rFonts w:hint="eastAsia" w:ascii="仿宋" w:hAnsi="仿宋" w:eastAsia="仿宋" w:cs="仿宋"/>
          <w:kern w:val="0"/>
          <w:szCs w:val="32"/>
        </w:rPr>
        <w:t xml:space="preserve"> 国家建设征用集体所有的水面、滩涂、按照国家土地管理法规办理。</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第四章　捕捞业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第十四条</w:t>
      </w:r>
      <w:r>
        <w:rPr>
          <w:rFonts w:hint="eastAsia" w:ascii="仿宋" w:hAnsi="仿宋" w:eastAsia="仿宋" w:cs="仿宋"/>
          <w:kern w:val="0"/>
          <w:szCs w:val="32"/>
        </w:rPr>
        <w:t xml:space="preserve"> 近海渔场与外海渔场的划分：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（一）渤海、黄海为近海渔场。</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（二）下列四个基点之间连线内侧海域为东海近海渔场；四个基点之间连线外侧海域为东海外海渔场。四个基点是：</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１、北纬</w:t>
      </w:r>
      <w:r>
        <w:rPr>
          <w:rFonts w:hint="eastAsia" w:ascii="仿宋" w:hAnsi="仿宋" w:eastAsia="仿宋" w:cs="仿宋"/>
          <w:kern w:val="0"/>
          <w:szCs w:val="32"/>
          <w:lang w:val="en-US" w:eastAsia="zh-CN"/>
        </w:rPr>
        <w:t>33</w:t>
      </w:r>
      <w:r>
        <w:rPr>
          <w:rFonts w:hint="eastAsia" w:ascii="仿宋" w:hAnsi="仿宋" w:eastAsia="仿宋" w:cs="仿宋"/>
          <w:kern w:val="0"/>
          <w:szCs w:val="32"/>
        </w:rPr>
        <w:t>度，东经</w:t>
      </w:r>
      <w:r>
        <w:rPr>
          <w:rFonts w:hint="eastAsia" w:ascii="仿宋" w:hAnsi="仿宋" w:eastAsia="仿宋" w:cs="仿宋"/>
          <w:kern w:val="0"/>
          <w:szCs w:val="32"/>
          <w:lang w:val="en-US" w:eastAsia="zh-CN"/>
        </w:rPr>
        <w:t>125</w:t>
      </w:r>
      <w:r>
        <w:rPr>
          <w:rFonts w:hint="eastAsia" w:ascii="仿宋" w:hAnsi="仿宋" w:eastAsia="仿宋" w:cs="仿宋"/>
          <w:kern w:val="0"/>
          <w:szCs w:val="32"/>
        </w:rPr>
        <w:t>度；</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２、北纬</w:t>
      </w:r>
      <w:r>
        <w:rPr>
          <w:rFonts w:hint="eastAsia" w:ascii="仿宋" w:hAnsi="仿宋" w:eastAsia="仿宋" w:cs="仿宋"/>
          <w:kern w:val="0"/>
          <w:szCs w:val="32"/>
          <w:lang w:val="en-US" w:eastAsia="zh-CN"/>
        </w:rPr>
        <w:t>29</w:t>
      </w:r>
      <w:r>
        <w:rPr>
          <w:rFonts w:hint="eastAsia" w:ascii="仿宋" w:hAnsi="仿宋" w:eastAsia="仿宋" w:cs="仿宋"/>
          <w:kern w:val="0"/>
          <w:szCs w:val="32"/>
        </w:rPr>
        <w:t>度，东经</w:t>
      </w:r>
      <w:r>
        <w:rPr>
          <w:rFonts w:hint="eastAsia" w:ascii="仿宋" w:hAnsi="仿宋" w:eastAsia="仿宋" w:cs="仿宋"/>
          <w:kern w:val="0"/>
          <w:szCs w:val="32"/>
          <w:lang w:val="en-US" w:eastAsia="zh-CN"/>
        </w:rPr>
        <w:t>125</w:t>
      </w:r>
      <w:r>
        <w:rPr>
          <w:rFonts w:hint="eastAsia" w:ascii="仿宋" w:hAnsi="仿宋" w:eastAsia="仿宋" w:cs="仿宋"/>
          <w:kern w:val="0"/>
          <w:szCs w:val="32"/>
        </w:rPr>
        <w:t>度；</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３、北纬</w:t>
      </w:r>
      <w:r>
        <w:rPr>
          <w:rFonts w:hint="eastAsia" w:ascii="仿宋" w:hAnsi="仿宋" w:eastAsia="仿宋" w:cs="仿宋"/>
          <w:kern w:val="0"/>
          <w:szCs w:val="32"/>
          <w:lang w:val="en-US" w:eastAsia="zh-CN"/>
        </w:rPr>
        <w:t>28</w:t>
      </w:r>
      <w:r>
        <w:rPr>
          <w:rFonts w:hint="eastAsia" w:ascii="仿宋" w:hAnsi="仿宋" w:eastAsia="仿宋" w:cs="仿宋"/>
          <w:kern w:val="0"/>
          <w:szCs w:val="32"/>
        </w:rPr>
        <w:t>度，东</w:t>
      </w:r>
      <w:r>
        <w:rPr>
          <w:rFonts w:hint="eastAsia" w:ascii="仿宋" w:hAnsi="仿宋" w:eastAsia="仿宋" w:cs="仿宋"/>
          <w:kern w:val="0"/>
          <w:szCs w:val="32"/>
          <w:lang w:val="en-US" w:eastAsia="zh-CN"/>
        </w:rPr>
        <w:t>124</w:t>
      </w:r>
      <w:r>
        <w:rPr>
          <w:rFonts w:hint="eastAsia" w:ascii="仿宋" w:hAnsi="仿宋" w:eastAsia="仿宋" w:cs="仿宋"/>
          <w:kern w:val="0"/>
          <w:szCs w:val="32"/>
        </w:rPr>
        <w:t>度</w:t>
      </w:r>
      <w:r>
        <w:rPr>
          <w:rFonts w:hint="eastAsia" w:ascii="仿宋" w:hAnsi="仿宋" w:eastAsia="仿宋" w:cs="仿宋"/>
          <w:kern w:val="0"/>
          <w:szCs w:val="32"/>
          <w:lang w:val="en-US" w:eastAsia="zh-CN"/>
        </w:rPr>
        <w:t>30</w:t>
      </w:r>
      <w:r>
        <w:rPr>
          <w:rFonts w:hint="eastAsia" w:ascii="仿宋" w:hAnsi="仿宋" w:eastAsia="仿宋" w:cs="仿宋"/>
          <w:kern w:val="0"/>
          <w:szCs w:val="32"/>
        </w:rPr>
        <w:t>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４、北纬</w:t>
      </w:r>
      <w:r>
        <w:rPr>
          <w:rFonts w:hint="eastAsia" w:ascii="仿宋" w:hAnsi="仿宋" w:eastAsia="仿宋" w:cs="仿宋"/>
          <w:kern w:val="0"/>
          <w:szCs w:val="32"/>
          <w:lang w:val="en-US" w:eastAsia="zh-CN"/>
        </w:rPr>
        <w:t>27</w:t>
      </w:r>
      <w:r>
        <w:rPr>
          <w:rFonts w:hint="eastAsia" w:ascii="仿宋" w:hAnsi="仿宋" w:eastAsia="仿宋" w:cs="仿宋"/>
          <w:kern w:val="0"/>
          <w:szCs w:val="32"/>
        </w:rPr>
        <w:t>度，东经</w:t>
      </w:r>
      <w:r>
        <w:rPr>
          <w:rFonts w:hint="eastAsia" w:ascii="仿宋" w:hAnsi="仿宋" w:eastAsia="仿宋" w:cs="仿宋"/>
          <w:kern w:val="0"/>
          <w:szCs w:val="32"/>
          <w:lang w:val="en-US" w:eastAsia="zh-CN"/>
        </w:rPr>
        <w:t>123</w:t>
      </w:r>
      <w:r>
        <w:rPr>
          <w:rFonts w:hint="eastAsia" w:ascii="仿宋" w:hAnsi="仿宋" w:eastAsia="仿宋" w:cs="仿宋"/>
          <w:kern w:val="0"/>
          <w:szCs w:val="32"/>
        </w:rPr>
        <w:t>度。</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（三）下列两条等深线之内侧海域为南海近海渔场；两条等深线之外侧海域为南海外海渔场。两条等深线是：</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１、东经</w:t>
      </w:r>
      <w:r>
        <w:rPr>
          <w:rFonts w:hint="eastAsia" w:ascii="仿宋" w:hAnsi="仿宋" w:eastAsia="仿宋" w:cs="仿宋"/>
          <w:kern w:val="0"/>
          <w:szCs w:val="32"/>
          <w:lang w:val="en-US" w:eastAsia="zh-CN"/>
        </w:rPr>
        <w:t>112</w:t>
      </w:r>
      <w:r>
        <w:rPr>
          <w:rFonts w:hint="eastAsia" w:ascii="仿宋" w:hAnsi="仿宋" w:eastAsia="仿宋" w:cs="仿宋"/>
          <w:kern w:val="0"/>
          <w:szCs w:val="32"/>
        </w:rPr>
        <w:t>度以东之</w:t>
      </w:r>
      <w:r>
        <w:rPr>
          <w:rFonts w:hint="eastAsia" w:ascii="仿宋" w:hAnsi="仿宋" w:eastAsia="仿宋" w:cs="仿宋"/>
          <w:kern w:val="0"/>
          <w:szCs w:val="32"/>
          <w:lang w:val="en-US" w:eastAsia="zh-CN"/>
        </w:rPr>
        <w:t>80</w:t>
      </w:r>
      <w:r>
        <w:rPr>
          <w:rFonts w:hint="eastAsia" w:ascii="仿宋" w:hAnsi="仿宋" w:eastAsia="仿宋" w:cs="仿宋"/>
          <w:kern w:val="0"/>
          <w:szCs w:val="32"/>
        </w:rPr>
        <w:t>米等深线；</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２、东经</w:t>
      </w:r>
      <w:r>
        <w:rPr>
          <w:rFonts w:hint="eastAsia" w:ascii="仿宋" w:hAnsi="仿宋" w:eastAsia="仿宋" w:cs="仿宋"/>
          <w:kern w:val="0"/>
          <w:szCs w:val="32"/>
          <w:lang w:val="en-US" w:eastAsia="zh-CN"/>
        </w:rPr>
        <w:t>112</w:t>
      </w:r>
      <w:r>
        <w:rPr>
          <w:rFonts w:hint="eastAsia" w:ascii="仿宋" w:hAnsi="仿宋" w:eastAsia="仿宋" w:cs="仿宋"/>
          <w:kern w:val="0"/>
          <w:szCs w:val="32"/>
        </w:rPr>
        <w:t>度以西之</w:t>
      </w:r>
      <w:r>
        <w:rPr>
          <w:rFonts w:hint="eastAsia" w:ascii="仿宋" w:hAnsi="仿宋" w:eastAsia="仿宋" w:cs="仿宋"/>
          <w:kern w:val="0"/>
          <w:szCs w:val="32"/>
          <w:lang w:val="en-US" w:eastAsia="zh-CN"/>
        </w:rPr>
        <w:t>100</w:t>
      </w:r>
      <w:r>
        <w:rPr>
          <w:rFonts w:hint="eastAsia" w:ascii="仿宋" w:hAnsi="仿宋" w:eastAsia="仿宋" w:cs="仿宋"/>
          <w:kern w:val="0"/>
          <w:szCs w:val="32"/>
        </w:rPr>
        <w:t>米等深线。</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第十五条</w:t>
      </w:r>
      <w:r>
        <w:rPr>
          <w:rFonts w:hint="eastAsia" w:ascii="仿宋" w:hAnsi="仿宋" w:eastAsia="仿宋" w:cs="仿宋"/>
          <w:kern w:val="0"/>
          <w:szCs w:val="32"/>
        </w:rPr>
        <w:t xml:space="preserve"> 国家对捕捞业，实行捕捞许可制度。</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从事外海、远洋捕捞业的，由经营者提出申请，经省、自治区直辖市人民政府渔业行政主管部门审核后，报国务院渔业行政主管部门批准。从事外海生产的渔船、必须按照批准的海域和渔期作业，不得擅自进入近海捕捞。</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近海大型拖网、围网作业的捕捞许可证，由国务院渔业行政主管部门批准发放；近海其他作业的捕捞许可证，由省、自治区、直辖市人民政府渔业行政主管部门按照国家下达的船网工具控制指标批准发放。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内陆水域的捕捞许可证，由县级以上地方人民政府渔业行政主管部门批准发放。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捕捞许可证的格式，由国务院渔业行政主管部门制定。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第十六条</w:t>
      </w:r>
      <w:r>
        <w:rPr>
          <w:rFonts w:hint="eastAsia" w:ascii="仿宋" w:hAnsi="仿宋" w:eastAsia="仿宋" w:cs="仿宋"/>
          <w:kern w:val="0"/>
          <w:szCs w:val="32"/>
        </w:rPr>
        <w:t xml:space="preserve"> 在中华人民共和国管辖水域，中外合资、中外合用经营的渔业企业，未经国务院有关主管部门批准，不得从事近海捕捞业。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第十七条</w:t>
      </w:r>
      <w:r>
        <w:rPr>
          <w:rFonts w:hint="eastAsia" w:ascii="仿宋" w:hAnsi="仿宋" w:eastAsia="仿宋" w:cs="仿宋"/>
          <w:kern w:val="0"/>
          <w:szCs w:val="32"/>
        </w:rPr>
        <w:t xml:space="preserve"> 有下列情形之一的，不得发放捕捞许可证：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（一）使用破环渔业资源、被明令禁止使用的渔具或者捕捞方法的；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（二）未按国家规定办理批准手续，制造、更新改造、购置或者进口捕捞渔船的；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（三）未按国家规定领取渔业船舶证书、航行签证簿、职务船员证书、船舶户口簿、渔民证等证件的。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第十八条</w:t>
      </w:r>
      <w:r>
        <w:rPr>
          <w:rFonts w:hint="eastAsia" w:ascii="仿宋" w:hAnsi="仿宋" w:eastAsia="仿宋" w:cs="仿宋"/>
          <w:kern w:val="0"/>
          <w:szCs w:val="32"/>
        </w:rPr>
        <w:t xml:space="preserve"> 娱乐性游钓和在尚未养殖、管理的滩涂手工采集零星水产品的，不必申请捕捞许可证， 但应当加强管理， 防止破坏渔业资源。具体管理办法由县级以上人民政府制定。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第十九条</w:t>
      </w:r>
      <w:r>
        <w:rPr>
          <w:rFonts w:hint="eastAsia" w:ascii="仿宋" w:hAnsi="仿宋" w:eastAsia="仿宋" w:cs="仿宋"/>
          <w:kern w:val="0"/>
          <w:szCs w:val="32"/>
        </w:rPr>
        <w:t xml:space="preserve"> 因科学研究等特殊需要，在禁渔区、禁渔期捕捞，或者使用禁用的渔具、捕捞方法，或者捕捞重点保护的渔业资源品种，必须经省级以上人民政府渔业行政主管部门批准。</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第五章　渔业资源的增殖和保护</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第二十条</w:t>
      </w:r>
      <w:r>
        <w:rPr>
          <w:rFonts w:hint="eastAsia" w:ascii="仿宋" w:hAnsi="仿宋" w:eastAsia="仿宋" w:cs="仿宋"/>
          <w:kern w:val="0"/>
          <w:szCs w:val="32"/>
        </w:rPr>
        <w:t xml:space="preserve"> 禁止使用电力、鱼鹰捕鱼和敲</w:t>
      </w:r>
      <w:r>
        <w:rPr>
          <w:rFonts w:hint="eastAsia" w:ascii="仿宋" w:hAnsi="仿宋" w:eastAsia="仿宋" w:cs="仿宋"/>
          <w:spacing w:val="-34"/>
          <w:kern w:val="0"/>
          <w:szCs w:val="32"/>
          <w:highlight w:val="none"/>
          <w:lang w:val="en-US" w:eastAsia="zh-CN"/>
        </w:rPr>
        <w:t>舟古</w:t>
      </w:r>
      <w:r>
        <w:rPr>
          <w:rFonts w:hint="eastAsia" w:ascii="仿宋" w:hAnsi="仿宋" w:eastAsia="仿宋" w:cs="仿宋"/>
          <w:kern w:val="0"/>
          <w:szCs w:val="32"/>
        </w:rPr>
        <w:t>作业。在特定水域确有必要使用电力或者鱼鹰捕鱼时，必须经省、自治区、直辖市人民政府渔业行政主管部门批准。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第二十一条</w:t>
      </w:r>
      <w:r>
        <w:rPr>
          <w:rFonts w:hint="eastAsia" w:ascii="仿宋" w:hAnsi="仿宋" w:eastAsia="仿宋" w:cs="仿宋"/>
          <w:kern w:val="0"/>
          <w:szCs w:val="32"/>
        </w:rPr>
        <w:t xml:space="preserve"> 县级以上人民政府渔业行政主管部门，应当依照本实施细则第三条规定的管理权限，确定重点保护的渔业资源品种及采捕标准。在重要鱼、虾、蟹、贝、藻类，以及其他重要水生生物的产卵场、索饵场、越冬场和洄游通道，规定禁渔区和禁渔期，禁止使用或者限制使用的渔具的捕捞方法， 最小网目尺寸， 以及制定其他保护渔业资源的措施。</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第二十二条</w:t>
      </w:r>
      <w:r>
        <w:rPr>
          <w:rFonts w:hint="eastAsia" w:ascii="仿宋" w:hAnsi="仿宋" w:eastAsia="仿宋" w:cs="仿宋"/>
          <w:kern w:val="0"/>
          <w:szCs w:val="32"/>
        </w:rPr>
        <w:t xml:space="preserve"> 在“机动渔船底拖网禁渔区线”外侧建造人工鱼礁的，必须经有关省、自治区、直辖市人民政府渔业行政主管部门批准；在“机动渔船底拖网禁渔区线”内侧建造人工鱼礁的，必须经有关省、自治区、直辖市人民政府或其授权单位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建造人工鱼礁，应当避开主要航道和重要锚地，并通知有关交通和海洋管理部门。</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第二十三条</w:t>
      </w:r>
      <w:r>
        <w:rPr>
          <w:rFonts w:hint="eastAsia" w:ascii="仿宋" w:hAnsi="仿宋" w:eastAsia="仿宋" w:cs="仿宋"/>
          <w:kern w:val="0"/>
          <w:szCs w:val="32"/>
        </w:rPr>
        <w:t xml:space="preserve"> 定置渔业一般不得跨县作业。县级以上人民政府渔业行政主管部门应当限制其网桩数量、作业场所，并规定禁渔期。 海洋定置渔业，不得越出“机动渔船底拖网禁渔区线”。</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第二十四条</w:t>
      </w:r>
      <w:r>
        <w:rPr>
          <w:rFonts w:hint="eastAsia" w:ascii="仿宋" w:hAnsi="仿宋" w:eastAsia="仿宋" w:cs="仿宋"/>
          <w:kern w:val="0"/>
          <w:szCs w:val="32"/>
        </w:rPr>
        <w:t xml:space="preserve"> 因养殖或者其他特殊需要，捕捞鳗鲡、鲥鱼、中华绒螯蟹、真鲷、石斑鱼等有重要经济价值的水生动物苗种或者禁捕的怀卵亲体的，必须经国务院渔业行政主管部门或者省、自治区、直辖市人民政府渔业行政主管部门批准，并领取专项许可证件，方可在指定区域和时间内，按照批准限额捕捞。捕捞其他有重要经济价值的水生动物苗种的批准权，由省、自治区、直辖市人民政府渔业行政主管部门规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第二十五条</w:t>
      </w:r>
      <w:r>
        <w:rPr>
          <w:rFonts w:hint="eastAsia" w:ascii="仿宋" w:hAnsi="仿宋" w:eastAsia="仿宋" w:cs="仿宋"/>
          <w:kern w:val="0"/>
          <w:szCs w:val="32"/>
        </w:rPr>
        <w:t xml:space="preserve"> 禁止捕捞中国对虾苗种和春季亲虾。因养殖需要中国对虾怀卵亲体的，应当限期由养殖单位自行培育，期限及管理办法由国务院渔业行政主管部门制定。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第二十六条</w:t>
      </w:r>
      <w:r>
        <w:rPr>
          <w:rFonts w:hint="eastAsia" w:ascii="仿宋" w:hAnsi="仿宋" w:eastAsia="仿宋" w:cs="仿宋"/>
          <w:kern w:val="0"/>
          <w:szCs w:val="32"/>
        </w:rPr>
        <w:t xml:space="preserve"> 任何单位和个人，在鱼、虾、蟹、贝幼苗的重点产区直接引水、用水的，应当采取避开幼苗的密集期、密集区，或者设置网栅等保护措施。</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第二十七条</w:t>
      </w:r>
      <w:r>
        <w:rPr>
          <w:rFonts w:hint="eastAsia" w:ascii="仿宋" w:hAnsi="仿宋" w:eastAsia="仿宋" w:cs="仿宋"/>
          <w:kern w:val="0"/>
          <w:szCs w:val="32"/>
        </w:rPr>
        <w:t xml:space="preserve"> 各级渔业行政主管部门，应当对渔业水域污染情况进行监测；渔业环境保护监测网，应当纳入全国环境监测网络。因污染造成渔业损失的，应当由渔政渔港监督管理部门协同环保部门调查处理。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第二十八条</w:t>
      </w:r>
      <w:r>
        <w:rPr>
          <w:rFonts w:hint="eastAsia" w:ascii="仿宋" w:hAnsi="仿宋" w:eastAsia="仿宋" w:cs="仿宋"/>
          <w:kern w:val="0"/>
          <w:szCs w:val="32"/>
        </w:rPr>
        <w:t xml:space="preserve"> 在重点渔业水域不得从事拆船业，在其他渔业水域从事拆船业，造成渔业资源损害的，由拆船单位依照有关规定负责赔偿。</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第六章　罚则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第二十九条</w:t>
      </w:r>
      <w:r>
        <w:rPr>
          <w:rFonts w:hint="eastAsia" w:ascii="仿宋" w:hAnsi="仿宋" w:eastAsia="仿宋" w:cs="仿宋"/>
          <w:kern w:val="0"/>
          <w:szCs w:val="32"/>
        </w:rPr>
        <w:t xml:space="preserve"> 依照《渔业法》第二十八条规定处以罚款的，按下列规定执行：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（一）炸鱼、毒鱼的，违反关于禁渔区、禁渔期的规定进行捕捞的，擅自捕捞国家规定禁止捕捞的珍贵水生动物的，在内陆水域处五十元至五千元罚款，在海洋处五百元至五万元罚款；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（二）敲</w:t>
      </w:r>
      <w:r>
        <w:rPr>
          <w:rFonts w:hint="eastAsia" w:ascii="仿宋" w:hAnsi="仿宋" w:eastAsia="仿宋" w:cs="仿宋"/>
          <w:spacing w:val="-34"/>
          <w:kern w:val="0"/>
          <w:szCs w:val="32"/>
          <w:highlight w:val="none"/>
          <w:lang w:val="en-US" w:eastAsia="zh-CN"/>
        </w:rPr>
        <w:t>舟古</w:t>
      </w:r>
      <w:r>
        <w:rPr>
          <w:rFonts w:hint="eastAsia" w:ascii="仿宋" w:hAnsi="仿宋" w:eastAsia="仿宋" w:cs="仿宋"/>
          <w:kern w:val="0"/>
          <w:szCs w:val="32"/>
        </w:rPr>
        <w:t>作业的，处一千元至五万元 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（三）未经批准使用鱼鹰捕鱼的，处五十元至二百元罚款；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（四）未经批准使用电力捕鱼的，在内陆水域处二百元至一千元罚款，在海洋处五百元至三千元罚款；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（五）使用小于规定的最小网目尺寸的网具进行捕捞的，处五十元至一千元罚款 。</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第三十条</w:t>
      </w:r>
      <w:r>
        <w:rPr>
          <w:rFonts w:hint="eastAsia" w:ascii="仿宋" w:hAnsi="仿宋" w:eastAsia="仿宋" w:cs="仿宋"/>
          <w:kern w:val="0"/>
          <w:szCs w:val="32"/>
        </w:rPr>
        <w:t xml:space="preserve"> 依照《渔业法》第二十九条规定处以罚款的，按罚款一千元以下执行。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第三十一条</w:t>
      </w:r>
      <w:r>
        <w:rPr>
          <w:rFonts w:hint="eastAsia" w:ascii="仿宋" w:hAnsi="仿宋" w:eastAsia="仿宋" w:cs="仿宋"/>
          <w:kern w:val="0"/>
          <w:szCs w:val="32"/>
        </w:rPr>
        <w:t xml:space="preserve"> 依照《渔业法》第三十条规定需处以罚款的，按下列规定执行：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（一）内陆渔业非机动渔船，处五十元至一百五十元罚款；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（二）内陆渔业机动渔船和海洋渔业非机动渔船，处一百元至五百元罚款；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（三）海洋渔业机动渔船，处二百元至二万元罚款。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第三十二条</w:t>
      </w:r>
      <w:r>
        <w:rPr>
          <w:rFonts w:hint="eastAsia" w:ascii="仿宋" w:hAnsi="仿宋" w:eastAsia="仿宋" w:cs="仿宋"/>
          <w:kern w:val="0"/>
          <w:szCs w:val="32"/>
        </w:rPr>
        <w:t xml:space="preserve"> 依照《渔业法》第三十一条规定需处以罚款的，按下列规定执行：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（一）内陆渔业非机动渔船，处二十五元至五十元罚款；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（二）内陆渔业机动渔船和海洋渔业非机动渔船，处 五十元至一百元罚款；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（三）海洋渔业机动渔船，处五十至三千元罚款；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（四）外海渔船擅自进入近海捕捞的，处三千元至二万元罚款。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第三十三条</w:t>
      </w:r>
      <w:r>
        <w:rPr>
          <w:rFonts w:hint="eastAsia" w:ascii="仿宋" w:hAnsi="仿宋" w:eastAsia="仿宋" w:cs="仿宋"/>
          <w:kern w:val="0"/>
          <w:szCs w:val="32"/>
        </w:rPr>
        <w:t xml:space="preserve"> 买卖、出租或者以其他形式非法转让以及涂改捕捞许可证的，没收违法所得，吊销捕捞许可证，可以并处一百元至一千元罚款。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第三十四条</w:t>
      </w:r>
      <w:r>
        <w:rPr>
          <w:rFonts w:hint="eastAsia" w:ascii="仿宋" w:hAnsi="仿宋" w:eastAsia="仿宋" w:cs="仿宋"/>
          <w:kern w:val="0"/>
          <w:szCs w:val="32"/>
        </w:rPr>
        <w:t xml:space="preserve"> 依照《渔业法》第二十八条、第三十条、第三十一条、第三十二条规定需处以罚款的，对船长或者单位负责人可以视情节另处一百元至五百元罚款。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第三十五条</w:t>
      </w:r>
      <w:r>
        <w:rPr>
          <w:rFonts w:hint="eastAsia" w:ascii="仿宋" w:hAnsi="仿宋" w:eastAsia="仿宋" w:cs="仿宋"/>
          <w:kern w:val="0"/>
          <w:szCs w:val="32"/>
        </w:rPr>
        <w:t xml:space="preserve"> 未按《渔业法》和本实施细则有关规定，采取保护措施，造成渔业资源损失的，围湖造田或者未经批准围垦沿海滩涂的，应当依法承担责任。</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第三十六条</w:t>
      </w:r>
      <w:r>
        <w:rPr>
          <w:rFonts w:hint="eastAsia" w:ascii="仿宋" w:hAnsi="仿宋" w:eastAsia="仿宋" w:cs="仿宋"/>
          <w:kern w:val="0"/>
          <w:szCs w:val="32"/>
        </w:rPr>
        <w:t xml:space="preserve"> 中外合资，中外合作经营的渔业企业，违反本实施细则第十六条规定，没收渔获物和违法所得，可以并处三千元至五万元罚款。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第三十七条</w:t>
      </w:r>
      <w:r>
        <w:rPr>
          <w:rFonts w:hint="eastAsia" w:ascii="仿宋" w:hAnsi="仿宋" w:eastAsia="仿宋" w:cs="仿宋"/>
          <w:kern w:val="0"/>
          <w:szCs w:val="32"/>
        </w:rPr>
        <w:t xml:space="preserve"> 外国人、外国渔船违反《渔业法》第八条规定，擅自进入中华人民共和国管辖水域从事渔业生产或渔业资源调查活动的，渔业行政主管部门或其所属的渔政监督管理机构应当令其离开或者将其驱逐，并可处以罚款和没收渔获物、渔具。</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第三十八条</w:t>
      </w:r>
      <w:r>
        <w:rPr>
          <w:rFonts w:hint="eastAsia" w:ascii="仿宋" w:hAnsi="仿宋" w:eastAsia="仿宋" w:cs="仿宋"/>
          <w:kern w:val="0"/>
          <w:szCs w:val="32"/>
        </w:rPr>
        <w:t xml:space="preserve"> 渔业行政主管部门或其所属的渔政监督管理机构进行处罚时，应当填发处罚决定书；处以罚款及没收渔具、渔获物和违法所得的，应当开具凭证，并在捕捞许可证上载明。</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第三十九条</w:t>
      </w:r>
      <w:r>
        <w:rPr>
          <w:rFonts w:hint="eastAsia" w:ascii="仿宋" w:hAnsi="仿宋" w:eastAsia="仿宋" w:cs="仿宋"/>
          <w:kern w:val="0"/>
          <w:szCs w:val="32"/>
        </w:rPr>
        <w:t xml:space="preserve"> 有下列行为之一的，由公安机关依照《中华人民共和国治安管理处罚条例》的规定处罚：构成犯罪的，由司法机关依法追究刑事责任：</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（一）拒绝、阻碍渔政检查人员依法执行职务的；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（二）偷窃、哄抢或者破坏渔具、渔船、渔获物的。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第四十条</w:t>
      </w:r>
      <w:r>
        <w:rPr>
          <w:rFonts w:hint="eastAsia" w:ascii="仿宋" w:hAnsi="仿宋" w:eastAsia="仿宋" w:cs="仿宋"/>
          <w:kern w:val="0"/>
          <w:szCs w:val="32"/>
        </w:rPr>
        <w:t xml:space="preserve"> 渔政检查人员玩忽职守或者徇私枉法的，由其所在单位或者上级主管部门给予行政处分；构成犯罪的，依法追究刑事责任。</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第七章　附则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第四十一条</w:t>
      </w:r>
      <w:r>
        <w:rPr>
          <w:rFonts w:hint="eastAsia" w:ascii="仿宋" w:hAnsi="仿宋" w:eastAsia="仿宋" w:cs="仿宋"/>
          <w:kern w:val="0"/>
          <w:szCs w:val="32"/>
        </w:rPr>
        <w:t xml:space="preserve"> 本实施细则农牧渔业部负责解释。</w:t>
      </w:r>
    </w:p>
    <w:p>
      <w:pPr>
        <w:widowControl w:val="0"/>
        <w:wordWrap/>
        <w:adjustRightInd/>
        <w:snapToGrid/>
        <w:spacing w:line="560" w:lineRule="exact"/>
        <w:ind w:firstLine="640" w:firstLineChars="200"/>
        <w:textAlignment w:val="auto"/>
        <w:rPr>
          <w:rFonts w:hint="eastAsia" w:ascii="宋体" w:hAnsi="宋体" w:eastAsia="宋体" w:cs="宋体"/>
          <w:bCs/>
          <w:sz w:val="44"/>
          <w:szCs w:val="44"/>
        </w:rPr>
      </w:pPr>
      <w:r>
        <w:rPr>
          <w:rFonts w:hint="eastAsia" w:ascii="黑体" w:hAnsi="黑体" w:eastAsia="黑体" w:cs="黑体"/>
          <w:sz w:val="32"/>
          <w:szCs w:val="32"/>
        </w:rPr>
        <w:t>第四十二条</w:t>
      </w:r>
      <w:r>
        <w:rPr>
          <w:rFonts w:hint="eastAsia" w:ascii="仿宋" w:hAnsi="仿宋" w:eastAsia="仿宋" w:cs="仿宋"/>
          <w:kern w:val="0"/>
          <w:szCs w:val="32"/>
        </w:rPr>
        <w:t xml:space="preserve"> 本实施细则自发布之日起施行。</w:t>
      </w:r>
      <w:r>
        <w:rPr>
          <w:rFonts w:hint="eastAsia" w:ascii="宋体" w:hAnsi="宋体" w:eastAsia="宋体" w:cs="宋体"/>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bCs/>
          <w:sz w:val="44"/>
          <w:szCs w:val="44"/>
        </w:rPr>
      </w:pPr>
      <w:bookmarkStart w:id="230" w:name="_Toc8635"/>
      <w:r>
        <w:rPr>
          <w:rFonts w:hint="eastAsia" w:ascii="宋体" w:hAnsi="宋体" w:eastAsia="宋体" w:cs="宋体"/>
          <w:bCs/>
          <w:sz w:val="44"/>
          <w:szCs w:val="44"/>
        </w:rPr>
        <w:t>中华人民共和国国境卫生检疫法实施细则</w:t>
      </w:r>
      <w:bookmarkEnd w:id="230"/>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Arial"/>
          <w:szCs w:val="32"/>
        </w:rPr>
      </w:pPr>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Arial"/>
          <w:szCs w:val="32"/>
        </w:rPr>
      </w:pPr>
      <w:r>
        <w:rPr>
          <w:rFonts w:hint="eastAsia" w:ascii="宋体" w:hAnsi="宋体" w:eastAsia="楷体_GB2312" w:cs="Arial"/>
          <w:szCs w:val="32"/>
        </w:rPr>
        <w:t>（1989年2月10日国务院批准　1989年3月6日卫生部令第2号公布　根据2010年4月24日《国务院关于修改〈中华人民共和国　国境卫生检疫法实施细则〉的决定》第一次修订　根据2016年2月6日《国务院关于修改部分行政法规的决定》第二次修订 根据2019年3月2日《国务院关于修改部分行政法规的决定》修正）</w:t>
      </w:r>
    </w:p>
    <w:p>
      <w:pPr>
        <w:widowControl w:val="0"/>
        <w:wordWrap/>
        <w:adjustRightInd/>
        <w:snapToGrid/>
        <w:spacing w:line="560" w:lineRule="exact"/>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第一章　一般规定</w:t>
      </w:r>
    </w:p>
    <w:p>
      <w:pPr>
        <w:widowControl w:val="0"/>
        <w:wordWrap/>
        <w:adjustRightInd/>
        <w:snapToGrid/>
        <w:spacing w:line="560" w:lineRule="exact"/>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第一条</w:t>
      </w:r>
      <w:r>
        <w:rPr>
          <w:rFonts w:hint="eastAsia" w:ascii="仿宋" w:hAnsi="仿宋" w:eastAsia="仿宋" w:cs="仿宋"/>
          <w:bCs/>
          <w:sz w:val="32"/>
          <w:szCs w:val="32"/>
        </w:rPr>
        <w:t xml:space="preserve"> 根据《中华人民共和国国境卫生检疫法》（以下称《国境卫生检疫法》）的规定，制定本细则。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第二条 </w:t>
      </w:r>
      <w:r>
        <w:rPr>
          <w:rFonts w:hint="eastAsia" w:ascii="仿宋" w:hAnsi="仿宋" w:eastAsia="仿宋" w:cs="仿宋"/>
          <w:bCs/>
          <w:sz w:val="32"/>
          <w:szCs w:val="32"/>
        </w:rPr>
        <w:t>《国境卫生检疫法》和本细则所称：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“查验”指国境卫生检疫机关（以下称卫生检疫机关）实施的医学检查和卫生检查。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“染疫人”指正在患检疫传染病的人，或者经卫生检疫机关初步诊断，认为已经感染检疫传染病或者已经处于检疫传染病潜伏期的人。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“染疫嫌疑人”指接触过检疫传染病的感染环境，并且可能传播检疫传染病的人。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“隔离”指将染疫人收留在指定的处所，限制其活动并进行治疗，直到消除传染病传播的危险。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“留验”指将染疫嫌疑人收留在指定的处所进行诊察和检验。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“就地诊验”指一个人在卫生检疫机关指定的期间，到就近的卫生检疫机关或者其他医疗卫生单位去接受诊察和检验；或者卫生检疫机关、其他医疗卫生单位到该人员的居留地，对其进行诊察和检验。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“运输设备”指货物集装箱。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“卫生处理”指隔离、留验和就地诊验等医学措施，以及消毒、除鼠、除虫等卫生措施。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“传染病监测”指对特定环境、人群进行流行病学、血清学、病原学、临床症状以及其他有关影响因素的调查研究，预测有关传染病的发生、发展和流行。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“卫生监督”指执行卫生法规和卫生标准所进行的卫生检查、卫生鉴定、卫生评价和采样检验。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“交通工具”指船舶、航空器、列车和其他车辆。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“国境口岸”指国际通航的港口、机场、车站、陆地边境和国界江河的关口。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第三条</w:t>
      </w:r>
      <w:r>
        <w:rPr>
          <w:rFonts w:hint="eastAsia" w:ascii="仿宋" w:hAnsi="仿宋" w:eastAsia="仿宋" w:cs="仿宋"/>
          <w:bCs/>
          <w:sz w:val="32"/>
          <w:szCs w:val="32"/>
        </w:rPr>
        <w:t xml:space="preserve"> 卫生检疫机关在国境口岸工作的范围，是指为国境口岸服务的涉外宾馆、饭店、俱乐部，为入境、出境交通工具提供饮食、服务的单位和对入境、出境人员、交通工具、集装箱和货物实施检疫、监测、卫生监督的场所。</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第四条</w:t>
      </w:r>
      <w:r>
        <w:rPr>
          <w:rFonts w:hint="eastAsia" w:ascii="仿宋" w:hAnsi="仿宋" w:eastAsia="仿宋" w:cs="仿宋"/>
          <w:bCs/>
          <w:sz w:val="32"/>
          <w:szCs w:val="32"/>
        </w:rPr>
        <w:t xml:space="preserve"> 入境、出境的人员、交通工具和集装箱，以及可能传播检疫传染病的行李、货物、邮包等，均应当按照本细则的规定接受检疫，经卫生检疫机关许可，方准入境或者出境。</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第五条</w:t>
      </w:r>
      <w:r>
        <w:rPr>
          <w:rFonts w:hint="eastAsia" w:ascii="仿宋" w:hAnsi="仿宋" w:eastAsia="仿宋" w:cs="仿宋"/>
          <w:bCs/>
          <w:sz w:val="32"/>
          <w:szCs w:val="32"/>
        </w:rPr>
        <w:t xml:space="preserve"> 卫生检疫机关发现染疫人时，应当立即将其隔离，防止任何人遭受感染，并按照本细则第八章的规定处理。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检疫机关发现染疫嫌疑人时，应当按照本细则第八章的规定处理。但对第八章规定以外的其他病种染疫嫌疑人，可以从该人员离开感染环境的时候算起，实施不超过该传染病最长潜伏期的就地诊验或者留验以及其他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第六条</w:t>
      </w:r>
      <w:r>
        <w:rPr>
          <w:rFonts w:hint="eastAsia" w:ascii="仿宋" w:hAnsi="仿宋" w:eastAsia="仿宋" w:cs="仿宋"/>
          <w:bCs/>
          <w:sz w:val="32"/>
          <w:szCs w:val="32"/>
        </w:rPr>
        <w:t xml:space="preserve"> 卫生检疫机关应当阻止染疫人、染疫嫌疑人出境，但是对来自国外并且在到达时受就地诊验的人，本人要求出境的，可以准许出境；如果乘交通工具出境，检疫医师应当将这种情况在出境检疫证上签注，同时通知交通工具负责人采取必要的预防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第七条</w:t>
      </w:r>
      <w:r>
        <w:rPr>
          <w:rFonts w:hint="eastAsia" w:ascii="仿宋" w:hAnsi="仿宋" w:eastAsia="仿宋" w:cs="仿宋"/>
          <w:bCs/>
          <w:sz w:val="32"/>
          <w:szCs w:val="32"/>
        </w:rPr>
        <w:t xml:space="preserve"> 在国境口岸以及停留在该场所的入境、出境交通工具上，所有非因意外伤害而死亡并死因不明的尸体，必须经卫生检疫机关查验，并签发尸体移运许可证后，方准移运。</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第八条</w:t>
      </w:r>
      <w:r>
        <w:rPr>
          <w:rFonts w:hint="eastAsia" w:ascii="仿宋" w:hAnsi="仿宋" w:eastAsia="仿宋" w:cs="仿宋"/>
          <w:bCs/>
          <w:sz w:val="32"/>
          <w:szCs w:val="32"/>
        </w:rPr>
        <w:t xml:space="preserve"> 来自国内疫区的交通工具，或者在国内航行中发现检疫传染病、疑似检疫传染病，或者有人非因意外伤害而死亡并死因不明的，交通工具负责人应当向到达的国境口岸卫生检疫机关报告，接受临时检疫。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第九条</w:t>
      </w:r>
      <w:r>
        <w:rPr>
          <w:rFonts w:hint="eastAsia" w:ascii="仿宋" w:hAnsi="仿宋" w:eastAsia="仿宋" w:cs="仿宋"/>
          <w:bCs/>
          <w:sz w:val="32"/>
          <w:szCs w:val="32"/>
        </w:rPr>
        <w:t xml:space="preserve"> 在国内或者国外检疫传染病大流行的时候，国务院卫生行政部门应当立即报请国务院决定采取下列检疫措施的一部或者全部：</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（一）下令封锁陆地边境、国界江河的有关区域；</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（二）指定某些物品必须经过消毒、除虫，方准由国外运进或者由国内运出；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（三）禁止某些物品由国外运进或者由国内运出；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（四）指定第一入境港口、降落机场。对来自国外疫区的船舶、航空器，除因遇险或者其他特殊原因外，没有经第一入境港口、机场检疫的，不准进入其他港口和机场。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第十条</w:t>
      </w:r>
      <w:r>
        <w:rPr>
          <w:rFonts w:hint="eastAsia" w:ascii="仿宋" w:hAnsi="仿宋" w:eastAsia="仿宋" w:cs="仿宋"/>
          <w:bCs/>
          <w:sz w:val="32"/>
          <w:szCs w:val="32"/>
        </w:rPr>
        <w:t xml:space="preserve"> 入境、出境的集装箱、货物、废旧物等物品在到达口岸的时候，承运人、代理人或者货主，必须向卫生检疫机关申报并接受卫生检疫。对来自疫区的、被传染病污染的以及可能传播检疫传染病或者发现与人类健康有关的啮齿动物和病媒昆虫的集装箱、货物、废旧物等物品，应当实施消毒、除鼠、除虫或者其他必要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集装箱、货物、废旧物等物品的货主要求在其他地方实施卫生检疫、卫生处理的，卫生检疫机关可以给予方便，并按规定办理。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第十一条</w:t>
      </w:r>
      <w:r>
        <w:rPr>
          <w:rFonts w:hint="eastAsia" w:ascii="仿宋" w:hAnsi="仿宋" w:eastAsia="仿宋" w:cs="仿宋"/>
          <w:bCs/>
          <w:sz w:val="32"/>
          <w:szCs w:val="32"/>
        </w:rPr>
        <w:t xml:space="preserve"> 入境、出境的微生物、人体组织、生物制品、血液及其制品等特殊物品的携带人、托运人或者邮递人，必须向卫生检疫机关申报并接受卫生检疫，凭卫生检疫机关签发的特殊物品审批单办理通关手续。未经卫生检疫机关许可，不准入境、出境。</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第十二条</w:t>
      </w:r>
      <w:r>
        <w:rPr>
          <w:rFonts w:hint="eastAsia" w:ascii="仿宋" w:hAnsi="仿宋" w:eastAsia="仿宋" w:cs="仿宋"/>
          <w:bCs/>
          <w:sz w:val="32"/>
          <w:szCs w:val="32"/>
        </w:rPr>
        <w:t xml:space="preserve"> 入境、出境的旅客、员工个人携带或者托运可能传播传染病的行李和物品，应当接受卫生检查。卫生检疫机关对来自疫区或者被传染病污染的各种食品、饮料、水产品等应当实施卫生处理或者销毁，并签发卫生处理证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第十三条</w:t>
      </w:r>
      <w:r>
        <w:rPr>
          <w:rFonts w:hint="eastAsia" w:ascii="仿宋" w:hAnsi="仿宋" w:eastAsia="仿宋" w:cs="仿宋"/>
          <w:bCs/>
          <w:sz w:val="32"/>
          <w:szCs w:val="32"/>
        </w:rPr>
        <w:t xml:space="preserve"> 卫生检疫机关对应当实施卫生检疫的邮包进行卫生检查和必要的卫生处理时，邮政部门应予配合。未经卫生检疫机关许可，邮政部门不得运递。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第十四条</w:t>
      </w:r>
      <w:r>
        <w:rPr>
          <w:rFonts w:hint="eastAsia" w:ascii="仿宋" w:hAnsi="仿宋" w:eastAsia="仿宋" w:cs="仿宋"/>
          <w:bCs/>
          <w:sz w:val="32"/>
          <w:szCs w:val="32"/>
        </w:rPr>
        <w:t xml:space="preserve"> 卫生检疫单、证的种类、式样和签发办法，由海关总署规定。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第二章　疫情通报</w:t>
      </w:r>
    </w:p>
    <w:p>
      <w:pPr>
        <w:widowControl w:val="0"/>
        <w:wordWrap/>
        <w:adjustRightInd/>
        <w:snapToGrid/>
        <w:spacing w:line="560" w:lineRule="exact"/>
        <w:ind w:firstLine="640" w:firstLineChars="200"/>
        <w:jc w:val="center"/>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第十五条</w:t>
      </w:r>
      <w:r>
        <w:rPr>
          <w:rFonts w:hint="eastAsia" w:ascii="仿宋" w:hAnsi="仿宋" w:eastAsia="仿宋" w:cs="仿宋"/>
          <w:bCs/>
          <w:sz w:val="32"/>
          <w:szCs w:val="32"/>
        </w:rPr>
        <w:t xml:space="preserve"> 在国境口岸以及停留在国境口岸的交通工具上，发现检疫传染病、疑似检疫传染病，或者有人非因意外伤害而死亡并死因不明时，国境口岸有关单位以及交通工具的负责人，应当立即向卫生检疫机关报告。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第十六条</w:t>
      </w:r>
      <w:r>
        <w:rPr>
          <w:rFonts w:hint="eastAsia" w:ascii="仿宋" w:hAnsi="仿宋" w:eastAsia="仿宋" w:cs="仿宋"/>
          <w:bCs/>
          <w:sz w:val="32"/>
          <w:szCs w:val="32"/>
        </w:rPr>
        <w:t xml:space="preserve"> 卫生检疫机关发现检疫传染病、监测传染病、疑似检疫传染病时，应当向当地卫生行政部门和卫生防疫机构通报；发现检疫传染病时，还应当用最快的办法向国务院卫生行政部门报告。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当地卫生防疫机构发现检疫传染病、监测传染病时，应当向卫生检疫机关通报。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第十七条</w:t>
      </w:r>
      <w:r>
        <w:rPr>
          <w:rFonts w:hint="eastAsia" w:ascii="仿宋" w:hAnsi="仿宋" w:eastAsia="仿宋" w:cs="仿宋"/>
          <w:bCs/>
          <w:sz w:val="32"/>
          <w:szCs w:val="32"/>
        </w:rPr>
        <w:t xml:space="preserve"> 在国内或者国外某一地区发生检疫传染病流行时，国务院卫生行政部门可以宣布该地区为疫区。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第三章　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第十八条</w:t>
      </w:r>
      <w:r>
        <w:rPr>
          <w:rFonts w:hint="eastAsia" w:ascii="仿宋" w:hAnsi="仿宋" w:eastAsia="仿宋" w:cs="仿宋"/>
          <w:bCs/>
          <w:sz w:val="32"/>
          <w:szCs w:val="32"/>
        </w:rPr>
        <w:t xml:space="preserve"> 卫生检疫机关根据工作需要，可以设立派出机构。卫生检疫机关的设立、合并或者撤销，按照有关规定执行。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第十九条</w:t>
      </w:r>
      <w:r>
        <w:rPr>
          <w:rFonts w:hint="eastAsia" w:ascii="仿宋" w:hAnsi="仿宋" w:eastAsia="仿宋" w:cs="仿宋"/>
          <w:bCs/>
          <w:sz w:val="32"/>
          <w:szCs w:val="32"/>
        </w:rPr>
        <w:t xml:space="preserve"> 卫生检疫机关的职责：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（一）执行《国境卫生检疫法》及其实施细则和国家有关卫生法规；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（二）收集、整理、报告国际和国境口岸传染病的发生、流行和终息情况；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（三）对国境口岸的卫生状况实施卫生监督；对入境、出境的交通工具、人员、集装箱、尸体、骸骨以及可能传播检疫传染病的行李、货物、邮包等实施检疫查验、传染病监测、卫生监督和卫生处理；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（四）对入境、出境的微生物、生物制品、人体组织、血液及其制品等特殊物品以及能传播人类传染病的动物，实施卫生检疫；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（五）对入境、出境人员进行预防接种、健康检查、医疗服务、国际旅行健康咨询和卫生宣传；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（六）签发卫生检疫证件；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（七）进行流行病学调查研究，开展科学实验；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（八）执行海关总署、国务院卫生行政部门指定的其他工作。</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第二十条</w:t>
      </w:r>
      <w:r>
        <w:rPr>
          <w:rFonts w:hint="eastAsia" w:ascii="仿宋" w:hAnsi="仿宋" w:eastAsia="仿宋" w:cs="仿宋"/>
          <w:bCs/>
          <w:sz w:val="32"/>
          <w:szCs w:val="32"/>
        </w:rPr>
        <w:t xml:space="preserve"> 国境口岸卫生监督员的职责：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（一）对国境口岸和停留在国境口岸的入境、出境交通工具进行卫生监督和卫生宣传；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（二）在消毒、除鼠、除虫等卫生处理方面进行技术指导；</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（三）对造成传染病传播、啮齿动物和病媒昆虫扩散、食物中毒、食物污染等事故进行调查，并提出控制措施。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第二十一条</w:t>
      </w:r>
      <w:r>
        <w:rPr>
          <w:rFonts w:hint="eastAsia" w:ascii="仿宋" w:hAnsi="仿宋" w:eastAsia="仿宋" w:cs="仿宋"/>
          <w:bCs/>
          <w:sz w:val="32"/>
          <w:szCs w:val="32"/>
        </w:rPr>
        <w:t xml:space="preserve"> 卫生检疫机关工作人员、国境口岸卫生监督员在执行任务时，应当穿着检疫制服，佩戴检疫标志；卫生检疫机关的交通工具在执行任务期间，应当悬挂检疫旗帜。</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检疫制服、标志、旗帜的式样和使用办法由海关总署会同有关部门制定，报国务院审批。</w:t>
      </w:r>
    </w:p>
    <w:p>
      <w:pPr>
        <w:widowControl w:val="0"/>
        <w:wordWrap/>
        <w:adjustRightInd/>
        <w:snapToGrid/>
        <w:spacing w:line="560" w:lineRule="exact"/>
        <w:jc w:val="center"/>
        <w:textAlignment w:val="auto"/>
        <w:rPr>
          <w:rFonts w:hint="eastAsia" w:ascii="黑体" w:hAnsi="黑体" w:eastAsia="黑体" w:cs="黑体"/>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第四章　海港检疫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第二十二条</w:t>
      </w:r>
      <w:r>
        <w:rPr>
          <w:rFonts w:hint="eastAsia" w:ascii="仿宋" w:hAnsi="仿宋" w:eastAsia="仿宋" w:cs="仿宋"/>
          <w:bCs/>
          <w:sz w:val="32"/>
          <w:szCs w:val="32"/>
        </w:rPr>
        <w:t xml:space="preserve"> 船舶的入境检疫，必须在港口的检疫锚地或者经卫生检疫机关同意的指定地点实施。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检疫锚地由港务监督机关和卫生检疫机关会商确定，报国务院交通运输主管部门和海关总署备案。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第二十三条</w:t>
      </w:r>
      <w:r>
        <w:rPr>
          <w:rFonts w:hint="eastAsia" w:ascii="仿宋" w:hAnsi="仿宋" w:eastAsia="仿宋" w:cs="仿宋"/>
          <w:bCs/>
          <w:sz w:val="32"/>
          <w:szCs w:val="32"/>
        </w:rPr>
        <w:t xml:space="preserve"> 船舶代理应当在受入境检疫的船舶到达以前，尽早向卫生检疫机关通知下列事项：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（一）船名、国籍、预定到达检疫锚地的日期和时间；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（二）发航港、最后寄港；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（三）船员和旅客人数；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（四）货物种类。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港务监督机关应当将船舶确定到达检疫锚地的日期和时间尽早通知卫生检疫机关。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第二十四条</w:t>
      </w:r>
      <w:r>
        <w:rPr>
          <w:rFonts w:hint="eastAsia" w:ascii="仿宋" w:hAnsi="仿宋" w:eastAsia="仿宋" w:cs="仿宋"/>
          <w:bCs/>
          <w:sz w:val="32"/>
          <w:szCs w:val="32"/>
        </w:rPr>
        <w:t xml:space="preserve"> 受入境检疫的船舶，在航行中，发现检疫传染病、疑似检疫传染病，或者有人非因意外伤害而死亡并死因不明的，船长必须立即向实施检疫港口的卫生检疫机关报告下列事项：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（一）船名、国籍、预定到达检疫锚地的日期和时间；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（二）发航港、最后寄港；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（三）船员和旅客人数；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（四）货物种类；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（五）病名或者主要症状、患病人数、死亡人数；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（六）船上有无船医。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第二十五条</w:t>
      </w:r>
      <w:r>
        <w:rPr>
          <w:rFonts w:hint="eastAsia" w:ascii="仿宋" w:hAnsi="仿宋" w:eastAsia="仿宋" w:cs="仿宋"/>
          <w:bCs/>
          <w:sz w:val="32"/>
          <w:szCs w:val="32"/>
        </w:rPr>
        <w:t xml:space="preserve"> 受入境检疫的船舶，必须按照下列规定悬挂检疫信号等候查验，在卫生检疫机关发给入境检疫证前，不得降下检疫信号。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昼间在明显处所悬挂国际通语信号旗：</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（一）“Q”字旗表示：本船没有染疫，请发给入境检疫证；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（二）“QQ”字旗表示：本船有染疫或者染疫嫌疑，请即刻实施检疫。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夜间在明显处所垂直悬挂灯号：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（一）红灯三盏表示：本船没有染疫，请发给入境检疫证；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（二）红、红、白、红灯四盏表示：本船有染疫或者染疫嫌疑，请即刻实施检疫。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第二十六条</w:t>
      </w:r>
      <w:r>
        <w:rPr>
          <w:rFonts w:hint="eastAsia" w:ascii="仿宋" w:hAnsi="仿宋" w:eastAsia="仿宋" w:cs="仿宋"/>
          <w:bCs/>
          <w:sz w:val="32"/>
          <w:szCs w:val="32"/>
        </w:rPr>
        <w:t xml:space="preserve"> 悬挂检疫信号的船舶，除引航员和经卫生检疫机关许可的人员外，其他人员不准上船，不准装卸行李、货物、邮包等物品，其他船舶不准靠近；船上的人员，除因船舶遇险外，未经卫生检疫机关许可，不准离船；引航员不得将船引离检疫锚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第二十七条</w:t>
      </w:r>
      <w:r>
        <w:rPr>
          <w:rFonts w:hint="eastAsia" w:ascii="仿宋" w:hAnsi="仿宋" w:eastAsia="仿宋" w:cs="仿宋"/>
          <w:bCs/>
          <w:sz w:val="32"/>
          <w:szCs w:val="32"/>
        </w:rPr>
        <w:t xml:space="preserve"> 申请电讯检疫的船舶，首先向卫生检疫机关申请卫生检查，合格者发给卫生证书。该证书自签发之日起12个月内可以申请电讯检疫。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第二十八条</w:t>
      </w:r>
      <w:r>
        <w:rPr>
          <w:rFonts w:hint="eastAsia" w:ascii="仿宋" w:hAnsi="仿宋" w:eastAsia="仿宋" w:cs="仿宋"/>
          <w:bCs/>
          <w:sz w:val="32"/>
          <w:szCs w:val="32"/>
        </w:rPr>
        <w:t xml:space="preserve"> 持有效卫生证书的船舶在入境前24小时，应当向卫生检疫机关报告下列事项：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（一）船名、国籍、预定到达检疫锚地的日期和时间；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（二）发航港、最后寄港；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（三）船员和旅客人数及健康状况；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（四）货物种类；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（五）船舶卫生证书的签发日期和编号、除鼠证书或者免予除鼠证书的签发日期和签发港，以及其他卫生证件。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经卫生检疫机关对上述报告答复同意后，即可进港。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第二十九条</w:t>
      </w:r>
      <w:r>
        <w:rPr>
          <w:rFonts w:hint="eastAsia" w:ascii="仿宋" w:hAnsi="仿宋" w:eastAsia="仿宋" w:cs="仿宋"/>
          <w:bCs/>
          <w:sz w:val="32"/>
          <w:szCs w:val="32"/>
        </w:rPr>
        <w:t xml:space="preserve"> 对船舶的入境检疫，在日出后到日落前的时间内实施；凡具备船舶夜航条件，夜间可靠离码头和装卸作业的港口口岸，应实行24小时检疫。对来自疫区的船舶，不实行夜间检疫。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第三十条</w:t>
      </w:r>
      <w:r>
        <w:rPr>
          <w:rFonts w:hint="eastAsia" w:ascii="仿宋" w:hAnsi="仿宋" w:eastAsia="仿宋" w:cs="仿宋"/>
          <w:bCs/>
          <w:sz w:val="32"/>
          <w:szCs w:val="32"/>
        </w:rPr>
        <w:t xml:space="preserve"> 受入境检疫船舶的船长，在检疫医师到达船上时，必须提交由船长签字或者有船医附签的航海健康申报书、船员名单、旅客名单、载货申报单，并出示除鼠证书或者免予除鼠证书。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在查验中，检疫医师有权查阅航海日志和其他有关证件；需要进一步了解船舶航行中卫生情况时，检疫医师可以向船长、船医提出询问，船长、船医必须如实回答。用书面回答时，须经船长签字和船医附签。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第三十一条</w:t>
      </w:r>
      <w:r>
        <w:rPr>
          <w:rFonts w:hint="eastAsia" w:ascii="仿宋" w:hAnsi="仿宋" w:eastAsia="仿宋" w:cs="仿宋"/>
          <w:bCs/>
          <w:sz w:val="32"/>
          <w:szCs w:val="32"/>
        </w:rPr>
        <w:t xml:space="preserve"> 船舶实施入境查验完毕以后，对没有染疫的船舶，检疫医师应当立即签发入境检疫证；如果该船有受卫生处理或者限制的事项，应当在入境检疫证上签注，并按照签注事项办理。对染疫船舶、染疫嫌疑船舶，除通知港务监督机关外，对该船舶还应当发给卫生处理通知书，该船舶上的引航员和经卫生检疫机关许可上船的人员应当视同员工接受有关卫生处理，在卫生处理完毕以后，再发给入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船舶领到卫生检疫机关签发的入境检疫证后，可以降下检疫信号。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第三十二条</w:t>
      </w:r>
      <w:r>
        <w:rPr>
          <w:rFonts w:hint="eastAsia" w:ascii="仿宋" w:hAnsi="仿宋" w:eastAsia="仿宋" w:cs="仿宋"/>
          <w:bCs/>
          <w:sz w:val="32"/>
          <w:szCs w:val="32"/>
        </w:rPr>
        <w:t xml:space="preserve"> 船舶代理应当在受出境检疫的船舶启航以前，尽早向卫生检疫机关通知下列事项：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（一）船名、国籍、预定开航的日期和时间；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（二）目的港、最初寄港；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（三）船员名单和旅客名单；</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（四）货物种类。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港务监督机关应当将船舶确定开航的日期和时间尽早通知卫生检疫机关。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船舶的入境、出境检疫在同一港口实施时，如果船员、旅客没有变动，可以免报船员名单和旅客名单；有变动的，报变动船员、旅客名单。</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第三十三条</w:t>
      </w:r>
      <w:r>
        <w:rPr>
          <w:rFonts w:hint="eastAsia" w:ascii="仿宋" w:hAnsi="仿宋" w:eastAsia="仿宋" w:cs="仿宋"/>
          <w:bCs/>
          <w:sz w:val="32"/>
          <w:szCs w:val="32"/>
        </w:rPr>
        <w:t xml:space="preserve"> 受出境检疫的船舶，船长应当向卫生检疫机关出示除鼠证书或者免予除鼠证书和其他有关检疫证件。检疫医师可以向船长、船医提出有关船员、旅客健康情况和船上卫生情况的询问，船长、船医对上述询问应当如实回答。</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第三十四条</w:t>
      </w:r>
      <w:r>
        <w:rPr>
          <w:rFonts w:hint="eastAsia" w:ascii="仿宋" w:hAnsi="仿宋" w:eastAsia="仿宋" w:cs="仿宋"/>
          <w:bCs/>
          <w:sz w:val="32"/>
          <w:szCs w:val="32"/>
        </w:rPr>
        <w:t xml:space="preserve"> 对船舶实施出境检疫完毕以后，检疫医师应当按照检疫结果立即签发出境检疫证，如果因卫生处理不能按原定时间启航，应当及时通知港务监督机关。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第三十五条</w:t>
      </w:r>
      <w:r>
        <w:rPr>
          <w:rFonts w:hint="eastAsia" w:ascii="仿宋" w:hAnsi="仿宋" w:eastAsia="仿宋" w:cs="仿宋"/>
          <w:bCs/>
          <w:sz w:val="32"/>
          <w:szCs w:val="32"/>
        </w:rPr>
        <w:t xml:space="preserve"> 对船舶实施出境检疫完毕以后，除引航员和经卫生检疫机关许可的人员外，其他人员不准上船，不准装卸行李、货物、邮包等物品。如果违反上述规定，该船舶必须重新实施出境检疫。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第五章　航空检疫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第三十六条</w:t>
      </w:r>
      <w:r>
        <w:rPr>
          <w:rFonts w:hint="eastAsia" w:ascii="仿宋" w:hAnsi="仿宋" w:eastAsia="仿宋" w:cs="仿宋"/>
          <w:bCs/>
          <w:sz w:val="32"/>
          <w:szCs w:val="32"/>
        </w:rPr>
        <w:t xml:space="preserve"> 航空器在飞行中，不得向下投掷或者任其坠下能传播传染病的任何物品。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第三十七条</w:t>
      </w:r>
      <w:r>
        <w:rPr>
          <w:rFonts w:hint="eastAsia" w:ascii="仿宋" w:hAnsi="仿宋" w:eastAsia="仿宋" w:cs="仿宋"/>
          <w:bCs/>
          <w:sz w:val="32"/>
          <w:szCs w:val="32"/>
        </w:rPr>
        <w:t xml:space="preserve"> 实施卫生检疫机场的航空站，应当在受入境检疫的航空器到达以前，尽早向卫生检疫机关通知下列事项：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（一）航空器的国籍、机型、号码、识别标志、预定到达时间；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（二）出发站、经停站；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（三）机组和旅客人数。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第三十八条</w:t>
      </w:r>
      <w:r>
        <w:rPr>
          <w:rFonts w:hint="eastAsia" w:ascii="仿宋" w:hAnsi="仿宋" w:eastAsia="仿宋" w:cs="仿宋"/>
          <w:bCs/>
          <w:sz w:val="32"/>
          <w:szCs w:val="32"/>
        </w:rPr>
        <w:t xml:space="preserve"> 受入境检疫的航空器，如果在飞行中发现检疫传染病、疑似检疫传染病，或者有人非因意外伤害而死亡并死因不明时，机长应当立即通知到达机场的航空站，向卫生检疫机关报告下列事项：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（一）航空器的国籍、机型、号码、识别标志、预定到达时间；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（二）出发站、经停站；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（三）机组和旅客人数；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（四）病名或者主要症状、患病人数、死亡人数。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第三十九条</w:t>
      </w:r>
      <w:r>
        <w:rPr>
          <w:rFonts w:hint="eastAsia" w:ascii="仿宋" w:hAnsi="仿宋" w:eastAsia="仿宋" w:cs="仿宋"/>
          <w:bCs/>
          <w:sz w:val="32"/>
          <w:szCs w:val="32"/>
        </w:rPr>
        <w:t xml:space="preserve"> 受入境检疫的航空器到达机场以后，检疫医师首先登机。机长或者其授权的代理人，必须向卫生检疫机关提交总申报单、旅客名单、货物仓单和有效的灭蚊证书，以及其他有关检疫证件；对检疫医师提出的有关航空器上卫生状况的询问，机长或者其授权的代理人应当如实回答。在检疫没有结束之前，除经卫生检疫机关许可外，任何人不得上下航空器，不准装卸行李、货物、邮包等物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第四十条</w:t>
      </w:r>
      <w:r>
        <w:rPr>
          <w:rFonts w:hint="eastAsia" w:ascii="仿宋" w:hAnsi="仿宋" w:eastAsia="仿宋" w:cs="仿宋"/>
          <w:bCs/>
          <w:sz w:val="32"/>
          <w:szCs w:val="32"/>
        </w:rPr>
        <w:t xml:space="preserve"> 入境旅客必须在指定的地点，接受入境查验，同时用书面或者口头回答检疫医师提出的有关询问。在此期间，入境旅客不得离开查验场所。</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第四十一条</w:t>
      </w:r>
      <w:r>
        <w:rPr>
          <w:rFonts w:hint="eastAsia" w:ascii="仿宋" w:hAnsi="仿宋" w:eastAsia="仿宋" w:cs="仿宋"/>
          <w:bCs/>
          <w:sz w:val="32"/>
          <w:szCs w:val="32"/>
        </w:rPr>
        <w:t xml:space="preserve"> 对入境航空器查验完毕以后，根据查验结果，对没有染疫的航空器，检疫医师应当签发入境检疫证；如果该航空器有受卫生处理或者限制的事项，应当在入境检疫证上签注，由机长或者其授权的代理人负责执行；对染疫或者有染疫嫌疑的航空器，除通知航空站外，对该航空器应当发给卫生处理通知单，在规定的卫生处理完毕以后，再发给入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第四十二条</w:t>
      </w:r>
      <w:r>
        <w:rPr>
          <w:rFonts w:hint="eastAsia" w:ascii="仿宋" w:hAnsi="仿宋" w:eastAsia="仿宋" w:cs="仿宋"/>
          <w:bCs/>
          <w:sz w:val="32"/>
          <w:szCs w:val="32"/>
        </w:rPr>
        <w:t xml:space="preserve"> 实施卫生检疫机场的航空站，应当在受出境检疫的航空器起飞以前，尽早向卫生检疫机关提交总申报单、货物仓单和其他有关检疫证件，并通知下列事项：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（一）航空器的国籍、机型、号码、识别标志、预定起飞时间；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（二）经停站、目的站；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（三）机组和旅客人数。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第四十三条</w:t>
      </w:r>
      <w:r>
        <w:rPr>
          <w:rFonts w:hint="eastAsia" w:ascii="仿宋" w:hAnsi="仿宋" w:eastAsia="仿宋" w:cs="仿宋"/>
          <w:bCs/>
          <w:sz w:val="32"/>
          <w:szCs w:val="32"/>
        </w:rPr>
        <w:t xml:space="preserve"> 对出境航空器查验完毕以后，如果没有染疫，检疫医师应当签发出境检疫证或者在必要的卫生处理完毕以后，再发给出境检疫证；如果该航空器因卫生处理不能按原定时间起飞，应当及时通知航空站。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第六章　陆地边境检疫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第四十四条</w:t>
      </w:r>
      <w:r>
        <w:rPr>
          <w:rFonts w:hint="eastAsia" w:ascii="仿宋" w:hAnsi="仿宋" w:eastAsia="仿宋" w:cs="仿宋"/>
          <w:bCs/>
          <w:sz w:val="32"/>
          <w:szCs w:val="32"/>
        </w:rPr>
        <w:t xml:space="preserve"> 实施卫生检疫的车站，应当在受入境检疫的列车到达之前，尽早向卫生检疫机关通知下列事项：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（一）列车的车次，预定到达的时间；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（二）始发站；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（三）列车编组情况。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第四十五条</w:t>
      </w:r>
      <w:r>
        <w:rPr>
          <w:rFonts w:hint="eastAsia" w:ascii="仿宋" w:hAnsi="仿宋" w:eastAsia="仿宋" w:cs="仿宋"/>
          <w:bCs/>
          <w:sz w:val="32"/>
          <w:szCs w:val="32"/>
        </w:rPr>
        <w:t xml:space="preserve"> 受入境检疫的列车和其他车辆到达车站、关口后，检疫医师首先登车，列车长或者其他车辆负责人，应当口头或者书面向卫生检疫机关申报该列车或者其他车辆上人员的健康情况，对检疫医师提出有关卫生状况和人员健康的询问，应当如实回答。</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第四十六条</w:t>
      </w:r>
      <w:r>
        <w:rPr>
          <w:rFonts w:hint="eastAsia" w:ascii="仿宋" w:hAnsi="仿宋" w:eastAsia="仿宋" w:cs="仿宋"/>
          <w:bCs/>
          <w:sz w:val="32"/>
          <w:szCs w:val="32"/>
        </w:rPr>
        <w:t xml:space="preserve"> 受入境检疫的列车和其他车辆到达车站、关口，在实施入境检疫而未取得入境检疫证以前，未经卫生检疫机关许可，任何人不准上下列车或者其他车辆，不准装卸行李、货物、邮包等物品。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第四十七条</w:t>
      </w:r>
      <w:r>
        <w:rPr>
          <w:rFonts w:hint="eastAsia" w:ascii="仿宋" w:hAnsi="仿宋" w:eastAsia="仿宋" w:cs="仿宋"/>
          <w:bCs/>
          <w:sz w:val="32"/>
          <w:szCs w:val="32"/>
        </w:rPr>
        <w:t xml:space="preserve"> 实施卫生检疫的车站，应当在受出境检疫列车发车以前，尽早向卫生检疫机关通知下列事项：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（一）列车的车次，预定发车的时间；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（二）终到站；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（三）列车编组情况。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第四十八条</w:t>
      </w:r>
      <w:r>
        <w:rPr>
          <w:rFonts w:hint="eastAsia" w:ascii="仿宋" w:hAnsi="仿宋" w:eastAsia="仿宋" w:cs="仿宋"/>
          <w:bCs/>
          <w:sz w:val="32"/>
          <w:szCs w:val="32"/>
        </w:rPr>
        <w:t xml:space="preserve"> 应当受入境、出境检疫的列车和其他车辆，如果在行程中发现检疫传染病、疑似检疫传染病，或者有人非因意外伤害而死亡并死因不明的，列车或者其他车辆到达车站、关口时，列车长或者其他车辆负责人应当向卫生检疫机关报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第四十九条</w:t>
      </w:r>
      <w:r>
        <w:rPr>
          <w:rFonts w:hint="eastAsia" w:ascii="仿宋" w:hAnsi="仿宋" w:eastAsia="仿宋" w:cs="仿宋"/>
          <w:bCs/>
          <w:sz w:val="32"/>
          <w:szCs w:val="32"/>
        </w:rPr>
        <w:t xml:space="preserve"> 受入境、出境检疫的列车，在查验中发现检疫传染病或者疑似检疫传染病，或者因受卫生处理不能按原定时间发车，卫生检疫机关应当及时通知车站的站长。如果列车在原停车地点不宜实施卫生处理，站长可以选择站内其他地点实施卫生处理。在处理完毕之前，未经卫生检疫机关许可，任何人不准上下列车，不准装卸行李、货物、邮包等物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为了保证入境直通列车的正常运输，卫生检疫机关可以派员随车实施检疫，列车长应当提供方便。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第五十条</w:t>
      </w:r>
      <w:r>
        <w:rPr>
          <w:rFonts w:hint="eastAsia" w:ascii="仿宋" w:hAnsi="仿宋" w:eastAsia="仿宋" w:cs="仿宋"/>
          <w:bCs/>
          <w:sz w:val="32"/>
          <w:szCs w:val="32"/>
        </w:rPr>
        <w:t xml:space="preserve"> 对列车或者其他车辆实施入境、出境检疫完毕后，检疫医师应当根据检疫结果分别签发入境、出境检疫证，或者在必要的卫生处理完毕后，再分别签发入境、出境检疫证。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第五十一条</w:t>
      </w:r>
      <w:r>
        <w:rPr>
          <w:rFonts w:hint="eastAsia" w:ascii="仿宋" w:hAnsi="仿宋" w:eastAsia="仿宋" w:cs="仿宋"/>
          <w:bCs/>
          <w:sz w:val="32"/>
          <w:szCs w:val="32"/>
        </w:rPr>
        <w:t xml:space="preserve"> 徒步入境、出境的人员，必须首先在指定的场所接受入境、出境查验，未经卫生检疫机关许可，不准离开指定的场所。</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第五十二条</w:t>
      </w:r>
      <w:r>
        <w:rPr>
          <w:rFonts w:hint="eastAsia" w:ascii="仿宋" w:hAnsi="仿宋" w:eastAsia="仿宋" w:cs="仿宋"/>
          <w:bCs/>
          <w:sz w:val="32"/>
          <w:szCs w:val="32"/>
        </w:rPr>
        <w:t xml:space="preserve"> 受入境、出境检疫的列车以及其他车辆，载有来自疫区、有染疫或者染疫嫌疑或者夹带能传播传染病的病媒昆虫和啮齿动物的货物，应当接受卫生检查和必要的卫生处理。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第七章　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第五十三条</w:t>
      </w:r>
      <w:r>
        <w:rPr>
          <w:rFonts w:hint="eastAsia" w:ascii="仿宋" w:hAnsi="仿宋" w:eastAsia="仿宋" w:cs="仿宋"/>
          <w:bCs/>
          <w:sz w:val="32"/>
          <w:szCs w:val="32"/>
        </w:rPr>
        <w:t xml:space="preserve"> 卫生检疫机关的工作人员在实施卫生处理时，必须注意下列事项：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（一）防止对任何人的健康造成危害；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（二）防止对交通工具的结构和设备造成损害；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（三）防止发生火灾；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（四）防止对行李、货物造成损害。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第五十四条</w:t>
      </w:r>
      <w:r>
        <w:rPr>
          <w:rFonts w:hint="eastAsia" w:ascii="仿宋" w:hAnsi="仿宋" w:eastAsia="仿宋" w:cs="仿宋"/>
          <w:bCs/>
          <w:sz w:val="32"/>
          <w:szCs w:val="32"/>
        </w:rPr>
        <w:t xml:space="preserve"> 入境、出境的集装箱、行李、货物、邮包等物品需要卫生处理的，由卫生检疫机关实施。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入境、出境的交通工具有下列情形之一的，应当由卫生检疫机关实施消毒、除鼠、除虫或者其他卫生处理：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（一）来自检疫传染病疫区的；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（二）被检疫传染病污染的；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（三）发现有与人类健康有关的啮齿动物或者病媒昆虫，超过国家卫生标准的。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第五十五条</w:t>
      </w:r>
      <w:r>
        <w:rPr>
          <w:rFonts w:hint="eastAsia" w:ascii="仿宋" w:hAnsi="仿宋" w:eastAsia="仿宋" w:cs="仿宋"/>
          <w:bCs/>
          <w:sz w:val="32"/>
          <w:szCs w:val="32"/>
        </w:rPr>
        <w:t xml:space="preserve"> 由国外起运经过中华人民共和国境内的货物，如果不在境内换装，除发生在流行病学上有重要意义的事件，需要实施卫生处理外，在一般情况下不实施卫生处理。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第五十六条</w:t>
      </w:r>
      <w:r>
        <w:rPr>
          <w:rFonts w:hint="eastAsia" w:ascii="仿宋" w:hAnsi="仿宋" w:eastAsia="仿宋" w:cs="仿宋"/>
          <w:bCs/>
          <w:sz w:val="32"/>
          <w:szCs w:val="32"/>
        </w:rPr>
        <w:t xml:space="preserve"> 卫生检疫机关对入境、出境的废旧物品和曾行驶于境外港口的废旧交通工具，根据污染程度，分别实施消毒、除鼠、除虫，对污染严重的实施销毁。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第五十七条</w:t>
      </w:r>
      <w:r>
        <w:rPr>
          <w:rFonts w:hint="eastAsia" w:ascii="仿宋" w:hAnsi="仿宋" w:eastAsia="仿宋" w:cs="仿宋"/>
          <w:bCs/>
          <w:sz w:val="32"/>
          <w:szCs w:val="32"/>
        </w:rPr>
        <w:t xml:space="preserve"> 入境、出境的尸体、骸骨托运人或者代理人应当申请卫生检疫，并出示死亡证明或者其他有关证件，对不符合卫生要求的，必须接受卫生检疫机关实施的卫生处理。经卫生检疫合格后，方准运进或者运出。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对因患检疫传染病而死亡的病人尸体，必须就近火化，不准移运。</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第五十八条</w:t>
      </w:r>
      <w:r>
        <w:rPr>
          <w:rFonts w:hint="eastAsia" w:ascii="仿宋" w:hAnsi="仿宋" w:eastAsia="仿宋" w:cs="仿宋"/>
          <w:bCs/>
          <w:sz w:val="32"/>
          <w:szCs w:val="32"/>
        </w:rPr>
        <w:t xml:space="preserve"> 卫生检疫机关对已在到达本口岸前的其他口岸实施卫生处理的交通工具不再重复实施卫生处理。但有下列情形之一的，仍需实施卫生处理：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（一）在原实施卫生处理的口岸或者该交通工具上，发生流行病学上有重要意义的事件，需要进一步实施卫生处理的；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（二）在到达本口岸前的其他口岸实施的卫生处理没有实际效果的。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第五十九条</w:t>
      </w:r>
      <w:r>
        <w:rPr>
          <w:rFonts w:hint="eastAsia" w:ascii="仿宋" w:hAnsi="仿宋" w:eastAsia="仿宋" w:cs="仿宋"/>
          <w:bCs/>
          <w:sz w:val="32"/>
          <w:szCs w:val="32"/>
        </w:rPr>
        <w:t xml:space="preserve"> 在国境口岸或者交通工具上发现啮齿动物有反常死亡或者死因不明的，国境口岸有关单位或者交通工具的负责人，必须立即向卫生检疫机关报告，迅速查明原因，实施卫生处理。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第六十条</w:t>
      </w:r>
      <w:r>
        <w:rPr>
          <w:rFonts w:hint="eastAsia" w:ascii="仿宋" w:hAnsi="仿宋" w:eastAsia="仿宋" w:cs="仿宋"/>
          <w:bCs/>
          <w:sz w:val="32"/>
          <w:szCs w:val="32"/>
        </w:rPr>
        <w:t xml:space="preserve"> 国际航行船舶的船长，必须每隔6个月向卫生检疫机关申请一次鼠患检查，卫生检疫机关根据检查结果实施除鼠或者免予除鼠，并且分别发给除鼠证书或者免予除鼠证书。该证书自签发之日起6个月内有效。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第六十一条</w:t>
      </w:r>
      <w:r>
        <w:rPr>
          <w:rFonts w:hint="eastAsia" w:ascii="仿宋" w:hAnsi="仿宋" w:eastAsia="仿宋" w:cs="仿宋"/>
          <w:bCs/>
          <w:sz w:val="32"/>
          <w:szCs w:val="32"/>
        </w:rPr>
        <w:t xml:space="preserve"> 卫生检疫机关只有在下列之一情况下，经检查确认船舶无鼠害的，方可签发免予除鼠证书：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（一）空舱；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（二）舱内虽然装有压舱物品或者其他物品，但是这些物品不引诱鼠类，放置情况又不妨碍实施鼠患检查。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对油轮在实舱时进行检查，可以签发免予除鼠证书。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第六十二条</w:t>
      </w:r>
      <w:r>
        <w:rPr>
          <w:rFonts w:hint="eastAsia" w:ascii="仿宋" w:hAnsi="仿宋" w:eastAsia="仿宋" w:cs="仿宋"/>
          <w:bCs/>
          <w:sz w:val="32"/>
          <w:szCs w:val="32"/>
        </w:rPr>
        <w:t xml:space="preserve"> 对船舶的鼠患检查或者除鼠，应当尽量在船舶空舱的时候进行。如果船舶因故不宜按期进行鼠患检查或者蒸熏除鼠，并且该船又开往便于实施鼠患检查或者蒸熏除鼠的港口，可以准许该船原有的除鼠证书或者免予除鼠证书的有效期延长1个月，并签发延长证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第六十三条</w:t>
      </w:r>
      <w:r>
        <w:rPr>
          <w:rFonts w:hint="eastAsia" w:ascii="仿宋" w:hAnsi="仿宋" w:eastAsia="仿宋" w:cs="仿宋"/>
          <w:bCs/>
          <w:sz w:val="32"/>
          <w:szCs w:val="32"/>
        </w:rPr>
        <w:t xml:space="preserve"> 对国际航行的船舶，按照国家规定的标准，应当用蒸熏的方法除鼠时，如果该船的除鼠证书或者免予除鼠证书尚未失效，除该船染有鼠疫或者鼠疫嫌疑外，卫生检疫机关应当将除鼠理由通知船长。船长应当按照要求执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第六十四条</w:t>
      </w:r>
      <w:r>
        <w:rPr>
          <w:rFonts w:hint="eastAsia" w:ascii="仿宋" w:hAnsi="仿宋" w:eastAsia="仿宋" w:cs="仿宋"/>
          <w:bCs/>
          <w:sz w:val="32"/>
          <w:szCs w:val="32"/>
        </w:rPr>
        <w:t xml:space="preserve"> 船舶在港口停靠期间，船长应当负责采取下列的措施：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（一）缆绳上必须使用有效的防鼠板，或者其他防鼠装置；</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（二）夜间放置扶梯、桥板时，应当用强光照射；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（三）在船上发现死鼠或者捕获到鼠类时，应当向卫生检疫机关报告。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第六十五条</w:t>
      </w:r>
      <w:r>
        <w:rPr>
          <w:rFonts w:hint="eastAsia" w:ascii="仿宋" w:hAnsi="仿宋" w:eastAsia="仿宋" w:cs="仿宋"/>
          <w:bCs/>
          <w:sz w:val="32"/>
          <w:szCs w:val="32"/>
        </w:rPr>
        <w:t xml:space="preserve"> 在国境口岸停留的国内航行的船舶如果存在鼠患，船方应当进行除鼠。根据船方申请，也可由卫生检疫机关实施除鼠。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第六十六条</w:t>
      </w:r>
      <w:r>
        <w:rPr>
          <w:rFonts w:hint="eastAsia" w:ascii="仿宋" w:hAnsi="仿宋" w:eastAsia="仿宋" w:cs="仿宋"/>
          <w:bCs/>
          <w:sz w:val="32"/>
          <w:szCs w:val="32"/>
        </w:rPr>
        <w:t xml:space="preserve"> 国务院卫生行政部门认为必要时，可以要求来自国外或者国外某些地区的人员在入境时，向卫生检疫机关出示有效的某种预防接种证书或者健康证明。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第六十七条</w:t>
      </w:r>
      <w:r>
        <w:rPr>
          <w:rFonts w:hint="eastAsia" w:ascii="仿宋" w:hAnsi="仿宋" w:eastAsia="仿宋" w:cs="仿宋"/>
          <w:bCs/>
          <w:sz w:val="32"/>
          <w:szCs w:val="32"/>
        </w:rPr>
        <w:t xml:space="preserve"> 预防接种的有效期如下：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（一）黄热病疫苗自接种后第10日起，10年内有效。如果前次接种不满10年又经复种，自复种的当日起，10年内有效；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（二）其他预防接种的有效期，按照有关规定执行。</w:t>
      </w:r>
    </w:p>
    <w:p>
      <w:pPr>
        <w:widowControl w:val="0"/>
        <w:wordWrap/>
        <w:adjustRightInd/>
        <w:snapToGrid/>
        <w:spacing w:line="560" w:lineRule="exact"/>
        <w:jc w:val="center"/>
        <w:textAlignment w:val="auto"/>
        <w:rPr>
          <w:rFonts w:hint="eastAsia" w:ascii="黑体" w:hAnsi="黑体" w:eastAsia="黑体" w:cs="黑体"/>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第八章　检疫传染病管理</w:t>
      </w:r>
    </w:p>
    <w:p>
      <w:pPr>
        <w:widowControl w:val="0"/>
        <w:wordWrap/>
        <w:adjustRightInd/>
        <w:snapToGrid/>
        <w:spacing w:line="560" w:lineRule="exact"/>
        <w:jc w:val="center"/>
        <w:textAlignment w:val="auto"/>
        <w:rPr>
          <w:rFonts w:hint="eastAsia" w:ascii="黑体" w:hAnsi="黑体" w:eastAsia="黑体" w:cs="黑体"/>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第一节　鼠　　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第六十八条</w:t>
      </w:r>
      <w:r>
        <w:rPr>
          <w:rFonts w:hint="eastAsia" w:ascii="仿宋" w:hAnsi="仿宋" w:eastAsia="仿宋" w:cs="仿宋"/>
          <w:bCs/>
          <w:sz w:val="32"/>
          <w:szCs w:val="32"/>
        </w:rPr>
        <w:t xml:space="preserve"> 鼠疫的潜伏期为6日。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第六十九条 </w:t>
      </w:r>
      <w:r>
        <w:rPr>
          <w:rFonts w:hint="eastAsia" w:ascii="仿宋" w:hAnsi="仿宋" w:eastAsia="仿宋" w:cs="仿宋"/>
          <w:bCs/>
          <w:sz w:val="32"/>
          <w:szCs w:val="32"/>
        </w:rPr>
        <w:t>船舶、航空器在到达时，有下列情形之一的，为染有鼠疫：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（一）船舶、航空器上有鼠疫病例的；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（二）船舶、航空器上发现有感染鼠疫的啮齿动物的；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（三）船舶上曾经有人在上船6日以后患鼠疫的。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第七十条</w:t>
      </w:r>
      <w:r>
        <w:rPr>
          <w:rFonts w:hint="eastAsia" w:ascii="仿宋" w:hAnsi="仿宋" w:eastAsia="仿宋" w:cs="仿宋"/>
          <w:bCs/>
          <w:sz w:val="32"/>
          <w:szCs w:val="32"/>
        </w:rPr>
        <w:t xml:space="preserve"> 船舶在到达时，有下列情形之一的，为染有鼠疫嫌疑：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（一）船舶上没有鼠疫病例，但曾经有人在上船后6日以内患鼠疫的；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（二）船上啮齿动物有反常死亡，并且死因不明的。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第七十一条</w:t>
      </w:r>
      <w:r>
        <w:rPr>
          <w:rFonts w:hint="eastAsia" w:ascii="仿宋" w:hAnsi="仿宋" w:eastAsia="仿宋" w:cs="仿宋"/>
          <w:bCs/>
          <w:sz w:val="32"/>
          <w:szCs w:val="32"/>
        </w:rPr>
        <w:t xml:space="preserve"> 对染有鼠疫的船舶、航空器应当实施下列卫生处理：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（一）对染疫人实施隔离；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（二）对染疫嫌疑人实施除虫，并且从到达时算起，实施不超过6日的就地诊验或者留验。在此期间，船上的船员除因工作需要并且经卫生检疫机关许可外，不准上岸；</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（三）对染疫人、染疫嫌疑人的行李、使用过的其他物品和卫生检疫机关认为有污染嫌疑的物品，实施除虫，必要时实施消毒；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（四）对染疫人占用过的部位和卫生检疫机关认为有污染嫌疑的部位，实施除虫，必要时实施消毒；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船舶、航空器上有感染鼠疫的啮齿动物，卫生检疫机关必须实施除鼠。如果船舶上发现只有未感染鼠疫的啮齿动物，卫生检疫机关也可以实施除鼠。实施除鼠可以在隔离的情况下进行。对船舶的除鼠应当在卸货以前进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（六）卸货应当在卫生检疫机关的监督下进行，并且防止卸货的工作人员遭受感染，必要时，对卸货的工作人员从卸货完毕时算起，实施不超过6日的就地诊验或者留验。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第七十二条</w:t>
      </w:r>
      <w:r>
        <w:rPr>
          <w:rFonts w:hint="eastAsia" w:ascii="仿宋" w:hAnsi="仿宋" w:eastAsia="仿宋" w:cs="仿宋"/>
          <w:bCs/>
          <w:sz w:val="32"/>
          <w:szCs w:val="32"/>
        </w:rPr>
        <w:t xml:space="preserve"> 对染有鼠疫嫌疑的船舶，应当实施本细则第七十一条第（二）至第（六）项规定的卫生处理。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第七十三条</w:t>
      </w:r>
      <w:r>
        <w:rPr>
          <w:rFonts w:hint="eastAsia" w:ascii="仿宋" w:hAnsi="仿宋" w:eastAsia="仿宋" w:cs="仿宋"/>
          <w:bCs/>
          <w:sz w:val="32"/>
          <w:szCs w:val="32"/>
        </w:rPr>
        <w:t xml:space="preserve"> 对没有染疫的船舶、航空器，如果来自鼠疫疫区，卫生检疫机关认为必要时，可以实施下列卫生处理：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（一）对离船、离航空器的染疫嫌疑人，从船舶、航空器离开疫区的时候算起，实施不超过6日的就地诊验或者留验；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（二）在特殊情况下，对船舶、航空器实施除鼠。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第七十四条</w:t>
      </w:r>
      <w:r>
        <w:rPr>
          <w:rFonts w:hint="eastAsia" w:ascii="仿宋" w:hAnsi="仿宋" w:eastAsia="仿宋" w:cs="仿宋"/>
          <w:bCs/>
          <w:sz w:val="32"/>
          <w:szCs w:val="32"/>
        </w:rPr>
        <w:t xml:space="preserve"> 对到达的时候载有鼠疫病例的列车和其他车辆，应当实施下列卫生处理：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（一）本细则第七十一条第（一）、第（三）、第（四）、第（六）项规定的卫生处理；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（二）对染疫嫌疑人实施除虫，并且从到达时算起，实施不超过6日的就地诊验或者留验；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（三）必要时，对列车和其他车辆实施除鼠。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第二节　霍　　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第七十五条</w:t>
      </w:r>
      <w:r>
        <w:rPr>
          <w:rFonts w:hint="eastAsia" w:ascii="仿宋" w:hAnsi="仿宋" w:eastAsia="仿宋" w:cs="仿宋"/>
          <w:bCs/>
          <w:sz w:val="32"/>
          <w:szCs w:val="32"/>
        </w:rPr>
        <w:t xml:space="preserve"> 霍乱潜伏期为5日。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第七十六条</w:t>
      </w:r>
      <w:r>
        <w:rPr>
          <w:rFonts w:hint="eastAsia" w:ascii="仿宋" w:hAnsi="仿宋" w:eastAsia="仿宋" w:cs="仿宋"/>
          <w:bCs/>
          <w:sz w:val="32"/>
          <w:szCs w:val="32"/>
        </w:rPr>
        <w:t xml:space="preserve"> 船舶在到达的时候载有霍乱病例，或者在到达前5日以内，船上曾经有霍乱病例发生，为染有霍乱。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船舶在航行中曾经有霍乱病例发生，但是在到达前5日以内，没有发生新病例，为染有霍乱嫌疑。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第七十七条</w:t>
      </w:r>
      <w:r>
        <w:rPr>
          <w:rFonts w:hint="eastAsia" w:ascii="仿宋" w:hAnsi="仿宋" w:eastAsia="仿宋" w:cs="仿宋"/>
          <w:bCs/>
          <w:sz w:val="32"/>
          <w:szCs w:val="32"/>
        </w:rPr>
        <w:t xml:space="preserve"> 航空器在到达的时候载有霍乱病例，为染有霍乱。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航空器在航行中曾经有霍乱病例发生，但在到达以前该病员已经离去，为染有霍乱嫌疑。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第七十八条</w:t>
      </w:r>
      <w:r>
        <w:rPr>
          <w:rFonts w:hint="eastAsia" w:ascii="仿宋" w:hAnsi="仿宋" w:eastAsia="仿宋" w:cs="仿宋"/>
          <w:bCs/>
          <w:sz w:val="32"/>
          <w:szCs w:val="32"/>
        </w:rPr>
        <w:t xml:space="preserve"> 对染有霍乱的船舶、航空器，应当实施下列卫生处理：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（一）对染疫人实施隔离；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（二）对离船、离航空器的员工、旅客，从卫生处理完毕时算起，实施不超过5日的就地诊验或者留验；从船舶到达时算起5日内，船上的船员除因工作需要，并且经卫生检疫机关许可外，不准上岸；</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（三）对染疫人、染疫嫌疑人的行李，使用过的其他物品和有污染嫌疑的物品、食品实施消毒；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（四）对染疫人占用的部位，污染嫌疑部位，实施消毒；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（五）对污染或者有污染嫌疑的饮用水，应当实施消毒后排放，并在储水容器消毒后再换清洁饮用水；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（六）人的排泄物、垃圾、废水、废物和装自霍乱疫区的压舱水，未经消毒，不准排放和移下；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（七）卸货必须在卫生检疫机关监督下进行，并且防止工作人员遭受感染，必要时，对卸货工作人员从卸货完毕时算起，实施不超过5日的就地诊验或者留验。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第七十九条</w:t>
      </w:r>
      <w:r>
        <w:rPr>
          <w:rFonts w:hint="eastAsia" w:ascii="仿宋" w:hAnsi="仿宋" w:eastAsia="仿宋" w:cs="仿宋"/>
          <w:bCs/>
          <w:sz w:val="32"/>
          <w:szCs w:val="32"/>
        </w:rPr>
        <w:t xml:space="preserve"> 对染有霍乱嫌疑的船舶、航空器应当实施下列卫生处理：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（一）本细则第七十八条第（二）至第（七）项规定的卫生处理；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离船、离航空器的员工、旅客从到达时算起，实施不超过5日的就地诊验或者留验。在此期间，船上的船员除因工作需要，并经卫生检疫机关许可外，不准离开口岸区域；或者对离船、离航空器的员工、旅客，从离开疫区时算起，实施不超过5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第八十条</w:t>
      </w:r>
      <w:r>
        <w:rPr>
          <w:rFonts w:hint="eastAsia" w:ascii="仿宋" w:hAnsi="仿宋" w:eastAsia="仿宋" w:cs="仿宋"/>
          <w:bCs/>
          <w:sz w:val="32"/>
          <w:szCs w:val="32"/>
        </w:rPr>
        <w:t xml:space="preserve"> 对没有染疫的船舶、航空器，如果来自霍乱疫区，卫生检疫机关认为必要时，可以实施下列卫生处理：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（一）本细则第七十八条第（五）、第（六）项规定的卫生处理；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（二）对离船、离航空器的员工、旅客，从离开疫区时算起，实施不超过5日的就地诊验或者留验。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第八十一条</w:t>
      </w:r>
      <w:r>
        <w:rPr>
          <w:rFonts w:hint="eastAsia" w:ascii="仿宋" w:hAnsi="仿宋" w:eastAsia="仿宋" w:cs="仿宋"/>
          <w:bCs/>
          <w:sz w:val="32"/>
          <w:szCs w:val="32"/>
        </w:rPr>
        <w:t xml:space="preserve"> 对到达时载有霍乱病例的列车和其他车辆应当实施下列卫生处理：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（一）按本细则第七十八条第（一）、第（三）、第（四）、第（五）、第（七）项规定的卫生处理；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（二）对染疫嫌疑人从到达时算起，实施不超过5日的就地诊验或者留验。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第八十二条</w:t>
      </w:r>
      <w:r>
        <w:rPr>
          <w:rFonts w:hint="eastAsia" w:ascii="仿宋" w:hAnsi="仿宋" w:eastAsia="仿宋" w:cs="仿宋"/>
          <w:bCs/>
          <w:sz w:val="32"/>
          <w:szCs w:val="32"/>
        </w:rPr>
        <w:t xml:space="preserve"> 对来自霍乱疫区的或者染有霍乱嫌疑的交通工具，卫生检疫机关认为必要时，可以实施除虫、消毒；如果交通工具载有水产品、水果、蔬菜、饮料及其他食品，除装在密封容器内没有被污染外，未经卫生检疫机关许可，不准卸下，必要时可以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第八十三条</w:t>
      </w:r>
      <w:r>
        <w:rPr>
          <w:rFonts w:hint="eastAsia" w:ascii="仿宋" w:hAnsi="仿宋" w:eastAsia="仿宋" w:cs="仿宋"/>
          <w:bCs/>
          <w:sz w:val="32"/>
          <w:szCs w:val="32"/>
        </w:rPr>
        <w:t xml:space="preserve"> 对来自霍乱疫区的水产品、水果、蔬菜、饮料以及装有这些制品的邮包，卫生检疫机关在查验时，为了判明是否被污染，可以抽样检验，必要时可以实施卫生处理。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第三节　黄 热 病</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第八十四条</w:t>
      </w:r>
      <w:r>
        <w:rPr>
          <w:rFonts w:hint="eastAsia" w:ascii="仿宋" w:hAnsi="仿宋" w:eastAsia="仿宋" w:cs="仿宋"/>
          <w:bCs/>
          <w:sz w:val="32"/>
          <w:szCs w:val="32"/>
        </w:rPr>
        <w:t xml:space="preserve"> 黄热病的潜伏期为6日。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第八十五条 </w:t>
      </w:r>
      <w:r>
        <w:rPr>
          <w:rFonts w:hint="eastAsia" w:ascii="仿宋" w:hAnsi="仿宋" w:eastAsia="仿宋" w:cs="仿宋"/>
          <w:bCs/>
          <w:sz w:val="32"/>
          <w:szCs w:val="32"/>
        </w:rPr>
        <w:t>来自黄热病疫区的人员，在入境时，必须向卫生检疫机关出示有效的黄热病预防接种证书。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对无有效的黄热病预防接种证书的人员，卫生检疫机关可以从该人员离开感染环境的时候算起，实施6日的留验，或者实施预防接种并留验到黄热病预防接种证书生效时为止。</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第八十六条</w:t>
      </w:r>
      <w:r>
        <w:rPr>
          <w:rFonts w:hint="eastAsia" w:ascii="仿宋" w:hAnsi="仿宋" w:eastAsia="仿宋" w:cs="仿宋"/>
          <w:bCs/>
          <w:sz w:val="32"/>
          <w:szCs w:val="32"/>
        </w:rPr>
        <w:t xml:space="preserve"> 航空器到达时载有黄热病病例，为染有黄热病。</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第八十七条</w:t>
      </w:r>
      <w:r>
        <w:rPr>
          <w:rFonts w:hint="eastAsia" w:ascii="仿宋" w:hAnsi="仿宋" w:eastAsia="仿宋" w:cs="仿宋"/>
          <w:bCs/>
          <w:sz w:val="32"/>
          <w:szCs w:val="32"/>
        </w:rPr>
        <w:t xml:space="preserve"> 来自黄热病疫区的航空器，应当出示在疫区起飞前的灭蚊证书；如果在到达时不出示灭蚊证书，或者卫生检疫机关认为出示的灭蚊证书不符合要求，并且在航空器上发现活蚊，为染有黄热病嫌疑。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第八十八条</w:t>
      </w:r>
      <w:r>
        <w:rPr>
          <w:rFonts w:hint="eastAsia" w:ascii="仿宋" w:hAnsi="仿宋" w:eastAsia="仿宋" w:cs="仿宋"/>
          <w:bCs/>
          <w:sz w:val="32"/>
          <w:szCs w:val="32"/>
        </w:rPr>
        <w:t xml:space="preserve"> 船舶在到达时载有黄热病病例，或者在航行中曾经有黄热病病例发生，为染有黄热病。</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船舶在到达时，如果离开黄热病疫区没有满6日，或者没有满30日并且在船上发现埃及伊蚊或者其他黄热病媒介，为染有黄热病嫌疑。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第八十九条</w:t>
      </w:r>
      <w:r>
        <w:rPr>
          <w:rFonts w:hint="eastAsia" w:ascii="仿宋" w:hAnsi="仿宋" w:eastAsia="仿宋" w:cs="仿宋"/>
          <w:bCs/>
          <w:sz w:val="32"/>
          <w:szCs w:val="32"/>
        </w:rPr>
        <w:t xml:space="preserve"> 对染有黄热病的船舶、航空器，应当实施下列卫生处理：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（一）对染疫人实施隔离；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（二）对离船、离航空器又无有效的黄热病预防接种证书的员工、旅客，实施本细则第八十五条规定的卫生处理；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（三）彻底杀灭船舶、航空器上的埃及伊蚊及其虫卵、幼虫和其他黄热病媒介，并且在没有完成灭蚊以前限制该船与陆地和其他船舶的距离不少于400米；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卸货应当在灭蚊以后进行，如果在灭蚊以前卸货，应当在卫生检疫机关监督下进行，并且采取预防措施，使卸货的工作人员免受感染，必要时，对卸货的工作人员，从卸货完毕时算起，实施6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第九十条 </w:t>
      </w:r>
      <w:r>
        <w:rPr>
          <w:rFonts w:hint="eastAsia" w:ascii="仿宋" w:hAnsi="仿宋" w:eastAsia="仿宋" w:cs="仿宋"/>
          <w:bCs/>
          <w:sz w:val="32"/>
          <w:szCs w:val="32"/>
        </w:rPr>
        <w:t>对染有黄热病嫌疑的船舶、航空器，应当实施本细则第八十九条第（二）至第（四）项规定的卫生处理。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第九十一条 </w:t>
      </w:r>
      <w:r>
        <w:rPr>
          <w:rFonts w:hint="eastAsia" w:ascii="仿宋" w:hAnsi="仿宋" w:eastAsia="仿宋" w:cs="仿宋"/>
          <w:bCs/>
          <w:sz w:val="32"/>
          <w:szCs w:val="32"/>
        </w:rPr>
        <w:t>对没有染疫的船舶、航空器，如果来自黄热病疫区，卫生检疫机关认为必要时，可以实施本细则第八十九条第（三）项规定的卫生处理。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第九十二条</w:t>
      </w:r>
      <w:r>
        <w:rPr>
          <w:rFonts w:hint="eastAsia" w:ascii="仿宋" w:hAnsi="仿宋" w:eastAsia="仿宋" w:cs="仿宋"/>
          <w:bCs/>
          <w:sz w:val="32"/>
          <w:szCs w:val="32"/>
        </w:rPr>
        <w:t xml:space="preserve"> 对到达的时候载有黄热病病例的列车和其他车辆，或者来自黄热病疫区的列车和其他车辆，应当实施本细则第八十九条第（一）、第（四）项规定的卫生处理；对列车、车辆彻底杀灭成蚊及其虫卵、幼虫；对无有效黄热病预防接种证书的员工、旅客，应当实施本细则第八十五条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第四节　就地诊验、留验和隔离</w:t>
      </w:r>
    </w:p>
    <w:p>
      <w:pPr>
        <w:widowControl w:val="0"/>
        <w:wordWrap/>
        <w:adjustRightInd/>
        <w:snapToGrid/>
        <w:spacing w:line="560" w:lineRule="exact"/>
        <w:jc w:val="center"/>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第九十三条</w:t>
      </w:r>
      <w:r>
        <w:rPr>
          <w:rFonts w:hint="eastAsia" w:ascii="仿宋" w:hAnsi="仿宋" w:eastAsia="仿宋" w:cs="仿宋"/>
          <w:bCs/>
          <w:sz w:val="32"/>
          <w:szCs w:val="32"/>
        </w:rPr>
        <w:t xml:space="preserve"> 卫生检疫机关对受就地诊验的人员，应当发给就地诊验记录簿，必要的时候，可以在该人员出具履行就地诊验的保证书以后，再发给其就地诊验记录簿。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受就地诊验的人员应当携带就地诊验记录簿，按照卫生检疫机关指定的期间、地点，接受医学检查；如果就地诊验的结果没有染疫，就地诊验期满的时候，受就地诊验的人员应当将就地诊验记录簿退还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第九十四条</w:t>
      </w:r>
      <w:r>
        <w:rPr>
          <w:rFonts w:hint="eastAsia" w:ascii="仿宋" w:hAnsi="仿宋" w:eastAsia="仿宋" w:cs="仿宋"/>
          <w:bCs/>
          <w:sz w:val="32"/>
          <w:szCs w:val="32"/>
        </w:rPr>
        <w:t xml:space="preserve"> 卫生检疫机关应当将受就地诊验人员的情况，用最快的方法通知受就地诊验人员的旅行停留地的卫生检疫机关或者其他医疗卫生单位。</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检疫机关、医疗卫生单位遇有受就地诊验的人员请求医学检查时，应当视同急诊给予医学检查，并将检查结果在就地诊验记录簿上签注；如果发现其患检疫传染病或者监测传染病、疑似检疫传染病或者疑似监测传染病时，应当立即采取必要的卫生措施，将其就地诊验记录簿收回存查，并且报告当地卫生防疫机构和签发就地诊验记录簿的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第九十五条</w:t>
      </w:r>
      <w:r>
        <w:rPr>
          <w:rFonts w:hint="eastAsia" w:ascii="仿宋" w:hAnsi="仿宋" w:eastAsia="仿宋" w:cs="仿宋"/>
          <w:bCs/>
          <w:sz w:val="32"/>
          <w:szCs w:val="32"/>
        </w:rPr>
        <w:t xml:space="preserve"> 受留验的人员必须在卫生检疫机关指定的场所接受留验；但是有下列情形之一的，经卫生检疫机关同意，可以在船上留验：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（一）船长请求船员在船上留验的；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（二）旅客请求在船上留验，经船长同意，并且船上有船医和医疗、消毒设备的。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第九十六条</w:t>
      </w:r>
      <w:r>
        <w:rPr>
          <w:rFonts w:hint="eastAsia" w:ascii="仿宋" w:hAnsi="仿宋" w:eastAsia="仿宋" w:cs="仿宋"/>
          <w:bCs/>
          <w:sz w:val="32"/>
          <w:szCs w:val="32"/>
        </w:rPr>
        <w:t xml:space="preserve"> 受留验的人员在留验期间如果出现检疫传染病的症状，卫生检疫机关应当立即对该人员实施隔离，对与其接触的其他受留验的人员，应当实施必要的卫生处理，并且从卫生处理完毕时算起，重新计算留验时间。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第九章　传染病监测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第九十七条 </w:t>
      </w:r>
      <w:r>
        <w:rPr>
          <w:rFonts w:hint="eastAsia" w:ascii="仿宋" w:hAnsi="仿宋" w:eastAsia="仿宋" w:cs="仿宋"/>
          <w:bCs/>
          <w:sz w:val="32"/>
          <w:szCs w:val="32"/>
        </w:rPr>
        <w:t>入境、出境的交通工具、人员、食品、饮用水和其他物品以及病媒昆虫、动物，均为传染病监测的对象。</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第九十八条</w:t>
      </w:r>
      <w:r>
        <w:rPr>
          <w:rFonts w:hint="eastAsia" w:ascii="仿宋" w:hAnsi="仿宋" w:eastAsia="仿宋" w:cs="仿宋"/>
          <w:bCs/>
          <w:sz w:val="32"/>
          <w:szCs w:val="32"/>
        </w:rPr>
        <w:t xml:space="preserve"> 传染病监测内容是：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（一）首发病例的个案调查；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（二）暴发流行的流行病学调查；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（三）传染源调查；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（四）国境口岸内监测传染病的回顾性调查；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（五）病原体的分离、鉴定，人群、有关动物血清学调查以及流行病学调查；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（六）有关动物、病媒昆虫、食品、饮用水和环境因素的调查；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（七）消毒、除鼠、除虫的效果观察与评价；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（八）国境口岸以及国内外监测传染病疫情的收集、整理、分析和传递；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（九）对监测对象开展健康检查和对监测传染病病人、疑似病人、密切接触人员的管理。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第九十九条</w:t>
      </w:r>
      <w:r>
        <w:rPr>
          <w:rFonts w:hint="eastAsia" w:ascii="仿宋" w:hAnsi="仿宋" w:eastAsia="仿宋" w:cs="仿宋"/>
          <w:bCs/>
          <w:sz w:val="32"/>
          <w:szCs w:val="32"/>
        </w:rPr>
        <w:t xml:space="preserve"> 卫生检疫机关应当阻止患有严重精神病、传染性肺结核病或者有可能对公共卫生造成重大危害的其他传染病的外国人入境。</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第一百条</w:t>
      </w:r>
      <w:r>
        <w:rPr>
          <w:rFonts w:hint="eastAsia" w:ascii="仿宋" w:hAnsi="仿宋" w:eastAsia="仿宋" w:cs="仿宋"/>
          <w:bCs/>
          <w:sz w:val="32"/>
          <w:szCs w:val="32"/>
        </w:rPr>
        <w:t xml:space="preserve"> 受入境、出境检疫的人员，必须根据检疫医师的要求，如实填报健康申明卡，出示某种有效的传染病预防接种证书、健康证明或者其他有关证件。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第一百零一条</w:t>
      </w:r>
      <w:r>
        <w:rPr>
          <w:rFonts w:hint="eastAsia" w:ascii="仿宋" w:hAnsi="仿宋" w:eastAsia="仿宋" w:cs="仿宋"/>
          <w:bCs/>
          <w:sz w:val="32"/>
          <w:szCs w:val="32"/>
        </w:rPr>
        <w:t xml:space="preserve"> 卫生检疫机关对国境口岸的涉外宾馆、饭店内居住的入境、出境人员及工作人员实施传染病监测，并区别情况采取必要的预防、控制措施。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对来自检疫传染病和监测传染病疫区的人员，检疫医师可以根据流行病学和医学检查结果，发给就诊方便卡。</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检疫机关、医疗卫生单位遇到持有就诊方便卡的人员请求医学检查时，应当视同急诊给予医学检查；如果发现其患检疫传染病或者监测传染病，疑似检疫传染病或者疑似监测传染病，应当立即实施必要的卫生措施，并且将情况报告当地卫生防疫机构和签发就诊方便卡的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第一百零二条</w:t>
      </w:r>
      <w:r>
        <w:rPr>
          <w:rFonts w:hint="eastAsia" w:ascii="仿宋" w:hAnsi="仿宋" w:eastAsia="仿宋" w:cs="仿宋"/>
          <w:bCs/>
          <w:sz w:val="32"/>
          <w:szCs w:val="32"/>
        </w:rPr>
        <w:t xml:space="preserve"> 凡申请出境居住1年以上的中国籍人员，必须持有卫生检疫机关签发的健康证明。中国公民出境、入境管理机关凭卫生检疫机关签发的健康证明办理出境手续。</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凡在境外居住1年以上的中国籍人员，入境时必须向卫生检疫机关申报健康情况，并在入境后1个月内到就近的卫生检疫机关或者县级以上的医院进行健康检查。公安机关凭健康证明办理有关手续。健康证明的副本应当寄送到原入境口岸的卫生检疫机关备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国际通行交通工具上的中国籍员工，应当持有卫生检疫机关或者县级以上医院出具的健康证明。健康证明的项目、格式由海关总署统一规定，有效期为12个月。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第一百零三条</w:t>
      </w:r>
      <w:r>
        <w:rPr>
          <w:rFonts w:hint="eastAsia" w:ascii="仿宋" w:hAnsi="仿宋" w:eastAsia="仿宋" w:cs="仿宋"/>
          <w:bCs/>
          <w:sz w:val="32"/>
          <w:szCs w:val="32"/>
        </w:rPr>
        <w:t xml:space="preserve"> 卫生检疫机关在国境口岸内设立传染病监测点时，有关单位应当给予协助并提供方便。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第十章　卫生监督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第一百零四条</w:t>
      </w:r>
      <w:r>
        <w:rPr>
          <w:rFonts w:hint="eastAsia" w:ascii="仿宋" w:hAnsi="仿宋" w:eastAsia="仿宋" w:cs="仿宋"/>
          <w:bCs/>
          <w:sz w:val="32"/>
          <w:szCs w:val="32"/>
        </w:rPr>
        <w:t xml:space="preserve"> 卫生检疫机关依照《国境卫生检疫法》第十八条、第十九条规定的内容，对国境口岸和交通工具实施卫生监督。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第一百零五条</w:t>
      </w:r>
      <w:r>
        <w:rPr>
          <w:rFonts w:hint="eastAsia" w:ascii="仿宋" w:hAnsi="仿宋" w:eastAsia="仿宋" w:cs="仿宋"/>
          <w:bCs/>
          <w:sz w:val="32"/>
          <w:szCs w:val="32"/>
        </w:rPr>
        <w:t xml:space="preserve"> 对国境口岸的卫生要求是：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（一）国境口岸和国境口岸内涉外的宾馆、生活服务单位以及候船、候车、候机厅（室）应当有健全的卫生制度和必要的卫生设施，并保持室内外环境整洁、通风良好；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（二）国境口岸有关部门应当采取切实可行的措施，控制啮齿动物、病媒昆虫，使其数量降低到不足为害的程度。仓库、货场必须具有防鼠设施；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（三）国境口岸的垃圾、废物、污水、粪便必须进行无害化处理，保持国境口岸环境整洁卫生。</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第一百零六条</w:t>
      </w:r>
      <w:r>
        <w:rPr>
          <w:rFonts w:hint="eastAsia" w:ascii="仿宋" w:hAnsi="仿宋" w:eastAsia="仿宋" w:cs="仿宋"/>
          <w:bCs/>
          <w:sz w:val="32"/>
          <w:szCs w:val="32"/>
        </w:rPr>
        <w:t xml:space="preserve"> 对交通工具的卫生要求是：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（一）交通工具上的宿舱、车厢必须保持清洁卫生，通风良好；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（二）交通工具上必须备有足够的消毒、除鼠、除虫药物及器械，并备有防鼠装置；</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（三）交通工具上的货舱、行李舱、货车车厢在装货前或者卸货后应当进行彻底清扫，有毒物品和食品不得混装，防止污染；</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（四）对不符合卫生要求的入境、出境交通工具，必须接受卫生检疫机关的督导立即进行改进。</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第一百零七条</w:t>
      </w:r>
      <w:r>
        <w:rPr>
          <w:rFonts w:hint="eastAsia" w:ascii="仿宋" w:hAnsi="仿宋" w:eastAsia="仿宋" w:cs="仿宋"/>
          <w:bCs/>
          <w:sz w:val="32"/>
          <w:szCs w:val="32"/>
        </w:rPr>
        <w:t xml:space="preserve"> 对饮用水、食品及从业人员的卫生要求是：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（一）国境口岸和交通工具上的食品、饮用水必须符合有关的卫生标准；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（二）国境口岸内的涉外宾馆，以及向入境、出境的交通工具提供饮食服务的部门，必须取得卫生检疫机关发放的卫生许可证；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（三）国境口岸内涉外的宾馆和入境、出境交通工具上的食品、饮用水从业人员应当持有有效健康证明。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第一百零八条</w:t>
      </w:r>
      <w:r>
        <w:rPr>
          <w:rFonts w:hint="eastAsia" w:ascii="仿宋" w:hAnsi="仿宋" w:eastAsia="仿宋" w:cs="仿宋"/>
          <w:bCs/>
          <w:sz w:val="32"/>
          <w:szCs w:val="32"/>
        </w:rPr>
        <w:t xml:space="preserve"> 国境口岸有关单位和交通工具负责人应当遵守下列事项：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（一）遵守《国境卫生检疫法》和本细则及有关卫生法规的规定；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（二）接受卫生监督员的监督和检查，并为其工作提供方便；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（三）按照卫生监督员的建议，对国境口岸和交通工具的卫生状况及时采取改进措施。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第十一章　罚则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第一百零九条</w:t>
      </w:r>
      <w:r>
        <w:rPr>
          <w:rFonts w:hint="eastAsia" w:ascii="仿宋" w:hAnsi="仿宋" w:eastAsia="仿宋" w:cs="仿宋"/>
          <w:bCs/>
          <w:sz w:val="32"/>
          <w:szCs w:val="32"/>
        </w:rPr>
        <w:t xml:space="preserve"> 《国境卫生检疫法》和本细则所规定的应当受行政处罚的行为是指：</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（一）应当受入境检疫的船舶，不悬挂检疫信号的；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（二）入境、出境的交通工具，在入境检疫之前或者在出境检疫之后，擅自上下人员，装卸行李、货物、邮包等物品的；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（三）拒绝接受检疫或者抵制卫生监督，拒不接受卫生处理的；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（四）伪造或者涂改检疫单、证、不如实申报疫情的；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（五）瞒报携带禁止进口的微生物、人体组织、生物制品、血液及其制品或者其他可能引起传染病传播的动物和物品的；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（六）未经检疫的入境、出境交通工具，擅自离开检疫地点，逃避查验的；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（七）隐瞒疫情或者伪造情节的；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（八）未经卫生检疫机关实施卫生处理，擅自排放压舱水，移下垃圾、污物等控制的物品的；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（九）未经卫生检疫机关实施卫生处理，擅自移运尸体、骸骨的；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（十）废旧物品、废旧交通工具，未向卫生检疫机关申报，未经卫生检疫机关实施卫生处理和签发卫生检疫证书而擅自入境、出境或者使用、拆卸的；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（十一）未经卫生检疫机关检查，从交通工具上移下传染病病人造成传染病传播危险的。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第一百一十条</w:t>
      </w:r>
      <w:r>
        <w:rPr>
          <w:rFonts w:hint="eastAsia" w:ascii="仿宋" w:hAnsi="仿宋" w:eastAsia="仿宋" w:cs="仿宋"/>
          <w:bCs/>
          <w:sz w:val="32"/>
          <w:szCs w:val="32"/>
        </w:rPr>
        <w:t xml:space="preserve"> 具有本细则第一百零九条所列第（一）至第（五）项行为的，处以警告或者100元以上5000元以下的罚款；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具有本细则第一百零九条所列第（六）至第（九）项行为的，处以1000元以上1万元以下的罚款；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具有本细则第一百零九条所列第（十）、第（十一）项行为的，处以5000元以上3万元以下的罚款。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第一百一十一条</w:t>
      </w:r>
      <w:r>
        <w:rPr>
          <w:rFonts w:hint="eastAsia" w:ascii="仿宋" w:hAnsi="仿宋" w:eastAsia="仿宋" w:cs="仿宋"/>
          <w:bCs/>
          <w:sz w:val="32"/>
          <w:szCs w:val="32"/>
        </w:rPr>
        <w:t xml:space="preserve"> 卫生检疫机关在收取罚款时，应当出具正式的罚款收据。罚款全部上交国库。</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第十二章　附则</w:t>
      </w:r>
    </w:p>
    <w:p>
      <w:pPr>
        <w:pStyle w:val="3"/>
        <w:rPr>
          <w:rFonts w:hint="eastAsia"/>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第一百一十二条</w:t>
      </w:r>
      <w:r>
        <w:rPr>
          <w:rFonts w:hint="eastAsia" w:ascii="仿宋" w:hAnsi="仿宋" w:eastAsia="仿宋" w:cs="仿宋"/>
          <w:bCs/>
          <w:sz w:val="32"/>
          <w:szCs w:val="32"/>
        </w:rPr>
        <w:t xml:space="preserve"> 国境卫生检疫机关实施卫生检疫的收费标准，由海关总署会同国务院财政、物价部门共同制定。</w:t>
      </w:r>
    </w:p>
    <w:p>
      <w:pPr>
        <w:widowControl w:val="0"/>
        <w:wordWrap/>
        <w:adjustRightInd/>
        <w:snapToGrid/>
        <w:spacing w:line="560" w:lineRule="exact"/>
        <w:ind w:firstLine="640" w:firstLineChars="200"/>
        <w:textAlignment w:val="auto"/>
        <w:rPr>
          <w:rFonts w:hint="eastAsia" w:ascii="宋体" w:hAnsi="宋体" w:eastAsia="宋体" w:cs="Arial"/>
          <w:bCs/>
          <w:sz w:val="44"/>
          <w:szCs w:val="44"/>
        </w:rPr>
      </w:pPr>
      <w:r>
        <w:rPr>
          <w:rFonts w:hint="eastAsia" w:ascii="黑体" w:hAnsi="黑体" w:eastAsia="黑体" w:cs="黑体"/>
          <w:bCs/>
          <w:sz w:val="32"/>
          <w:szCs w:val="32"/>
        </w:rPr>
        <w:t>第一百一十三条</w:t>
      </w:r>
      <w:r>
        <w:rPr>
          <w:rFonts w:hint="eastAsia" w:ascii="仿宋" w:hAnsi="仿宋" w:eastAsia="仿宋" w:cs="仿宋"/>
          <w:bCs/>
          <w:sz w:val="32"/>
          <w:szCs w:val="32"/>
        </w:rPr>
        <w:t xml:space="preserve"> 本细则自发布之日起施行。</w:t>
      </w: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31" w:name="_Toc28393"/>
      <w:r>
        <w:rPr>
          <w:rFonts w:hint="eastAsia" w:ascii="宋体" w:hAnsi="宋体" w:eastAsia="宋体" w:cs="宋体"/>
          <w:sz w:val="44"/>
          <w:szCs w:val="44"/>
        </w:rPr>
        <w:t>中华人民共和国</w:t>
      </w:r>
      <w:bookmarkEnd w:id="231"/>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32" w:name="_Toc4400"/>
      <w:r>
        <w:rPr>
          <w:rFonts w:hint="eastAsia" w:ascii="宋体" w:hAnsi="宋体" w:eastAsia="宋体" w:cs="宋体"/>
          <w:sz w:val="44"/>
          <w:szCs w:val="44"/>
        </w:rPr>
        <w:t>进出境动植物检疫法实施条例</w:t>
      </w:r>
      <w:bookmarkEnd w:id="232"/>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1996年12月2日</w:t>
      </w:r>
      <w:r>
        <w:rPr>
          <w:rFonts w:hint="eastAsia" w:ascii="楷体" w:hAnsi="楷体" w:eastAsia="楷体" w:cs="楷体"/>
          <w:sz w:val="32"/>
          <w:szCs w:val="32"/>
        </w:rPr>
        <w:t>中华人民共和国国务院令第</w:t>
      </w:r>
      <w:r>
        <w:rPr>
          <w:rFonts w:hint="eastAsia" w:ascii="楷体" w:hAnsi="楷体" w:eastAsia="楷体" w:cs="楷体"/>
          <w:sz w:val="32"/>
          <w:szCs w:val="32"/>
          <w:lang w:val="en-US" w:eastAsia="zh-CN"/>
        </w:rPr>
        <w:t>206</w:t>
      </w:r>
      <w:r>
        <w:rPr>
          <w:rFonts w:hint="eastAsia" w:ascii="楷体" w:hAnsi="楷体" w:eastAsia="楷体" w:cs="楷体"/>
          <w:sz w:val="32"/>
          <w:szCs w:val="32"/>
        </w:rPr>
        <w:t>号</w:t>
      </w:r>
      <w:r>
        <w:rPr>
          <w:rFonts w:hint="eastAsia" w:ascii="楷体" w:hAnsi="楷体" w:eastAsia="楷体" w:cs="楷体"/>
          <w:sz w:val="32"/>
          <w:szCs w:val="32"/>
          <w:lang w:val="en-US" w:eastAsia="zh-CN"/>
        </w:rPr>
        <w:t>发布 自1997年1月1日起施行</w:t>
      </w:r>
      <w:r>
        <w:rPr>
          <w:rFonts w:hint="eastAsia" w:ascii="楷体" w:hAnsi="楷体" w:eastAsia="楷体" w:cs="楷体"/>
          <w:sz w:val="32"/>
          <w:szCs w:val="32"/>
          <w:lang w:eastAsia="zh-CN"/>
        </w:rPr>
        <w:t>）</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根据《中华人民共和国进出境动植物检疫法》（以下简称进出境动植物检疫法）的规定，制定本条例。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下列各物，依照进出境动植物检疫法和本条例的规定实施检疫：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（一）进境、出境、过境的动植物、动植物产品和其他检疫物；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（二）装载动植物、动植物产品和其他检疫物的装载容器、包装物、铺垫材料；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（三）来自动植物疫区的运输工具；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（四）进境拆解的废旧船舶；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（五）有关法律、行政法规、国际条约规定或者贸易合同约定应当实施进出境动植物检疫的其他货物、物品。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国务院农业行政主管部门主管全国进出境动植物检疫工作。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中华人民共和国动植物检疫局（以下简称国家动植物检疫局）统一管理全国进出境动植物检疫工作，收集国内外重大动植物疫情，负责国际间进出境动植物检疫的合作与交流。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国家动植物检疫局在对外开放的口岸和进出境动植物检疫业务集中的地点设立的口岸动植物检疫机关，依照进出境动植物检疫法和本条例的规定，实施进出境动植物检疫。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国（境）外发生重大动植物疫情并可能传入中国时，根据情况采取下列紧急预防措施：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（一）国务院可以对相关边境区域采取控制措施，必要时下令禁止来自动植物疫区的运输工具进境或者封锁有关口岸；</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（二）国务院农业行政主管部门可以公布禁止从动植物疫情流行的国家和地区进境的动植物、动植物产品和其他检疫物的名录；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（三）有关口岸动植物检疫机关可以对可能受病虫害污染的本条例第二条所列进境各物采取紧急检疫处理措施；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（四）受动植物疫情威胁地区的地方人民政府可以立即组织有关部门制定并实施应急方案，同时向上级人民政府和国家动植物检疫局报告。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邮电、运输部门对重大动植物疫情报告和送检材料应当优先传送。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第五条 </w:t>
      </w:r>
      <w:r>
        <w:rPr>
          <w:rFonts w:hint="eastAsia" w:ascii="仿宋" w:hAnsi="仿宋" w:eastAsia="仿宋" w:cs="仿宋"/>
          <w:sz w:val="32"/>
          <w:szCs w:val="32"/>
        </w:rPr>
        <w:t>享有外交、领事特权与豁免的外国机构和人员公用或者自用的动植物、动植物产品和其他检疫物进境，应当依照进出境动植物检疫法和本条例的规定实施检疫；口岸动植物检疫机关查验时，应当遵守有关法律的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海关依法配合口岸动植物检疫机关，对进出境动植物、动植物产品和其他检疫物实行监管。具体办法由国务院农业行政主管部门会同海关总署制定。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进出境动植物检疫法所称动植物疫区和动植物疫情流行的国家与地区的名录，由国务院农业行政主管部门确定并公布。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对贯彻执行进出境动植物检疫法和本条例做出显著成绩的单位和个人，给予奖励。</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检疫审批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输入动物、动物产品和进出境动植物检疫法第五条第一款所列禁止进境物的检疫审批，由国家动植物检疫局或者其授权的口岸动植物检疫机关负责。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输入植物种子、种苗及其他繁殖材料的检疫审批，由植物检疫条例规定的机关负责。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符合下列条件的，方可办理进境检疫审批手续：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（一）输出国家或者地区无重大动植物疫情；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（二）符合中国有关动植物检疫法律、法规、规章的规定；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（三）符合中国与输出国家或者地区签订的有关双边检疫协定（含检疫协议、备忘录等，下同）。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检疫审批手续应当在贸易合同或者协议签订前办妥。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携带、邮寄植物种子、种苗及其他繁殖材料进境的，必须事先提出申请，办理检疫审批手续；因特殊情况无法事先办理的，携带人或者邮寄人应当在口岸补办检疫审批手续，经审批机关同意并经检疫合格后方准进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要求运输动物过境的，货主或者其代理人必须事先向国家动植物检疫局提出书面申请，提交输出国家或者地区政府动植物检疫机关出具的疫情证明、输入国家或者地区政府动植物检疫机关出具的准许该动物进境的证件，并说明拟过境的路线，国家动植物检疫局审查同意后，签发《动物过境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因科学研究等特殊需要，引进进出境动植物检疫法第五条第一款所列禁止进境物的，办理禁止进境物特许检疫审批手续时，货主、物主或者其代理人必须提交书面申请，说明其数量、用途、引进方式、进境后的防疫措施，并附具有关口岸动植物检疫机关签署的意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办理进境检疫审批手续后，有下列情况之一的，货主、物主或者其代理人应当重新申请办理检疫审批手续：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（一）变更进境物的品种或者数量的；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（二）变更输出国家或者地区的；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（三）变更进境口岸的；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（四）超过检疫审批有效期的。</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进境检疫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进出境动植物检疫法第十一条所称中国法定的检疫要求，是指中国的法律、行政法规和国务院农业行政主管部门规定的动植物检疫要求。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国家对向中国输出动植物产品的国外生产、加工、存放单位，实行注册登记制度。具体办法由国务院农业行政主管部门制定。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输入动植物、动植物产品和其他检疫物的，货主或者其代理人应当在进境前或者进境时向进境口岸动植物检疫机关报检。属于调离海关监管区检疫的，运达指定地点时，货主或者其代理人应当通知有关口岸动植物检疫机关。属于转关货物的，货主或者其代理人应当在进境时向进境口岸动植物检疫机关申报；到达指运地时，应当向指运地口岸动植物检疫机关报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输入种畜禽及其精液、胚胎的，应当在进境前３０日报检；输入其他动物的，应当在进境前１５日报检；输入植物种子、种苗及其他繁殖材料的，应当在进境前７日报检。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动植物性包装物、铺垫材料进境时，货主或者其代理人应当及时向口岸动植物检疫机关申报；动植物检疫机关可以根据具体情况对申报物实施检疫。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前款所称动植物性包装物、铺垫材料，是指直接用作包装物、铺垫材料的动物产品和植物、植物产品。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向口岸动植物检疫机关报检时，应当填写报检单，并提交输出国家或者地区政府动植物检疫机关出具的检疫证书、产地证书和贸易合同、信用证、发票等单证；依法应当办理检疫审批手续的，还应当提交检疫审批单。无输出国家或者地区政府动植物检疫机关出具的有效检疫证书，或者未依法办理检疫审批手续的，口岸动植物检疫机关可以根据具体情况，作退回或者销毁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输入的动植物、动植物产品和其他检疫物运达口岸时，检疫人员可以到运输工具上和货物现场实施检疫，核对货、证是否相符，并可以按照规定采取样品。承运人、货主或者其代理人应当向检疫人员提供装载清单和有关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装载动物的运输工具抵达口岸时，上下运输工具或者接近动物的人员，应当接受口岸动植物检疫机关实施的防疫消毒，并执行其采取的其他现场预防措施。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检疫人员应当按照下列规定实施现场检疫：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动物：检查有无疫病的临床症状。发现疑似感染传染病或者已死亡的动物时，在货主或者押运人的配合下查明情况，立即处理。动物的铺垫材料、剩余饲料和排泄物等，由货主或者其代理人在检疫人员的监督下，作除害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动物产品：检查有无腐败变质现象，容器、包装是否完好。符合要求的，允许卸离运输工具。发现散包、容器破裂的，由货主或者其代理人负责整理完好，方可卸离运输工具。根据情况，对运输工具的有关部位及装载动物产品的容器、外表包装、铺垫材料、被污染场地等进行消毒处理。需要实施实验室检疫的，按照规定采取样品。对易滋生植物害虫或者混藏杂草种子的动物产品，同时实施植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植物、植物产品：检查货物和包装物有无病虫害，并按照规定采取样品。发现病虫害并有扩散可能时，及时对该批货物、运输工具和装卸现场采取必要的防疫措施。对来自动物传染病疫区或者易带动物传染病和寄生虫病病原体并用作动物饲料的植物产品，同时实施动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（四）动植物性包装物、铺垫材料：检查是否携带病虫害、混藏杂草种子、沾带土壤，并按照规定采取样品。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（五）其他检疫物：检查包装是否完好及是否被病虫害污染。发现破损或者被病虫害污染时，作除害处理。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对船舶、火车装运的大宗动植物产品，应当就地分层检查；限于港口、车站的存放条件，不能就地检查的，经口岸动植物检疫机关同意，也可以边卸载边疏运，将动植物产品运往指定的地点存放。在卸货过程中经检疫发现疫情时，应当立即停止卸货，由货主或者其代理人按照口岸动植物检疫机关的要求，对已卸和未卸货物作除害处理，并采取防止疫情扩散的措施；对被病虫害污染的装卸工具和场地，也应当作除害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输入种用大中家畜的，应当在国家动植物检疫局设立的动物隔离检疫场所隔离检疫４５日；输入其他动物的，应当在口岸动植物检疫机关指定的动物隔离检疫场所隔离检疫３０日。动物隔离检疫场所管理办法，由国务院农业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进境的同一批动植物产品分港卸货时，口岸动植物检疫机关只对本港卸下的货物进行检疫，先期卸货港的口岸动植物检疫机关应当将检疫及处理情况及时通知其他分卸港的口岸动植物检疫机关；需要对外出证的，由卸毕港的口岸动植物检疫机关汇总后统一出具检疫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在分卸港实施检疫中发现疫情并必须进行船上熏蒸、消毒时，由该分卸港的口岸动植物检疫机关统一出具检疫证书，并及时通知其他分卸港的口岸动植物检疫机关。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对输入的动植物、动植物产品和其他检疫物，按照中国的国家标准、行业标准以及国家动植物检疫局的有关规定实施检疫。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输入动植物、动植物产品和其他检疫物，经检疫合格的，由口岸动植物检疫机关在报关单上加盖印章或者签发《检疫放行通知单》；需要调离进境口岸海关监管区检疫的，由进境口岸动植物检疫机关签发《检疫调离通知单》。货主或者其代理人凭口岸动植物检疫机关在报关单上加盖的印章或者签发的《检疫放行通知单》、《检疫调离通知单》办理报关、运递手续。海关对输入的动植物、动植物产品和其他检疫物，凭口岸动植物检疫机关在报关单上加盖的印章或者签发的《检疫放行通知单》、《检疫调离通知单》验放。运输、邮电部门凭单运递，运递期间国内其他检疫机关不再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输入动植物、动植物产品和其他检疫物，经检疫不合格的，由口岸动植物检疫机关签发《检疫处理通知单》，通知货主或者其代理人在口岸动植物检疫机关的监督和技术指导下，作除害处理；需要对外索赔的，由口岸动植物检疫机关出具检疫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国家动植物检疫局根据检疫需要，并商输出动植物、动植物产品国家或者地区政府有关机关同意，可以派检疫人员进行预检、监装或者产地疫情调查。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海关、边防等部门截获的非法进境的动植物、动植物产品和其他检疫物，应当就近交由口岸动植物检疫机关检疫。</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出境检疫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货主或者其代理人依法办理动植物、动植物产品和其他检疫物的出境报检手续时，应当提供贸易合同或者协议。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对输入国要求中国对向其输出的动植物、动植物产品和其他检疫物的生产、加工、存放单位注册登记的，口岸动植物检疫机关可以实行注册登记，并报国家动植物检疫局备案。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输出动物，出境前需经隔离检疫的，在口岸动植物检疫机关指定的隔离场所检疫。输出植物、动植物产品和其他检疫物的，在仓库或者货场实施检疫；根据需要，也可以在生产、加工过程中实施检疫。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待检出境植物、动植物产品和其他检疫物，应当数量齐全、包装完好、堆放整齐、唛头标记明显。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输出动植物、动植物产品和其他检疫物的检疫依据：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（一）输入国家或者地区和中国有关动植物检疫规定；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（二）双边检疫协定；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中华人民共和国进出境动植物检疫法实施条例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（三）贸易合同中订明的检疫要求。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经启运地口岸动植物检疫机关检疫合格的动植物、动植物产品和其他检疫物，运达出境口岸时，按照下列规定办理：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（一）动物应当经出境口岸动植物检疫机关临床检疫或者复检；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（二）植物、动植物产品和其他检疫物从启运地随原运输工具出境的，由出境口岸动植物检疫机关验证放行；改换运输工具出境的，换证放行；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（三）植物、动植物产品和其他检疫物到达出境口岸后拼装的，因变更输入国家或者地区而有不同检疫要求的，或者超过规定的检疫有效期的，应当重新报检。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输出动植物、动植物产品和其他检疫物，经启运地口岸动植物检疫机关检疫合格的，运达出境口岸时，运输、邮电部门凭启运地口岸动植物检疫机关签发的检疫单证运递，国内其他检疫机关不再检疫。</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过境检疫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第三十七条</w:t>
      </w:r>
      <w:r>
        <w:rPr>
          <w:rFonts w:hint="eastAsia" w:ascii="仿宋" w:hAnsi="仿宋" w:eastAsia="仿宋" w:cs="仿宋"/>
          <w:sz w:val="32"/>
          <w:szCs w:val="32"/>
        </w:rPr>
        <w:t xml:space="preserve"> 运输动植物、动植物产品和其他检疫物过境（含转运，下同）的，承运人或者押运人应当持货运单和输出国家或者地区政府动植物检疫机关出具的证书，向进境口岸动植物检疫机关报检；运输动物过境的，还应当同时提交国家动植物检疫局签发的《动物过境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过境动物运达进境口岸时，由进境口岸动植物检疫机关对运输工具、容器的外表进行消毒并对动物进行临床检疫，经检疫合格的，准予过境。进境口岸动植物检疫机关可以派检疫人员监运至出境口岸，出境口岸动植物检疫机关不再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装载过境植物、动植物产品和其他检疫物的运输工具和包装物、装载容器必须完好。经口岸动植物检疫机关检查，发现运输工具或者包装物、装载容器有可能造成途中散漏的，承运人或者押运人应当按照口岸动植物检疫机关的要求，采取密封措施；无法采取密封措施的，不准过境。</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携带、邮寄物检疫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第四十条</w:t>
      </w:r>
      <w:r>
        <w:rPr>
          <w:rFonts w:hint="eastAsia" w:ascii="仿宋" w:hAnsi="仿宋" w:eastAsia="仿宋" w:cs="仿宋"/>
          <w:sz w:val="32"/>
          <w:szCs w:val="32"/>
        </w:rPr>
        <w:t xml:space="preserve"> 携带、邮寄植物种子、种苗及其他繁殖材料进境，未依法办理检疫审批手续的，由口岸动植物检疫机关作退回或者销毁处理。邮件作退回处理的，由口岸动植物检疫机关在邮件及发递单上批注退回原因；邮件作销毁处理的，由口岸动植物检疫机关签发通知单，通知寄件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携带动植物、动植物产品和其他检疫物进境的，进境时必须向海关申报并接受口岸动植物检疫机关检疫。海关应当将申报或者查获的动植物、动植物产品和其他检疫物及时交由口岸动植物检疫机关检疫。未经检疫的，不得携带进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口岸动植物检疫机关可以在港口、机场、车站的旅客通道、行李提取处等现场进行检查，对可能携带动植物、动植物产品和其他检疫物而未申报的，可以进行查询并抽检其物品，必要时可以开包（箱）检查。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旅客进出境检查现场应当设立动植物检疫台位和标志。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第四十三条</w:t>
      </w:r>
      <w:r>
        <w:rPr>
          <w:rFonts w:hint="eastAsia" w:ascii="仿宋" w:hAnsi="仿宋" w:eastAsia="仿宋" w:cs="仿宋"/>
          <w:sz w:val="32"/>
          <w:szCs w:val="32"/>
        </w:rPr>
        <w:t xml:space="preserve"> 携带动物进境的，必须持有输出动物的国家或者地区政府动植物检疫机关出具的检疫证书，经检疫合格后放行；携带犬、猫等宠物进境的，还必须持有疫苗接种证书。没有检疫证书、疫苗接种证书的，由口岸动植物检疫机关作限期退回或者没收销毁处理。作限期退回处理的，携带人必须在规定的时间内持口岸动植物检疫机关签发的截留凭证，领取并携带出境；逾期不领取的，作自动放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携带植物、动植物产品和其他检疫物进境，经现场检疫合格的，当场放行；需要作实验室检疫或者隔离检疫的，由口岸动植物检疫机关签发截留凭证。截留检疫合格的，携带人持截留凭证向口岸动植物检疫机关领回；逾期不领回的，作自动放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禁止携带、邮寄进出境动植物检疫法第二十九条规定的名录所列动植物、动植物产品和其他检疫物进境。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第四十四条</w:t>
      </w:r>
      <w:r>
        <w:rPr>
          <w:rFonts w:hint="eastAsia" w:ascii="仿宋" w:hAnsi="仿宋" w:eastAsia="仿宋" w:cs="仿宋"/>
          <w:sz w:val="32"/>
          <w:szCs w:val="32"/>
        </w:rPr>
        <w:t xml:space="preserve"> 邮寄进境的动植物、动植物产品和其他检疫物，由口岸动植物检疫机关在国际邮件互换局（含国际邮件快递公司及其他经营国际邮件的单位，以下简称邮局）实施检疫。邮局应当提供必要的工作条件。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经现场检疫合格的，由口岸动植物检疫机关加盖检疫放行章，交邮局运递。需要作实验室检疫或者隔离检疫的，口岸动植物检疫机关应当向邮局办理交接手续；检疫合格的，加盖检疫放行章，交邮局运递。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第四十五条</w:t>
      </w:r>
      <w:r>
        <w:rPr>
          <w:rFonts w:hint="eastAsia" w:ascii="仿宋" w:hAnsi="仿宋" w:eastAsia="仿宋" w:cs="仿宋"/>
          <w:sz w:val="32"/>
          <w:szCs w:val="32"/>
        </w:rPr>
        <w:t xml:space="preserve"> 携带、邮寄进境的动植物、动植物产品和其他检疫物，经检疫不合格又无有效方法作除害处理的，作退回或者销毁处理，并签发《检疫处理通知单》交携带人、寄件人。</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运输工具检疫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第四十六条 </w:t>
      </w:r>
      <w:r>
        <w:rPr>
          <w:rFonts w:hint="eastAsia" w:ascii="仿宋" w:hAnsi="仿宋" w:eastAsia="仿宋" w:cs="仿宋"/>
          <w:sz w:val="32"/>
          <w:szCs w:val="32"/>
        </w:rPr>
        <w:t>口岸动植物检疫机关对来自动植物疫区的船舶、飞机、火车，可以登船、登机、登车实施现场检疫。有关运输工具负责人应当接受检疫人员的询问并在询问记录上签字，提供运行日志和装载货物的情况，开启舱室接受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口岸动植物检疫机关应当对前款运输工具可能隐藏病虫害的餐车、配餐间、厨房、储藏室、食品舱等动植物产品存放、使用场所和泔水、动植物性废弃物的存放场所以及集装箱箱体等区域或者部位，实施检疫；必要时，作防疫消毒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第四十七条</w:t>
      </w:r>
      <w:r>
        <w:rPr>
          <w:rFonts w:hint="eastAsia" w:ascii="仿宋" w:hAnsi="仿宋" w:eastAsia="仿宋" w:cs="仿宋"/>
          <w:sz w:val="32"/>
          <w:szCs w:val="32"/>
        </w:rPr>
        <w:t xml:space="preserve"> 来自动植物疫区的船舶、飞机、火车，经检疫发现有进出境动植物检疫法第十八条规定的名录所列病虫害的，必须作熏蒸、消毒或者其他除害处理。发现有禁止进境的动植物、动植物产品和其他检疫物的，必须作封存或者销毁处理；作封存处理的，在中国境内停留或者运行期间，未经口岸动植物检疫机关许可，不得启封动用。对运输工具上的泔水、动植物性废弃物及其存放场所、容器，应当在口岸动植物检疫机关的监督下作除害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第四十八条</w:t>
      </w:r>
      <w:r>
        <w:rPr>
          <w:rFonts w:hint="eastAsia" w:ascii="仿宋" w:hAnsi="仿宋" w:eastAsia="仿宋" w:cs="仿宋"/>
          <w:sz w:val="32"/>
          <w:szCs w:val="32"/>
        </w:rPr>
        <w:t xml:space="preserve"> 来自动植物疫区的进境车辆，由口岸动植物检疫机关作防疫消毒处理。装载进境动植物、动植物产品和其他检疫物的车辆，经检疫发现病虫害的，连同货物一并作除害处理。装运供应香港、澳门地区的动物的回空车辆，实施整车防疫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第四十九条</w:t>
      </w:r>
      <w:r>
        <w:rPr>
          <w:rFonts w:hint="eastAsia" w:ascii="仿宋" w:hAnsi="仿宋" w:eastAsia="仿宋" w:cs="仿宋"/>
          <w:sz w:val="32"/>
          <w:szCs w:val="32"/>
        </w:rPr>
        <w:t xml:space="preserve"> 进境拆解的废旧船舶，由口岸动植物检疫机关实施检疫。发现病虫害的，在口岸动植物检疫机关监督下作除害处理。发现有禁止进境的动植物、动植物产品和其他检疫物的，在口岸动植物检疫机关的监督下作销毁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第五十条</w:t>
      </w:r>
      <w:r>
        <w:rPr>
          <w:rFonts w:hint="eastAsia" w:ascii="仿宋" w:hAnsi="仿宋" w:eastAsia="仿宋" w:cs="仿宋"/>
          <w:sz w:val="32"/>
          <w:szCs w:val="32"/>
        </w:rPr>
        <w:t xml:space="preserve"> 来自动植物疫区的进境运输工具经检疫或者经消毒处理合格后，运输工具负责人或者其代理人要求出证的，由口岸动植物检疫机关签发《运输工具检疫证书》或者《运输工具消毒证书》。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第五十一条</w:t>
      </w:r>
      <w:r>
        <w:rPr>
          <w:rFonts w:hint="eastAsia" w:ascii="仿宋" w:hAnsi="仿宋" w:eastAsia="仿宋" w:cs="仿宋"/>
          <w:sz w:val="32"/>
          <w:szCs w:val="32"/>
        </w:rPr>
        <w:t xml:space="preserve"> 进境、过境运输工具在中国境内停留期间，交通员工和其他人员不得将所装载的动植物、动植物产品和其他检疫物带离运输工具；需要带离时，应当向口岸动植物检疫机关报检。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第五十二条</w:t>
      </w:r>
      <w:r>
        <w:rPr>
          <w:rFonts w:hint="eastAsia" w:ascii="仿宋" w:hAnsi="仿宋" w:eastAsia="仿宋" w:cs="仿宋"/>
          <w:sz w:val="32"/>
          <w:szCs w:val="32"/>
        </w:rPr>
        <w:t xml:space="preserve"> 装载动物出境的运输工具，装载前应当在口岸动植物检疫机关监督下进行消毒处理。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装载植物、动植物产品和其他检疫物出境的运输工具，应当符合国家有关动植物防疫和检疫的规定。发现危险性病虫害或者超过规定标准的一般性病虫害的，作除害处理后方可装运。</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检疫监督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第五十三条</w:t>
      </w:r>
      <w:r>
        <w:rPr>
          <w:rFonts w:hint="eastAsia" w:ascii="仿宋" w:hAnsi="仿宋" w:eastAsia="仿宋" w:cs="仿宋"/>
          <w:sz w:val="32"/>
          <w:szCs w:val="32"/>
        </w:rPr>
        <w:t xml:space="preserve"> 国家动植物检疫局和口岸动植物检疫机关对进出境动植物、动植物产品的生产、加工、存放过程，实行检疫监督制度。具体办法由国务院农业行政主管部门制定。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第五十四条</w:t>
      </w:r>
      <w:r>
        <w:rPr>
          <w:rFonts w:hint="eastAsia" w:ascii="仿宋" w:hAnsi="仿宋" w:eastAsia="仿宋" w:cs="仿宋"/>
          <w:sz w:val="32"/>
          <w:szCs w:val="32"/>
        </w:rPr>
        <w:t xml:space="preserve"> 进出境动物和植物种子、种苗及其他繁殖材料，需要隔离饲养、隔离种植的，在隔离期间，应当接受口岸动植物检疫机关的检疫监督。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第五十五条</w:t>
      </w:r>
      <w:r>
        <w:rPr>
          <w:rFonts w:hint="eastAsia" w:ascii="仿宋" w:hAnsi="仿宋" w:eastAsia="仿宋" w:cs="仿宋"/>
          <w:sz w:val="32"/>
          <w:szCs w:val="32"/>
        </w:rPr>
        <w:t xml:space="preserve"> 从事进出境动植物检疫熏蒸、消毒处理业务的单位和人员，必须经口岸动植物检疫机关考核合格。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口岸动植物检疫机关对熏蒸、消毒工作进行监督、指导，并负责出具熏蒸、消毒证书。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第五十六条 </w:t>
      </w:r>
      <w:r>
        <w:rPr>
          <w:rFonts w:hint="eastAsia" w:ascii="仿宋" w:hAnsi="仿宋" w:eastAsia="仿宋" w:cs="仿宋"/>
          <w:sz w:val="32"/>
          <w:szCs w:val="32"/>
        </w:rPr>
        <w:t>口岸动植物检疫机关可以根据需要，在机场、港口、车站、仓库、加工厂、农场等生产、加工、存放进出境动植物、动植物产品和其他检疫物的场所实施动植物疫情监测，有关单位应当配合。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未经口岸动植物检疫机关许可，不得移动或者损坏动植物疫情监测器具。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第五十七条</w:t>
      </w:r>
      <w:r>
        <w:rPr>
          <w:rFonts w:hint="eastAsia" w:ascii="仿宋" w:hAnsi="仿宋" w:eastAsia="仿宋" w:cs="仿宋"/>
          <w:sz w:val="32"/>
          <w:szCs w:val="32"/>
        </w:rPr>
        <w:t xml:space="preserve"> 口岸动植物检疫机关根据需要，可以对运载进出境动植物、动植物产品和其他检疫物的运输工具、装载容器加施动植物检疫封识或者标志；未经口岸动植物检疫机关许可，不得开拆或者损毁检疫封识、标志。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动植物检疫封识和标志由国家动植物检疫局统一制发。</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第五十八条</w:t>
      </w:r>
      <w:r>
        <w:rPr>
          <w:rFonts w:hint="eastAsia" w:ascii="仿宋" w:hAnsi="仿宋" w:eastAsia="仿宋" w:cs="仿宋"/>
          <w:sz w:val="32"/>
          <w:szCs w:val="32"/>
        </w:rPr>
        <w:t xml:space="preserve"> 进境动植物、动植物产品和其他检疫物，装载动植物、动植物产品和其他检疫物的装载容器、包装物，运往保税区（含保税工厂、保税仓库等）的，在进境口岸依法实施检疫；口岸动植物检疫机关可以根据具体情况实施检疫监督；经加工复运出境的，依照进出境动植物检疫法和本条例有关出境检疫的规定办理。</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第九章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第五十九条</w:t>
      </w:r>
      <w:r>
        <w:rPr>
          <w:rFonts w:hint="eastAsia" w:ascii="仿宋" w:hAnsi="仿宋" w:eastAsia="仿宋" w:cs="仿宋"/>
          <w:sz w:val="32"/>
          <w:szCs w:val="32"/>
        </w:rPr>
        <w:t xml:space="preserve"> 有下列违法行为之一的，由口岸动植物检疫机关处</w:t>
      </w:r>
      <w:r>
        <w:rPr>
          <w:rFonts w:hint="eastAsia" w:ascii="仿宋" w:hAnsi="仿宋" w:eastAsia="仿宋" w:cs="仿宋"/>
          <w:sz w:val="32"/>
          <w:szCs w:val="32"/>
          <w:lang w:val="en-US" w:eastAsia="zh-CN"/>
        </w:rPr>
        <w:t>5000</w:t>
      </w:r>
      <w:r>
        <w:rPr>
          <w:rFonts w:hint="eastAsia" w:ascii="仿宋" w:hAnsi="仿宋" w:eastAsia="仿宋" w:cs="仿宋"/>
          <w:sz w:val="32"/>
          <w:szCs w:val="32"/>
        </w:rPr>
        <w:t>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（一）未报检或者未依法办理检疫审批手续或者未按检疫审批的规定执行的；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（二）报检的动植物、动植物产品和其他检疫物与实际不符的。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有前款第（二）项所列行为，已取得检疫单证的，予以吊销。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第六十条</w:t>
      </w:r>
      <w:r>
        <w:rPr>
          <w:rFonts w:hint="eastAsia" w:ascii="仿宋" w:hAnsi="仿宋" w:eastAsia="仿宋" w:cs="仿宋"/>
          <w:sz w:val="32"/>
          <w:szCs w:val="32"/>
        </w:rPr>
        <w:t xml:space="preserve"> 有下列违法行为之一的，由口岸动植物检疫机关处</w:t>
      </w:r>
      <w:r>
        <w:rPr>
          <w:rFonts w:hint="eastAsia" w:ascii="仿宋" w:hAnsi="仿宋" w:eastAsia="仿宋" w:cs="仿宋"/>
          <w:sz w:val="32"/>
          <w:szCs w:val="32"/>
          <w:lang w:val="en-US" w:eastAsia="zh-CN"/>
        </w:rPr>
        <w:t>3000</w:t>
      </w:r>
      <w:r>
        <w:rPr>
          <w:rFonts w:hint="eastAsia" w:ascii="仿宋" w:hAnsi="仿宋" w:eastAsia="仿宋" w:cs="仿宋"/>
          <w:sz w:val="32"/>
          <w:szCs w:val="32"/>
        </w:rPr>
        <w:t>元以上</w:t>
      </w:r>
      <w:r>
        <w:rPr>
          <w:rFonts w:hint="eastAsia" w:ascii="仿宋" w:hAnsi="仿宋" w:eastAsia="仿宋" w:cs="仿宋"/>
          <w:sz w:val="32"/>
          <w:szCs w:val="32"/>
          <w:lang w:val="en-US" w:eastAsia="zh-CN"/>
        </w:rPr>
        <w:t>3</w:t>
      </w:r>
      <w:r>
        <w:rPr>
          <w:rFonts w:hint="eastAsia" w:ascii="仿宋" w:hAnsi="仿宋" w:eastAsia="仿宋" w:cs="仿宋"/>
          <w:sz w:val="32"/>
          <w:szCs w:val="32"/>
        </w:rPr>
        <w:t>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（一）未经口岸动植物检疫机关许可擅自将进境、过境动植物、动植物产品和其他检疫物卸离运输工具或者运递的；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（二）擅自调离或者处理在口岸动植物检疫机关指定的隔离场所中隔离检疫的动植物的；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（三）擅自开拆过境动植物、动植物产品和其他检疫的包装，或者擅自开拆、损毁动植物检疫封识或者标志的；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（四）擅自抛弃过境动物的尸体、排泄物、铺垫材料或者其他废弃物，或者未按规定处理运输工具上的泔水、动植物性废弃物的。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第六十一条</w:t>
      </w:r>
      <w:r>
        <w:rPr>
          <w:rFonts w:hint="eastAsia" w:ascii="仿宋" w:hAnsi="仿宋" w:eastAsia="仿宋" w:cs="仿宋"/>
          <w:sz w:val="32"/>
          <w:szCs w:val="32"/>
        </w:rPr>
        <w:t xml:space="preserve"> 依照本法第十七条、第三十二条的规定注册登记的生产、加工、存放动植物、动植物产品和其他检疫物的单位，进出境的上述物品经检疫不合格的，除依照本法有关规定作退回、销毁或者除害处理外，情节严重的，由口岸动植物检疫机关注销注册登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第六十二条</w:t>
      </w:r>
      <w:r>
        <w:rPr>
          <w:rFonts w:hint="eastAsia" w:ascii="仿宋" w:hAnsi="仿宋" w:eastAsia="仿宋" w:cs="仿宋"/>
          <w:sz w:val="32"/>
          <w:szCs w:val="32"/>
        </w:rPr>
        <w:t xml:space="preserve"> 有下列违法行为之一的，依法追究刑事责任；尚不构成犯罪或者犯罪情节显著轻微依法不需要判处刑罚的，由口岸动植物检疫机关处</w:t>
      </w:r>
      <w:r>
        <w:rPr>
          <w:rFonts w:hint="eastAsia" w:ascii="仿宋" w:hAnsi="仿宋" w:eastAsia="仿宋" w:cs="仿宋"/>
          <w:sz w:val="32"/>
          <w:szCs w:val="32"/>
          <w:lang w:val="en-US" w:eastAsia="zh-CN"/>
        </w:rPr>
        <w:t>2</w:t>
      </w:r>
      <w:r>
        <w:rPr>
          <w:rFonts w:hint="eastAsia" w:ascii="仿宋" w:hAnsi="仿宋" w:eastAsia="仿宋" w:cs="仿宋"/>
          <w:sz w:val="32"/>
          <w:szCs w:val="32"/>
        </w:rPr>
        <w:t>万元以上</w:t>
      </w:r>
      <w:r>
        <w:rPr>
          <w:rFonts w:hint="eastAsia" w:ascii="仿宋" w:hAnsi="仿宋" w:eastAsia="仿宋" w:cs="仿宋"/>
          <w:sz w:val="32"/>
          <w:szCs w:val="32"/>
          <w:lang w:val="en-US" w:eastAsia="zh-CN"/>
        </w:rPr>
        <w:t>5</w:t>
      </w:r>
      <w:r>
        <w:rPr>
          <w:rFonts w:hint="eastAsia" w:ascii="仿宋" w:hAnsi="仿宋" w:eastAsia="仿宋" w:cs="仿宋"/>
          <w:sz w:val="32"/>
          <w:szCs w:val="32"/>
        </w:rPr>
        <w:t>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（一）引起重大动植物疫情的；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（二）伪造、变造动植物检疫单证、印章、标志、封识的。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第六十三条</w:t>
      </w:r>
      <w:r>
        <w:rPr>
          <w:rFonts w:hint="eastAsia" w:ascii="仿宋" w:hAnsi="仿宋" w:eastAsia="仿宋" w:cs="仿宋"/>
          <w:sz w:val="32"/>
          <w:szCs w:val="32"/>
        </w:rPr>
        <w:t xml:space="preserve"> 从事进出境动植物检疫熏蒸、消毒处理业务的单位和人员，不按照规定进行熏蒸和消毒处理的，口岸动植物检疫机关可以视情节取消其熏蒸、消毒资格。</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第十章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第六十四条</w:t>
      </w:r>
      <w:r>
        <w:rPr>
          <w:rFonts w:hint="eastAsia" w:ascii="仿宋" w:hAnsi="仿宋" w:eastAsia="仿宋" w:cs="仿宋"/>
          <w:sz w:val="32"/>
          <w:szCs w:val="32"/>
        </w:rPr>
        <w:t xml:space="preserve"> 进出境动植物检疫法和本条例下列用语的含义：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植物种子、种苗及其他繁殖材料”，是指栽培、野生的可供繁殖的植物全株或者部分，如植株、苗木（含试管苗）、果实、种子、砧木、接穗、插条、叶片、芽体、块根、块茎、鳞茎、球茎、花粉、细胞培养材料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（二）“装载容器”，是指可以多次使用、易受病虫害污染并用于装载进出境货物的容器，如笼、箱、桶、筐等；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其他有害生物”，是指动物传染病、寄生虫病和植物危险性病、虫、杂草以外的各种危害动植物的生物有机体、病原微生物，以及软体类、啮齿类、螨类、多足虫类动物和危险性病虫的中间寄主、媒介生物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检疫证书”，是指动植物检疫机关出具的关于动植物、动植物产品和其他检疫物健康或者卫生状况的具有法律效力的文件，如《动物检疫证书》、《植物检疫证书》、《动物健康证书》、《兽医卫生证书》、《熏蒸／消毒证书》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第六十五条</w:t>
      </w:r>
      <w:r>
        <w:rPr>
          <w:rFonts w:hint="eastAsia" w:ascii="仿宋" w:hAnsi="仿宋" w:eastAsia="仿宋" w:cs="仿宋"/>
          <w:sz w:val="32"/>
          <w:szCs w:val="32"/>
        </w:rPr>
        <w:t xml:space="preserve"> 对进出境动植物、动植物产品和其他检疫物因实施检疫或者按照规定作熏蒸、消毒、退回、销毁等处理所需费用或者招致的损失，由货主、物主或者其代理人承担。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第六十六条</w:t>
      </w:r>
      <w:r>
        <w:rPr>
          <w:rFonts w:hint="eastAsia" w:ascii="仿宋" w:hAnsi="仿宋" w:eastAsia="仿宋" w:cs="仿宋"/>
          <w:sz w:val="32"/>
          <w:szCs w:val="32"/>
        </w:rPr>
        <w:t xml:space="preserve"> 口岸动植物检疫机关依法实施检疫，需要采取样品时，应当出具采样凭单；验余的样品，货主、物主或者其代理人应当在规定的期限内领回；逾期不领回的，由口岸动植物检疫机关按照规定处理。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第六十七条</w:t>
      </w:r>
      <w:r>
        <w:rPr>
          <w:rFonts w:hint="eastAsia" w:ascii="仿宋" w:hAnsi="仿宋" w:eastAsia="仿宋" w:cs="仿宋"/>
          <w:sz w:val="32"/>
          <w:szCs w:val="32"/>
        </w:rPr>
        <w:t xml:space="preserve"> 贸易性动物产品出境的检疫机关，由国务院根据情况规定。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第六十八条 </w:t>
      </w:r>
      <w:r>
        <w:rPr>
          <w:rFonts w:hint="eastAsia" w:ascii="仿宋" w:hAnsi="仿宋" w:eastAsia="仿宋" w:cs="仿宋"/>
          <w:sz w:val="32"/>
          <w:szCs w:val="32"/>
        </w:rPr>
        <w:t>本条例自</w:t>
      </w:r>
      <w:r>
        <w:rPr>
          <w:rFonts w:hint="eastAsia" w:ascii="仿宋" w:hAnsi="仿宋" w:eastAsia="仿宋" w:cs="仿宋"/>
          <w:sz w:val="32"/>
          <w:szCs w:val="32"/>
          <w:lang w:val="en-US" w:eastAsia="zh-CN"/>
        </w:rPr>
        <w:t>1997</w:t>
      </w:r>
      <w:r>
        <w:rPr>
          <w:rFonts w:hint="eastAsia" w:ascii="仿宋" w:hAnsi="仿宋" w:eastAsia="仿宋" w:cs="仿宋"/>
          <w:sz w:val="32"/>
          <w:szCs w:val="32"/>
        </w:rPr>
        <w:t>年</w:t>
      </w:r>
      <w:r>
        <w:rPr>
          <w:rFonts w:hint="eastAsia" w:ascii="仿宋" w:hAnsi="仿宋" w:eastAsia="仿宋" w:cs="仿宋"/>
          <w:sz w:val="32"/>
          <w:szCs w:val="32"/>
          <w:lang w:val="en-US" w:eastAsia="zh-CN"/>
        </w:rPr>
        <w:t>1</w:t>
      </w:r>
      <w:r>
        <w:rPr>
          <w:rFonts w:hint="eastAsia" w:ascii="仿宋" w:hAnsi="仿宋" w:eastAsia="仿宋" w:cs="仿宋"/>
          <w:sz w:val="32"/>
          <w:szCs w:val="32"/>
        </w:rPr>
        <w:t>月</w:t>
      </w:r>
      <w:r>
        <w:rPr>
          <w:rFonts w:hint="eastAsia" w:ascii="仿宋" w:hAnsi="仿宋" w:eastAsia="仿宋" w:cs="仿宋"/>
          <w:sz w:val="32"/>
          <w:szCs w:val="32"/>
          <w:lang w:val="en-US" w:eastAsia="zh-CN"/>
        </w:rPr>
        <w:t>1</w:t>
      </w:r>
      <w:r>
        <w:rPr>
          <w:rFonts w:hint="eastAsia" w:ascii="仿宋" w:hAnsi="仿宋" w:eastAsia="仿宋" w:cs="仿宋"/>
          <w:sz w:val="32"/>
          <w:szCs w:val="32"/>
        </w:rPr>
        <w:t>日起施行。</w:t>
      </w:r>
    </w:p>
    <w:p>
      <w:pPr>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ascii="宋体" w:hAnsi="宋体" w:eastAsia="宋体" w:cs="Arial"/>
          <w:bCs/>
          <w:sz w:val="44"/>
          <w:szCs w:val="44"/>
        </w:rPr>
      </w:pPr>
      <w:bookmarkStart w:id="233" w:name="_Toc19031"/>
      <w:r>
        <w:rPr>
          <w:rFonts w:hint="eastAsia" w:ascii="宋体" w:hAnsi="宋体" w:eastAsia="宋体" w:cs="Arial"/>
          <w:bCs/>
          <w:sz w:val="44"/>
          <w:szCs w:val="44"/>
        </w:rPr>
        <w:t>突发公共卫生事件应急条例</w:t>
      </w:r>
      <w:bookmarkEnd w:id="233"/>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（2003年5月9日中华人民共和国国务院令第376号公布  根据2011年1月8日《国务院关于废止和修改部分行政法规的决定》修</w:t>
      </w:r>
      <w:r>
        <w:rPr>
          <w:rFonts w:hint="eastAsia" w:ascii="宋体" w:hAnsi="宋体" w:eastAsia="楷体_GB2312" w:cs="Arial"/>
          <w:szCs w:val="32"/>
          <w:lang w:val="en-US" w:eastAsia="zh-CN"/>
        </w:rPr>
        <w:t>订</w:t>
      </w:r>
      <w:r>
        <w:rPr>
          <w:rFonts w:hint="eastAsia" w:ascii="宋体" w:hAnsi="宋体" w:eastAsia="楷体_GB2312" w:cs="Arial"/>
          <w:szCs w:val="32"/>
        </w:rPr>
        <w:t>）</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预防与应急准备</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报告与信息发布</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应急处理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法律责任</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numPr>
          <w:ilvl w:val="0"/>
          <w:numId w:val="0"/>
        </w:numPr>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lang w:val="en-US" w:eastAsia="zh-CN"/>
        </w:rPr>
        <w:t xml:space="preserve">    </w:t>
      </w:r>
      <w:r>
        <w:rPr>
          <w:rFonts w:hint="eastAsia" w:ascii="黑体" w:hAnsi="黑体" w:eastAsia="黑体" w:cs="黑体"/>
          <w:kern w:val="0"/>
          <w:szCs w:val="32"/>
          <w:lang w:eastAsia="zh-CN"/>
        </w:rPr>
        <w:t>第一条</w:t>
      </w:r>
      <w:r>
        <w:rPr>
          <w:rFonts w:hint="eastAsia" w:ascii="黑体" w:hAnsi="黑体" w:eastAsia="黑体" w:cs="黑体"/>
          <w:kern w:val="0"/>
          <w:szCs w:val="32"/>
          <w:lang w:val="en-US" w:eastAsia="zh-CN"/>
        </w:rPr>
        <w:t xml:space="preserve">  </w:t>
      </w:r>
      <w:r>
        <w:rPr>
          <w:rFonts w:hint="eastAsia" w:ascii="宋体" w:hAnsi="宋体" w:cs="Arial"/>
          <w:kern w:val="0"/>
          <w:szCs w:val="32"/>
        </w:rPr>
        <w:t>为了有效预防、及时控制和消除突发公共卫生事件的危害，保障公众身体健康与生命安全，维护正常的社会秩序，制定本条例。</w:t>
      </w:r>
    </w:p>
    <w:p>
      <w:pPr>
        <w:widowControl w:val="0"/>
        <w:numPr>
          <w:ilvl w:val="0"/>
          <w:numId w:val="0"/>
        </w:numPr>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lang w:val="en-US" w:eastAsia="zh-CN"/>
        </w:rPr>
        <w:t xml:space="preserve">    </w:t>
      </w:r>
      <w:r>
        <w:rPr>
          <w:rFonts w:hint="eastAsia" w:ascii="黑体" w:hAnsi="黑体" w:eastAsia="黑体" w:cs="黑体"/>
          <w:kern w:val="0"/>
          <w:szCs w:val="32"/>
        </w:rPr>
        <w:t>第二条</w:t>
      </w:r>
      <w:r>
        <w:rPr>
          <w:rFonts w:hint="eastAsia" w:ascii="宋体" w:hAnsi="宋体" w:cs="Arial"/>
          <w:kern w:val="0"/>
          <w:szCs w:val="32"/>
        </w:rPr>
        <w:t>　本条例所称突发公共卫生事件（以下简称突发事件），是指突然发生，造成或者可能造成社会公众健康严重损害的重大传染病疫情、群体性不明原因疾病、重大食物和职业中毒以及其他严重影响公众健康的事件。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突发事件发生后，国务院设立全国突发事件应急处理指挥部，由国务院有关部门和军队有关部门组成，国务院主管领导人担任总指挥，负责对全国突发事件应急处理的统一领导、统一指挥。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国务院卫生行政主管部门和其他有关部门，在各自的职责范围内做好突发事件应急处理的有关工作。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突发事件发生后，省、自治区、直辖市人民政府成立地方突发事件应急处理指挥部，省、自治区、直辖市人民政府主要领导人担任总指挥，负责领导、指挥本行政区域内突发事件应急处理工作。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县级以上地方人民政府卫生行政主管部门，具体负责组织突发事件的调查、控制和医疗救治工作。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县级以上地方人民政府有关部门，在各自的职责范围内做好突发事件应急处理的有关工作。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突发事件应急工作，应当遵循预防为主、常备不懈的方针，贯彻统一领导、分级负责、反应及时、措施果断、依靠科学、加强合作的原则。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县级以上各级人民政府应当组织开展防治突发事件相关科学研究，建立突发事件应急流行病学调查、传染源隔离、医疗救护、现场处置、监督检查、监测检验、卫生防护等有关物资、设备、设施、技术与人才资源储备，所需经费列入本级政府财政预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国家对边远贫困地区突发事件应急工作给予财政支持。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国家鼓励、支持开展突发事件监测、预警、反应处理有关技术的国际交流与合作。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国务院有关部门和县级以上地方人民政府及其有关部门，应当建立严格的突发事件防范和应急处理责任制，切实履行各自的职责，保证突发事件应急处理工作的正常进行。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县级以上各级人民政府及其卫生行政主管部门，应当对参加突发事件应急处理的医疗卫生人员，给予适当补助和保健津贴；对参加突发事件应急处理作出贡献的人员，给予表彰和奖励；对因参与应急处理工作致病、致残、死亡的人员，按照国家有关规定，给予相应的补助和抚恤。</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预防与应急准备</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国务院卫生行政主管部门按照分类指导、快速反应的要求，制定全国突发事件应急预案，报请国务院批准。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省、自治区、直辖市人民政府根据全国突发事件应急预案，结合本地实际情况，制定本行政区域的突发事件应急预案。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全国突发事件应急预案应当包括以下主要内容：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（一）突发事件应急处理指挥部的组成和相关部门的职责；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（二）突发事件的监测与预警；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（三）突发事件信息的收集、分析、报告、通报制度；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（四）突发事件应急处理技术和监测机构及其任务；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（五）突发事件的分级和应急处理工作方案；</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（六）突发事件预防、现场控制，应急设施、设备、救治药品和医疗器械以及其他物资和技术的储备与调度；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（七）突发事件应急处理专业队伍的建设和培训。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突发事件应急预案应当根据突发事件的变化和实施中发现的问题及时进行修订、补充。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地方各级人民政府应当依照法律、行政法规的规定，做好传染病预防和其他公共卫生工作，防范突发事件的发生。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县级以上各级人民政府卫生行政主管部门和其他有关部门，应当对公众开展突发事件应急知识的专门教育，增强全社会对突发事件的防范意识和应对能力。</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国家建立统一的突发事件预防控制体系。县级以上地方人民政府应当建立和完善突发事件监测与预警系统。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县级以上各级人民政府卫生行政主管部门，应当指定机构负责开展突发事件的日常监测，并确保监测与预警系统的正常运行。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监测与预警工作应当根据突发事件的类别，制定监测计划，科学分析、综合评价监测数据。对早期发现的潜在隐患以及可能发生的突发事件，应当依照本条例规定的报告程序和时限及时报告。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国务院有关部门和县级以上地方人民政府及其有关部门，应当根据突发事件应急预案的要求，保证应急设施、设备、救治药品和医疗器械等物资储备。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县级以上各级人民政府应当加强急救医疗服务网络的建设，配备相应的医疗救治药物、技术、设备和人员，提高医疗卫生机构应对各类突发事件的救治能力。</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设区的市级以上地方人民政府应当设置与传染病防治工作需要相适应的传染病专科医院，或者指定具备传染病防治条件和能力的医疗机构承担传染病防治任务。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县级以上地方人民政府卫生行政主管部门，应当定期对医疗卫生机构和人员开展突发事件应急处理相关知识、技能的培训，定期组织医疗卫生机构进行突发事件应急演练，推广最新知识和先进技术。</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报告与信息发布</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国家建立突发事件应急报告制度。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国务院卫生行政主管部门制定突发事件应急报告规范，建立重大、紧急疫情信息报告系统。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有下列情形之一的，省、自治区、直辖市人民政府应当在接到报告1小时内，向国务院卫生行政主管部门报告：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（一）发生或者可能发生传染病暴发、流行的；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（二）发生或者发现不明原因的群体性疾病的；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（三）发生传染病菌种、毒种丢失的；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（四）发生或者可能发生重大食物和职业中毒事件的。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国务院卫生行政主管部门对可能造成重大社会影响的突发事件，应当立即向国务院报告。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突发事件监测机构、医疗卫生机构和有关单位发现有本条例第十九条规定情形之一的，应当在2小时内向所在地县级人民政府卫生行政主管部门报告；接到报告的卫生行政主管部门应当在2小时内向本级人民政府报告，并同时向上级人民政府卫生行政主管部门和国务院卫生行政主管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县级人民政府应当在接到报告后2小时内向设区的市级人民政府或者上一级人民政府报告；设区的市级人民政府应当在接到报告后2小时内向省、自治区、直辖市人民政府报告。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任何单位和个人对突发事件，不得隐瞒、缓报、谎报或者授意他人隐瞒、缓报、谎报。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接到报告的地方人民政府、卫生行政主管部门依照本条例规定报告的同时，应当立即组织力量对报告事项调查核实、确证，采取必要的控制措施，并及时报告调查情况。</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国务院卫生行政主管部门应当根据发生突发事件的情况，及时向国务院有关部门和各省、自治区、直辖市人民政府卫生行政主管部门以及军队有关部门通报。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突发事件发生地的省、自治区、直辖市人民政府卫生行政主管部门，应当及时向毗邻省、自治区、直辖市人民政府卫生行政主管部门通报。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接到通报的省、自治区、直辖市人民政府卫生行政主管部门，必要时应当及时通知本行政区域内的医疗卫生机构。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县级以上地方人民政府有关部门，已经发生或者发现可能引起突发事件的情形时，应当及时向同级人民政府卫生行政主管部门通报。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国家建立突发事件举报制度，公布统一的突发事件报告、举报电话。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任何单位和个人有权向人民政府及其有关部门报告突发事件隐患，有权向上级人民政府及其有关部门举报地方人民政府及其有关部门不履行突发事件应急处理职责，或者不按照规定履行职责的情况。接到报告、举报的有关人民政府及其有关部门，应当立即组织对突发事件隐患、不履行或者不按照规定履行突发事件应急处理职责的情况进行调查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对举报突发事件有功的单位和个人，县级以上各级人民政府及其有关部门应当予以奖励。</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国家建立突发事件的信息发布制度。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国务院卫生行政主管部门负责向社会发布突发事件的信息。必要时，可以授权省、自治区、直辖市人民政府卫生行政主管部门向社会发布本行政区域内突发事件的信息。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信息发布应当及时、准确、全面。</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应急处理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突发事件发生后，卫生行政主管部门应当组织专家对突发事件进行综合评估，初步判断突发事件的类型，提出是否启动突发事件应急预案的建议。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在全国范围内或者跨省、自治区、直辖市范围内启动全国突发事件应急预案，由国务院卫生行政主管部门报国务院批准后实施。省、自治区、直辖市启动突发事件应急预案，由省、自治区、直辖市人民政府决定，并向国务院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全国突发事件应急处理指挥部对突发事件应急处理工作进行督察和指导，地方各级人民政府及其有关部门应当予以配合。省、自治区、直辖市突发事件应急处理指挥部对本行政区域内突发事件应急处理工作进行督察和指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省级以上人民政府卫生行政主管部门或者其他有关部门指定的突发事件应急处理专业技术机构，负责突发事件的技术调查、确证、处置、控制和评价工作。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国务院卫生行政主管部门对新发现的突发传染病，根据危害程度、流行强度，依照《中华人民共和国传染病防治法》的规定及时宣布为法定传染病；宣布为甲类传染病的，由国务院决定。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应急预案启动前，县级以上各级人民政府有关部门应当根据突发事件的实际情况，做好应急处理准备，采取必要的应急措施。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应急预案启动后，突发事件发生地的人民政府有关部门，应当根据预案规定的职责要求，服从突发事件应急处理指挥部的统一指挥，立即到达规定岗位，采取有关的控制措施。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医疗卫生机构、监测机构和科学研究机构，应当服从突发事件应急处理指挥部的统一指挥，相互配合、协作，集中力量开展相关的科学研究工作。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突发事件发生后，国务院有关部门和县级以上地方人民政府及其有关部门，应当保证突发事件应急处理所需的医疗救护设备、救治药品、医疗器械等物资的生产、供应；铁路、交通、民用航空行政主管部门应当保证及时运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根据突发事件应急处理的需要，突发事件应急处理指挥部有权紧急调集人员、储备的物资、交通工具以及相关设施、设备；必要时，对人员进行疏散或者隔离，并可以依法对传染病疫区实行封锁。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突发事件应急处理指挥部根据突发事件应急处理的需要，可以对食物和水源采取控制措施。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县级以上地方人民政府卫生行政主管部门应当对突发事件现场等采取控制措施，宣传突发事件防治知识，及时对易受感染的人群和其他易受损害的人群采取应急接种、预防性投药、群体防护等措施。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参加突发事件应急处理的工作人员，应当按照预案的规定，采取卫生防护措施，并在专业人员的指导下进行工作。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国务院卫生行政主管部门或者其他有关部门指定的专业技术机构，有权进入突发事件现场进行调查、采样、技术分析和检验，对地方突发事件的应急处理工作进行技术指导，有关单位和个人应当予以配合；任何单位和个人不得以任何理由予以拒绝。</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对新发现的突发传染病、不明原因的群体性疾病、重大食物和职业中毒事件，国务院卫生行政主管部门应当尽快组织力量制定相关的技术标准、规范和控制措施。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交通工具上发现根据国务院卫生行政主管部门的规定需要采取应急控制措施的传染病病人、疑似传染病病人，其负责人应当以最快的方式通知前方停靠点，并向交通工具的营运单位报告。交通工具的前方停靠点和营运单位应当立即向交通工具营运单位行政主管部门和县级以上地方人民政府卫生行政主管部门报告。卫生行政主管部门接到报告后，应当立即组织有关人员采取相应的医学处置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交通工具上的传染病病人密切接触者，由交通工具停靠点的县级以上各级人民政府卫生行政主管部门或者铁路、交通、民用航空行政主管部门，根据各自的职责，依照传染病防治法律、行政法规的规定，采取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涉及国境口岸和入出境的人员、交通工具、货物、集装箱、行李、邮包等需要采取传染病应急控制措施的，依照国境卫生检疫法律、行政法规的规定办理。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医疗卫生机构应当对因突发事件致病的人员提供医疗救护和现场救援，对就诊病人必须接诊治疗，并书写详细、完整的病历记录；对需要转送的病人，应当按照规定将病人及其病历记录的复印件转送至接诊的或者指定的医疗机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医疗卫生机构内应当采取卫生防护措施，防止交叉感染和污染。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医疗卫生机构应当对传染病病人密切接触者采取医学观察措施，传染病病人密切接触者应当予以配合。</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医疗机构收治传染病病人、疑似传染病病人，应当依法报告所在地的疾病预防控制机构。接到报告的疾病预防控制机构应当立即对可能受到危害的人员进行调查，根据需要采取必要的控制措施。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传染病暴发、流行时，街道、乡镇以及居民委员会、村民委员会应当组织力量，团结协作，群防群治，协助卫生行政主管部门和其他有关部门、医疗卫生机构做好疫情信息的收集和报告、人员的分散隔离、公共卫生措施的落实工作，向居民、村民宣传传染病防治的相关知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对传染病暴发、流行区域内流动人口，突发事件发生地的县级以上地方人民政府应当做好预防工作，落实有关卫生控制措施；对传染病病人和疑似传染病病人，应当采取就地隔离、就地观察、就地治疗的措施。对需要治疗和转诊的，应当依照本条例第三十九条第一款的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有关部门、医疗卫生机构应当对传染病做到早发现、早报告、早隔离、早治疗，切断传播途径，防止扩散。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县级以上各级人民政府应当提供必要资金，保障因突发事件致病、致残的人员得到及时、有效的救治。具体办法由国务院财政部门、卫生行政主管部门和劳动保障行政主管部门制定。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在突发事件中需要接受隔离治疗、医学观察措施的病人、疑似病人和传染病病人密切接触者在卫生行政主管部门或者有关机构采取医学措施时应当予以配合；拒绝配合的，由公安机关依法协助强制执行。</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法律责任</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县级以上地方人民政府及其卫生行政主管部门未依照本条例的规定履行报告职责，对突发事件隐瞒、缓报、谎报或者授意他人隐瞒、缓报、谎报的，对政府主要领导人及其卫生行政主管部门主要负责人，依法给予降级或者撤职的行政处分；造成传染病传播、流行或者对社会公众健康造成其他严重危害后果的，依法给予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国务院有关部门、县级以上地方人民政府及其有关部门未依照本条例的规定，完成突发事件应急处理所需要的设施、设备、药品和医疗器械等物资的生产、供应、运输和储备的，对政府主要领导人和政府部门主要负责人依法给予降级或者撤职的行政处分；造成传染病传播、流行或者对社会公众健康造成其他严重危害后果的，依法给予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突发事件发生后，县级以上地方人民政府及其有关部门对上级人民政府有关部门的调查不予配合，或者采取其他方式阻碍、干涉调查的，对政府主要领导人和政府部门主要负责人依法给予降级或者撤职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县级以上各级人民政府卫生行政主管部门和其他有关部门在突发事件调查、控制、医疗救治工作中玩忽职守、失职、渎职的，由本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县级以上各级人民政府有关部门拒不履行应急处理职责的，由同级人民政府或者上级人民政府有关部门责令改正、通报批评、给予警告；对主要 负责人、负有责任的主管人员和其他责任人员依法给予降级、撤职的行政处分；造成传染病传播、流行或者对社会公众健康造成其他严重危害后果的，依法给予开除的行政处分；构成犯罪的，依法追究刑事责任。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医疗卫生机构有下列行为之一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（一）未依照本条例的规定履行报告职责，隐瞒、缓报或者谎报的；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（二）未依照本条例的规定及时采取控制措施的；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（三）未依照本条例的规定履行突发事件监测职责的；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（四）拒绝接诊病人的；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（五）拒不服从突发事件应急处理指挥部调度的。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在突发事件应急处理工作中，有关单位和个人未依照本条例的规定履行报告职责，隐瞒、缓报或者谎报，阻碍突发事件应急处理工作人员执行职务，拒绝国务院卫生行政主管部门或者其他有关部门指定的专业技术机构进入突发事件现场，或者不配合调查、采样、技术分析和检验的，对有关责任人员依法给予行政处分或者纪律处分；触犯《中华人民共和国治安管理处罚法》（注：原文为：“《中华人民共和国治安管理处罚条例》”），构成违反治安管理行为的，由公安机关依法予以处罚；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在突发事件发生期间，散布谣言、哄抬物价、欺骗消费者，扰乱社会秩序、市场秩序的，由公安机关或者工商行政管理部门依法给予行政处罚；构成犯罪的，依法追究刑事责任。</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中国人民解放军、武装警察部队医疗卫生机构参与突发事件应急处理的，依照本条例的规定和军队的相关规定执行。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本条例自公布之日起施行。</w:t>
      </w: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Arial"/>
          <w:bCs/>
          <w:sz w:val="44"/>
          <w:szCs w:val="44"/>
        </w:rPr>
      </w:pPr>
      <w:bookmarkStart w:id="234" w:name="_Toc18072"/>
      <w:r>
        <w:rPr>
          <w:rFonts w:hint="eastAsia" w:ascii="宋体" w:hAnsi="宋体" w:eastAsia="宋体" w:cs="Arial"/>
          <w:bCs/>
          <w:sz w:val="44"/>
          <w:szCs w:val="44"/>
        </w:rPr>
        <w:t>医疗纠纷预防和处理条例</w:t>
      </w:r>
      <w:bookmarkEnd w:id="234"/>
    </w:p>
    <w:p>
      <w:pPr>
        <w:widowControl w:val="0"/>
        <w:wordWrap/>
        <w:adjustRightInd/>
        <w:snapToGrid/>
        <w:spacing w:line="560" w:lineRule="exact"/>
        <w:textAlignment w:val="auto"/>
        <w:rPr>
          <w:rFonts w:hint="eastAsia" w:ascii="宋体" w:hAnsi="宋体" w:eastAsia="宋体" w:cs="Arial"/>
          <w:bCs/>
          <w:sz w:val="44"/>
          <w:szCs w:val="44"/>
        </w:rPr>
      </w:pPr>
    </w:p>
    <w:p>
      <w:pPr>
        <w:widowControl w:val="0"/>
        <w:wordWrap/>
        <w:overflowPunct w:val="0"/>
        <w:adjustRightInd/>
        <w:snapToGrid/>
        <w:spacing w:beforeAutospacing="0" w:afterAutospacing="0" w:line="560" w:lineRule="exact"/>
        <w:ind w:left="640" w:leftChars="200" w:right="640" w:rightChars="200"/>
        <w:textAlignment w:val="auto"/>
        <w:rPr>
          <w:rFonts w:hint="eastAsia" w:ascii="宋体" w:hAnsi="宋体" w:eastAsia="楷体_GB2312" w:cs="Arial"/>
          <w:szCs w:val="32"/>
          <w:lang w:eastAsia="zh-CN"/>
        </w:rPr>
      </w:pPr>
      <w:r>
        <w:rPr>
          <w:rFonts w:hint="eastAsia" w:ascii="宋体" w:hAnsi="宋体" w:eastAsia="楷体_GB2312" w:cs="Arial"/>
          <w:szCs w:val="32"/>
          <w:lang w:eastAsia="zh-CN"/>
        </w:rPr>
        <w:t>（</w:t>
      </w:r>
      <w:r>
        <w:rPr>
          <w:rFonts w:hint="eastAsia" w:ascii="宋体" w:hAnsi="宋体" w:eastAsia="楷体_GB2312" w:cs="Arial"/>
          <w:szCs w:val="32"/>
        </w:rPr>
        <w:t>经2018年6月20日国务院第13次常务会议通过，中华人民共和国国务院令第701号公布，自2018年10月1日起施行</w:t>
      </w:r>
      <w:r>
        <w:rPr>
          <w:rFonts w:hint="eastAsia" w:ascii="宋体" w:hAnsi="宋体" w:eastAsia="楷体_GB2312" w:cs="Arial"/>
          <w:szCs w:val="32"/>
          <w:lang w:eastAsia="zh-CN"/>
        </w:rPr>
        <w:t>）</w:t>
      </w:r>
    </w:p>
    <w:p>
      <w:pPr>
        <w:widowControl w:val="0"/>
        <w:wordWrap/>
        <w:adjustRightInd/>
        <w:snapToGrid/>
        <w:spacing w:line="560" w:lineRule="exact"/>
        <w:jc w:val="center"/>
        <w:textAlignment w:val="auto"/>
        <w:rPr>
          <w:rFonts w:hint="eastAsia" w:ascii="黑体" w:hAnsi="黑体" w:eastAsia="黑体" w:cs="黑体"/>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第一条</w:t>
      </w:r>
      <w:r>
        <w:rPr>
          <w:rFonts w:hint="eastAsia" w:ascii="仿宋" w:hAnsi="仿宋" w:eastAsia="仿宋" w:cs="仿宋"/>
          <w:bCs/>
          <w:sz w:val="32"/>
          <w:szCs w:val="32"/>
        </w:rPr>
        <w:t xml:space="preserve"> 为了预防和妥善处理医疗纠纷，保护医患双方的合法权益，维护医疗秩序，保障医疗安全，制定本条例。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第二条 </w:t>
      </w:r>
      <w:r>
        <w:rPr>
          <w:rFonts w:hint="eastAsia" w:ascii="仿宋" w:hAnsi="仿宋" w:eastAsia="仿宋" w:cs="仿宋"/>
          <w:bCs/>
          <w:sz w:val="32"/>
          <w:szCs w:val="32"/>
        </w:rPr>
        <w:t>本条例所称医疗纠纷，是指医患双方因诊疗活动引发的争议。</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第三条</w:t>
      </w:r>
      <w:r>
        <w:rPr>
          <w:rFonts w:hint="eastAsia" w:ascii="仿宋" w:hAnsi="仿宋" w:eastAsia="仿宋" w:cs="仿宋"/>
          <w:bCs/>
          <w:sz w:val="32"/>
          <w:szCs w:val="32"/>
        </w:rPr>
        <w:t xml:space="preserve"> 国家建立医疗质量安全管理体系，深化医药卫生体制改革，规范诊疗活动，改善医疗服务，提高医疗质量，预防、减少医疗纠纷。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在诊疗活动中，医患双方应当互相尊重，维护自身权益应当遵守有关法律、法规的规定。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第四条 </w:t>
      </w:r>
      <w:r>
        <w:rPr>
          <w:rFonts w:hint="eastAsia" w:ascii="仿宋" w:hAnsi="仿宋" w:eastAsia="仿宋" w:cs="仿宋"/>
          <w:bCs/>
          <w:sz w:val="32"/>
          <w:szCs w:val="32"/>
        </w:rPr>
        <w:t>处理医疗纠纷，应当遵循公平、公正、及时的原则，实事求是，依法处理。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第五条</w:t>
      </w:r>
      <w:r>
        <w:rPr>
          <w:rFonts w:hint="eastAsia" w:ascii="仿宋" w:hAnsi="仿宋" w:eastAsia="仿宋" w:cs="仿宋"/>
          <w:bCs/>
          <w:sz w:val="32"/>
          <w:szCs w:val="32"/>
        </w:rPr>
        <w:t xml:space="preserve"> 县级以上人民政府应当加强对医疗纠纷预防和处理工作的领导、协调，将其纳入社会治安综合治理体系，建立部门分工协作机制，督促部门依法履行职责。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第六条 </w:t>
      </w:r>
      <w:r>
        <w:rPr>
          <w:rFonts w:hint="eastAsia" w:ascii="仿宋" w:hAnsi="仿宋" w:eastAsia="仿宋" w:cs="仿宋"/>
          <w:bCs/>
          <w:sz w:val="32"/>
          <w:szCs w:val="32"/>
        </w:rPr>
        <w:t>卫生主管部门负责指导、监督医疗机构做好医疗纠纷的预防和处理工作，引导医患双方依法解决医疗纠纷。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司法行政部门负责指导医疗纠纷人民调解工作。</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公安机关依法维护医疗机构治安秩序，查处、打击侵害患者和医务人员合法权益以及扰乱医疗秩序等违法犯罪行为。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财政、民政、保险监督管理等部门和机构按照各自职责做好医疗纠纷预防和处理的有关工作。</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第七条</w:t>
      </w:r>
      <w:r>
        <w:rPr>
          <w:rFonts w:hint="eastAsia" w:ascii="仿宋" w:hAnsi="仿宋" w:eastAsia="仿宋" w:cs="仿宋"/>
          <w:bCs/>
          <w:sz w:val="32"/>
          <w:szCs w:val="32"/>
        </w:rPr>
        <w:t xml:space="preserve"> 国家建立完善医疗风险分担机制，发挥保险机制在医疗纠纷处理中的第三方赔付和医疗风险社会化分担的作用，鼓励医疗机构参加医疗责任保险，鼓励患者参加医疗意外保险。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第八条</w:t>
      </w:r>
      <w:r>
        <w:rPr>
          <w:rFonts w:hint="eastAsia" w:ascii="仿宋" w:hAnsi="仿宋" w:eastAsia="仿宋" w:cs="仿宋"/>
          <w:bCs/>
          <w:sz w:val="32"/>
          <w:szCs w:val="32"/>
        </w:rPr>
        <w:t xml:space="preserve"> 新闻媒体应当加强医疗卫生法律、法规和医疗卫生常识的宣传，引导公众理性对待医疗风险；报道医疗纠纷，应当遵守有关法律、法规的规定，恪守职业道德，做到真实、客观、公正。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第二章　医疗纠纷预防</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第九条</w:t>
      </w:r>
      <w:r>
        <w:rPr>
          <w:rFonts w:hint="eastAsia" w:ascii="仿宋" w:hAnsi="仿宋" w:eastAsia="仿宋" w:cs="仿宋"/>
          <w:bCs/>
          <w:sz w:val="32"/>
          <w:szCs w:val="32"/>
        </w:rPr>
        <w:t xml:space="preserve"> 医疗机构及其医务人员在诊疗活动中应当以患者为中心，加强人文关怀，严格遵守医疗卫生法律、法规、规章和诊疗相关规范、常规，恪守职业道德。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医疗机构应当对其医务人员进行医疗卫生法律、法规、规章和诊疗相关规范、常规的培训，并加强职业道德教育。</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第十条</w:t>
      </w:r>
      <w:r>
        <w:rPr>
          <w:rFonts w:hint="eastAsia" w:ascii="仿宋" w:hAnsi="仿宋" w:eastAsia="仿宋" w:cs="仿宋"/>
          <w:bCs/>
          <w:sz w:val="32"/>
          <w:szCs w:val="32"/>
        </w:rPr>
        <w:t xml:space="preserve"> 医疗机构应当制定并实施医疗质量安全管理制度，设置医疗服务质量监控部门或者配备专（兼）职人员，加强对诊断、治疗、护理、药事、检查等工作的规范化管理，优化服务流程，提高服务水平。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医疗机构应当加强医疗风险管理，完善医疗风险的识别、评估和防控措施，定期检查措施落实情况，及时消除隐患。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第十一条 </w:t>
      </w:r>
      <w:r>
        <w:rPr>
          <w:rFonts w:hint="eastAsia" w:ascii="仿宋" w:hAnsi="仿宋" w:eastAsia="仿宋" w:cs="仿宋"/>
          <w:bCs/>
          <w:sz w:val="32"/>
          <w:szCs w:val="32"/>
        </w:rPr>
        <w:t>医疗机构应当按照国务院卫生主管部门制定的医疗技术临床应用管理规定，开展与其技术能力相适应的医疗技术服务，保障临床应用安全，降低医疗风险；采用医疗新技术的，应当开展技术评估和伦理审查，确保安全有效、符合伦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第十二条</w:t>
      </w:r>
      <w:r>
        <w:rPr>
          <w:rFonts w:hint="eastAsia" w:ascii="仿宋" w:hAnsi="仿宋" w:eastAsia="仿宋" w:cs="仿宋"/>
          <w:bCs/>
          <w:sz w:val="32"/>
          <w:szCs w:val="32"/>
        </w:rPr>
        <w:t xml:space="preserve"> 医疗机构应当依照有关法律、法规的规定，严格执行药品、医疗器械、消毒药剂、血液等的进货查验、保管等制度。禁止使用无合格证明文件、过期等不合格的药品、医疗器械、消毒药剂、血液等。</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第十三条</w:t>
      </w:r>
      <w:r>
        <w:rPr>
          <w:rFonts w:hint="eastAsia" w:ascii="仿宋" w:hAnsi="仿宋" w:eastAsia="仿宋" w:cs="仿宋"/>
          <w:bCs/>
          <w:sz w:val="32"/>
          <w:szCs w:val="32"/>
        </w:rPr>
        <w:t xml:space="preserve"> 医务人员在诊疗活动中应当向患者说明病情和医疗措施。需要实施手术，或者开展临床试验等存在一定危险性、可能产生不良后果的特殊检查、特殊治疗的，医务人员应当及时向患者说明医疗风险、替代医疗方案等情况，并取得其书面同意；在患者处于昏迷等无法自主作出决定的状态或者病情不宜向患者说明等情形下，应当向患者的近亲属说明，并取得其书面同意。</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紧急情况下不能取得患者或者其近亲属意见的，经医疗机构负责人或者授权的负责人批准，可以立即实施相应的医疗措施。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第十四条</w:t>
      </w:r>
      <w:r>
        <w:rPr>
          <w:rFonts w:hint="eastAsia" w:ascii="仿宋" w:hAnsi="仿宋" w:eastAsia="仿宋" w:cs="仿宋"/>
          <w:bCs/>
          <w:sz w:val="32"/>
          <w:szCs w:val="32"/>
        </w:rPr>
        <w:t xml:space="preserve"> 开展手术、特殊检查、特殊治疗等具有较高医疗风险的诊疗活动，医疗机构应当提前预备应对方案，主动防范突发风险。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第十五条</w:t>
      </w:r>
      <w:r>
        <w:rPr>
          <w:rFonts w:hint="eastAsia" w:ascii="仿宋" w:hAnsi="仿宋" w:eastAsia="仿宋" w:cs="仿宋"/>
          <w:bCs/>
          <w:sz w:val="32"/>
          <w:szCs w:val="32"/>
        </w:rPr>
        <w:t xml:space="preserve"> 医疗机构及其医务人员应当按照国务院卫生主管部门的规定，填写并妥善保管病历资料。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因紧急抢救未能及时填写病历的，医务人员应当在抢救结束后6小时内据实补记，并加以注明。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任何单位和个人不得篡改、伪造、隐匿、毁灭或者抢夺病历资料。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第十六条</w:t>
      </w:r>
      <w:r>
        <w:rPr>
          <w:rFonts w:hint="eastAsia" w:ascii="仿宋" w:hAnsi="仿宋" w:eastAsia="仿宋" w:cs="仿宋"/>
          <w:bCs/>
          <w:sz w:val="32"/>
          <w:szCs w:val="32"/>
        </w:rPr>
        <w:t xml:space="preserve"> 患者有权查阅、复制其门诊病历、住院志、体温单、医嘱单、化验单（检验报告）、医学影像检查资料、特殊检查同意书、手术同意书、手术及麻醉记录、病理资料、护理记录、医疗费用以及国务院卫生主管部门规定的其他属于病历的全部资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患者要求复制病历资料的，医疗机构应当提供复制服务，并在复制的病历资料上加盖证明印记。复制病历资料时，应当有患者或者其近亲属在场。医疗机构应患者的要求为其复制病历资料，可以收取工本费，收费标准应当公开。</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患者死亡的，其近亲属可以依照本条例的规定，查阅、复制病历资料。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第十七条</w:t>
      </w:r>
      <w:r>
        <w:rPr>
          <w:rFonts w:hint="eastAsia" w:ascii="仿宋" w:hAnsi="仿宋" w:eastAsia="仿宋" w:cs="仿宋"/>
          <w:bCs/>
          <w:sz w:val="32"/>
          <w:szCs w:val="32"/>
        </w:rPr>
        <w:t xml:space="preserve"> 医疗机构应当建立健全医患沟通机制，对患者在诊疗过程中提出的咨询、意见和建议，应当耐心解释、说明，并按照规定进行处理；对患者就诊疗行为提出的疑问，应当及时予以核实、自查，并指定有关人员与患者或者其近亲属沟通，如实说明情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第十八条</w:t>
      </w:r>
      <w:r>
        <w:rPr>
          <w:rFonts w:hint="eastAsia" w:ascii="仿宋" w:hAnsi="仿宋" w:eastAsia="仿宋" w:cs="仿宋"/>
          <w:bCs/>
          <w:sz w:val="32"/>
          <w:szCs w:val="32"/>
        </w:rPr>
        <w:t xml:space="preserve"> 医疗机构应当建立健全投诉接待制度，设置统一的投诉管理部门或者配备专（兼）职人员，在医疗机构显著位置公布医疗纠纷解决途径、程序和联系方式等，方便患者投诉或者咨询。</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第十九条 </w:t>
      </w:r>
      <w:r>
        <w:rPr>
          <w:rFonts w:hint="eastAsia" w:ascii="仿宋" w:hAnsi="仿宋" w:eastAsia="仿宋" w:cs="仿宋"/>
          <w:bCs/>
          <w:sz w:val="32"/>
          <w:szCs w:val="32"/>
        </w:rPr>
        <w:t>卫生主管部门应当督促医疗机构落实医疗质量安全管理制度，组织开展医疗质量安全评估，分析医疗质量安全信息，针对发现的风险制定防范措施。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第二十条 </w:t>
      </w:r>
      <w:r>
        <w:rPr>
          <w:rFonts w:hint="eastAsia" w:ascii="仿宋" w:hAnsi="仿宋" w:eastAsia="仿宋" w:cs="仿宋"/>
          <w:bCs/>
          <w:sz w:val="32"/>
          <w:szCs w:val="32"/>
        </w:rPr>
        <w:t>患者应当遵守医疗秩序和医疗机构有关就诊、治疗、检查的规定，如实提供与病情有关的信息，配合医务人员开展诊疗活动。</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第二十一条 </w:t>
      </w:r>
      <w:r>
        <w:rPr>
          <w:rFonts w:hint="eastAsia" w:ascii="仿宋" w:hAnsi="仿宋" w:eastAsia="仿宋" w:cs="仿宋"/>
          <w:bCs/>
          <w:sz w:val="32"/>
          <w:szCs w:val="32"/>
        </w:rPr>
        <w:t>各级人民政府应当加强健康促进与教育工作，普及健康科学知识，提高公众对疾病治疗等医学科学知识的认知水平。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第三章　医疗纠纷处理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第二十二条</w:t>
      </w:r>
      <w:r>
        <w:rPr>
          <w:rFonts w:hint="eastAsia" w:ascii="仿宋" w:hAnsi="仿宋" w:eastAsia="仿宋" w:cs="仿宋"/>
          <w:bCs/>
          <w:sz w:val="32"/>
          <w:szCs w:val="32"/>
        </w:rPr>
        <w:t xml:space="preserve"> 发生医疗纠纷，医患双方可以通过下列途径解决：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（一）双方自愿协商；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（二）申请人民调解；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（三）申请行政调解；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（四）向人民法院提起诉讼；</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（五）法律、法规规定的其他途径。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第二十三条</w:t>
      </w:r>
      <w:r>
        <w:rPr>
          <w:rFonts w:hint="eastAsia" w:ascii="仿宋" w:hAnsi="仿宋" w:eastAsia="仿宋" w:cs="仿宋"/>
          <w:bCs/>
          <w:sz w:val="32"/>
          <w:szCs w:val="32"/>
        </w:rPr>
        <w:t xml:space="preserve"> 发生医疗纠纷，医疗机构应当告知患者或者其近亲属下列事项：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（一）解决医疗纠纷的合法途径；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（二）有关病历资料、现场实物封存和启封的规定；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（三）有关病历资料查阅、复制的规定。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患者死亡的，还应当告知其近亲属有关尸检的规定。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第二十四条 </w:t>
      </w:r>
      <w:r>
        <w:rPr>
          <w:rFonts w:hint="eastAsia" w:ascii="仿宋" w:hAnsi="仿宋" w:eastAsia="仿宋" w:cs="仿宋"/>
          <w:bCs/>
          <w:sz w:val="32"/>
          <w:szCs w:val="32"/>
        </w:rPr>
        <w:t>发生医疗纠纷需要封存、启封病历资料的，应当在医患双方在场的情况下进行。封存的病历资料可以是原件，也可以是复制件，由医疗机构保管。病历尚未完成需要封存的，对已完成病历先行封存；病历按照规定完成后，再对后续完成部分进行封存。医疗机构应当对封存的病历开列封存清单，由医患双方签字或者盖章，各执一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病历资料封存后医疗纠纷已经解决，或者患者在病历资料封存满3年未再提出解决医疗纠纷要求的，医疗机构可以自行启封。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第二十五条 </w:t>
      </w:r>
      <w:r>
        <w:rPr>
          <w:rFonts w:hint="eastAsia" w:ascii="仿宋" w:hAnsi="仿宋" w:eastAsia="仿宋" w:cs="仿宋"/>
          <w:bCs/>
          <w:sz w:val="32"/>
          <w:szCs w:val="32"/>
        </w:rPr>
        <w:t>疑似输液、输血、注射、用药等引起不良后果的，医患双方应当共同对现场实物进行封存、启封，封存的现场实物由医疗机构保管。需要检验的，应当由双方共同委托依法具有检验资格的检验机构进行检验；双方无法共同委托的，由医疗机构所在地县级人民政府卫生主管部门指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疑似输血引起不良后果，需要对血液进行封存保留的，医疗机构应当通知提供该血液的血站派员到场。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现场实物封存后医疗纠纷已经解决，或者患者在现场实物封存满3年未再提出解决医疗纠纷要求的，医疗机构可以自行启封。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第二十六条</w:t>
      </w:r>
      <w:r>
        <w:rPr>
          <w:rFonts w:hint="eastAsia" w:ascii="仿宋" w:hAnsi="仿宋" w:eastAsia="仿宋" w:cs="仿宋"/>
          <w:bCs/>
          <w:sz w:val="32"/>
          <w:szCs w:val="32"/>
        </w:rPr>
        <w:t xml:space="preserve"> 患者死亡，医患双方对死因有异议的，应当在患者死亡后48小时内进行尸检；具备尸体冻存条件的，可以延长至7日。尸检应当经死者近亲属同意并签字，拒绝签字的，视为死者近亲属不同意进行尸检。不同意或者拖延尸检，超过规定时间，影响对死因判定的，由不同意或者拖延的一方承担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尸检应当由按照国家有关规定取得相应资格的机构和专业技术人员进行。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医患双方可以委派代表观察尸检过程。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第二十七条</w:t>
      </w:r>
      <w:r>
        <w:rPr>
          <w:rFonts w:hint="eastAsia" w:ascii="仿宋" w:hAnsi="仿宋" w:eastAsia="仿宋" w:cs="仿宋"/>
          <w:bCs/>
          <w:sz w:val="32"/>
          <w:szCs w:val="32"/>
        </w:rPr>
        <w:t xml:space="preserve"> 患者在医疗机构内死亡的，尸体应当立即移放太平间或者指定的场所，死者尸体存放时间一般不得超过14日。逾期不处理的尸体，由医疗机构在向所在地县级人民政府卫生主管部门和公安机关报告后，按照规定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第二十八条</w:t>
      </w:r>
      <w:r>
        <w:rPr>
          <w:rFonts w:hint="eastAsia" w:ascii="仿宋" w:hAnsi="仿宋" w:eastAsia="仿宋" w:cs="仿宋"/>
          <w:bCs/>
          <w:sz w:val="32"/>
          <w:szCs w:val="32"/>
        </w:rPr>
        <w:t xml:space="preserve"> 发生重大医疗纠纷的，医疗机构应当按照规定向所在地县级以上地方人民政府卫生主管部门报告。卫生主管部门接到报告后，应当及时了解掌握情况，引导医患双方通过合法途径解决纠纷。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第二十九条</w:t>
      </w:r>
      <w:r>
        <w:rPr>
          <w:rFonts w:hint="eastAsia" w:ascii="仿宋" w:hAnsi="仿宋" w:eastAsia="仿宋" w:cs="仿宋"/>
          <w:bCs/>
          <w:sz w:val="32"/>
          <w:szCs w:val="32"/>
        </w:rPr>
        <w:t xml:space="preserve"> 医患双方应当依法维护医疗秩序。任何单位和个人不得实施危害患者和医务人员人身安全、扰乱医疗秩序的行为。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医疗纠纷中发生涉嫌违反治安管理行为或者犯罪行为的，医疗机构应当立即向所在地公安机关报案。公安机关应当及时采取措施，依法处置，维护医疗秩序。</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第三十条</w:t>
      </w:r>
      <w:r>
        <w:rPr>
          <w:rFonts w:hint="eastAsia" w:ascii="仿宋" w:hAnsi="仿宋" w:eastAsia="仿宋" w:cs="仿宋"/>
          <w:bCs/>
          <w:sz w:val="32"/>
          <w:szCs w:val="32"/>
        </w:rPr>
        <w:t xml:space="preserve"> 医患双方选择协商解决医疗纠纷的，应当在专门场所协商，不得影响正常医疗秩序。医患双方人数较多的，应当推举代表进行协商，每方代表人数不超过5人。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协商解决医疗纠纷应当坚持自愿、合法、平等的原则，尊重当事人的权利，尊重客观事实。医患双方应当文明、理性表达意见和要求，不得有违法行为。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协商确定赔付金额应当以事实为依据，防止畸高或者畸低。对分歧较大或者索赔数额较高的医疗纠纷，鼓励医患双方通过人民调解的途径解决。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医患双方经协商达成一致的，应当签署书面和解协议书。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第三十一条</w:t>
      </w:r>
      <w:r>
        <w:rPr>
          <w:rFonts w:hint="eastAsia" w:ascii="仿宋" w:hAnsi="仿宋" w:eastAsia="仿宋" w:cs="仿宋"/>
          <w:bCs/>
          <w:sz w:val="32"/>
          <w:szCs w:val="32"/>
        </w:rPr>
        <w:t xml:space="preserve"> 申请医疗纠纷人民调解的，由医患双方共同向医疗纠纷人民调解委员会提出申请；一方申请调解的，医疗纠纷人民调解委员会在征得另一方同意后进行调解。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申请人可以以书面或者口头形式申请调解。书面申请的，申请书应当载明申请人的基本情况、申请调解的争议事项和理由等；口头申请的，医疗纠纷人民调解员应当当场记录申请人的基本情况、申请调解的争议事项和理由等，并经申请人签字确认。</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医疗纠纷人民调解委员会获悉医疗机构内发生重大医疗纠纷，可以主动开展工作，引导医患双方申请调解。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当事人已经向人民法院提起诉讼并且已被受理，或者已经申请卫生主管部门调解并且已被受理的，医疗纠纷人民调解委员会不予受理；已经受理的，终止调解。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第三十二条</w:t>
      </w:r>
      <w:r>
        <w:rPr>
          <w:rFonts w:hint="eastAsia" w:ascii="仿宋" w:hAnsi="仿宋" w:eastAsia="仿宋" w:cs="仿宋"/>
          <w:bCs/>
          <w:sz w:val="32"/>
          <w:szCs w:val="32"/>
        </w:rPr>
        <w:t xml:space="preserve"> 设立医疗纠纷人民调解委员会，应当遵守《中华人民共和国人民调解法》的规定，并符合本地区实际需要。医疗纠纷人民调解委员会应当自设立之日起30个工作日内向所在地县级以上地方人民政府司法行政部门备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医疗纠纷人民调解委员会应当根据具体情况，聘任一定数量的具有医学、法学等专业知识且热心调解工作的人员担任专（兼）职医疗纠纷人民调解员。</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医疗纠纷人民调解委员会调解医疗纠纷，不得收取费用。医疗纠纷人民调解工作所需经费按照国务院财政、司法行政部门的有关规定执行。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第三十三条</w:t>
      </w:r>
      <w:r>
        <w:rPr>
          <w:rFonts w:hint="eastAsia" w:ascii="仿宋" w:hAnsi="仿宋" w:eastAsia="仿宋" w:cs="仿宋"/>
          <w:bCs/>
          <w:sz w:val="32"/>
          <w:szCs w:val="32"/>
        </w:rPr>
        <w:t xml:space="preserve"> 医疗纠纷人民调解委员会调解医疗纠纷时，可以根据需要咨询专家，并可以从本条例第三十五条规定的专家库中选取专家。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第三十四条 </w:t>
      </w:r>
      <w:r>
        <w:rPr>
          <w:rFonts w:hint="eastAsia" w:ascii="仿宋" w:hAnsi="仿宋" w:eastAsia="仿宋" w:cs="仿宋"/>
          <w:bCs/>
          <w:sz w:val="32"/>
          <w:szCs w:val="32"/>
        </w:rPr>
        <w:t>医疗纠纷人民调解委员会调解医疗纠纷，需要进行医疗损害鉴定以明确责任的，由医患双方共同委托医学会或者司法鉴定机构进行鉴定，也可以经医患双方同意，由医疗纠纷人民调解委员会委托鉴定。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学会或者司法鉴定机构接受委托从事医疗损害鉴定，应当由鉴定事项所涉专业的临床医学、法医学等专业人员进行鉴定；医学会或者司法鉴定机构没有相关专业人员的，应当从本条例第三十五条规定的专家库中抽取相关专业专家进行鉴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学会或者司法鉴定机构开展医疗损害鉴定，应当执行规定的标准和程序，尊重科学，恪守职业道德，对出具的医疗损害鉴定意见负责，不得出具虚假鉴定意见。医疗损害鉴定的具体管理办法由国务院卫生、司法行政部门共同制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鉴定费预先向医患双方收取，最终按照责任比例承担。</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第三十五条</w:t>
      </w:r>
      <w:r>
        <w:rPr>
          <w:rFonts w:hint="eastAsia" w:ascii="仿宋" w:hAnsi="仿宋" w:eastAsia="仿宋" w:cs="仿宋"/>
          <w:bCs/>
          <w:sz w:val="32"/>
          <w:szCs w:val="32"/>
        </w:rPr>
        <w:t xml:space="preserve"> 医疗损害鉴定专家库由设区的市级以上人民政府卫生、司法行政部门共同设立。专家库应当包含医学、法学、法医学等领域的专家。聘请专家进入专家库，不受行政区域的限制。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第三十六条</w:t>
      </w:r>
      <w:r>
        <w:rPr>
          <w:rFonts w:hint="eastAsia" w:ascii="仿宋" w:hAnsi="仿宋" w:eastAsia="仿宋" w:cs="仿宋"/>
          <w:bCs/>
          <w:sz w:val="32"/>
          <w:szCs w:val="32"/>
        </w:rPr>
        <w:t xml:space="preserve"> 医学会、司法鉴定机构作出的医疗损害鉴定意见应当载明并详细论述下列内容：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（一）是否存在医疗损害以及损害程度；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（二）是否存在医疗过错；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（三）医疗过错与医疗损害是否存在因果关系；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（四）医疗过错在医疗损害中的责任程度。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第三十七条 </w:t>
      </w:r>
      <w:r>
        <w:rPr>
          <w:rFonts w:hint="eastAsia" w:ascii="仿宋" w:hAnsi="仿宋" w:eastAsia="仿宋" w:cs="仿宋"/>
          <w:bCs/>
          <w:sz w:val="32"/>
          <w:szCs w:val="32"/>
        </w:rPr>
        <w:t>咨询专家、鉴定人员有下列情形之一的，应当回避，当事人也可以以口头或者书面形式申请其回避：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（一）是医疗纠纷当事人或者当事人的近亲属；</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（二）与医疗纠纷有利害关系；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（三）与医疗纠纷当事人有其他关系，可能影响医疗纠纷公正处理。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第三十八条</w:t>
      </w:r>
      <w:r>
        <w:rPr>
          <w:rFonts w:hint="eastAsia" w:ascii="仿宋" w:hAnsi="仿宋" w:eastAsia="仿宋" w:cs="仿宋"/>
          <w:bCs/>
          <w:sz w:val="32"/>
          <w:szCs w:val="32"/>
        </w:rPr>
        <w:t xml:space="preserve"> 医疗纠纷人民调解委员会应当自受理之日起30个工作日内完成调解。需要鉴定的，鉴定时间不计入调解期限。因特殊情况需要延长调解期限的，医疗纠纷人民调解委员会和医患双方可以约定延长调解期限。超过调解期限未达成调解协议的，视为调解不成。</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第三十九条</w:t>
      </w:r>
      <w:r>
        <w:rPr>
          <w:rFonts w:hint="eastAsia" w:ascii="仿宋" w:hAnsi="仿宋" w:eastAsia="仿宋" w:cs="仿宋"/>
          <w:bCs/>
          <w:sz w:val="32"/>
          <w:szCs w:val="32"/>
        </w:rPr>
        <w:t xml:space="preserve"> 医患双方经人民调解达成一致的，医疗纠纷人民调解委员会应当制作调解协议书。调解协议书经医患双方签字或者盖章，人民调解员签字并加盖医疗纠纷人民调解委员会印章后生效。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达成调解协议的，医疗纠纷人民调解委员会应当告知医患双方可以依法向人民法院申请司法确认。</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第四十条</w:t>
      </w:r>
      <w:r>
        <w:rPr>
          <w:rFonts w:hint="eastAsia" w:ascii="仿宋" w:hAnsi="仿宋" w:eastAsia="仿宋" w:cs="仿宋"/>
          <w:bCs/>
          <w:sz w:val="32"/>
          <w:szCs w:val="32"/>
        </w:rPr>
        <w:t xml:space="preserve"> 医患双方申请医疗纠纷行政调解的，应当参照本条例第三十一条第一款、第二款的规定向医疗纠纷发生地县级人民政府卫生主管部门提出申请。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主管部门应当自收到申请之日起5个工作日内作出是否受理的决定。当事人已经向人民法院提起诉讼并且已被受理，或者已经申请医疗纠纷人民调解委员会调解并且已被受理的，卫生主管部门不予受理；已经受理的，终止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卫生主管部门应当自受理之日起30个工作日内完成调解。需要鉴定的，鉴定时间不计入调解期限。超过调解期限未达成调解协议的，视为调解不成。</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第四十一条 </w:t>
      </w:r>
      <w:r>
        <w:rPr>
          <w:rFonts w:hint="eastAsia" w:ascii="仿宋" w:hAnsi="仿宋" w:eastAsia="仿宋" w:cs="仿宋"/>
          <w:bCs/>
          <w:sz w:val="32"/>
          <w:szCs w:val="32"/>
        </w:rPr>
        <w:t>卫生主管部门调解医疗纠纷需要进行专家咨询的，可以从本条例第三十五条规定的专家库中抽取专家；医患双方认为需要进行医疗损害鉴定以明确责任的，参照本条例第三十四条的规定进行鉴定。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医患双方经卫生主管部门调解达成一致的，应当签署调解协议书。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第四十二条</w:t>
      </w:r>
      <w:r>
        <w:rPr>
          <w:rFonts w:hint="eastAsia" w:ascii="仿宋" w:hAnsi="仿宋" w:eastAsia="仿宋" w:cs="仿宋"/>
          <w:bCs/>
          <w:sz w:val="32"/>
          <w:szCs w:val="32"/>
        </w:rPr>
        <w:t xml:space="preserve"> 医疗纠纷人民调解委员会及其人民调解员、卫生主管部门及其工作人员应当对医患双方的个人隐私等事项予以保密。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未经医患双方同意，医疗纠纷人民调解委员会、卫生主管部门不得公开进行调解，也不得公开调解协议的内容。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第四十三条</w:t>
      </w:r>
      <w:r>
        <w:rPr>
          <w:rFonts w:hint="eastAsia" w:ascii="仿宋" w:hAnsi="仿宋" w:eastAsia="仿宋" w:cs="仿宋"/>
          <w:bCs/>
          <w:sz w:val="32"/>
          <w:szCs w:val="32"/>
        </w:rPr>
        <w:t xml:space="preserve"> 发生医疗纠纷，当事人协商、调解不成的，可以依法向人民法院提起诉讼。当事人也可以直接向人民法院提起诉讼。</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第四十四条 </w:t>
      </w:r>
      <w:r>
        <w:rPr>
          <w:rFonts w:hint="eastAsia" w:ascii="仿宋" w:hAnsi="仿宋" w:eastAsia="仿宋" w:cs="仿宋"/>
          <w:bCs/>
          <w:sz w:val="32"/>
          <w:szCs w:val="32"/>
        </w:rPr>
        <w:t>发生医疗纠纷，需要赔偿的，赔付金额依照法律的规定确定。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第四章　法律责任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第四十五条</w:t>
      </w:r>
      <w:r>
        <w:rPr>
          <w:rFonts w:hint="eastAsia" w:ascii="仿宋" w:hAnsi="仿宋" w:eastAsia="仿宋" w:cs="仿宋"/>
          <w:bCs/>
          <w:sz w:val="32"/>
          <w:szCs w:val="32"/>
        </w:rPr>
        <w:t xml:space="preserve"> 医疗机构篡改、伪造、隐匿、毁灭病历资料的，对直接负责的主管人员和其他直接责任人员，由县级以上人民政府卫生主管部门给予或者责令给予降低岗位等级或者撤职的处分，对有关医务人员责令暂停6个月以上1年以下执业活动；造成严重后果的，对直接负责的主管人员和其他直接责任人员给予或者责令给予开除的处分，对有关医务人员由原发证部门吊销执业证书；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第四十六条</w:t>
      </w:r>
      <w:r>
        <w:rPr>
          <w:rFonts w:hint="eastAsia" w:ascii="仿宋" w:hAnsi="仿宋" w:eastAsia="仿宋" w:cs="仿宋"/>
          <w:bCs/>
          <w:sz w:val="32"/>
          <w:szCs w:val="32"/>
        </w:rPr>
        <w:t xml:space="preserve"> 医疗机构将未通过技术评估和伦理审查的医疗新技术应用于临床的，由县级以上人民政府卫生主管部门没收违法所得，并处5万元以上10万元以下罚款，对直接负责的主管人员和其他直接责任人员给予或者责令给予降低岗位等级或者撤职的处分，对有关医务人员责令暂停6个月以上1年以下执业活动；情节严重的，对直接负责的主管人员和其他直接责任人员给予或者责令给予开除的处分，对有关医务人员由原发证部门吊销执业证书；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第四十七条</w:t>
      </w:r>
      <w:r>
        <w:rPr>
          <w:rFonts w:hint="eastAsia" w:ascii="仿宋" w:hAnsi="仿宋" w:eastAsia="仿宋" w:cs="仿宋"/>
          <w:bCs/>
          <w:sz w:val="32"/>
          <w:szCs w:val="32"/>
        </w:rPr>
        <w:t xml:space="preserve">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（一）未按规定制定和实施医疗质量安全管理制度；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（二）未按规定告知患者病情、医疗措施、医疗风险、替代医疗方案等；</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（三）开展具有较高医疗风险的诊疗活动，未提前预备应对方案防范突发风险；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（四）未按规定填写、保管病历资料，或者未按规定补记抢救病历；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（五）拒绝为患者提供查阅、复制病历资料服务；</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（六）未建立投诉接待制度、设置统一投诉管理部门或者配备专（兼）职人员；</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（七）未按规定封存、保管、启封病历资料和现场实物；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（八）未按规定向卫生主管部门报告重大医疗纠纷；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（九）其他未履行本条例规定义务的情形。</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第四十八条</w:t>
      </w:r>
      <w:r>
        <w:rPr>
          <w:rFonts w:hint="eastAsia" w:ascii="仿宋" w:hAnsi="仿宋" w:eastAsia="仿宋" w:cs="仿宋"/>
          <w:bCs/>
          <w:sz w:val="32"/>
          <w:szCs w:val="32"/>
        </w:rPr>
        <w:t xml:space="preserve"> 医学会、司法鉴定机构出具虚假医疗损害鉴定意见的，由县级以上人民政府卫生、司法行政部门依据职责没收违法所得，并处5万元以上10万元以下罚款，对该医学会、司法鉴定机构和有关鉴定人员责令暂停3个月以上1年以下医疗损害鉴定业务，对直接负责的主管人员和其他直接责任人员给予或者责令给予降低岗位等级或者撤职的处分；情节严重的，该医学会、司法鉴定机构和有关鉴定人员5年内不得从事医疗损害鉴定业务或者撤销登记，对直接负责的主管人员和其他直接责任人员给予或者责令给予开除的处分；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第四十九条 </w:t>
      </w:r>
      <w:r>
        <w:rPr>
          <w:rFonts w:hint="eastAsia" w:ascii="仿宋" w:hAnsi="仿宋" w:eastAsia="仿宋" w:cs="仿宋"/>
          <w:bCs/>
          <w:sz w:val="32"/>
          <w:szCs w:val="32"/>
        </w:rPr>
        <w:t>尸检机构出具虚假尸检报告的，由县级以上人民政府卫生、司法行政部门依据职责没收违法所得，并处5万元以上10万元以下罚款，对该尸检机构和有关尸检专业技术人员责令暂停3个月以上1年以下尸检业务，对直接负责的主管人员和其他直接责任人员给予或者责令给予降低岗位等级或者撤职的处分；情节严重的，撤销该尸检机构和有关尸检专业技术人员的尸检资格，对直接负责的主管人员和其他直接责任人员给予或者责令给予开除的处分；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第五十条</w:t>
      </w:r>
      <w:r>
        <w:rPr>
          <w:rFonts w:hint="eastAsia" w:ascii="仿宋" w:hAnsi="仿宋" w:eastAsia="仿宋" w:cs="仿宋"/>
          <w:bCs/>
          <w:sz w:val="32"/>
          <w:szCs w:val="32"/>
        </w:rPr>
        <w:t xml:space="preserve"> 医疗纠纷人民调解员有下列行为之一的，由医疗纠纷人民调解委员会给予批评教育、责令改正；情节严重的，依法予以解聘：</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（一）偏袒一方当事人；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（二）侮辱当事人；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（三）索取、收受财物或者牟取其他不正当利益；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（四）泄露医患双方个人隐私等事项。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第五十一条</w:t>
      </w:r>
      <w:r>
        <w:rPr>
          <w:rFonts w:hint="eastAsia" w:ascii="仿宋" w:hAnsi="仿宋" w:eastAsia="仿宋" w:cs="仿宋"/>
          <w:bCs/>
          <w:sz w:val="32"/>
          <w:szCs w:val="32"/>
        </w:rPr>
        <w:t xml:space="preserve"> 新闻媒体编造、散布虚假医疗纠纷信息的，由有关主管部门依法给予处罚；给公民、法人或者其他组织的合法权益造成损害的，依法承担消除影响、恢复名誉、赔偿损失、赔礼道歉等民事责任。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第五十二条</w:t>
      </w:r>
      <w:r>
        <w:rPr>
          <w:rFonts w:hint="eastAsia" w:ascii="仿宋" w:hAnsi="仿宋" w:eastAsia="仿宋" w:cs="仿宋"/>
          <w:bCs/>
          <w:sz w:val="32"/>
          <w:szCs w:val="32"/>
        </w:rPr>
        <w:t xml:space="preserve"> 县级以上人民政府卫生主管部门和其他有关部门及其工作人员在医疗纠纷预防和处理工作中，不履行职责或者滥用职权、玩忽职守、徇私舞弊的，由上级人民政府卫生等有关部门或者监察机关责令改正；依法对直接负责的主管人员和其他直接责任人员给予处分；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第五十三条</w:t>
      </w:r>
      <w:r>
        <w:rPr>
          <w:rFonts w:hint="eastAsia" w:ascii="仿宋" w:hAnsi="仿宋" w:eastAsia="仿宋" w:cs="仿宋"/>
          <w:bCs/>
          <w:sz w:val="32"/>
          <w:szCs w:val="32"/>
        </w:rPr>
        <w:t xml:space="preserve"> 医患双方在医疗纠纷处理中，造成人身、财产或者其他损害的，依法承担民事责任；构成违反治安管理行为的，由公安机关依法给予治安管理处罚；构成犯罪的，依法追究刑事责任。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第五章　附则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第五十四条</w:t>
      </w:r>
      <w:r>
        <w:rPr>
          <w:rFonts w:hint="eastAsia" w:ascii="仿宋" w:hAnsi="仿宋" w:eastAsia="仿宋" w:cs="仿宋"/>
          <w:bCs/>
          <w:sz w:val="32"/>
          <w:szCs w:val="32"/>
        </w:rPr>
        <w:t xml:space="preserve"> 军队医疗机构的医疗纠纷预防和处理办法，由中央军委机关有关部门会同国务院卫生主管部门依据本条例制定。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第五十五条</w:t>
      </w:r>
      <w:r>
        <w:rPr>
          <w:rFonts w:hint="eastAsia" w:ascii="仿宋" w:hAnsi="仿宋" w:eastAsia="仿宋" w:cs="仿宋"/>
          <w:bCs/>
          <w:sz w:val="32"/>
          <w:szCs w:val="32"/>
        </w:rPr>
        <w:t xml:space="preserve"> 对诊疗活动中医疗事故的行政调查处理，依照《医疗事故处理条例》的相关规定执行。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第五十六条 </w:t>
      </w:r>
      <w:r>
        <w:rPr>
          <w:rFonts w:hint="eastAsia" w:ascii="仿宋" w:hAnsi="仿宋" w:eastAsia="仿宋" w:cs="仿宋"/>
          <w:bCs/>
          <w:sz w:val="32"/>
          <w:szCs w:val="32"/>
        </w:rPr>
        <w:t>本条例自2018年10月1日起施行。</w:t>
      </w:r>
    </w:p>
    <w:p>
      <w:pPr>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Arial"/>
          <w:bCs/>
          <w:sz w:val="44"/>
          <w:szCs w:val="44"/>
        </w:rPr>
      </w:pPr>
      <w:bookmarkStart w:id="235" w:name="_Toc935"/>
      <w:r>
        <w:rPr>
          <w:rFonts w:hint="eastAsia" w:ascii="宋体" w:hAnsi="宋体" w:eastAsia="宋体" w:cs="Arial"/>
          <w:bCs/>
          <w:sz w:val="44"/>
          <w:szCs w:val="44"/>
        </w:rPr>
        <w:t>医疗事故处理条例</w:t>
      </w:r>
      <w:bookmarkEnd w:id="235"/>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（2002年2月20日国务院第55次常务会议通过  2002年4月4日中华人民共和国国务院令第351号公布  自2002年9月1日起施行）</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医疗事故的预防与处置</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医疗事故的技术鉴定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医疗事故的行政处理与监督</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医疗事故的赔偿</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罚则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为了正确处理医疗事故，保护患者和医疗机构及其医务人员的合法权益，维护医疗秩序，保障医疗安全，促进医学科学的发展，制定本条例。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本条例所称医疗事故，是指医疗机构及其医务人员在医疗活动中，违反医疗卫生管理法律、行政法规、部门规章和诊疗护理规范、常规，过失造成患者人身损害的事故。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处理医疗事故，应当遵循公开、公平、公正、及时、便民的原则，坚持实事求是的科学态度，做到事实清楚、定性准确、责任明确、处理恰当。</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根据对患者人身造成的损害程度，医疗事故分为四级：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一级医疗事故：造成患者死亡、重度残疾的；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二级医疗事故：造成患者中度残疾、器官组织损伤导致严重功能障碍的；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三级医疗事故：造成患者轻度残疾、器官组织损伤导致一般功能障碍的；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四级医疗事故：造成患者明显人身损害的其他后果的。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具体分级标准由国务院卫生行政部门制定。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医疗事故的预防与处置</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医疗机构及其医务人员在医疗活动中，必须严格遵守医疗卫生管理法律、行政法规、部门规章和诊疗护理规范、常规，恪守医疗服务职业道德。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医疗机构应当对其医务人员进行医疗卫生管理法律、行政法规、部门规章和诊疗护理规范、常规的培训和医疗服务职业道德教育。</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医疗机构应当设置医疗服务质量监控部门或者配备专（兼）职人员，具体负责监督本医疗机构的医务人员的医疗服务工作，检查医务人员执业情况，接受患者对医疗服务的投诉，向其提供咨询服务。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医疗机构应当按照国务院卫生行政部门规定的要求，书写并妥善保管病历资料。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因抢救急危患者，未能及时书写病历的，有关医务人员应当在抢救结束后６小时内据实补记，并加以注明。</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严禁涂改、伪造、隐匿、销毁或者抢夺病历资料。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患者有权复印或者复制其门诊病历、住院志、体温单、医嘱单、化验单（检验报告）、医学影像检查资料、特殊检查同意书、手术同意书、手术及麻醉记录单、病理资料、护理记录以及国务院卫生行政部门规定的其他病历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患者依照前款规定要求复印或者复制病历资料的，医疗机构应当提供复印或者复制服务并在复印或者复制的病历资料上加盖证明印记。复印或者复制病历资料时，应当有患者在场。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医疗机构应患者的要求，为其复印或者复制病历资料，可以按照规定收取工本费。具体收费标准由省、自治区、直辖市人民政府价格主管部门会同同级卫生行政部门规定。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在医疗活动中，医疗机构及其医务人员应当将患者的病情、医疗措施、医疗风险等如实告知患者，及时解答其咨询；但是，应当避免对患者产生不利后果。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医疗机构应当制定防范、处理医疗事故的预案，预防医疗事故的发生，减轻医疗事故的损害。</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医务人员在医疗活动中发生或者发现医疗事故、可能引起医疗事故的医疗过失行为或者发生医疗事故争议的，应当立即向所在科室负责人报告，科室负责人应当及时向本医疗机构负责医疗服务质量监控的部门或者专（兼）职人员报告；负责医疗服务质量监控的部门或者专（兼）职人员接到报告后，应当立即进行调查、核实，将有关情况如实向本医疗机构的负责人报告，并向患者通报、解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发生医疗事故的，医疗机构应当按照规定向所在地卫生行政部门报告。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发生下列重大医疗过失行为的，医疗机构应当在１２小时内向所在地卫生行政部门报告：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（一）导致患者死亡或者可能为二级以上的医疗事故；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（二）导致３人以上人身损害后果；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（三）国务院卫生行政部门和省、自治区、直辖市人民政府卫生行政部门规定的其他情形。</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发生或者发现医疗过失行为，医疗机构及其医务人员应当立即采取有效措施，避免或者减轻对患者身体健康的损害，防止损害扩大。</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发生医疗事故争议时，死亡病例讨论记录、疑难病例讨论记录、上级医师查房记录、会诊意见、病程记录应当在医患双方在场的情况下封存和启封。封存的病历资料可以是复印件，由医疗机构保管。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疑似输液、输血、注射、药物等引起不良后果的，医患双方应当共同对现场实物进行封存和启封，封存的现场实物由医疗机构保管；需要检验的，应当由双方共同指定的、依法具有检验资格的检验机构进行检验；双方无法共同指定时，由卫生行政部门指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疑似输血引起不良后果，需要对血液进行封存保留的，医疗机构应当通知提供该血液的采供血机构派员到场。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患者死亡，医患双方当事人不能确定死因或者对死因有异议的，应当在患者死亡后４８小时内进行尸检；具备尸体冻存条件的，可以延长至７日。尸检应当经死者近亲属同意并签字。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尸检应当由按照国家有关规定取得相应资格的机构和病理解剖专业技术人员进行。承担尸检任务的机构和病理解剖专业技术人员有进行尸检的义务。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医疗事故争议双方当事人可以请法医病理学人员参加尸检，也可以委派代表观察尸检过程。拒绝或者拖延尸检，超过规定时间，影响对死因判定的，由拒绝或者拖延的一方承担责任。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患者在医疗机构内死亡的，尸体应当立即移放太平间。死者尸体存放时间一般不得超过２周。逾期不处理的尸体，经医疗机构所在地卫生行政部门批准，并报经同级公安部门备案后，由医疗机构按照规定进行处理。</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医疗事故的技术鉴定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卫生行政部门接到医疗机构关于重大医疗过失行为的报告或者医疗事故争议当事人要求处理医疗事故争议的申请后，对需要进行医疗事故技术鉴定的，应当交由负责医疗事故技术鉴定工作的医学会组织鉴定；医患双方协商解决医疗事故争议，需要进行医疗事故技术鉴定的，由双方当事人共同委托负责医疗事故技术鉴定工作的医学会组织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设区的市级地方医学会和省、自治区、直辖市直接管辖的县（市）地方医学会负责组织首次医疗事故技术鉴定工作。省、自治区、直辖市地方医学会负责组织再次鉴定工作。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必要时，中华医学会可以组织疑难、复杂并在全国有重大影响的医疗事故争议的技术鉴定工作。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当事人对首次医疗事故技术鉴定结论不服的，可以自收到首次鉴定结论之日起１５日内向医疗机构所在地卫生行政部门提出再次鉴定的申请。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负责组织医疗事故技术鉴定工作的医学会应当建立专家库。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专家库由具备下列条件的医疗卫生专业技术人员组成：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（一）有良好的业务素质和执业品德；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（二）受聘于医疗卫生机构或者医学教学、科研机构并担任相应专业高级技术职务３年以上。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符合前款第（一）项规定条件并具备高级技术任职资格的法医可以受聘进入专家库。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负责组织医疗事故技术鉴定工作的医学会依照本条例规定聘请医疗卫生专业技术人员和法医进入专家库，可以不受行政区域的限制。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医疗事故技术鉴定，由负责组织医疗事故技术鉴定工作的医学会组织专家鉴定组进行。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参加医疗事故技术鉴定的相关专业的专家，由医患双方在医学会主持下从专家库中随机抽取。在特殊情况下，医学会根据医疗事故技术鉴定工作的需要，可以组织医患双方在其他医学会建立的专家库中随机抽取相关专业的专家参加鉴定或者函件咨询。</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符合本条例第二十三条规定条件的医疗卫生专业技术人员和法医有义务受聘进入专家库，并承担医疗事故技术鉴定工作。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专家鉴定组进行医疗事故技术鉴定，实行合议制。专家鉴定组人数为单数，涉及的主要学科的专家一般不得少于鉴定组成员的二分之一；涉及死因、伤残等级鉴定的，并应当从专家库中随机抽取法医参加专家鉴定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专家鉴定组成员有下列情形之一的，应当回避，当事人也可以以口头或者书面的方式申请其回避：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（一）是医疗事故争议当事人或者当事人的近亲属的；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（二）与医疗事故争议有利害关系的；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（三）与医疗事故争议当事人有其他关系，可能影响公正鉴定的。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专家鉴定组依照医疗卫生管理法律、行政法规、部门规章和诊疗护理规范、常规，运用医学科学原理和专业知识，独立进行医疗事故技术鉴定，对医疗事故进行鉴别和判定，为处理医疗事故争议提供医学依据。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任何单位或者个人不得干扰医疗事故技术鉴定工作，不得威胁、利诱、辱骂、殴打专家鉴定组成员。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专家鉴定组成员不得接受双方当事人的财物或者其他利益。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负责组织医疗事故技术鉴定工作的医学会应当自受理医疗事故技术鉴定之日起５日内通知医疗事故争议双方当事人提交进行医疗事故技术鉴定所需的材料。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当事人应当自收到医学会的通知之日起１０日内提交有关医疗事故技术鉴定的材料、书面陈述及答辩。医疗机构提交的有关医疗事故技术鉴定的材料应当包括下列内容：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（一）住院患者的病程记录、死亡病例讨论记录、疑难病例讨论记录、会诊意见、上级医师查房记录等病历资料原件；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（二）住院患者的住院志、体温单、医嘱单、化验单（检验报告）、医学影像检查资料、特殊检查同意书、手术同意书、手术及麻醉记录单、病理资料、护理记录等病历资料原件；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（三）抢救急危患者，在规定时间内补记的病历资料原件；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（四）封存保留的输液、注射用物品和血液、药物等实物，或者依法具有检验资格的检验机构对这些物品、实物作出的检验报告；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（五）与医疗事故技术鉴定有关的其他材料。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在医疗机构建有病历档案的门诊、急诊患者，其病历资料由医疗机构提供；没有在医疗机构建立病历档案的，由患者提供。</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医患双方应当依照本条例的规定提交相关材料。医疗机构无正当理由未依照本条例的规定如实提供相关材料，导致医疗事故技术鉴定不能进行的，应当承担责任。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负责组织医疗事故技术鉴定工作的医学会应当自接到当事人提交的有关医疗事故技术鉴定的材料、书面陈述及答辩之日起４５日内组织鉴定并出具医疗事故技术鉴定书。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负责组织医疗事故技术鉴定工作的医学会可以向双方当事人调查取证。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专家鉴定组应当认真审查双方当事人提交的材料，听取双方当事人的陈述及答辩并进行核实。</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双方当事人应当按照本条例的规定如实提交进行医疗事故技术鉴定所需要的材料，并积极配合调查。当事人任何一方不予配合，影响医疗事故技术鉴定的，由不予配合的一方承担责任。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专家鉴定组应当在事实清楚、证据确凿的基础上，综合分析患者的病情和个体差异，作出鉴定结论，并制作医疗事故技术鉴定书。鉴定结论以专家鉴定组成员的过半数通过。鉴定过程应当如实记载。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医疗事故技术鉴定书应当包括下列主要内容：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（一）双方当事人的基本情况及要求；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（二）当事人提交的材料和负责组织医疗事故技术鉴定工作的医学会的调查材料；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（三）对鉴定过程的说明；</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（四）医疗行为是否违反医疗卫生管理法律、行政法规、部门规章和诊疗护理规范、常规；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（五）医疗过失行为与人身损害后果之间是否存在因果关系；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（六）医疗过失行为在医疗事故损害后果中的责任程度；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（七）医疗事故等级；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（八）对医疗事故患者的医疗护理医学建议。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医疗事故技术鉴定办法由国务院卫生行政部门制定。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有下列情形之一的，不属于医疗事故：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（一）在紧急情况下为抢救垂危患者生命而采取紧急医学措施造成不良后果的；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（二）在医疗活动中由于患者病情异常或者患者体质特殊而发生医疗意外的；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（三）在现有医学科学技术条件下，发生无法预料或者不能防范的不良后果的；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（四）无过错输血感染造成不良后果的；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（五）因患方原因延误诊疗导致不良后果的；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（六）因不可抗力造成不良后果的。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医疗事故技术鉴定，可以收取鉴定费用。经鉴定，属于医疗事故的，鉴定费用由医疗机构支付；不属于医疗事故的，鉴定费用由提出医疗事故处理申请的一方支付。鉴定费用标准由省、自治区、直辖市人民政府价格主管部门会同同级财政部门、卫生行政部门规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医疗事故的行政处理与监督</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卫生行政部门应当依照本条例和有关法律、行政法规、部门规章的规定，对发生医疗事故的医疗机构和医务人员作出行政处理。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卫生行政部门接到医疗机构关于重大医疗过失行为的报告后，除责令医疗机构及时采取必要的医疗救治措施，防止损害后果扩大外，应当组织调查，判定是否属于医疗事故；对不能判定是否属于医疗事故的，应当依照本条例的有关规定交由负责医疗事故技术鉴定工作的医学会组织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发生医疗事故争议，当事人申请卫生行政部门处理的，应当提出书面申请。申请书应当载明申请人的基本情况、有关事实、具体请求及理由等。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当事人自知道或者应当知道其身体健康受到损害之日起１年内，可以向卫生行政部门提出医疗事故争议处理申请。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发生医疗事故争议，当事人申请卫生行政部门处理的，由医疗机构所在地的县级人民政府卫生行政部门受理。医疗机构所在地是直辖市的，由医疗机构所在地的区、县人民政府卫生行政部门受理。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有下列情形之一的，县级人民政府卫生行政部门应当自接到医疗机构的报告或者当事人提出医疗事故争议处理申请之日起７日内移送上一级人民政府卫生行政部门处理：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（一）患者死亡；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（二）可能为二级以上的医疗事故；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（三）国务院卫生行政部门和省、自治区、直辖市人民政府卫生行政部门规定的其他情形。</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卫生行政部门应当自收到医疗事故争议处理申请之日起１０日内进行审查，作出是否受理的决定。对符合本条例规定，予以受理，需要进行医疗事故技术鉴定的，应当自作出受理决定之日起５日内将有关材料交由负责医疗事故技术鉴定工作的医学会组织鉴定并书面通知申请人；对不符合本条例规定，不予受理的，应当书面通知申请人并说明理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当事人对首次医疗事故技术鉴定结论有异议，申请再次鉴定的，卫生行政部门应当自收到申请之日起７日内交由省、自治区、直辖市地方医学会组织再次鉴定。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当事人既向卫生行政部门提出医疗事故争议处理申请，又向人民法院提起诉讼的，卫生行政部门不予受理；卫生行政部门已经受理的，应当终止处理。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卫生行政部门收到负责组织医疗事故技术鉴定工作的医学会出具的医疗事故技术鉴定书后，应当对参加鉴定的人员资格和专业类别、鉴定程序进行审核；必要时，可以组织调查，听取医疗事故争议双方当事人的意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卫生行政部门经审核，对符合本条例规定作出的医疗事故技术鉴定结论，应当作为对发生医疗事故的医疗机构和医务人员作出行政处理以及进行医疗事故赔偿调解的依据；经审核，发现医疗事故技术鉴定不符合本条例规定的，应当要求重新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医疗事故争议由双方当事人自行协商解决的，医疗机构应当自协商解决之日起７日内向所在地卫生行政部门作出书面报告，并附具协议书。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医疗事故争议经人民法院调解或者判决解决的，医疗机构应当自收到生效的人民法院的调解书或者判决书之日起７日内向所在地卫生行政部门作出书面报告，并附具调解书或者判决书。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县级以上地方人民政府卫生行政部门应当按照规定逐级将当地发生的医疗事故以及依法对发生医疗事故的医疗机构和医务人员作出行政处理的情况，上报国务院卫生行政部门。</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医疗事故的赔偿</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发生医疗事故的赔偿等民事责任争议，医患双方可以协商解决；不愿意协商或者协商不成的，当事人可以向卫生行政部门提出调解申请，也可以直接向人民法院提起民事诉讼。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双方当事人协商解决医疗事故的赔偿等民事责任争议的，应当制作协议书。协议书应当载明双方当事人的基本情况和医疗事故的原因、双方当事人共同认定的医疗事故等级以及协商确定的赔偿数额等，并由双方当事人在协议书上签名。</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已确定为医疗事故的，卫生行政部门应医疗事故争议双方当事人请求，可以进行医疗事故赔偿调解。调解时，应当遵循当事人双方自愿原则，并应当依据本条例的规定计算赔偿数额。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经调解，双方当事人就赔偿数额达成协议的，制作调解书，双方当事人应当履行；调解不成或者经调解达成协议后一方反悔的，卫生行政部门不再调解。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医疗事故赔偿，应当考虑下列因素，确定具体赔偿数额：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（一）医疗事故等级；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（二）医疗过失行为在医疗事故损害后果中的责任程度；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（三）医疗事故损害后果与患者原有疾病状况之间的关系。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不属于医疗事故的，医疗机构不承担赔偿责任。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医疗事故赔偿，按照下列项目和标准计算：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（一）医疗费：按照医疗事故对患者造成的人身损害进行治疗所发生的医疗费用计算，凭据支付，但不包括原发病医疗费用。结案后确实需要继续治疗的，按照基本医疗费用支付。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误工费：患者有固定收入的，按照本人因误工减少的固定收入计算，对收入高于医疗事故发生地上一年度职工年平均工资３倍以上的，按照３倍计算；无固定收入的，按照医疗事故发生地上一年度职工年平均工资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（三）住院伙食补助费：按照医疗事故发生地国家机关一般工作人员的出差伙食补助标准计算。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（四）陪护费：患者住院期间需要专人陪护的，按照医疗事故发生地上一年度职工年平均工资计算。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（五）残疾生活补助费：根据伤残等级，按照医疗事故发生地居民年平均生活费计算，自定残之月起最长赔偿３０年；但是，６０周岁以上的，不超过１５年；７０周岁以上的，不超过５年。</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（六）残疾用具费：因残疾需要配置补偿功能器具的，凭医疗机构证明，按照普及型器具的费用计算。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（七）丧葬费：按照医疗事故发生地规定的丧葬费补助标准计算。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被扶养人生活费：以死者生前或者残疾者丧失劳动能力前实际扶养且没有劳动能力的人为限，按照其户籍所在地或者居所地居民最低生活保障标准计算。对不满１６周岁的，扶养到１６周岁。对年满１６周岁但无劳动能力的，扶养２０年；但是，６０周岁以上的，不超过１５年；７０周岁以上的，不超过５年。</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（九）交通费：按照患者实际必需的交通费用计算，凭据支付。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（十）住宿费：按照医疗事故发生地国家机关一般工作人员的出差住宿补助标准计算，凭据支付。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（十一）精神损害抚慰金：按照医疗事故发生地居民年平均生活费计算。造成患者死亡的，赔偿年限最长不超过６年；造成患者残疾的，赔偿年限最长不超过３年。</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参加医疗事故处理的患者近亲属所需交通费、误工费、住宿费，参照本条例第五十条的有关规定计算，计算费用的人数不超过２人。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医疗事故造成患者死亡的，参加丧葬活动的患者的配偶和直系亲属所需交通费、误工费、住宿费，参照本条例第五十条的有关规定计算，计算费用的人数不超过２人。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医疗事故赔偿费用，实行一次性结算，由承担医疗事故责任的医疗机构支付。</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罚则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卫生行政部门的工作人员在处理医疗事故过程中违反本条例的规定，利用职务上的便利收受他人财物或者其他利益，滥用职权，玩忽职守，或者发现违法行为不予查处，造成严重后果的，依照刑法关于受贿罪、滥用职权罪、玩忽职守罪或者其他有关罪的规定，依法追究刑事责任；尚不够刑事处罚的，依法给予降级或者撤职的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卫生行政部门违反本条例的规定，有下列情形之一的，由上级卫生行政部门给予警告并责令限期改正；情节严重的，对负有责任的主管人员和其他直接责任人员依法给予行政处分：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（一）接到医疗机构关于重大医疗过失行为的报告后，未及时组织调查的；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（二）接到医疗事故争议处理申请后，未在规定时间内审查或者移送上一级人民政府卫生行政部门处理的；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（三）未将应当进行医疗事故技术鉴定的重大医疗过失行为或者医疗事故争议移交医学会组织鉴定的；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（四）未按照规定逐级将当地发生的医疗事故以及依法对发生医疗事故的医疗机构和医务人员的行政处理情况上报的；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（五）未依照本条例规定审核医疗事故技术鉴定书的。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医疗机构发生医疗事故的，由卫生行政部门根据医疗事故等级和情节，给予警告；情节严重的，责令限期停业整顿直至由原发证部门吊销执业许可证，对负有责任的医务人员依照刑法关于医疗事故罪的规定，依法追究刑事责任；尚不够刑事处罚的，依法给予行政处分或者纪律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对发生医疗事故的有关医务人员，除依照前款处罚外，卫生行政部门并可以责令暂停６个月以上１年以下执业活动；情节严重的，吊销其执业证书。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医疗机构违反本条例的规定，有下列情形之一的，由卫生行政部门责令改正；情节严重的，对负有责任的主管人员和其他直接责任人员依法给予行政处分或者纪律处分：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（一）未如实告知患者病情、医疗措施和医疗风险的；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（二）没有正当理由，拒绝为患者提供复印或者复制病历资料服务的；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（三）未按照国务院卫生行政部门规定的要求书写和妥善保管病历资料的；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（四）未在规定时间内补记抢救工作病历内容的；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（五）未按照本条例的规定封存、保管和启封病历资料和实物的；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（六）未设置医疗服务质量监控部门或者配备专（兼）职人员的；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（七）未制定有关医疗事故防范和处理预案的；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（八）未在规定时间内向卫生行政部门报告重大医疗过失行为的；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（九）未按照本条例的规定向卫生行政部门报告医疗事故的；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（十）未按照规定进行尸检和保存、处理尸体的。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参加医疗事故技术鉴定工作的人员违反本条例的规定，接受申请鉴定双方或者一方当事人的财物或者其他利益，出具虚假医疗事故技术鉴定书，造成严重后果的，依照刑法关于受贿罪的规定，依法追究刑事责任；尚不够刑事处罚的，由原发证部门吊销其执业证书或者资格证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第五十八条　</w:t>
      </w:r>
      <w:r>
        <w:rPr>
          <w:rFonts w:hint="eastAsia" w:ascii="宋体" w:hAnsi="宋体" w:cs="Arial"/>
          <w:kern w:val="0"/>
          <w:szCs w:val="32"/>
        </w:rPr>
        <w:t>医疗机构或者其他有关机构违反本条例的规定，有下列情形之一的，由卫生行政部门责令改正，给予警告；对负有责任的主管人员和其他直接责任人员依法给予行政处分或者纪律处分；情节严重的，由原发证部门吊销其执业证书或者资格证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（一）承担尸检任务的机构没有正当理由，拒绝进行尸检的；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（二）涂改、伪造、隐匿、销毁病历资料的。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第五十九条　</w:t>
      </w:r>
      <w:r>
        <w:rPr>
          <w:rFonts w:hint="eastAsia" w:ascii="宋体" w:hAnsi="宋体" w:cs="Arial"/>
          <w:kern w:val="0"/>
          <w:szCs w:val="32"/>
        </w:rPr>
        <w:t>以医疗事故为由，寻衅滋事、抢夺病历资料，扰乱医疗机构正常医疗秩序和医疗事故技术鉴定工作，依照刑法关于扰乱社会秩序罪的规定，依法追究刑事责任；尚不够刑事处罚的，依法给予治安管理处罚。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第六十条　</w:t>
      </w:r>
      <w:r>
        <w:rPr>
          <w:rFonts w:hint="eastAsia" w:ascii="宋体" w:hAnsi="宋体" w:cs="Arial"/>
          <w:kern w:val="0"/>
          <w:szCs w:val="32"/>
        </w:rPr>
        <w:t>本条例所称医疗机构，是指依照《医疗机构管理条例》的规定取得《医疗机构执业许可证》的机构。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城市从事计划生育技术服务的机构依照《计划生育技术服务管理条例》的规定开展与计划生育有关的临床医疗服务，发生的计划生育技术服务事故，依照本条例的有关规定处理；但是，其中不属于医疗机构的县级以上城市从事计划生育技术服务的机构发生的计划生育技术服务事故，由计划生育行政部门行使依照本条例有关规定由卫生行政部门承担的受理、交由负责医疗事故技术鉴定工作的医学会组织鉴定和赔偿调解的职能；对发生计划生育技术服务事故的该机构及其有关责任人员，依法进行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第六十一条　</w:t>
      </w:r>
      <w:r>
        <w:rPr>
          <w:rFonts w:hint="eastAsia" w:ascii="宋体" w:hAnsi="宋体" w:cs="Arial"/>
          <w:kern w:val="0"/>
          <w:szCs w:val="32"/>
        </w:rPr>
        <w:t>非法行医，造成患者人身损害，不属于医疗事故，触犯刑律的，依法追究刑事责任；有关赔偿，由受害人直接向人民法院提起诉讼。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第六十二条　</w:t>
      </w:r>
      <w:r>
        <w:rPr>
          <w:rFonts w:hint="eastAsia" w:ascii="宋体" w:hAnsi="宋体" w:cs="Arial"/>
          <w:kern w:val="0"/>
          <w:szCs w:val="32"/>
        </w:rPr>
        <w:t>军队医疗机构的医疗事故处理办法，由中国人民解放军卫生主管部门会同国务院卫生行政部门依据本条例制定。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第六十三条　</w:t>
      </w:r>
      <w:r>
        <w:rPr>
          <w:rFonts w:hint="eastAsia" w:ascii="宋体" w:hAnsi="宋体" w:cs="Arial"/>
          <w:kern w:val="0"/>
          <w:szCs w:val="32"/>
        </w:rPr>
        <w:t>本条例自２００２年９月１日起施行。１９８７年６月２９日国务院发布的《医疗事故处理办法》同时废止。本条例施行前已经处理结案的医疗事故争议，不再重新处理。</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ascii="宋体" w:hAnsi="宋体" w:eastAsia="宋体" w:cs="Arial"/>
          <w:bCs/>
          <w:sz w:val="44"/>
          <w:szCs w:val="44"/>
        </w:rPr>
      </w:pPr>
      <w:bookmarkStart w:id="236" w:name="_Toc31803"/>
      <w:r>
        <w:rPr>
          <w:rFonts w:hint="eastAsia" w:ascii="宋体" w:hAnsi="宋体" w:eastAsia="宋体" w:cs="Arial"/>
          <w:bCs/>
          <w:sz w:val="44"/>
          <w:szCs w:val="44"/>
        </w:rPr>
        <w:t>医疗机构管理条例</w:t>
      </w:r>
      <w:bookmarkEnd w:id="236"/>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（1994年2月26日中华人民共和国国务院令第149号公布 根据2016年2月6日《国务院关于修改部分行政法规的决定》修订）</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规划布局和设置审批</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登记</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执业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监督管理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罚则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为了加强对医疗机构的管理，促进医疗卫生事业的发展，保障公民健康，制定本条例。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本条例适用于从事疾病诊断、治疗活动的医院、卫生院、疗养院、门诊部、诊所、卫生所（室）以及急救站等医疗机构。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医疗机构以救死扶伤，防病治病，为公民的健康服务为宗旨。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国家扶持医疗机构的发展，鼓励多种形式兴办医疗机构。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国务院卫生行政部门负责全国医疗机构的监督管理工作。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县级以上地方人民政府卫生行政部门负责本行政区域内医疗机构的监督管理工作。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中国人民解放军卫生主管部门依照本条例和国家有关规定，对军队的医疗机构实施监督管理。</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规划布局和设置审批</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县级以上地方人民政府卫生行政部门应当根据本行政区域内的人口、医疗资源、医疗需求和现有医疗机构的分布状况，制定本行政区域医疗机构设置规划。</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机关、企业和事业单位可以根据需要设置医疗机构，并纳入当地医疗机构的设置规划。</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县级以上地方人民政府应当把医疗机构设置规划纳入当地的区域卫生发展规划和城乡建设发展总体规划。</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设置医疗机构应当符合医疗机构设置规划和医疗机构基本标准。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医疗机构基本标准由国务院卫生行政部门制定。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单位或者个人设置医疗机构，必须经县级以上地方人民政府卫生行政部门审查批准，并取得设置医疗机构批准书。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申请设置医疗机构，应当提交下列文件：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（一）设置申请书；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（二）设置可行性研究报告；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（三）选址报告和建筑设计平面图。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单位或者个人设置医疗机构，应当按照以下规定提出设置申请：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（一）不设床位或者床位不满１００张的医疗机构，向所在地的县级人民政府卫生行政部门申请；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（二）床位在１００张以上的医疗机构和专科医院按照省级人民政府卫生行政部门的规定申请。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县级以上地方人民政府卫生行政部门应当自受理设置申请之日起３０日内，作出批准或者不批准的书面答复；批准设置的，发给设置医疗机构批准书。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国家统一规划的医疗机构的设置，由国务院卫生行政部门决定。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机关、企业和事业单位按照国家医疗机构基本标准设置为内部职工服务的门诊部、诊所、卫生所（室），报所在地的县级人民政府卫生行政部门备案。</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登记</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医疗机构执业，必须进行登记，领取《医疗机构执业许可证》。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申请医疗机构执业登记，应当具备下列条件：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（一）有设置医疗机构批准书；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（二）符合医疗机构的基本标准；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（三）有适合的名称、组织机构和场所；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（四）有与其开展的业务相适应的经费、设施、设备和专业卫生技术人员；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（五）有相应的规章制度；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（六）能够独立承担民事责任。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医疗机构的执业登记，由批准其设置的人民政府卫生行政部门办理。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按照本条例第十三条规定设置的医疗机构的执业登记，由所在地的省、自治区、直辖市人民政府卫生行政部门办理。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机关、企业和事业单位设置的为内部职工服务的门诊部、诊所、卫生所（室）的执业登记，由所在地的县级人民政府卫生行政部门办理。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医疗机构执业登记的主要事项：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（一）名称、地址、主要负责人；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（二）所有制形式；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（三）诊疗科目、床位；</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（四）注册资金。</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县级以上地方人民政府卫生行政部门自受理执业登记申请之日起４５日内，根据本条例和医疗机构基本标准进行审核。审核合格的，予以登记，发给《医疗机构执业许可证》；审核不合格的，将审核结果以书面形式通知申请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医疗机构改变名称、场所、主要负责人、诊疗科目、床位，必须向原登记机关办理变更登记。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医疗机构歇业，必须向原登记机关办理注销登记。经登记机关核准后，收缴《医疗机构执业许可证》。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医疗机构非因改建、扩建、迁建原因停业超过１年的，视为歇业。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床位不满１００张的医疗机构，其《医疗机构执业许可证》每年校验１次；床位在１００张以上的医疗机构，其《医疗机构执业许可证》每３年校验１次。校验由原登记机关办理。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《医疗机构执业许可证》不得伪造、涂改、出卖、转让、出借。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《医疗机构执业许可证》遗失的，应当及时申明，并向原登记机关申请补发。</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执业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任何单位或者个人，未取得《医疗机构执业许可证》，不得开展诊疗活动。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医疗机构执业，必须遵守有关法律、法规和医疗技术规范。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医疗机构必须将《医疗机构执业许可证》、诊疗科目、诊疗时间和收费标准悬挂于明显处所。</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医疗机构必须按照核准登记的诊疗科目开展诊疗活动。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医疗机构不得使用非卫生技术人员从事医疗卫生技术工作。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医疗机构应当加强对医务人员的医德教育。</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医疗机构工作人员上岗工作，必须佩带载有本人姓名、职务或者职称的标牌。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医疗机构对危重病人应当立即抢救。对限于设备或者技术条件不能诊治的病人，应当及时转诊。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未经医师（士）亲自诊查病人，医疗机构不得出具疾病诊断书、健康证明书或者死亡证明书等证明文件；未经医师（士）、助产人员亲自接产，医疗机构不得出具出生证明书或者死产报告书。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医疗机构施行手术、特殊检查或者特殊治疗时，必须征得患者同意，并应当取得其家属或者关系人同意并签字；无法取得患者意见时，应当取得家属或者关系人同意并签字；无法取得患者意见又无家属或者关系人在场，或者遇到其他特殊情况时，经治医师应当提出医疗处置方案，在取得医疗机构负责人或者被授权负责人员的批准后实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医疗机构发生医疗事故，按照国家有关规定处理。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医疗机构对传染病、精神病、职业病等患者的特殊诊治和处理，应当按照国家有关法律、法规的规定办理。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医疗机构必须按照有关药品管理的法律、法规，加强药品管理。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医疗机构必须按照人民政府或者物价部门的有关规定收取医疗费用，详列细项，并出具收据。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医疗机构必须承担相应的预防保健工作，承担县级以上人民政府卫生行政部门委托的支援农村、指导基层医疗卫生工作等任务。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发生重大灾害、事故、疾病流行或者其他意外情况时，医疗机构及其卫生技术人员必须服从县级以上人民政府卫生行政部门的调遣。</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监督管理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县级以上人民政府卫生行政部门行使下列监督管理职权：</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（一）负责医疗机构的设置审批、执业登记和校验；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（二）对医疗机构的执业活动进行检查指导；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（三）负责组织对医疗机构的评审；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（四）对违反本条例的行为给予处罚。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国家实行医疗机构评审制度，由专家组成的评审委员会按照医疗机构评审办法和评审标准，对医疗机构的执业活动、医疗服务质量等进行综合评价。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医疗机构评审办法和评审标准由国务院卫生行政部门制定。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县级以上地方人民政府卫生行政部门负责组织本行政区域医疗机构评审委员会。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医疗机构评审委员会由医院管理、医学教育、医疗、医技、护理和财务等有关专家组成。评审委员会成员由县级以上地方人民政府卫生行政部门聘任。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县级以上地方人民政府卫生行政部门根据评审委员会的评审意见，对达到评审标准的医疗机构，发给评审合格证书；对未达到评审标准的医疗机构，提出处理意见。</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罚则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违反本条例第二十四条规定，未取得《医疗机构执业许可证》擅自执业的，由县级以上人民政府卫生行政部门责令其停止执业活动，没收非法所得和药品、器械，并可以根据情节处以１万元以下的罚款。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违反本条例第二十二条规定，逾期不校验《医疗机构执业许可证》仍从事诊疗活动的，由县级以上人民政府卫生行政部门责令其限期补办校验手续；拒不校验的，吊销其《医疗机构执业许可证》。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违反本条例第二十三条规定，出卖、转让、出借《医疗机构执业许可证》的，由县级以上人民政府卫生行政部门没收非法所得，并可以处以５０００元以下的罚款；情节严重的，吊销其《医疗机构执业许可证》。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违反本条例第二十七条规定，诊疗活动超出登记范围的，由县级以上人民政府卫生行政部门予以警告、责令其改正，并可以根据情节处以３０００元以下的罚款；情节严重的，吊销其《医疗机构执业许可证》。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违反本条例第二十八条规定，使用非卫生技术人员从事医疗卫生技术工作的，由县级以上人民政府卫生行政部门责令其限期改正，并可以处以５０００元以下的罚款；情节严重的，吊销其《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违反本条例第三十二条规定，出具虚假证明文件的，由县级以上人民政府卫生行政部门予以警告；对造成危害后果的，可以处以１０００元以下的罚款；对直接责任人员由所在单位或者上级机关给予行政处分。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没收的财物和罚款全部上交国库。</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当事人对行政处罚决定不服的，可以依照国家法律、法规的规定申请行政复议或者提起行政诉讼。当事人对罚款及没收药品、器械的处罚决定未在法定期限内申请复议或者提起诉讼又不履行的，县级以上人民政府卫生行政部门可以申请人民法院强制执行。</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本条例实施前已经执业的医疗机构，应当在条例实施后的６个月内，按照本条例第三章的规定，补办登记手续，领取《医疗机构执业许可证》。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外国人在中华人民共和国境内开设医疗机构及香港、澳门、台湾居民在内地开设医疗机构的管理办法，由国务院卫生行政部门另行制定。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本条例由国务院卫生行政部门负责解释。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本条例自１９９４年９月１日起施行。１９５１年政务院批准发布的《医院诊所管理暂行条例》同时废止。</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Arial"/>
          <w:bCs/>
          <w:sz w:val="44"/>
          <w:szCs w:val="44"/>
        </w:rPr>
      </w:pPr>
      <w:bookmarkStart w:id="237" w:name="_Toc29609"/>
      <w:r>
        <w:rPr>
          <w:rFonts w:hint="eastAsia" w:ascii="宋体" w:hAnsi="宋体" w:eastAsia="宋体" w:cs="Arial"/>
          <w:bCs/>
          <w:sz w:val="44"/>
          <w:szCs w:val="44"/>
        </w:rPr>
        <w:t>医疗器械监督管理条例</w:t>
      </w:r>
      <w:bookmarkEnd w:id="237"/>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（2000年1月4日国务院令第276号公布  2014年2月12日国务院第39次常务会议修订通过</w:t>
      </w:r>
      <w:r>
        <w:rPr>
          <w:rFonts w:hint="eastAsia" w:ascii="宋体" w:hAnsi="宋体" w:eastAsia="楷体_GB2312" w:cs="Arial"/>
          <w:szCs w:val="32"/>
          <w:lang w:val="en-US" w:eastAsia="zh-CN"/>
        </w:rPr>
        <w:t xml:space="preserve">  </w:t>
      </w:r>
      <w:r>
        <w:rPr>
          <w:rFonts w:hint="eastAsia" w:ascii="楷体_GB2312" w:hAnsi="楷体_GB2312" w:eastAsia="楷体_GB2312" w:cs="楷体_GB2312"/>
          <w:b w:val="0"/>
          <w:bCs w:val="0"/>
          <w:sz w:val="32"/>
          <w:szCs w:val="32"/>
        </w:rPr>
        <w:t>根据</w:t>
      </w:r>
      <w:r>
        <w:rPr>
          <w:rFonts w:hint="eastAsia" w:ascii="宋体" w:hAnsi="宋体" w:eastAsia="宋体" w:cs="宋体"/>
          <w:sz w:val="32"/>
          <w:szCs w:val="32"/>
        </w:rPr>
        <w:t>2017</w:t>
      </w:r>
      <w:r>
        <w:rPr>
          <w:rFonts w:hint="eastAsia" w:ascii="楷体_GB2312" w:hAnsi="楷体_GB2312" w:eastAsia="楷体_GB2312" w:cs="楷体_GB2312"/>
          <w:b w:val="0"/>
          <w:bCs w:val="0"/>
          <w:sz w:val="32"/>
          <w:szCs w:val="32"/>
        </w:rPr>
        <w:t>年</w:t>
      </w:r>
      <w:r>
        <w:rPr>
          <w:rFonts w:hint="eastAsia" w:ascii="宋体" w:hAnsi="宋体" w:eastAsia="宋体" w:cs="宋体"/>
          <w:sz w:val="32"/>
          <w:szCs w:val="32"/>
        </w:rPr>
        <w:t>5</w:t>
      </w:r>
      <w:r>
        <w:rPr>
          <w:rFonts w:hint="eastAsia" w:ascii="楷体_GB2312" w:hAnsi="楷体_GB2312" w:eastAsia="楷体_GB2312" w:cs="楷体_GB2312"/>
          <w:b w:val="0"/>
          <w:bCs w:val="0"/>
          <w:sz w:val="32"/>
          <w:szCs w:val="32"/>
        </w:rPr>
        <w:t>月</w:t>
      </w:r>
      <w:r>
        <w:rPr>
          <w:rFonts w:hint="eastAsia" w:ascii="宋体" w:hAnsi="宋体" w:eastAsia="宋体" w:cs="宋体"/>
          <w:sz w:val="32"/>
          <w:szCs w:val="32"/>
        </w:rPr>
        <w:t>4</w:t>
      </w:r>
      <w:r>
        <w:rPr>
          <w:rFonts w:hint="eastAsia" w:ascii="楷体_GB2312" w:hAnsi="楷体_GB2312" w:eastAsia="楷体_GB2312" w:cs="楷体_GB2312"/>
          <w:b w:val="0"/>
          <w:bCs w:val="0"/>
          <w:sz w:val="32"/>
          <w:szCs w:val="32"/>
        </w:rPr>
        <w:t>日《国务院关于修改〈医疗器械监督管理条例〉的决定》修订</w:t>
      </w:r>
      <w:r>
        <w:rPr>
          <w:rFonts w:hint="eastAsia" w:ascii="宋体" w:hAnsi="宋体" w:eastAsia="楷体_GB2312" w:cs="Arial"/>
          <w:szCs w:val="32"/>
        </w:rPr>
        <w:t>）</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医疗器械产品注册与备案</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医疗器械生产</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医疗器械经营与使用</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不良事件的处理与医疗器械的召回</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监督检查</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法律责任</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第八章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为了保证医疗器械的安全、有效，保障人体健康和生命安全，制定本条例。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在中华人民共和国境内从事医疗器械的研制、生产、经营、使用活动及其监督管理，应当遵守本条例。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国务院食品药品监督管理部门负责全国医疗器械监督管理工作。国务院有关部门在各自的职责范围内负责与医疗器械有关的监督管理工作。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县级以上地方人民政府食品药品监督管理部门负责本行政区域的医疗器械监督管理工作。县级以上地方人民政府有关部门在各自的职责范围内负责与医疗器械有关的监督管理工作。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国务院食品药品监督管理部门应当配合国务院有关部门，贯彻实施国家医疗器械产业规划和政策。</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国家对医疗器械按照风险程度实行分类管理。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第一类是风险程度低，实行常规管理可以保证其安全、有效的医疗器械。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第二类是具有中度风险，需要严格控制管理以保证其安全、有效的医疗器械。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第三类是具有较高风险，需要采取特别措施严格控制管理以保证其安全、有效的医疗器械。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评价医疗器械风险程度，应当考虑医疗器械的预期目的、结构特征、使用方法等因素。</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负责制定医疗器械的分类规则和分类目录，并根据医疗器械生产、经营、使用情况，及时对医疗器械的风险变化进行分析、评价，对分类目录进行调整。制定、调整分类目录，应当充分听取医疗器械生产经营企业以及使用单位、行业组织的意见，并参考国际医疗器械分类实践。医疗器械分类目录应当向社会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医疗器械的研制应当遵循安全、有效和节约的原则。国家鼓励医疗器械的研究与创新，发挥市场机制的作用，促进医疗器械新技术的推广和应用，推动医疗器械产业的发展。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医疗器械产品应当符合医疗器械强制性国家标准；尚无强制性国家标准的，应当符合医疗器械强制性行业标准。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次性使用的医疗器械目录由国务院食品药品监督管理部门会同国务院卫生计生主管部门制定、调整并公布。重复使用可以保证安全、有效的医疗器械，不列入一次性使用的医疗器械目录。对因设计、生产工艺、消毒灭菌技术等改进后重复使用可以保证安全、有效的医疗器械，应当调整出一次性使用的医疗器械目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医疗器械行业组织应当加强行业自律，推进诚信体系建设，督促企业依法开展生产经营活动，引导企业诚实守信。</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医疗器械产品注册与备案</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第一类医疗器械实行产品备案管理，第二类、第三类医疗器械实行产品注册管理。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第一类医疗器械产品备案和申请第二类、第三类医疗器械产品注册，应当提交下列资料：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（一）产品风险分析资料；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（二）产品技术要求；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（三）产品检验报告；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（四）临床评价资料；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（五）产品说明书及标签样稿；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（六）与产品研制、生产有关的质量管理体系文件；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（七）证明产品安全、有效所需的其他资料。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医疗器械注册申请人、备案人应当对所提交资料的真实性负责。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第一类医疗器械产品备案，由备案人向所在地设区的市级人民政府食品药品监督管理部门提交备案资料。其中，产品检验报告可以是备案人的自检报告；临床评价资料不包括临床试验报告，可以是通过文献、同类产品临床使用获得的数据证明该医疗器械安全、有效的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向我国境内出口第一类医疗器械的境外生产企业，由其在我国境内设立的代表机构或者指定我国境内的企业法人作为代理人，向国务院食品药品监督管理部门提交备案资料和备案人所在国（地区）主管部门准许该医疗器械上市销售的证明文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备案资料载明的事项发生变化的，应当向原备案部门变更备案。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申请第二类医疗器械产品注册，注册申请人应当向所在地省、自治区、直辖市人民政府食品药品监督管理部门提交注册申请资料。申请第三类医疗器械产品注册，注册申请人应当向国务院食品药品监督管理部门提交注册申请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向我国境内出口第二类、第三类医疗器械的境外生产企业，应当由其在我国境内设立的代表机构或者指定我国境内的企业法人作为代理人，向国务院食品药品监督管理部门提交注册申请资料和注册申请人所在国（地区）主管部门准许该医疗器械上市销售的证明文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第二类、第三类医疗器械产品注册申请资料中的产品检验报告应当是医疗器械检验机构出具的检验报告；临床评价资料应当包括临床试验报告，但依照本条例第十七条的规定免于进行临床试验的医疗器械除外。</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受理注册申请的食品药品监督管理部门应当自受理之日起3个工作日内将注册申请资料转交技术审评机构。技术审评机构应当在完成技术审评后向食品药品监督管理部门提交审评意见。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受理注册申请的食品药品监督管理部门应当自收到审评意见之日起20个工作日内作出决定。对符合安全、有效要求的，准予注册并发给医疗器械注册证；对不符合要求的，不予注册并书面说明理由。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国务院食品药品监督管理部门在组织对进口医疗器械的技术审评时认为有必要对质量管理体系进行核查的，应当组织质量管理体系检查技术机构开展质量管理体系核查。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已注册的第二类、第三类医疗器械产品，其设计、原材料、生产工艺、适用范围、使用方法等发生实质性变化，有可能影响该医疗器械安全、有效的，注册人应当向原注册部门申请办理变更注册手续；发生非实质性变化，不影响该医疗器械安全、有效的，应当将变化情况向原注册部门备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医疗器械注册证有效期为5年。有效期届满需要延续注册的，应当在有效期届满6个月前向原注册部门提出延续注册的申请。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除有本条第三款规定情形外，接到延续注册申请的食品药品监督管理部门应当在医疗器械注册证有效期届满前作出准予延续的决定。逾期未作决定的，视为准予延续。</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有下列情形之一的，不予延续注册：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（一）注册人未在规定期限内提出延续注册申请的；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（二）医疗器械强制性标准已经修订，申请延续注册的医疗器械不能达到新要求的；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（三）对用于治疗罕见疾病以及应对突发公共卫生事件急需的医疗器械，未在规定期限内完成医疗器械注册证载明事项的。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对新研制的尚未列入分类目录的医疗器械，申请人可以依照本条例有关第三类医疗器械产品注册的规定直接申请产品注册，也可以依据分类规则判断产品类别并向国务院食品药品监督管理部门申请类别确认后依照本条例的规定申请注册或者进行产品备案。</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直接申请第三类医疗器械产品注册的，国务院食品药品监督管理部门应当按照风险程度确定类别，对准予注册的医疗器械及时纳入分类目录。申请类别确认的，国务院食品药品监督管理部门应当自受理申请之日起20个工作日内对该医疗器械的类别进行判定并告知申请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第一类医疗器械产品备案，不需要进行临床试验。申请第二类、第三类医疗器械产品注册，应当进行临床试验；但是，有下列情形之一的，可以免于进行临床试验：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（一）工作机理明确、设计定型，生产工艺成熟，已上市的同品种医疗器械临床应用多年且无严重不良事件记录，不改变常规用途的；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（二）通过非临床评价能够证明该医疗器械安全、有效的；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（三）通过对同品种医疗器械临床试验或者临床使用获得的数据进行分析评价，能够证明该医疗器械安全、有效的。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免于进行临床试验的医疗器械目录由国务院食品药品监督管理部门制定、调整并公布。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开展医疗器械临床试验，应当按照医疗器械临床试验质量管理规范的要求，在有资质的临床试验机构进行，并向临床试验提出者所在地省、自治区、直辖市人民政府食品药品监督管理部门备案。接受临床试验备案的食品药品监督管理部门应当将备案情况通报临床试验机构所在地的同级食品药品监督管理部门和卫生计生主管部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临床试验机构资质认定条件和临床试验质量管理规范，由国务院食品药品监督管理部门会同国务院卫生计生主管部门制定并公布；医疗器械临床试验机构由国务院食品药品监督管理部门会同国务院卫生计生主管部门认定并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第三类医疗器械进行临床试验对人体具有较高风险的，应当经国务院食品药品监督管理部门批准。临床试验对人体具有较高风险的第三类医疗器械目录由国务院食品药品监督管理部门制定、调整并公布。</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审批临床试验，应当对拟承担医疗器械临床试验的机构的设备、专业人员等条件，该医疗器械的风险程度，临床试验实施方案，临床受益与风险对比分析报告等进行综合分析。准予开展临床试验的，应当通报临床试验提出者以及临床试验机构所在地省、自治区、直辖市人民政府食品药品监督管理部门和卫生计生主管部门。</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医疗器械生产</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从事医疗器械生产活动，应当具备下列条件：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（一）有与生产的医疗器械相适应的生产场地、环境条件、生产设备以及专业技术人员；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（二）有对生产的医疗器械进行质量检验的机构或者专职检验人员以及检验设备；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（三）有保证医疗器械质量的管理制度；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（四）有与生产的医疗器械相适应的售后服务能力；</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（五）产品研制、生产工艺文件规定的要求。</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从事第一类医疗器械生产的，由生产企业向所在地设区的市级人民政府食品药品监督管理部门备案并提交其符合本条例第二十条规定条件的证明资料。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从事第二类、第三类医疗器械生产的，生产企业应当向所在地省、自治区、直辖市人民政府食品药品监督管理部门申请生产许可并提交其符合本条例第二十条规定条件的证明资料以及所生产医疗器械的注册证。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受理生产许可申请的食品药品监督管理部门应当自受理之日起30个工作日内对申请资料进行审核，按照国务院食品药品监督管理部门制定的医疗器械生产质量管理规范的要求进行核查。对符合规定条件的，准予许可并发给医疗器械生产许可证；对不符合规定条件的，不予许可并书面说明理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医疗器械生产许可证有效期为5年。有效期届满需要延续的，依照有关行政许可的法律规定办理延续手续。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医疗器械生产质量管理规范应当对医疗器械的设计开发、生产设备条件、原材料采购、生产过程控制、企业的机构设置和人员配备等影响医疗器械安全、有效的事项作出明确规定。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医疗器械生产企业应当按照医疗器械生产质量管理规范的要求，建立健全与所生产医疗器械相适应的质量管理体系并保证其有效运行；严格按照经注册或者备案的产品技术要求组织生产，保证出厂的医疗器械符合强制性标准以及经注册或者备案的产品技术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医疗器械生产企业应当定期对质量管理体系的运行情况进行自查，并向所在地省、自治区、直辖市人民政府食品药品监督管理部门提交自查报告。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医疗器械生产企业的生产条件发生变化，不再符合医疗器械质量管理体系要求的，医疗器械生产企业应当立即采取整改措施；可能影响医疗器械安全、有效的，应当立即停止生产活动，并向所在地县级人民政府食品药品监督管理部门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医疗器械应当使用通用名称。通用名称应当符合国务院食品药品监督管理部门制定的医疗器械命名规则。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医疗器械应当有说明书、标签。说明书、标签的内容应当与经注册或者备案的相关内容一致。</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医疗器械的说明书、标签应当标明下列事项：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（一）通用名称、型号、规格；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（二）生产企业的名称和住所、生产地址及联系方式；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（三）产品技术要求的编号；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（四）生产日期和使用期限或者失效日期；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（五）产品性能、主要结构、适用范围；</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（六）禁忌症、注意事项以及其他需要警示或者提示的内容；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（七）安装和使用说明或者图示；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（八）维护和保养方法，特殊储存条件、方法；</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（九）产品技术要求规定应当标明的其他内容。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第二类、第三类医疗器械还应当标明医疗器械注册证编号和医疗器械注册人的名称、地址及联系方式。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由消费者个人自行使用的医疗器械还应当具有安全使用的特别说明。</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委托生产医疗器械，由委托方对所委托生产的医疗器械质量负责。受托方应当是符合本条例规定、具备相应生产条件的医疗器械生产企业。委托方应当加强对受托方生产行为的管理，保证其按照法定要求进行生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具有高风险的植入性医疗器械不得委托生产，具体目录由国务院食品药品监督管理部门制定、调整并公布。</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医疗器械经营与使用</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从事医疗器械经营活动，应当有与经营规模和经营范围相适应的经营场所和贮存条件，以及与经营的医疗器械相适应的质量管理制度和质量管理机构或者人员。</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从事第二类医疗器械经营的，由经营企业向所在地设区的市级人民政府食品药品监督管理部门备案并提交其符合本条例第二十九条规定条件的证明资料。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从事第三类医疗器械经营的，经营企业应当向所在地设区的市级人民政府食品药品监督管理部门申请经营许可并提交其符合本条例第二十九条规定条件的证明资料。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受理经营许可申请的食品药品监督管理部门应当自受理之日起30个工作日内进行审查，必要时组织核查。对符合规定条件的，准予许可并发给医疗器械经营许可证；对不符合规定条件的，不予许可并书面说明理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医疗器械经营许可证有效期为5年。有效期届满需要延续的，依照有关行政许可的法律规定办理延续手续。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医疗器械经营企业、使用单位购进医疗器械，应当查验供货者的资质和医疗器械的合格证明文件，建立进货查验记录制度。从事第二类、第三类医疗器械批发业务以及第三类医疗器械零售业务的经营企业，还应当建立销售记录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记录事项包括：</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（一）医疗器械的名称、型号、规格、数量；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（二）医疗器械的生产批号、有效期、销售日期；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（三）生产企业的名称；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（四）供货者或者购货者的名称、地址及联系方式；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（五）相关许可证明文件编号等。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进货查验记录和销售记录应当真实，并按照国务院食品药品监督管理部门规定的期限予以保存。国家鼓励采用先进技术手段进行记录。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运输、贮存医疗器械，应当符合医疗器械说明书和标签标示的要求；对温度、湿度等环境条件有特殊要求的，应当采取相应措施，保证医疗器械的安全、有效。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医疗器械使用单位应当有与在用医疗器械品种、数量相适应的贮存场所和条件。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医疗器械使用单位应当加强对工作人员的技术培训，按照产品说明书、技术操作规范等要求使用医疗器械。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医疗器械使用单位对重复使用的医疗器械，应当按照国务院卫生计生主管部门制定的消毒和管理的规定进行处理。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一次性使用的医疗器械不得重复使用，对使用过的应当按照国家有关规定销毁并记录。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医疗器械使用单位对需要定期检查、检验、校准、保养、维护的医疗器械，应当按照产品说明书的要求进行检查、检验、校准、保养、维护并予以记录，及时进行分析、评估，确保医疗器械处于良好状态，保障使用质量；对使用期限长的大型医疗器械，应当逐台建立使用档案，记录其使用、维护、转让、实际使用时间等事项。记录保存期限不得少于医疗器械规定使用期限终止后5年。</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医疗器械使用单位应当妥善保存购入第三类医疗器械的原始资料，并确保信息具有可追溯性。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使用大型医疗器械以及植入和介入类医疗器械的，应当将医疗器械的名称、关键性技术参数等信息以及与使用质量安全密切相关的必要信息记载到病历等相关记录中。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发现使用的医疗器械存在安全隐患的，医疗器械使用单位应当立即停止使用，并通知生产企业或者其他负责产品质量的机构进行检修；经检修仍不能达到使用安全标准的医疗器械，不得继续使用。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食品药品监督管理部门和卫生计生主管部门依据各自职责，分别对使用环节的医疗器械质量和医疗器械使用行为进行监督管理。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医疗器械经营企业、使用单位不得经营、使用未依法注册、无合格证明文件以及过期、失效、淘汰的医疗器械。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医疗器械使用单位之间转让在用医疗器械，转让方应当确保所转让的医疗器械安全、有效，不得转让过期、失效、淘汰以及检验不合格的医疗器械。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进口的医疗器械应当是依照本条例第二章的规定已注册或者已备案的医疗器械。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进口的医疗器械应当有中文说明书、中文标签。说明书、标签应当符合本条例规定以及相关强制性标准的要求，并在说明书中载明医疗器械的原产地以及代理人的名称、地址、联系方式。没有中文说明书、中文标签或者说明书、标签不符合本条规定的，不得进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出入境检验检疫机构依法对进口的医疗器械实施检验；检验不合格的，不得进口。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应当及时向国家出入境检验检疫部门通报进口医疗器械的注册和备案情况。进口口岸所在地出入境检验检疫机构应当及时向所在地设区的市级人民政府食品药品监督管理部门通报进口医疗器械的通关情况。</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出口医疗器械的企业应当保证其出口的医疗器械符合进口国（地区）的要求。</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医疗器械广告应当真实合法，不得含有虚假、夸大、误导性的内容。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广告应当经医疗器械生产企业或者进口医疗器械代理人所在地省、自治区、直辖市人民政府食品药品监督管理部门审查批准，并取得医疗器械广告批准文件。广告发布者发布医疗器械广告，应当事先核查广告的批准文件及其真实性；不得发布未取得批准文件、批准文件的真实性未经核实或者广告内容与批准文件不一致的医疗器械广告。省、自治区、直辖市人民政府食品药品监督管理部门应当公布并及时更新已经批准的医疗器械广告目录以及批准的广告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省级以上人民政府食品药品监督管理部门责令暂停生产、销售、进口和使用的医疗器械，在暂停期间不得发布涉及该医疗器械的广告。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医疗器械广告的审查办法由国务院食品药品监督管理部门会同国务院工商行政管理部门制定。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不良事件的处理与医疗器械的召回</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国家建立医疗器械不良事件监测制度，对医疗器械不良事件及时进行收集、分析、评价、控制。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医疗器械生产经营企业、使用单位应当对所生产经营或者使用的医疗器械开展不良事件监测；发现医疗器械不良事件或者可疑不良事件，应当按照国务院食品药品监督管理部门的规定，向医疗器械不良事件监测技术机构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任何单位和个人发现医疗器械不良事件或者可疑不良事件，有权向食品药品监督管理部门或者医疗器械不良事件监测技术机构报告。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国务院食品药品监督管理部门应当加强医疗器械不良事件监测信息网络建设。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不良事件监测技术机构应当加强医疗器械不良事件信息监测，主动收集不良事件信息；发现不良事件或者接到不良事件报告的，应当及时进行核实、调查、分析，对不良事件进行评估，并向食品药品监督管理部门和卫生计生主管部门提出处理建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医疗器械不良事件监测技术机构应当公布联系方式，方便医疗器械生产经营企业、使用单位等报告医疗器械不良事件。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食品药品监督管理部门应当根据医疗器械不良事件评估结果及时采取发布警示信息以及责令暂停生产、销售、进口和使用等控制措施。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省级以上人民政府食品药品监督管理部门应当会同同级卫生计生主管部门和相关部门组织对引起突发、群发的严重伤害或者死亡的医疗器械不良事件及时进行调查和处理，并组织对同类医疗器械加强监测。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医疗器械生产经营企业、使用单位应当对医疗器械不良事件监测技术机构、食品药品监督管理部门开展的医疗器械不良事件调查予以配合。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有下列情形之一的，省级以上人民政府食品药品监督管理部门应当对已注册的医疗器械组织开展再评价：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（一）根据科学研究的发展，对医疗器械的安全、有效有认识上的改变的；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（二）医疗器械不良事件监测、评估结果表明医疗器械可能存在缺陷的；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（三）国务院食品药品监督管理部门规定的其他需要进行再评价的情形。</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再评价结果表明已注册的医疗器械不能保证安全、有效的，由原发证部门注销医疗器械注册证，并向社会公布。被注销医疗器械注册证的医疗器械不得生产、进口、经营、使用。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医疗器械生产企业发现其生产的医疗器械不符合强制性标准、经注册或者备案的产品技术要求或者存在其他缺陷的，应当立即停止生产，通知相关生产经营企业、使用单位和消费者停止经营和使用，召回已经上市销售的医疗器械，采取补救、销毁等措施，记录相关情况，发布相关信息，并将医疗器械召回和处理情况向食品药品监督管理部门和卫生计生主管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经营企业发现其经营的医疗器械存在前款规定情形的，应当立即停止经营，通知相关生产经营企业、使用单位、消费者，并记录停止经营和通知情况。医疗器械生产企业认为属于依照前款规定需要召回的医疗器械，应当立即召回。</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医疗器械生产经营企业未依照本条规定实施召回或者停止经营的，食品药品监督管理部门可以责令其召回或者停止经营。</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监督检查</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食品药品监督管理部门应当对医疗器械的注册、备案、生产、经营、使用活动加强监督检查，并对下列事项进行重点监督检查：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（一）医疗器械生产企业是否按照经注册或者备案的产品技术要求组织生产；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（二）医疗器械生产企业的质量管理体系是否保持有效运行；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（三）医疗器械生产经营企业的生产经营条件是否持续符合法定要求。</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食品药品监督管理部门在监督检查中有下列职权：</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（一）进入现场实施检查、抽取样品；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（二）查阅、复制、查封、扣押有关合同、票据、账簿以及其他有关资料；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（三）查封、扣押不符合法定要求的医疗器械，违法使用的零配件、原材料以及用于违法生产医疗器械的工具、设备；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（四）查封违反本条例规定从事医疗器械生产经营活动的场所。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食品药品监督管理部门进行监督检查，应当出示执法证件，保守被检查单位的商业秘密。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有关单位和个人应当对食品药品监督管理部门的监督检查予以配合，不得隐瞒有关情况。</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对人体造成伤害或者有证据证明可能危害人体健康的医疗器械，食品药品监督管理部门可以采取暂停生产、进口、经营、使用的紧急控制措施。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食品药品监督管理部门应当加强对医疗器械生产经营企业和使用单位生产、经营、使用的医疗器械的抽查检验。抽查检验不得收取检验费和其他任何费用，所需费用纳入本级政府预算。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省级以上人民政府食品药品监督管理部门应当根据抽查检验结论及时发布医疗器械质量公告。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医疗器械检验机构资质认定工作按照国家有关规定实行统一管理。经国务院认证认可监督管理部门会同国务院食品药品监督管理部门认定的检验机构，方可对医疗器械实施检验。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食品药品监督管理部门在执法工作中需要对医疗器械进行检验的，应当委托有资质的医疗器械检验机构进行，并支付相关费用。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当事人对检验结论有异议的，可以自收到检验结论之日起7个工作日内选择有资质的医疗器械检验机构进行复检。承担复检工作的医疗器械检验机构应当在国务院食品药品监督管理部门规定的时间内作出复检结论。复检结论为最终检验结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第五十八条　</w:t>
      </w:r>
      <w:r>
        <w:rPr>
          <w:rFonts w:hint="eastAsia" w:ascii="宋体" w:hAnsi="宋体" w:cs="Arial"/>
          <w:kern w:val="0"/>
          <w:szCs w:val="32"/>
        </w:rPr>
        <w:t>对可能存在有害物质或者擅自改变医疗器械设计、原材料和生产工艺并存在安全隐患的医疗器械，按照医疗器械国家标准、行业标准规定的检验项目和检验方法无法检验的，医疗器械检验机构可以补充检验项目和检验方法进行检验；使用补充检验项目、检验方法得出的检验结论，经国务院食品药品监督管理部门批准，可以作为食品药品监督管理部门认定医疗器械质量的依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第五十九条　</w:t>
      </w:r>
      <w:r>
        <w:rPr>
          <w:rFonts w:hint="eastAsia" w:ascii="宋体" w:hAnsi="宋体" w:cs="Arial"/>
          <w:kern w:val="0"/>
          <w:szCs w:val="32"/>
        </w:rPr>
        <w:t>设区的市级和县级人民政府食品药品监督管理部门应当加强对医疗器械广告的监督检查；发现未经批准、篡改经批准的广告内容的医疗器械广告，应当向所在地省、自治区、直辖市人民政府食品药品监督管理部门报告，由其向社会公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工商行政管理部门应当依照有关广告管理的法律、行政法规的规定，对医疗器械广告进行监督检查，查处违法行为。食品药品监督管理部门发现医疗器械广告违法发布行为，应当提出处理建议并按照有关程序移交所在地同级工商行政管理部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第六十条　</w:t>
      </w:r>
      <w:r>
        <w:rPr>
          <w:rFonts w:hint="eastAsia" w:ascii="宋体" w:hAnsi="宋体" w:cs="Arial"/>
          <w:kern w:val="0"/>
          <w:szCs w:val="32"/>
        </w:rPr>
        <w:t>国务院食品药品监督管理部门建立统一的医疗器械监督管理信息平台。食品药品监督管理部门应当通过信息平台依法及时公布医疗器械许可、备案、抽查检验、违法行为查处情况等日常监督管理信息。但是，不得泄露当事人的商业秘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食品药品监督管理部门对医疗器械注册人和备案人、生产经营企业、使用单位建立信用档案，对有不良信用记录的增加监督检查频次。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第六十一条　</w:t>
      </w:r>
      <w:r>
        <w:rPr>
          <w:rFonts w:hint="eastAsia" w:ascii="宋体" w:hAnsi="宋体" w:cs="Arial"/>
          <w:kern w:val="0"/>
          <w:szCs w:val="32"/>
        </w:rPr>
        <w:t>食品药品监督管理等部门应当公布本单位的联系方式，接受咨询、投诉、举报。食品药品监督管理等部门接到与医疗器械监督管理有关的咨询，应当及时答复；接到投诉、举报，应当及时核实、处理、答复。对咨询、投诉、举报情况及其答复、核实、处理情况，应当予以记录、保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有关医疗器械研制、生产、经营、使用行为的举报经调查属实的，食品药品监督管理等部门对举报人应当给予奖励。</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第六十二条　</w:t>
      </w:r>
      <w:r>
        <w:rPr>
          <w:rFonts w:hint="eastAsia" w:ascii="宋体" w:hAnsi="宋体" w:cs="Arial"/>
          <w:kern w:val="0"/>
          <w:szCs w:val="32"/>
        </w:rPr>
        <w:t>国务院食品药品监督管理部门制定、调整、修改本条例规定的目录以及与医疗器械监督管理有关的规范，应当公开征求意见；采取听证会、论证会等形式，听取专家、医疗器械生产经营企业和使用单位、消费者以及相关组织等方面的意见。</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法律责任</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第六十三条　</w:t>
      </w:r>
      <w:r>
        <w:rPr>
          <w:rFonts w:hint="eastAsia" w:ascii="宋体" w:hAnsi="宋体" w:cs="Arial"/>
          <w:kern w:val="0"/>
          <w:szCs w:val="32"/>
        </w:rPr>
        <w:t>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（一）生产、经营未取得医疗器械注册证的第二类、第三类医疗器械的；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（二）未经许可从事第二类、第三类医疗器械生产活动的；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（三）未经许可从事第三类医疗器械经营活动的。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有前款第一项情形、情节严重的，由原发证部门吊销医疗器械生产许可证或者医疗器械经营许可证。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第六十四条　</w:t>
      </w:r>
      <w:r>
        <w:rPr>
          <w:rFonts w:hint="eastAsia" w:ascii="宋体" w:hAnsi="宋体" w:cs="Arial"/>
          <w:kern w:val="0"/>
          <w:szCs w:val="32"/>
        </w:rPr>
        <w:t>提供虚假资料或者采取其他欺骗手段取得医疗器械注册证、医疗器械生产许可证、医疗器械经营许可证、广告批准文件等许可证件的，由原发证部门撤销已经取得的许可证件，并处5万元以上10万元以下罚款，5年内不受理相关责任人及企业提出的医疗器械许可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第六十五条　</w:t>
      </w:r>
      <w:r>
        <w:rPr>
          <w:rFonts w:hint="eastAsia" w:ascii="宋体" w:hAnsi="宋体" w:cs="Arial"/>
          <w:kern w:val="0"/>
          <w:szCs w:val="32"/>
        </w:rPr>
        <w:t>未依照本条例规定备案的，由县级以上人民政府食品药品监督管理部门责令限期改正；逾期不改正的，向社会公告未备案单位和产品名称，可以处1万元以下罚款。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备案时提供虚假资料的，由县级以上人民政府食品药品监督管理部门向社会公告备案单位和产品名称；情节严重的，直接责任人员5年内不得从事医疗器械生产经营活动。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第六十六条　</w:t>
      </w:r>
      <w:r>
        <w:rPr>
          <w:rFonts w:hint="eastAsia" w:ascii="宋体" w:hAnsi="宋体" w:cs="Arial"/>
          <w:kern w:val="0"/>
          <w:szCs w:val="32"/>
        </w:rPr>
        <w:t>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（一）生产、经营、使用不符合强制性标准或者不符合经注册或者备案的产品技术要求的医疗器械的；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（二）医疗器械生产企业未按照经注册或者备案的产品技术要求组织生产，或者未依照本条例规定建立质量管理体系并保持有效运行的；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（三）经营、使用无合格证明文件、过期、失效、淘汰的医疗器械，或者使用未依法注册的医疗器械的；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（四）食品药品监督管理部门责令其依照本条例规定实施召回或者停止经营后，仍拒不召回或者停止经营医疗器械的；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（五）委托不具备本条例规定条件的企业生产医疗器械，或者未对受托方的生产行为进行管理的。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第六十七条　</w:t>
      </w:r>
      <w:r>
        <w:rPr>
          <w:rFonts w:hint="eastAsia" w:ascii="宋体" w:hAnsi="宋体" w:cs="Arial"/>
          <w:kern w:val="0"/>
          <w:szCs w:val="32"/>
        </w:rPr>
        <w:t>有下列情形之一的，由县级以上人民政府食品药品监督管理部门责令改正，处1万元以上3万元以下罚款；情节严重的，责令停产停业，直至由原发证部门吊销医疗器械生产许可证、医疗器械经营许可证：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（一）医疗器械生产企业的生产条件发生变化、不再符合医疗器械质量管理体系要求，未依照本条例规定整改、停止生产、报告的；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（二）生产、经营说明书、标签不符合本条例规定的医疗器械的；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（三）未按照医疗器械说明书和标签标示要求运输、贮存医疗器械的；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（四）转让过期、失效、淘汰或者检验不合格的在用医疗器械的。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第六十八条　</w:t>
      </w:r>
      <w:r>
        <w:rPr>
          <w:rFonts w:hint="eastAsia" w:ascii="宋体" w:hAnsi="宋体" w:cs="Arial"/>
          <w:kern w:val="0"/>
          <w:szCs w:val="32"/>
        </w:rPr>
        <w:t>有下列情形之一的，由县级以上人民政府食品药品监督管理部门和卫生计生主管部门依据各自职责责令改正，给予警告；拒不改正的，处5000元以上2万元以下罚款；情节严重的，责令停产停业，直至由原发证部门吊销医疗器械生产许可证、医疗器械经营许可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（一）医疗器械生产企业未按照要求提交质量管理体系自查报告的；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（二）医疗器械经营企业、使用单位未依照本条例规定建立并执行医疗器械进货查验记录制度的；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（三）从事第二类、第三类医疗器械批发业务以及第三类医疗器械零售业务的经营企业未依照本条例规定建立并执行销售记录制度的；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（四）对重复使用的医疗器械，医疗器械使用单位未按照消毒和管理的规定进行处理的；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（五）医疗器械使用单位重复使用一次性使用的医疗器械，或者未按照规定销毁使用过的一次性使用的医疗器械的；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（六）对需要定期检查、检验、校准、保养、维护的医疗器械，医疗器械使用单位未按照产品说明书要求检查、检验、校准、保养、维护并予以记录，及时进行分析、评估，确保医疗器械处于良好状态的；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（七）医疗器械使用单位未妥善保存购入第三类医疗器械的原始资料，或者未按照规定将大型医疗器械以及植入和介入类医疗器械的信息记载到病历等相关记录中的；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（八）医疗器械使用单位发现使用的医疗器械存在安全隐患未立即停止使用、通知检修，或者继续使用经检修仍不能达到使用安全标准的医疗器械的；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医疗器械生产经营企业、使用单位未依照本条例规定开展医疗器械不良事件监测，未按照要求报告不良事件，或者对医疗器械不良事件监测技术机构、食品药品监督管理部门开展的不良事件调查不予配合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第六十九条　</w:t>
      </w:r>
      <w:r>
        <w:rPr>
          <w:rFonts w:hint="eastAsia" w:ascii="宋体" w:hAnsi="宋体" w:cs="Arial"/>
          <w:kern w:val="0"/>
          <w:szCs w:val="32"/>
        </w:rPr>
        <w:t>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有医疗器械临床试验机构资质的，由授予其资质的主管部门撤销医疗器械临床试验机构资质，5年内不受理其资质认定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临床试验机构出具虚假报告的，由授予其资质的主管部门撤销医疗器械临床试验机构资质，10年内不受理其资质认定申请；由县级以上人民政府食品药品监督管理部门处5万元以上10万元以下罚款；有违法所得的，没收违法所得；对直接负责的主管人员和其他直接责任人员，依法给予撤职或者开除的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第七十条　</w:t>
      </w:r>
      <w:r>
        <w:rPr>
          <w:rFonts w:hint="eastAsia" w:ascii="宋体" w:hAnsi="宋体" w:cs="Arial"/>
          <w:kern w:val="0"/>
          <w:szCs w:val="32"/>
        </w:rPr>
        <w:t>医疗器械检验机构出具虚假检验报告的，由授予其资质的主管部门撤销检验资质，10年内不受理其资质认定申请；处5万元以上10万元以下罚款；有违法所得的，没收违法所得；对直接负责的主管人员和其他直接责任人员，依法给予撤职或者开除的处分；受到开除处分的，自处分决定作出之日起10年内不得从事医疗器械检验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第七十一条　</w:t>
      </w:r>
      <w:r>
        <w:rPr>
          <w:rFonts w:hint="eastAsia" w:ascii="宋体" w:hAnsi="宋体" w:cs="Arial"/>
          <w:kern w:val="0"/>
          <w:szCs w:val="32"/>
        </w:rPr>
        <w:t>违反本条例规定，发布未取得批准文件的医疗器械广告，未事先核实批准文件的真实性即发布医疗器械广告，或者发布广告内容与批准文件不一致的医疗器械广告的，由工商行政管理部门依照有关广告管理的法律、行政法规的规定给予处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篡改经批准的医疗器械广告内容的，由原发证部门撤销该医疗器械的广告批准文件，2年内不受理其广告审批申请。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发布虚假医疗器械广告的，由省级以上人民政府食品药品监督管理部门决定暂停销售该医疗器械，并向社会公布；仍然销售该医疗器械的，由县级以上人民政府食品药品监督管理部门没收违法销售的医疗器械，并处2万元以上5万元以下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第七十二条　</w:t>
      </w:r>
      <w:r>
        <w:rPr>
          <w:rFonts w:hint="eastAsia" w:ascii="宋体" w:hAnsi="宋体" w:cs="Arial"/>
          <w:kern w:val="0"/>
          <w:szCs w:val="32"/>
        </w:rPr>
        <w:t>医疗器械技术审评机构、医疗器械不良事件监测技术机构未依照本条例规定履行职责，致使审评、监测工作出现重大失误的，由县级以上人民政府食品药品监督管理部门责令改正，通报批评，给予警告；造成严重后果的，对直接负责的主管人员和其他直接责任人员，依法给予降级、撤职或者开除的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第七十三条　</w:t>
      </w:r>
      <w:r>
        <w:rPr>
          <w:rFonts w:hint="eastAsia" w:ascii="宋体" w:hAnsi="宋体" w:cs="Arial"/>
          <w:kern w:val="0"/>
          <w:szCs w:val="32"/>
        </w:rPr>
        <w:t>食品药品监督管理部门及其工作人员应当严格依照本条例规定的处罚种类和幅度，根据违法行为的性质和具体情节行使行政处罚权，具体办法由国务院食品药品监督管理部门制定。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第七十四条　</w:t>
      </w:r>
      <w:r>
        <w:rPr>
          <w:rFonts w:hint="eastAsia" w:ascii="宋体" w:hAnsi="宋体" w:cs="Arial"/>
          <w:kern w:val="0"/>
          <w:szCs w:val="32"/>
        </w:rPr>
        <w:t>违反本条例规定，县级以上人民政府食品药品监督管理部门或者其他有关部门不履行医疗器械监督管理职责或者滥用职权、玩忽职守、徇私舞弊的，由监察机关或者任免机关对直接负责的主管人员和其他直接责任人员依法给予警告、记过或者记大过的处分；造成严重后果的，给予降级、撤职或者开除的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第七十五条　</w:t>
      </w:r>
      <w:r>
        <w:rPr>
          <w:rFonts w:hint="eastAsia" w:ascii="宋体" w:hAnsi="宋体" w:cs="Arial"/>
          <w:kern w:val="0"/>
          <w:szCs w:val="32"/>
        </w:rPr>
        <w:t>违反本条例规定，构成犯罪的，依法追究刑事责任；造成人身、财产或者其他损害的，依法承担赔偿责任。</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第八章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第七十六条　</w:t>
      </w:r>
      <w:r>
        <w:rPr>
          <w:rFonts w:hint="eastAsia" w:ascii="宋体" w:hAnsi="宋体" w:cs="Arial"/>
          <w:kern w:val="0"/>
          <w:szCs w:val="32"/>
        </w:rPr>
        <w:t>本条例下列用语的含义：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是指直接或者间接用于人体的仪器、设备、器具、体外诊断试剂及校准物、材料以及其他类似或者相关的物品，包括所需要的计算机软件；其效用主要通过物理等方式获得，不是通过药理学、免疫学或者代谢的方式获得，或者虽然有这些方式参与但是只起辅助作用；其目的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（一）疾病的诊断、预防、监护、治疗或者缓解；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（二）损伤的诊断、监护、治疗、缓解或者功能补偿；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（三）生理结构或者生理过程的检验、替代、调节或者支持；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（四）生命的支持或者维持；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（五）妊娠控制；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（六）通过对来自人体的样本进行检查，为医疗或者诊断目的提供信息。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使用单位，是指使用医疗器械为他人提供医疗等技术服务的机构，包括取得医疗机构执业许可证的医疗机构，取得计划生育技术服务机构执业许可证的计划生育技术服务机构，以及依法不需要取得医疗机构执业许可证的血站、单采血浆站、康复辅助器具适配机构等。</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第七十七条　</w:t>
      </w:r>
      <w:r>
        <w:rPr>
          <w:rFonts w:hint="eastAsia" w:ascii="宋体" w:hAnsi="宋体" w:cs="Arial"/>
          <w:kern w:val="0"/>
          <w:szCs w:val="32"/>
        </w:rPr>
        <w:t>医疗器械产品注册可以收取费用。具体收费项目、标准分别由国务院财政、价格主管部门按照国家有关规定制定。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第七十八条　</w:t>
      </w:r>
      <w:r>
        <w:rPr>
          <w:rFonts w:hint="eastAsia" w:ascii="宋体" w:hAnsi="宋体" w:cs="Arial"/>
          <w:kern w:val="0"/>
          <w:szCs w:val="32"/>
        </w:rPr>
        <w:t>非营利的避孕医疗器械管理办法以及医疗卫生机构为应对突发公共卫生事件而研制的医疗器械的管理办法，由国务院食品药品监督管理部门会同国务院卫生计生主管部门制定。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中医医疗器械的管理办法，由国务院食品药品监督管理部门会同国务院中医药管理部门依据本条例的规定制定；康复辅助器具类医疗器械的范围及其管理办法，由国务院食品药品监督管理部门会同国务院民政部门依据本条例的规定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第七十九条　</w:t>
      </w:r>
      <w:r>
        <w:rPr>
          <w:rFonts w:hint="eastAsia" w:ascii="宋体" w:hAnsi="宋体" w:cs="Arial"/>
          <w:kern w:val="0"/>
          <w:szCs w:val="32"/>
        </w:rPr>
        <w:t>军队医疗器械使用的监督管理，由军队卫生主管部门依据本条例和军队有关规定组织实施。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第八十条　</w:t>
      </w:r>
      <w:r>
        <w:rPr>
          <w:rFonts w:hint="eastAsia" w:ascii="宋体" w:hAnsi="宋体" w:cs="Arial"/>
          <w:kern w:val="0"/>
          <w:szCs w:val="32"/>
        </w:rPr>
        <w:t>本条例自2014年6月1日起施行。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Arial"/>
          <w:bCs/>
          <w:sz w:val="44"/>
          <w:szCs w:val="44"/>
        </w:rPr>
      </w:pPr>
      <w:bookmarkStart w:id="238" w:name="_Toc22667"/>
      <w:r>
        <w:rPr>
          <w:rFonts w:hint="eastAsia" w:ascii="宋体" w:hAnsi="宋体" w:eastAsia="宋体" w:cs="Arial"/>
          <w:bCs/>
          <w:sz w:val="44"/>
          <w:szCs w:val="44"/>
        </w:rPr>
        <w:t>医疗废物管理条例</w:t>
      </w:r>
      <w:bookmarkEnd w:id="238"/>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（2003年6月16日中华人民共和国国务院令第3</w:t>
      </w:r>
      <w:r>
        <w:rPr>
          <w:rFonts w:hint="eastAsia" w:ascii="宋体" w:hAnsi="宋体" w:eastAsia="楷体_GB2312" w:cs="Arial"/>
          <w:szCs w:val="32"/>
          <w:lang w:val="en-US" w:eastAsia="zh-CN"/>
        </w:rPr>
        <w:t>80</w:t>
      </w:r>
      <w:r>
        <w:rPr>
          <w:rFonts w:hint="eastAsia" w:ascii="宋体" w:hAnsi="宋体" w:eastAsia="楷体_GB2312" w:cs="Arial"/>
          <w:szCs w:val="32"/>
        </w:rPr>
        <w:t>号公布  根据2011年1月8日《国务院关于废止和修改部分行政法规的决定》修</w:t>
      </w:r>
      <w:r>
        <w:rPr>
          <w:rFonts w:hint="eastAsia" w:ascii="宋体" w:hAnsi="宋体" w:eastAsia="楷体_GB2312" w:cs="Arial"/>
          <w:szCs w:val="32"/>
          <w:lang w:val="en-US" w:eastAsia="zh-CN"/>
        </w:rPr>
        <w:t>订</w:t>
      </w:r>
      <w:r>
        <w:rPr>
          <w:rFonts w:hint="eastAsia" w:ascii="宋体" w:hAnsi="宋体" w:eastAsia="楷体_GB2312" w:cs="Arial"/>
          <w:szCs w:val="32"/>
        </w:rPr>
        <w:t>）</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医疗废物管理的一般规定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医疗卫生机构对医疗废物的管理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医疗废物的集中处置</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监督管理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法律责任</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为了加强医疗废物的安全管理，防止疾病传播，保护环境，保障人体健康，根据《中华人民共和国传染病防治法》和《中华人民共和国固体废物污染环境防治法》，制定本条例。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本条例所称医疗废物，是指医疗卫生机构在医疗、预防、保健以及其他相关活动中产生的具有直接或者间接感染性、毒性以及其他危害性的废物。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医疗废物分类目录，由国务院卫生行政主管部门和环境保护行政主管部门共同制定、公布。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本条例适用于医疗废物的收集、运送、贮存、处置以及监督管理等活动。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收治的传染病病人或者疑似传染病病人产生的生活垃圾，按照医疗废物进行管理和处置。医疗卫生机构废弃的麻醉、精神、放射性、毒性等药品及其相关的废物的管理，依照有关法律、行政法规和国家有关规定、标准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国家推行医疗废物集中无害化处置，鼓励有关医疗废物安全处置技术的研究与开发。</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县级以上地方人民政府负责组织建设医疗废物集中处置设施。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国家对边远贫困地区建设医疗废物集中处置设施给予适当的支持。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县级以上各级人民政府卫生行政主管部门，对医疗废物收集、运送、贮存、处置活动中的疾病防治工作实施统一监督管理；环境保护行政主管部门，对医疗废物收集、运送、贮存、处置活动中的环境污染防治工作实施统一监督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县级以上各级人民政府其他有关部门在各自的职责范围内负责与医疗废物处置有关的监督管理工作。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任何单位和个人有权对医疗卫生机构、医疗废物集中处置单位和监督管理部门及其工作人员的违法行为进行举报、投诉、检举和控告。</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医疗废物管理的一般规定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医疗卫生机构和医疗废物集中处置单位，应当建立、健全医疗废物管理责任制，其法定代表人为第一责任人，切实履行职责，防止因医疗废物导致传染病传播和环境污染事故。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医疗卫生机构和医疗废物集中处置单位，应当对本单位从事医疗废物收集、运送、贮存、处置等工作的人员和管理人员，进行相关法律和专业技术、安全防护以及紧急处理等知识的培训。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医疗卫生机构和医疗废物集中处置单位，应当采取有效的职业卫生防护措施，为从事医疗废物收集、运送、贮存、</w:t>
      </w:r>
      <w:r>
        <w:rPr>
          <w:rFonts w:hint="eastAsia" w:ascii="宋体" w:hAnsi="宋体" w:cs="Arial"/>
          <w:spacing w:val="-6"/>
          <w:kern w:val="0"/>
          <w:szCs w:val="32"/>
        </w:rPr>
        <w:t>处置等工作的人员和管理人员，配备必要的防护用品，定期进行健康检查；必要时，对有关人员进行免疫接种，防止其受到健康损害。</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医疗卫生机构和医疗废物集中处置单位，应当依照《中华人民共和国固体废物污染环境防治法》的规定，执行危险废物转移联单管理制度。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医疗卫生机构和医疗废物集中处置单位，应当对医疗废物进行登记，登记内容应当包括医疗废物的来源、种类、重量或者数量、交接时间、处置方法、最终去向以及经办人签名等项目。登记资料至少保存3年。</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医疗卫生机构和医疗废物集中处置单位，应当采取有效措施，防止医疗废物流失、泄漏、扩散。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发生医疗废物流失、泄漏、扩散时，医疗卫生机构和医疗废物集中处置单位应当采取减少危害的紧急处理措施，对致病人员提供医疗救护和现场救援；同时向所在地的县级人民政府卫生行政主管部门、环境保护行政主管部门报告，并向可能受到危害的单位和居民通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禁止任何单位和个人转让、买卖医疗废物。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禁止在运送过程中丢弃医疗废物；禁止在非贮存地点倾倒、堆放医疗废物或者将医疗废物混入其他废物和生活垃圾。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禁止邮寄医疗废物。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禁止通过铁路、航空运输医疗废物。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有陆路通道的，禁止通过水路运输医疗废物；没有陆路通道必需经水路运输医疗废物的，应当经设区的市级以上人民政府环境保护行政主管部门批准，并采取严格的环境保护措施后，方可通过水路运输。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禁止将医疗废物与旅客在同一运输工具上载运。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禁止在饮用水源保护区的水体上运输医疗废物。</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医疗卫生机构对医疗废物的管理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医疗卫生机构应当及时收集本单位产生的医疗废物，并按照类别分置于防渗漏、防锐器穿透的专用包装物或者密闭的容器内。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医疗废物专用包装物、容器，应当有明显的警示标识和警示说明。医疗废物专用包装物、容器的标准和警示标识的规定，由国务院卫生行政主管部门和环境保护行政主管部门共同制定。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医疗卫生机构应当建立医疗废物的暂时贮存设施、设备，不得露天存放医疗废物；医疗废物暂时贮存的时间不得超过2天。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医疗废物的暂时贮存设施、设备，应当远离医疗区、食品加工区和人员活动区以及生活垃圾存放场所，并设置明显的警示标识和防渗漏、防鼠、防蚊蝇、防蟑螂、防盗以及预防儿童接触等安全措施。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医疗废物的暂时贮存设施、设备应当定期消毒和清洁。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医疗卫生机构应当使用防渗漏、防遗撒的专用运送工具，按照本单位确定的内部医疗废物运送时间、路线，将医疗废物收集、运送至暂时贮存地点。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运送工具使用后应当在医疗卫生机构内指定的地点及时消毒和清洁。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医疗卫生机构应当根据就近集中处置的原则，及时将医疗废物交由医疗废物集中处置单位处置。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医疗废物中病原体的培养基、标本和菌种、毒种保存液等高危险废物，在交医疗废物集中处置单位处置前应当就地消毒。</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医疗卫生机构产生的污水、传染病病人或者疑似传染病病人的排泄物，应当按照国家规定严格消毒；达到国家规定的排放标准后，方可排入污水处理系统。</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不具备集中处置医疗废物条件的农村，医疗卫生机构应当按照县级人民政府卫生行政主管部门、环境保护行政主管部门的要求，自行就地处置其产生的医疗废物。自行处置医疗废物的，应当符合下列基本要求：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（一）使用后的一次性医疗器具和容易致人损伤的医疗废物，应当消毒并作毁形处理；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（二）能够焚烧的，应当及时焚烧；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（三）不能焚烧的，消毒后集中填埋。</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医疗废物的集中处置</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从事医疗废物集中处置活动的单位，应当向县级以上人民政府环境保护行政主管部门申请领取经营许可证；未取得经营许可证的单位，不得从事有关医疗废物集中处置的活动。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医疗废物集中处置单位，应当符合下列条件：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（一）具有符合环境保护和卫生要求的医疗废物贮存、处置设施或者设备；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（二）具有经过培训的技术人员以及相应的技术工人；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（三）具有负责医疗废物处置效果检测、评价工作的机构和人员；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（四）具有保证医疗废物安全处置的规章制度。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医疗废物集中处置单位的贮存、处置设施，应当远离居（村）民居住区、水源保护区和交通干道，与工厂、企业等工作场所有适当的安全防护距离，并符合国务院环境保护行政主管部门的规定。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医疗废物集中处置单位应当至少每2天到医疗卫生机构收集、运送一次医疗废物，并负责医疗废物的贮存、处置。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医疗废物集中处置单位运送医疗废物，应当遵守国家有关危险货物运输管理的规定，使用有明显医疗废物标识的专用车辆。医疗废物专用车辆应当达到防渗漏、防遗撒以及其他环境保护和卫生要求。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运送医疗废物的专用车辆使用后，应当在医疗废物集中处置场所内及时进行消毒和清洁。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运送医疗废物的专用车辆不得运送其他物品。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医疗废物集中处置单位在运送医疗废物过程中应当确保安全，不得丢弃、遗撒医疗废物。</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医疗废物集中处置单位应当安装污染物排放在线监控装置，并确保监控装置经常处于正常运行状态。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医疗废物集中处置单位处置医疗废物，应当符合国家规定的环境保护、卫生标准、规范。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医疗废物集中处置单位应当按照环境保护行政主管部门和卫生行政主管部门的规定，定期对医疗废物处置设施的环境污染防治和卫生学效果进行检测、评价。检测、评价结果存入医疗废物集中处置单位档案，每半年向所在地环境保护行政主管部门和卫生行政主管部门报告一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医疗废物集中处置单位处置医疗废物，按照国家有关规定向医疗卫生机构收取医疗废物处置费用。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医疗卫生机构按照规定支付的医疗废物处置费用，可以纳入医疗成本。</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各地区应当利用和改造现有固体废物处置设施和其他设施，对医疗废物集中处置，并达到基本的环境保护和卫生要求。</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尚无集中处置设施或者处置能力不足的城市，自本条例施行之日起，设区的市级以上城市应当在1年内建成医疗废物集中处置设施；县级市应当在2年内建成医疗废物集中处置设施。县（旗）医疗废物集中处置设施的建设，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在尚未建成医疗废物集中处置设施期间，有关地方人民政府应当组织制定符合环境保护和卫生要求的医疗废物过渡性处置方案，确定医疗废物收集、运送、处置方式和处置单位。</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监督管理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县级以上地方人民政府卫生行政主管部门、环境保护行政主管部门，应当依照本条例的规定，按照职责分工，对医疗卫生机构和医疗废物集中处置单位进行监督检查。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县级以上地方人民政府卫生行政主管部门，应当对医疗卫生机构和医疗废物集中处置单位从事医疗废物的收集、运送、贮存、处置中的疾病防治工作，以及工作人员的卫生防护等情况进行定期监督检查或者不定期的抽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县级以上地方人民政府环境保护行政主管部门，应当对医疗卫生机构和医疗废物集中处置单位从事医疗废物收集、运送、贮存、处置中的环境污染防治工作进行定期监督检查或者不定期的抽查。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卫生行政主管部门、环境保护行政主管部门应当定期交换监督检查和抽查结果。在监督检查或者抽查中发现医疗卫生机构和医疗废物集中处置单位存在隐患时，应当责令立即消除隐患。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卫生行政主管部门、环境保护行政主管部门接到对医疗卫生机构、医疗废物集中处置单位和监督管理部门及其工作人员违反本条例行为的举报、投诉、检举和控告后，应当及时核实，依法作出处理，并将处理结果予以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卫生行政主管部门、环境保护行政主管部门履行监督检查职责时，有权采取下列措施：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（一）对有关单位进行实地检查，了解情况，现场监测，调查取证；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（二）查阅或者复制医疗废物管理的有关资料，采集样品；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（三）责令违反本条例规定的单位和个人停止违法行为；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（四）查封或者暂扣涉嫌违反本条例规定的场所、设备、运输工具和物品；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（五）对违反本条例规定的行为进行查处。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发生因医疗废物管理不当导致传染病传播或者环境污染事故，或者有证据证明传染病传播或者环境污染的事故有可能发生时，卫生行政主管部门、环境保护行政主管部门应当采取临时控制措施，疏散人员，控制现场，并根据需要责令暂停导致或者可能导致传染病传播或者环境污染事故的作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医疗卫生机构和医疗废物集中处置单位，对有关部门的检查、监测、调查取证，应当予以配合，不得拒绝和阻碍，不得提供虚假材料。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法律责任</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县级以上地方人民政府未依照本条例的规定，组织建设医疗废物集中处置设施或者组织制定医疗废物过渡性处置方案的，由上级人民政府通报批评，责令限期建成医疗废物集中处置设施或者组织制定医疗废物过渡性处置方案；并可以对政府主要领导人、负有责任的主管人员，依法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县级以上各级人民政府卫生行政主管部门、环境保护行政主管部门或者其他有关部门，未按照本条例的规定履行监督检查职责，发现医疗卫生机构和医疗废物集中处置单位的违法行为不及时处理，发生或者可能发生传染病传播或者环境污染事故时未及时采取减少危害措施，以及有其他玩忽职守、失职、渎职行为的，由本级人民政府或者上级人民政府有关部门责令改正，通报批评；造成传染病传播或者环境污染事故的，对主要负责人、负有责任的主管人员和其他直接责任人员依法给予降级、撤职、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县级以上人民政府环境保护行政主管部门，违反本条例的规定发给医疗废物集中处置单位经营许可证的，由本级人民政府或者上级人民政府环境保护行政主管部门通报批评，责令收回违法发给的证书；并可以对主要负责人、负有责任的主管人员和其他直接责任人员依法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（一）未建立、健全医疗废物管理制度，或者未设置监控部门或者专（兼）职人员的；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（二）未对有关人员进行相关法律和专业技术、安全防护以及紧急处理等知识的培训的；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（三）未对从事医疗废物收集、运送、贮存、处置等工作的人员和管理人员采取职业卫生防护措施的；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（四）未对医疗废物进行登记或者未保存登记资料的；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（五）对使用后的医疗废物运送工具或者运送车辆未在指定地点及时进行消毒和清洁的；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（六）未及时收集、运送医疗废物的；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（七）未定期对医疗废物处置设施的环境污染防治和卫生学效果进行检测、评价，或者未将检测、评价效果存档、报告的。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（一）贮存设施或者设备不符合环境保护、卫生要求的；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（二）未将医疗废物按照类别分置于专用包装物或者容器的；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（三）未使用符合标准的专用车辆运送医疗废物或者使用运送医疗废物的车辆运送其他物品的；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（四）未安装污染物排放在线监控装置或者监控装置未经常处于正常运行状态的。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（一）在运送过程中丢弃医疗废物，在非贮存地点倾倒、堆放医疗废物或者将医疗废物混入其他废物和生活垃圾的；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（二）未执行危险废物转移联单管理制度的；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（三）将医疗废物交给未取得经营许可证的单位或者个人收集、运送、贮存、处置的；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（四）对医疗废物的处置不符合国家规定的环境保护、卫生标准、规范的；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（五）未按照本条例的规定对污水、传染病病人或者疑似传染病病人的排泄物，进行严格消毒，或者未达到国家规定的排放标准，排入污水处理系统的；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（六）对收治的传染病病人或者疑似传染病病人产生的生活垃圾，未按照医疗废物进行管理和处置的。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医疗卫生机构违反本条例规定，将未达到国家规定标准的污水、传染病病人或者疑似传染病病人的排泄物排入城市排水管网的，由县级以上地方人民政府建设行政主管部门责令限期改正，给予警告，并处5000元以上1万元以下的罚款；逾期不改正的，处1万元以上3万元以下的罚款；造成传染病传播或者环境污染事故的，由原发证部门暂扣或者吊销执业许可证件；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医疗卫生机构、医疗废物集中处置单位发生医疗废物流失、泄漏、扩散时，未采取紧急处理措施，或者未及时向卫生行政主管部门和环境保护行政主管部门报告的，由县级以上地方人民政府卫生行政主管部门或者环境保护行政主管部门按照各自的职责责令改正，给予警告，并处1万元以上3万元以下的罚款；造成传染病传播或者环境污染事故的，由原发证部门暂扣或者吊销执业许可证件或者经营许可证件；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医疗卫生机构、医疗废物集中处置单位，无正当理由，阻碍卫生行政主管部门或者环境保护行政主管部门执法人员执行职务，拒绝执法人员进入现场，或者不配合执法部门的检查、监测、调查取证的，由县级以上地方人民政府卫生行政主管部门或者环境保护行政主管部门按照各自的职责责令改正，给予警告；拒不改正的，由原发证部门暂扣或者吊销执业许可证件或者经营许可证件；触犯《中华人民共和国治安管理处罚法》，构成违反治安管理行为的，由公安机关依法予以处罚；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不具备集中处置医疗废物条件的农村，医疗卫生机构未按照本条例的要求处置医疗废物的，由县级人民政府卫生行政主管部门或者环境保护行政主管部门按照各自的职责责令限期改正，给予警告；逾期不改正的，处1000元以上5000元以下的罚款；造成传染病传播或者环境污染事故的，由原发证部门暂扣或者吊销执业许可证件；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未取得经营许可证从事医疗废物的收集、运送、贮存、处置等活动的，由县级以上地方人民政府环境保护行政主管部门责令立即停止违法行为，没收违法所得，可以并处违法所得1倍以下的罚款。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转让、买卖医疗废物，邮寄或者通过铁路、航空运输医疗废物，或者违反本条例规定通过水路运输医疗废物的，由县级以上地方人民政府环境保护行政主管部门责令转让、买卖双方、邮寄人、托运人立即停止违法行为，给予警告，没收违法所得；违法所得5000元以上的，并处违法所得2倍以上5倍以下的罚款；没有违法所得或者违法所得不足5000元的，并处5000元以上2万元以下的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承运人明知托运人违反本条例的规定运输医疗废物，仍予以运输的，或者承运人将医疗废物与旅客在同一工具上载运的，按照前款的规定予以处罚。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医疗卫生机构、医疗废物集中处置单位违反本条例规定，导致传染病传播或者发生环境污染事故，给他人造成损害的，依法承担民事赔偿责任。</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计划生育技术服务、医学科研、教学、尸体检查和其他相关活动中产生的具有直接或者间接感染性、毒性以及其他危害性废物的管理，依照本条例执行。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军队医疗卫生机构医疗废物的管理由中国人民解放军卫生主管部门参照本条例制定管理办法。</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本条例自公布之日起施行。</w:t>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r>
        <w:rPr>
          <w:rFonts w:hint="eastAsia" w:ascii="宋体" w:hAnsi="宋体" w:cs="Arial"/>
          <w:kern w:val="0"/>
          <w:szCs w:val="32"/>
        </w:rPr>
        <w:br w:type="page"/>
      </w:r>
      <w:bookmarkStart w:id="239" w:name="_Toc15440"/>
      <w:bookmarkStart w:id="240" w:name="_Toc27527"/>
      <w:bookmarkStart w:id="241" w:name="_Toc5029"/>
      <w:bookmarkStart w:id="242" w:name="_Toc28470"/>
      <w:bookmarkStart w:id="243" w:name="_Toc31888"/>
      <w:bookmarkStart w:id="244" w:name="_Toc13545"/>
      <w:bookmarkStart w:id="245" w:name="_Toc8860"/>
      <w:bookmarkStart w:id="246" w:name="_Toc31730"/>
      <w:bookmarkStart w:id="247" w:name="_Toc30948"/>
      <w:bookmarkStart w:id="248" w:name="_Toc4800"/>
      <w:r>
        <w:rPr>
          <w:rFonts w:hint="eastAsia" w:ascii="宋体" w:hAnsi="宋体" w:eastAsia="宋体" w:cs="Arial"/>
          <w:bCs/>
          <w:sz w:val="44"/>
          <w:szCs w:val="44"/>
        </w:rPr>
        <w:t>重大动物疫情应急条例</w:t>
      </w:r>
      <w:bookmarkEnd w:id="239"/>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（2005年11月18日国务院令第450号发布　根据2017年10月7日国务院令第687号《国务院关于修改部分行政法规的决定》修正）</w:t>
      </w:r>
    </w:p>
    <w:p>
      <w:pPr>
        <w:widowControl w:val="0"/>
        <w:wordWrap/>
        <w:adjustRightInd/>
        <w:snapToGrid/>
        <w:spacing w:after="0" w:line="560" w:lineRule="exact"/>
        <w:ind w:left="0" w:leftChars="0" w:right="0"/>
        <w:textAlignment w:val="auto"/>
        <w:outlineLvl w:val="9"/>
        <w:rPr>
          <w:rFonts w:hint="eastAsia" w:ascii="楷体_GB2312" w:hAnsi="楷体_GB2312" w:eastAsia="楷体_GB2312" w:cs="楷体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第一条</w:t>
      </w:r>
      <w:r>
        <w:rPr>
          <w:rFonts w:hint="eastAsia" w:ascii="仿宋_GB2312" w:hAnsi="仿宋_GB2312" w:eastAsia="仿宋_GB2312" w:cs="仿宋_GB2312"/>
          <w:sz w:val="32"/>
          <w:szCs w:val="32"/>
        </w:rPr>
        <w:t>　为了迅速控制、扑灭重大动物疫情，保障养殖业生产安全，保护公众身体健康与生命安全，维护正常的社会秩序，根据《中华人民共和国动物防疫法》，制定本条例。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第二条</w:t>
      </w:r>
      <w:r>
        <w:rPr>
          <w:rFonts w:hint="eastAsia" w:ascii="仿宋_GB2312" w:hAnsi="仿宋_GB2312" w:eastAsia="仿宋_GB2312" w:cs="仿宋_GB2312"/>
          <w:sz w:val="32"/>
          <w:szCs w:val="32"/>
        </w:rPr>
        <w:t>　本条例所称重大动物疫情，是指高致病性禽流感等发病率或者死亡率高的动物疫病突然发生，迅速传播，给养殖业生产安全造成严重威胁、危害，以及可能对公众身体健康与生命安全造成危害的情形，包括特别重大动物疫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第三条</w:t>
      </w:r>
      <w:r>
        <w:rPr>
          <w:rFonts w:hint="eastAsia" w:ascii="仿宋_GB2312" w:hAnsi="仿宋_GB2312" w:eastAsia="仿宋_GB2312" w:cs="仿宋_GB2312"/>
          <w:sz w:val="32"/>
          <w:szCs w:val="32"/>
        </w:rPr>
        <w:t>　重大动物疫情应急工作应当坚持加强领导、密切配合，依靠科学、依法防治，群防群控、果断处置的方针，及时发现，快速反应，严格处理，减少损失。</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第四条</w:t>
      </w:r>
      <w:r>
        <w:rPr>
          <w:rFonts w:hint="eastAsia" w:ascii="仿宋_GB2312" w:hAnsi="仿宋_GB2312" w:eastAsia="仿宋_GB2312" w:cs="仿宋_GB2312"/>
          <w:sz w:val="32"/>
          <w:szCs w:val="32"/>
        </w:rPr>
        <w:t>　重大动物疫情应急工作按照属地管理的原则，实行政府统一领导、部门分工负责，逐级建立责任制。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县级以上人民政府兽医主管部门具体负责组织重大动物疫情的监测、调查、控制、扑灭等应急工作。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县级以上人民政府林业主管部门、兽医主管部门按照职责分工，加强对陆生野生动物疫源疫病的监测。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县级以上人民政府其他有关部门在各自的职责范围内，做好重大动物疫情的应急工作。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第五条</w:t>
      </w:r>
      <w:r>
        <w:rPr>
          <w:rFonts w:hint="eastAsia" w:ascii="仿宋_GB2312" w:hAnsi="仿宋_GB2312" w:eastAsia="仿宋_GB2312" w:cs="仿宋_GB2312"/>
          <w:sz w:val="32"/>
          <w:szCs w:val="32"/>
        </w:rPr>
        <w:t>　出入境检验检疫机关应当及时收集境外重大动物疫情信息，加强进出境动物及其产品的检验检疫工作，防止动物疫病传入和传出。兽医主管部门要及时向出入境检验检疫机关通报国内重大动物疫情。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第六条</w:t>
      </w:r>
      <w:r>
        <w:rPr>
          <w:rFonts w:hint="eastAsia" w:ascii="仿宋_GB2312" w:hAnsi="仿宋_GB2312" w:eastAsia="仿宋_GB2312" w:cs="仿宋_GB2312"/>
          <w:sz w:val="32"/>
          <w:szCs w:val="32"/>
        </w:rPr>
        <w:t>　国家鼓励、支持开展重大动物疫情监测、预防、应急处理等有关技术的科学研究和国际交流与合作。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第七条</w:t>
      </w:r>
      <w:r>
        <w:rPr>
          <w:rFonts w:hint="eastAsia" w:ascii="仿宋_GB2312" w:hAnsi="仿宋_GB2312" w:eastAsia="仿宋_GB2312" w:cs="仿宋_GB2312"/>
          <w:sz w:val="32"/>
          <w:szCs w:val="32"/>
        </w:rPr>
        <w:t>　县级以上人民政府应当对参加重大动物疫情应急处理的人员给予适当补助，对作出贡献的人员给予表彰和奖励。</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第八条</w:t>
      </w:r>
      <w:r>
        <w:rPr>
          <w:rFonts w:hint="eastAsia" w:ascii="仿宋_GB2312" w:hAnsi="仿宋_GB2312" w:eastAsia="仿宋_GB2312" w:cs="仿宋_GB2312"/>
          <w:sz w:val="32"/>
          <w:szCs w:val="32"/>
        </w:rPr>
        <w:t>　对不履行或者不按照规定履行重大动物疫情应急处理职责的行为，任何单位和个人有权检举控告。</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应急准备</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第九条</w:t>
      </w:r>
      <w:r>
        <w:rPr>
          <w:rFonts w:hint="eastAsia" w:ascii="仿宋_GB2312" w:hAnsi="仿宋_GB2312" w:eastAsia="仿宋_GB2312" w:cs="仿宋_GB2312"/>
          <w:sz w:val="32"/>
          <w:szCs w:val="32"/>
        </w:rPr>
        <w:t>　国务院兽医主管部门应当制定全国重大动物疫情应急预案，报国务院批准，并按照不同动物疫病病种及其流行特点和危害程度，分别制定实施方案，报国务院备案。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地方人民政府根据本地区的实际情况，制定本行政区域的重大动物疫情应急预案，报上一级人民政府兽医主管部门备案。县级以上地方人民政府兽医主管部门，应当按照不同动物疫病病种及其流行特点和危害程度，分别制定实施方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重大动物疫情应急预案及其实施方案应当根据疫情的发展变化和实施情况，及时修改、完善。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第十条</w:t>
      </w:r>
      <w:r>
        <w:rPr>
          <w:rFonts w:hint="eastAsia" w:ascii="仿宋_GB2312" w:hAnsi="仿宋_GB2312" w:eastAsia="仿宋_GB2312" w:cs="仿宋_GB2312"/>
          <w:sz w:val="32"/>
          <w:szCs w:val="32"/>
        </w:rPr>
        <w:t>　重大动物疫情应急预案主要包括下列内容：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（一）应急指挥部的职责、组成以及成员单位的分工；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（二）重大动物疫情的监测、信息收集、报告和通报；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（三）动物疫病的确认、重大动物疫情的分级和相应的应急处理工作方案；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（四）重大动物疫情疫源的追踪和流行病学调查分析；</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（五）预防、控制、扑灭重大动物疫情所需资金的来源、物资和技术的储备与调度；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（六）重大动物疫情应急处理设施和专业队伍建设。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第十一条</w:t>
      </w:r>
      <w:r>
        <w:rPr>
          <w:rFonts w:hint="eastAsia" w:ascii="仿宋_GB2312" w:hAnsi="仿宋_GB2312" w:eastAsia="仿宋_GB2312" w:cs="仿宋_GB2312"/>
          <w:sz w:val="32"/>
          <w:szCs w:val="32"/>
        </w:rPr>
        <w:t>　国务院有关部门和县级以上地方人民政府及其有关部门，应当根据重大动物疫情应急预案的要求，确保应急处理所需的疫苗、药品、设施设备和防护用品等物资的储备。</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第十二条</w:t>
      </w:r>
      <w:r>
        <w:rPr>
          <w:rFonts w:hint="eastAsia" w:ascii="仿宋_GB2312" w:hAnsi="仿宋_GB2312" w:eastAsia="仿宋_GB2312" w:cs="仿宋_GB2312"/>
          <w:sz w:val="32"/>
          <w:szCs w:val="32"/>
        </w:rPr>
        <w:t>　县级以上人民政府应当建立和完善重大动物疫情监测网络和预防控制体系，加强动物防疫基础设施和乡镇动物防疫组织建设，并保证其正常运行，提高对重大动物疫情的应急处理能力。</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第十三条</w:t>
      </w:r>
      <w:r>
        <w:rPr>
          <w:rFonts w:hint="eastAsia" w:ascii="仿宋_GB2312" w:hAnsi="仿宋_GB2312" w:eastAsia="仿宋_GB2312" w:cs="仿宋_GB2312"/>
          <w:sz w:val="32"/>
          <w:szCs w:val="32"/>
        </w:rPr>
        <w:t>　县级以上地方人民政府根据重大动物疫情应急需要，可以成立应急预备队，在重大动物疫情应急指挥部的指挥下，具体承担疫情的控制和扑灭任务。</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应急预备队由当地兽医行政管理人员、动物防疫工作人员、有关专家、执业兽医等组成；必要时，可以组织动员社会上有一定专业知识的人员参加。公安机关、中国人民武装警察部队应当依法协助其执行任务。</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应急预备队应当定期进行技术培训和应急演练。</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第十四条</w:t>
      </w:r>
      <w:r>
        <w:rPr>
          <w:rFonts w:hint="eastAsia" w:ascii="仿宋_GB2312" w:hAnsi="仿宋_GB2312" w:eastAsia="仿宋_GB2312" w:cs="仿宋_GB2312"/>
          <w:sz w:val="32"/>
          <w:szCs w:val="32"/>
        </w:rPr>
        <w:t>　县级以上人民政府及其兽医主管部门应当加强对重大动物疫情应急知识和重大动物疫病科普知识的宣传，增强全社会的重大动物疫情防范意识。</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监测、报告和公布</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第十五条</w:t>
      </w:r>
      <w:r>
        <w:rPr>
          <w:rFonts w:hint="eastAsia" w:ascii="仿宋_GB2312" w:hAnsi="仿宋_GB2312" w:eastAsia="仿宋_GB2312" w:cs="仿宋_GB2312"/>
          <w:sz w:val="32"/>
          <w:szCs w:val="32"/>
        </w:rPr>
        <w:t>　动物防疫监督机构负责重大动物疫情的监测，饲养、经营动物和生产、经营动物产品的单位和个人应当配合，不得拒绝和阻碍。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第十六条</w:t>
      </w:r>
      <w:r>
        <w:rPr>
          <w:rFonts w:hint="eastAsia" w:ascii="仿宋_GB2312" w:hAnsi="仿宋_GB2312" w:eastAsia="仿宋_GB2312" w:cs="仿宋_GB2312"/>
          <w:sz w:val="32"/>
          <w:szCs w:val="32"/>
        </w:rPr>
        <w:t>　从事动物隔离、疫情监测、疫病研究与诊疗、检验检疫以及动物饲养、屠宰加工、运输、经营等活动的有关单位和个人，发现动物出现群体发病或者死亡的，应当立即向所在地的县（市）动物防疫监督机构报告。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第十七条</w:t>
      </w:r>
      <w:r>
        <w:rPr>
          <w:rFonts w:hint="eastAsia" w:ascii="仿宋_GB2312" w:hAnsi="仿宋_GB2312" w:eastAsia="仿宋_GB2312" w:cs="仿宋_GB2312"/>
          <w:sz w:val="32"/>
          <w:szCs w:val="32"/>
        </w:rPr>
        <w:t>　县（市）动物防疫监督机构接到报告后，应当立即赶赴现场调查核实。初步认为属于重大动物疫情的，应当在2小时内将情况逐级报省、自治区、直辖市动物防疫监督机构，并同时报所在地人民政府兽医主管部门；兽医主管部门应当及时通报同级卫生主管部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省、自治区、直辖市动物防疫监督机构应当在接到报告后1小时内，向省、自治区、直辖市人民政府兽医主管部门和国务院兽医主管部门所属的动物防疫监督机构报告。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省、自治区、直辖市人民政府兽医主管部门应当在接到报告后1小时内报本级人民政府和国务院兽医主管部门。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重大动物疫情发生后，省、自治区、直辖市人民政府和国务院兽医主管部门应当在4小时内向国务院报告。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第十八条</w:t>
      </w:r>
      <w:r>
        <w:rPr>
          <w:rFonts w:hint="eastAsia" w:ascii="仿宋_GB2312" w:hAnsi="仿宋_GB2312" w:eastAsia="仿宋_GB2312" w:cs="仿宋_GB2312"/>
          <w:sz w:val="32"/>
          <w:szCs w:val="32"/>
        </w:rPr>
        <w:t>　重大动物疫情报告包括下列内容：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（一）疫情发生的时间、地点；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（二）染疫、疑似染疫动物种类和数量、同群动物数量、免疫情况、死亡数量、临床症状、病理变化、诊断情况；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（三）流行病学和疫源追踪情况；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（四）已采取的控制措施；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（五）疫情报告的单位、负责人、报告人及联系方式。</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第十九条</w:t>
      </w:r>
      <w:r>
        <w:rPr>
          <w:rFonts w:hint="eastAsia" w:ascii="仿宋_GB2312" w:hAnsi="仿宋_GB2312" w:eastAsia="仿宋_GB2312" w:cs="仿宋_GB2312"/>
          <w:sz w:val="32"/>
          <w:szCs w:val="32"/>
        </w:rPr>
        <w:t>　重大动物疫情由省、自治区、直辖市人民政府兽医主管部门认定；必要时，由国务院兽医主管部门认定。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第二十条</w:t>
      </w:r>
      <w:r>
        <w:rPr>
          <w:rFonts w:hint="eastAsia" w:ascii="仿宋_GB2312" w:hAnsi="仿宋_GB2312" w:eastAsia="仿宋_GB2312" w:cs="仿宋_GB2312"/>
          <w:sz w:val="32"/>
          <w:szCs w:val="32"/>
        </w:rPr>
        <w:t>　重大动物疫情由国务院兽医主管部门按照国家规定的程序，及时准确公布；其他任何单位和个人不得公布重大动物疫情。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第二十一条</w:t>
      </w:r>
      <w:r>
        <w:rPr>
          <w:rFonts w:hint="eastAsia" w:ascii="仿宋_GB2312" w:hAnsi="仿宋_GB2312" w:eastAsia="仿宋_GB2312" w:cs="仿宋_GB2312"/>
          <w:sz w:val="32"/>
          <w:szCs w:val="32"/>
        </w:rPr>
        <w:t>　重大动物疫病应当由动物防疫监督机构采集病料。其他单位和个人采集病料的，应当具备以下条件：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（一）重大动物疫病病料采集目的、病原微生物的用途应当符合国务院兽医主管部门的规定；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（二）具有与采集病料相适应的动物病原微生物实验室条件；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（三）具有与采集病料所需要的生物安全防护水平相适应的设备，以及防止病原感染和扩散的有效措施。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从事重大动物疫病病原分离的，应当遵守国家有关生物安全管理规定，防止病原扩散。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第二十二条</w:t>
      </w:r>
      <w:r>
        <w:rPr>
          <w:rFonts w:hint="eastAsia" w:ascii="仿宋_GB2312" w:hAnsi="仿宋_GB2312" w:eastAsia="仿宋_GB2312" w:cs="仿宋_GB2312"/>
          <w:sz w:val="32"/>
          <w:szCs w:val="32"/>
        </w:rPr>
        <w:t>　国务院兽医主管部门应当及时向国务院有关部门和军队有关部门以及各省、自治区、直辖市人民政府兽医主管部门通报重大动物疫情的发生和处理情况。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第二十三条</w:t>
      </w:r>
      <w:r>
        <w:rPr>
          <w:rFonts w:hint="eastAsia" w:ascii="仿宋_GB2312" w:hAnsi="仿宋_GB2312" w:eastAsia="仿宋_GB2312" w:cs="仿宋_GB2312"/>
          <w:sz w:val="32"/>
          <w:szCs w:val="32"/>
        </w:rPr>
        <w:t>　发生重大动物疫情可能感染人群时，卫生主管部门应当对疫区内易受感染的人群进行监测，并采取相应的预防、控制措施。卫生主管部门和兽医主管部门应当及时相互通报情况。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第二十四条</w:t>
      </w:r>
      <w:r>
        <w:rPr>
          <w:rFonts w:hint="eastAsia" w:ascii="仿宋_GB2312" w:hAnsi="仿宋_GB2312" w:eastAsia="仿宋_GB2312" w:cs="仿宋_GB2312"/>
          <w:sz w:val="32"/>
          <w:szCs w:val="32"/>
        </w:rPr>
        <w:t>　有关单位和个人对重大动物疫情不得瞒报、谎报、迟报，不得授意他人瞒报、谎报、迟报，不得阻碍他人报告。</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第二十五条</w:t>
      </w:r>
      <w:r>
        <w:rPr>
          <w:rFonts w:hint="eastAsia" w:ascii="仿宋_GB2312" w:hAnsi="仿宋_GB2312" w:eastAsia="仿宋_GB2312" w:cs="仿宋_GB2312"/>
          <w:sz w:val="32"/>
          <w:szCs w:val="32"/>
        </w:rPr>
        <w:t>　在重大动物疫情报告期间，有关动物防疫监督机构应当立即采取临时隔离控制措施；必要时，当地县级以上地方人民政府可以作出封锁决定并采取扑杀、销毁等措施。有关单位和个人应当执行。</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应急处理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第二十六条　</w:t>
      </w:r>
      <w:r>
        <w:rPr>
          <w:rFonts w:hint="eastAsia" w:ascii="仿宋_GB2312" w:hAnsi="仿宋_GB2312" w:eastAsia="仿宋_GB2312" w:cs="仿宋_GB2312"/>
          <w:sz w:val="32"/>
          <w:szCs w:val="32"/>
        </w:rPr>
        <w:t>重大动物疫情发生后，国务院和有关地方人民政府设立的重大动物疫情应急指挥部统一领导、指挥重大动物疫情应急工作。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第二十七条</w:t>
      </w:r>
      <w:r>
        <w:rPr>
          <w:rFonts w:hint="eastAsia" w:ascii="仿宋_GB2312" w:hAnsi="仿宋_GB2312" w:eastAsia="仿宋_GB2312" w:cs="仿宋_GB2312"/>
          <w:sz w:val="32"/>
          <w:szCs w:val="32"/>
        </w:rPr>
        <w:t>　重大动物疫情发生后，县级以上地方人民政府兽医主管部门应当立即划定疫点、疫区和受威胁区，调查疫源，向本级人民政府提出启动重大动物疫情应急指挥系统、应急预案和对疫区实行封锁的建议，有关人民政府应当立即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疫点、疫区和受威胁区的范围应当按照不同动物疫病病种及其流行特点和危害程度划定，具体划定标准由国务院兽医主管部门制定。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第二十八条</w:t>
      </w:r>
      <w:r>
        <w:rPr>
          <w:rFonts w:hint="eastAsia" w:ascii="仿宋_GB2312" w:hAnsi="仿宋_GB2312" w:eastAsia="仿宋_GB2312" w:cs="仿宋_GB2312"/>
          <w:sz w:val="32"/>
          <w:szCs w:val="32"/>
        </w:rPr>
        <w:t>　国家对重大动物疫情应急处理实行分级管理，按照应急预案确定的疫情等级，由有关人民政府采取相应的应急控制措施。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第二十九条</w:t>
      </w:r>
      <w:r>
        <w:rPr>
          <w:rFonts w:hint="eastAsia" w:ascii="仿宋_GB2312" w:hAnsi="仿宋_GB2312" w:eastAsia="仿宋_GB2312" w:cs="仿宋_GB2312"/>
          <w:sz w:val="32"/>
          <w:szCs w:val="32"/>
        </w:rPr>
        <w:t>　对疫点应当采取下列措施：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（一）扑杀并销毁染疫动物和易感染的动物及其产品；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（二）对病死的动物、动物排泄物、被污染饲料、垫料、污水进行无害化处理；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（三）对被污染的物品、用具、动物圈舍、场地进行严格消毒。</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第三十条</w:t>
      </w:r>
      <w:r>
        <w:rPr>
          <w:rFonts w:hint="eastAsia" w:ascii="仿宋_GB2312" w:hAnsi="仿宋_GB2312" w:eastAsia="仿宋_GB2312" w:cs="仿宋_GB2312"/>
          <w:sz w:val="32"/>
          <w:szCs w:val="32"/>
        </w:rPr>
        <w:t>　对疫区应当采取下列措施：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（一）在疫区周围设置警示标志，在出入疫区的交通路口设置临时动物检疫消毒站，对出入的人员和车辆进行消毒；</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（二）扑杀并销毁染疫和疑似染疫动物及其同群动物，销毁染疫和疑似染疫的动物产品，对其他易感染的动物实行圈养或者在指定地点放养，役用动物限制在疫区内使役；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（三）对易感染的动物进行监测，并按照国务院兽医主管部门的规定实施紧急免疫接种，必要时对易感染的动物进行扑杀；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（四）关闭动物及动物产品交易市场，禁止动物进出疫区和动物产品运出疫区；</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（五）对动物圈舍、动物排泄物、垫料、污水和其他可能受污染的物品、场地，进行消毒或者无害化处理。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第三十一条</w:t>
      </w:r>
      <w:r>
        <w:rPr>
          <w:rFonts w:hint="eastAsia" w:ascii="仿宋_GB2312" w:hAnsi="仿宋_GB2312" w:eastAsia="仿宋_GB2312" w:cs="仿宋_GB2312"/>
          <w:sz w:val="32"/>
          <w:szCs w:val="32"/>
        </w:rPr>
        <w:t>　对受威胁区应当采取下列措施：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（一）对易感染的动物进行监测；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（二）对易感染的动物根据需要实施紧急免疫接种。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第三十二条</w:t>
      </w:r>
      <w:r>
        <w:rPr>
          <w:rFonts w:hint="eastAsia" w:ascii="仿宋_GB2312" w:hAnsi="仿宋_GB2312" w:eastAsia="仿宋_GB2312" w:cs="仿宋_GB2312"/>
          <w:sz w:val="32"/>
          <w:szCs w:val="32"/>
        </w:rPr>
        <w:t>　重大动物疫情应急处理中设置临时动物检疫消毒站以及采取隔离、扑杀、销毁、消毒、紧急免疫接种等控制、扑灭措施的，由有关重大动物疫情应急指挥部决定，有关单位和个人必须服从；拒不服从的，由公安机关协助执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第三十三条</w:t>
      </w:r>
      <w:r>
        <w:rPr>
          <w:rFonts w:hint="eastAsia" w:ascii="仿宋_GB2312" w:hAnsi="仿宋_GB2312" w:eastAsia="仿宋_GB2312" w:cs="仿宋_GB2312"/>
          <w:sz w:val="32"/>
          <w:szCs w:val="32"/>
        </w:rPr>
        <w:t>　国家对疫区、受威胁区内易感染的动物免费实施紧急免疫接种；对因采取扑杀、销毁等措施给当事人造成的已经证实的损失，给予合理补偿。紧急免疫接种和补偿所需费用，由中央财政和地方财政分担。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第三十四条</w:t>
      </w:r>
      <w:r>
        <w:rPr>
          <w:rFonts w:hint="eastAsia" w:ascii="仿宋_GB2312" w:hAnsi="仿宋_GB2312" w:eastAsia="仿宋_GB2312" w:cs="仿宋_GB2312"/>
          <w:sz w:val="32"/>
          <w:szCs w:val="32"/>
        </w:rPr>
        <w:t>　重大动物疫情应急指挥部根据应急处理需要，有权紧急调集人员、物资、运输工具以及相关设施、设备。</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单位和个人的物资、运输工具以及相关设施、设备被征集使用的，有关人民政府应当及时归还并给予合理补偿。</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第三十五条</w:t>
      </w:r>
      <w:r>
        <w:rPr>
          <w:rFonts w:hint="eastAsia" w:ascii="仿宋_GB2312" w:hAnsi="仿宋_GB2312" w:eastAsia="仿宋_GB2312" w:cs="仿宋_GB2312"/>
          <w:sz w:val="32"/>
          <w:szCs w:val="32"/>
        </w:rPr>
        <w:t>　重大动物疫情发生后，县级以上人民政府兽医主管部门应当及时提出疫点、疫区、受威胁区的处理方案，加强疫情监测、流行病学调查、疫源追踪工作，对染疫和疑似染疫动物及其同群动物和其他易感染动物的扑杀、销毁进行技术指导，并组织实施检验检疫、消毒、无害化处理和紧急免疫接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第三十六条</w:t>
      </w:r>
      <w:r>
        <w:rPr>
          <w:rFonts w:hint="eastAsia" w:ascii="仿宋_GB2312" w:hAnsi="仿宋_GB2312" w:eastAsia="仿宋_GB2312" w:cs="仿宋_GB2312"/>
          <w:sz w:val="32"/>
          <w:szCs w:val="32"/>
        </w:rPr>
        <w:t>　重大动物疫情应急处理中，县级以上人民政府有关部门应当在各自的职责范围内，做好重大动物疫情应急所需的物资紧急调度和运输、应急经费安排、疫区群众救济、人的疫病防治、肉食品供应、动物及其产品市场监管、出入境检验检疫和社会治安维护等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中国人民解放军、中国人民武装警察部队应当支持配合驻地人民政府做好重大动物疫情的应急工作。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第三十七条</w:t>
      </w:r>
      <w:r>
        <w:rPr>
          <w:rFonts w:hint="eastAsia" w:ascii="仿宋_GB2312" w:hAnsi="仿宋_GB2312" w:eastAsia="仿宋_GB2312" w:cs="仿宋_GB2312"/>
          <w:sz w:val="32"/>
          <w:szCs w:val="32"/>
        </w:rPr>
        <w:t>　重大动物疫情应急处理中，乡镇人民政府、村民委员会、居民委员会应当组织力量，向村民、居民宣传动物疫病防治的相关知识，协助做好疫情信息的收集、报告和各项应急处理措施的落实工作。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第三十八条</w:t>
      </w:r>
      <w:r>
        <w:rPr>
          <w:rFonts w:hint="eastAsia" w:ascii="仿宋_GB2312" w:hAnsi="仿宋_GB2312" w:eastAsia="仿宋_GB2312" w:cs="仿宋_GB2312"/>
          <w:sz w:val="32"/>
          <w:szCs w:val="32"/>
        </w:rPr>
        <w:t>　重大动物疫情发生地的人民政府和毗邻地区的人民政府应当通力合作，相互配合，做好重大动物疫情的控制、扑灭工作。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第三十九条</w:t>
      </w:r>
      <w:r>
        <w:rPr>
          <w:rFonts w:hint="eastAsia" w:ascii="仿宋_GB2312" w:hAnsi="仿宋_GB2312" w:eastAsia="仿宋_GB2312" w:cs="仿宋_GB2312"/>
          <w:sz w:val="32"/>
          <w:szCs w:val="32"/>
        </w:rPr>
        <w:t>　有关人民政府及其有关部门对参加重大动物疫情应急处理的人员，应当采取必要的卫生防护和技术指导等措施。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第四十条</w:t>
      </w:r>
      <w:r>
        <w:rPr>
          <w:rFonts w:hint="eastAsia" w:ascii="仿宋_GB2312" w:hAnsi="仿宋_GB2312" w:eastAsia="仿宋_GB2312" w:cs="仿宋_GB2312"/>
          <w:sz w:val="32"/>
          <w:szCs w:val="32"/>
        </w:rPr>
        <w:t>　自疫区内最后一头（只）发病动物及其同群动物处理完毕起，经过一个潜伏期以上的监测，未出现新的病例的，彻底消毒后，经上一级动物防疫监督机构验收合格，由原发布封锁令的人民政府宣布解除封锁，撤销疫区；由原批准机关撤销在该疫区设立的临时动物检疫消毒站。</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第四十一条</w:t>
      </w:r>
      <w:r>
        <w:rPr>
          <w:rFonts w:hint="eastAsia" w:ascii="仿宋_GB2312" w:hAnsi="仿宋_GB2312" w:eastAsia="仿宋_GB2312" w:cs="仿宋_GB2312"/>
          <w:sz w:val="32"/>
          <w:szCs w:val="32"/>
        </w:rPr>
        <w:t>　县级以上人民政府应当将重大动物疫情确认、疫区封锁、扑杀及其补偿、消毒、无害化处理、疫源追踪、疫情监测以及应急物资储备等应急经费列入本级财政预算。</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法律责任</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第四十二条</w:t>
      </w:r>
      <w:r>
        <w:rPr>
          <w:rFonts w:hint="eastAsia" w:ascii="仿宋_GB2312" w:hAnsi="仿宋_GB2312" w:eastAsia="仿宋_GB2312" w:cs="仿宋_GB2312"/>
          <w:sz w:val="32"/>
          <w:szCs w:val="32"/>
        </w:rPr>
        <w:t>　违反本条例规定，兽医主管部门及其所属的动物防疫监督机构有下列行为之一的，由本级人民政府或者上级人民政府有关部门责令立即改正、通报批评、给予警告；对主要负责人、负有责任的主管人员和其他责任人员，依法给予记大过、降级、撤职直至开除的行政处分；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（一）不履行疫情报告职责，瞒报、谎报、迟报或者授意他人瞒报、谎报、迟报，阻碍他人报告重大动物疫情的；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（二）在重大动物疫情报告期间，不采取临时隔离控制措施，导致动物疫情扩散的；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（三）不及时划定疫点、疫区和受威胁区，不及时向本级人民政府提出应急处理建议，或者不按照规定对疫点、疫区和受威胁区采取预防、控制、扑灭措施的；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（四）不向本级人民政府提出启动应急指挥系统、应急预案和对疫区的封锁建议的；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（五）对动物扑杀、销毁不进行技术指导或者指导不力，或者不组织实施检验检疫、消毒、无害化处理和紧急免疫接种的；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（六）其他不履行本条例规定的职责，导致动物疫病传播、流行，或者对养殖业生产安全和公众身体健康与生命安全造成严重危害的。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第四十三条</w:t>
      </w:r>
      <w:r>
        <w:rPr>
          <w:rFonts w:hint="eastAsia" w:ascii="仿宋_GB2312" w:hAnsi="仿宋_GB2312" w:eastAsia="仿宋_GB2312" w:cs="仿宋_GB2312"/>
          <w:sz w:val="32"/>
          <w:szCs w:val="32"/>
        </w:rPr>
        <w:t>　违反本条例规定，县级以上人民政府有关部门不履行应急处理职责，不执行对疫点、疫区和受威胁区采取的措施，或者对上级人民政府有关部门的疫情调查不予配合或者阻碍、拒绝的，由本级人民政府或者上级人民政府有关部门责令立即改正、通报批评、给予警告；对主要负责人、负有责任的主管人员和其他责任人员，依法给予记大过、降级、撤职直至开除的行政处分；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第四十四条</w:t>
      </w:r>
      <w:r>
        <w:rPr>
          <w:rFonts w:hint="eastAsia" w:ascii="仿宋_GB2312" w:hAnsi="仿宋_GB2312" w:eastAsia="仿宋_GB2312" w:cs="仿宋_GB2312"/>
          <w:sz w:val="32"/>
          <w:szCs w:val="32"/>
        </w:rPr>
        <w:t>　违反本条例规定，有关地方人民政府阻碍报告重大动物疫情，不履行应急处理职责，不按照规定对疫点、疫区和受威胁区采取预防、控制、扑灭措施，或者对上级人民政府有关部门的疫情调查不予配合或者阻碍、拒绝的，由上级人民政府责令立即改正、通报批评、给予警告；对政府主要领导人依法给予记大过、降级、撤职直至开除的行政处分；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第四十五条</w:t>
      </w:r>
      <w:r>
        <w:rPr>
          <w:rFonts w:hint="eastAsia" w:ascii="仿宋_GB2312" w:hAnsi="仿宋_GB2312" w:eastAsia="仿宋_GB2312" w:cs="仿宋_GB2312"/>
          <w:sz w:val="32"/>
          <w:szCs w:val="32"/>
        </w:rPr>
        <w:t>　截留、挪用重大动物疫情应急经费，或者侵占、挪用应急储备物资的，按照《财政违法行为处罚处分条例》的规定处理；构成犯罪的，依法追究刑事责任。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第四十六条</w:t>
      </w:r>
      <w:r>
        <w:rPr>
          <w:rFonts w:hint="eastAsia" w:ascii="仿宋_GB2312" w:hAnsi="仿宋_GB2312" w:eastAsia="仿宋_GB2312" w:cs="仿宋_GB2312"/>
          <w:sz w:val="32"/>
          <w:szCs w:val="32"/>
        </w:rPr>
        <w:t>　违反本条例规定，拒绝、阻碍动物防疫监督机构进行重大动物疫情监测，或者发现动物出现群体发病或者死亡，不向当地动物防疫监督机构报告的，由动物防疫监督机构给予警告，并处2000元以上5000元以下的罚款；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第四十七条</w:t>
      </w:r>
      <w:r>
        <w:rPr>
          <w:rFonts w:hint="eastAsia" w:ascii="仿宋_GB2312" w:hAnsi="仿宋_GB2312" w:eastAsia="仿宋_GB2312" w:cs="仿宋_GB2312"/>
          <w:sz w:val="32"/>
          <w:szCs w:val="32"/>
        </w:rPr>
        <w:t>　违反本条例规定，不符合相应条件采集重大动物疫病病料，或者在重大动物疫病病原分离时不遵守国家有关生物安全管理规定的，由动物防疫监督机构给予警告，并处5000元以下的罚款；构成犯罪的，依法追究刑事责任。</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第四十八条</w:t>
      </w:r>
      <w:r>
        <w:rPr>
          <w:rFonts w:hint="eastAsia" w:ascii="仿宋_GB2312" w:hAnsi="仿宋_GB2312" w:eastAsia="仿宋_GB2312" w:cs="仿宋_GB2312"/>
          <w:sz w:val="32"/>
          <w:szCs w:val="32"/>
        </w:rPr>
        <w:t>　在重大动物疫情发生期间，哄抬物价、欺骗消费者，散布谣言、扰乱社会秩序和市场秩序的，由价格主管部门、工商行政管理部门或者公安机关依法给予行政处罚；构成犯罪的，依法追究刑事责任。</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0"/>
        </w:numPr>
        <w:wordWrap/>
        <w:adjustRightInd/>
        <w:snapToGrid/>
        <w:spacing w:after="0"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eastAsia="zh-CN"/>
        </w:rPr>
        <w:t>第六章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numPr>
          <w:ilvl w:val="0"/>
          <w:numId w:val="0"/>
        </w:numPr>
        <w:wordWrap/>
        <w:adjustRightInd/>
        <w:snapToGrid/>
        <w:spacing w:after="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第四十九条</w:t>
      </w:r>
      <w:r>
        <w:rPr>
          <w:rFonts w:hint="eastAsia" w:ascii="仿宋_GB2312" w:hAnsi="仿宋_GB2312" w:eastAsia="仿宋_GB2312" w:cs="仿宋_GB2312"/>
          <w:sz w:val="32"/>
          <w:szCs w:val="32"/>
        </w:rPr>
        <w:t>　本条例自公布之日起施行。</w:t>
      </w:r>
    </w:p>
    <w:p>
      <w:pPr>
        <w:wordWrap/>
        <w:spacing w:line="560" w:lineRule="exact"/>
        <w:textAlignment w:val="auto"/>
        <w:rPr>
          <w:rFonts w:hint="eastAsia" w:ascii="仿宋_GB2312" w:hAnsi="仿宋_GB2312" w:eastAsia="仿宋_GB2312" w:cs="仿宋_GB2312"/>
          <w:sz w:val="32"/>
          <w:szCs w:val="32"/>
        </w:rPr>
      </w:pPr>
    </w:p>
    <w:p>
      <w:pPr>
        <w:rPr>
          <w:rFonts w:hint="eastAsia" w:ascii="宋体" w:hAnsi="宋体" w:cs="Arial"/>
          <w:kern w:val="0"/>
          <w:szCs w:val="32"/>
        </w:rPr>
      </w:pPr>
    </w:p>
    <w:p>
      <w:pPr>
        <w:rPr>
          <w:rFonts w:hint="eastAsia" w:ascii="宋体" w:hAnsi="宋体" w:eastAsia="宋体" w:cs="宋体"/>
          <w:b w:val="0"/>
          <w:bCs w:val="0"/>
          <w:lang w:eastAsia="zh-CN"/>
        </w:rPr>
      </w:pPr>
      <w:r>
        <w:rPr>
          <w:rFonts w:hint="eastAsia" w:ascii="宋体" w:hAnsi="宋体" w:eastAsia="宋体" w:cs="宋体"/>
          <w:b w:val="0"/>
          <w:bCs w:val="0"/>
          <w:lang w:eastAsia="zh-CN"/>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49" w:name="_Toc15856"/>
      <w:r>
        <w:rPr>
          <w:rFonts w:hint="eastAsia" w:ascii="宋体" w:hAnsi="宋体" w:eastAsia="宋体" w:cs="宋体"/>
          <w:sz w:val="44"/>
          <w:szCs w:val="44"/>
        </w:rPr>
        <w:t>畜禽规模养殖污染防治条例</w:t>
      </w:r>
      <w:bookmarkEnd w:id="249"/>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both"/>
        <w:textAlignment w:val="auto"/>
        <w:rPr>
          <w:rFonts w:hint="eastAsia" w:ascii="楷体" w:hAnsi="楷体" w:eastAsia="楷体" w:cs="楷体"/>
          <w:sz w:val="32"/>
          <w:szCs w:val="32"/>
        </w:rPr>
      </w:pPr>
      <w:r>
        <w:rPr>
          <w:rFonts w:hint="eastAsia" w:ascii="楷体" w:hAnsi="楷体" w:eastAsia="楷体" w:cs="楷体"/>
          <w:sz w:val="32"/>
          <w:szCs w:val="32"/>
        </w:rPr>
        <w:t>（2013年10月8日国务院第26次常务会议通过 2013年11月11日中华人民共和国国务院令第643号公布 自2014年1月1日起施行）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为了防治畜禽养殖污染，推进畜禽养殖废弃物的综合利用和无害化处理，保护和改善环境，保障公众身体健康，促进畜牧业持续健康发展，制定本条例。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本条例适用于畜禽养殖场、养殖小区的养殖污染防治。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畜禽养殖场、养殖小区的规模标准根据畜牧业发展状况和畜禽养殖污染防治要求确定。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牧区放牧养殖污染防治，不适用本条例。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畜禽养殖污染防治，应当统筹考虑保护环境与促进畜牧业发展的需要，坚持预防为主、防治结合的原则，实行统筹规划、合理布局、综合利用、激励引导。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各级人民政府应当加强对畜禽养殖污染防治工作的组织领导，采取有效措施，加大资金投入，扶持畜禽养殖污染防治以及畜禽养殖废弃物综合利用。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县级以上人民政府环境保护主管部门负责畜禽养殖污染防治的统一监督管理。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县级以上人民政府农牧主管部门负责畜禽养殖废弃物综合利用的指导和服务。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县级以上人民政府循环经济发展综合管理部门负责畜禽养殖循环经济工作的组织协调。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县级以上人民政府其他有关部门依照本条例规定和各自职责，负责畜禽养殖污染防治相关工作。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乡镇人民政府应当协助有关部门做好本行政区域的畜禽养殖污染防治工作。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从事畜禽养殖以及畜禽养殖废弃物综合利用和无害化处理活动，应当符合国家有关畜禽养殖污染防治的要求，并依法接受有关主管部门的监督检查。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国家鼓励和支持畜禽养殖污染防治以及畜禽养殖废弃物综合利用和无害化处理的科学技术研究和装备研发。各级人民政府应当支持先进适用技术的推广，促进畜禽养殖污染防治水平的提高。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任何单位和个人对违反本条例规定的行为，有权向县级以上人民政府环境保护等有关部门举报。接到举报的部门应当及时调查处理。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对在畜禽养殖污染防治中作出突出贡献的单位和个人，按照国家有关规定给予表彰和奖励。</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预防</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县级以上人民政府农牧主管部门编制畜牧业发展规划，报本级人民政府或者其授权的部门批准实施。畜牧业发展规划应当统筹考虑环境承载能力以及畜禽养殖污染防治要求，合理布局，科学确定畜禽养殖的品种、规模、总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县级以上人民政府环境保护主管部门会同农牧主管部门编制畜禽养殖污染防治规划，报本级人民政府或者其授权的部门批准实施。畜禽养殖污染防治规划应当与畜牧业发展规划相衔接，统筹考虑畜禽养殖生产布局，明确畜禽养殖污染防治目标、任务、重点区域，明确污染治理重点设施建设，以及废弃物综合利用等污染防治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禁止在下列区域内建设畜禽养殖场、养殖小区：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（一）饮用水水源保护区，风景名胜区；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（二）自然保护区的核心区和缓冲区；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（三）城镇居民区、文化教育科学研究区等人口集中区域；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（四）法律、法规规定的其他禁止养殖区域。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新建、改建、扩建畜禽养殖场、养殖小区，应当符合畜牧业发展规划、畜禽养殖污染防治规划，满足动物防疫条件，并进行环境影响评价。对环境可能造成重大影响的大型畜禽养殖场、养殖小区，应当编制环境影响报告书；其他畜禽养殖场、养殖小区应当填报环境影响登记表。大型畜禽养殖场、养殖小区的管理目录，由国务院环境保护主管部门商国务院农牧主管部门确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环境影响评价的重点应当包括：畜禽养殖产生的废弃物种类和数量，废弃物综合利用和无害化处理方案和措施，废弃物的消纳和处理情况以及向环境直接排放的情况，最终可能对水体、土壤等环境和人体健康产生的影响以及控制和减少影响的方案和措施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未建设污染防治配套设施、自行建设的配套设施不合格，或者未委托他人对畜禽养殖废弃物进行综合利用和无害化处理的，畜禽养殖场、养殖小区不得投入生产或者使用。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畜禽养殖场、养殖小区自行建设污染防治配套设施的，应当确保其正常运行。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从事畜禽养殖活动，应当采取科学的饲养方式和废弃物处理工艺等有效措施，减少畜禽养殖废弃物的产生量和向环境的排放量。</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综合利用与治理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国家鼓励和支持采取粪肥还田、制取沼气、制造有机肥等方法，对畜禽养殖废弃物进行综合利用。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国家鼓励和支持采取种植和养殖相结合的方式消纳利用畜禽养殖废弃物，促进畜禽粪便、污水等废弃物就地就近利用。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国家鼓励和支持沼气制取、有机肥生产等废弃物综合利用以及沼渣沼液输送和施用、沼气发电等相关配套设施建设。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将畜禽粪便、污水、沼渣、沼液等用作肥料的，应当与土地的消纳能力相适应，并采取有效措施，消除可能引起传染病的微生物，防止污染环境和传播疫病。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从事畜禽养殖活动和畜禽养殖废弃物处理活动，应当及时对畜禽粪便、畜禽尸体、污水等进行收集、贮存、清运，防止恶臭和畜禽养殖废弃物渗出、泄漏。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向环境排放经过处理的畜禽养殖废弃物，应当符合国家和地方规定的污染物排放标准和总量控制指标。畜禽养殖废弃物未经处理，不得直接向环境排放。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染疫畜禽以及染疫畜禽排泄物、染疫畜禽产品、病死或者死因不明的畜禽尸体等病害畜禽养殖废弃物，应当按照有关法律、法规和国务院农牧主管部门的规定，进行深埋、化制、焚烧等无害化处理，不得随意处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畜禽养殖场、养殖小区应当定期将畜禽养殖品种、规模以及畜禽养殖废弃物的产生、排放和综合利用等情况，报县级人民政府环境保护主管部门备案。环境保护主管部门应当定期将备案情况抄送同级农牧主管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县级以上人民政府环境保护主管部门应当依据职责对畜禽养殖污染防治情况进行监督检查，并加强对畜禽养殖环境污染的监测。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乡镇人民政府、基层群众自治组织发现畜禽养殖环境污染行为的，应当及时制止和报告。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对污染严重的畜禽养殖密集区域，市、县人民政府应当制定综合整治方案，采取组织建设畜禽养殖废弃物综合利用和无害化处理设施、有计划搬迁或者关闭畜禽养殖场所等措施，对畜禽养殖污染进行治理。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因畜牧业发展规划、土地利用总体规划、城乡规划调整以及划定禁止养殖区域，或者因对污染严重的畜禽养殖密集区域进行综合整治，确需关闭或者搬迁现有畜禽养殖场所，致使畜禽养殖者遭受经济损失的，由县级以上地方人民政府依法予以补偿。</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激励措施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县级以上人民政府应当采取示范奖励等措施，扶持规模化、标准化畜禽养殖，支持畜禽养殖场、养殖小区进行标准化改造和污染防治设施建设与改造，鼓励分散饲养向集约饲养方式转变。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县级以上地方人民政府在组织编制土地利用总体规划过程中，应当统筹安排，将规模化畜禽养殖用地纳入规划，落实养殖用地。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国家鼓励利用废弃地和荒山、荒沟、荒丘、荒滩等未利用地开展规模化、标准化畜禽养殖。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畜禽养殖用地按农用地管理，并按照国家有关规定确定生产设施用地和必要的污染防治等附属设施用地。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建设和改造畜禽养殖污染防治设施，可以按照国家规定申请包括污染治理贷款贴息补助在内的环境保护等相关资金支持。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进行畜禽养殖污染防治，从事利用畜禽养殖废弃物进行有机肥产品生产经营等畜禽养殖废弃物综合利用活动的，享受国家规定的相关税收优惠政策。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利用畜禽养殖废弃物生产有机肥产品的，享受国家关于化肥运力安排等支持政策；购买使用有机肥产品的，享受不低于国家关于化肥的使用补贴等优惠政策。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畜禽养殖场、养殖小区的畜禽养殖污染防治设施运行用电执行农业用电价格。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国家鼓励和支持利用畜禽养殖废弃物进行沼气发电，自发自用、多余电量接入电网。电网企业应当依照法律和国家有关规定为沼气发电提供无歧视的电网接入服务，并全额收购其电网覆盖范围内符合并网技术标准的多余电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利用畜禽养殖废弃物进行沼气发电的，依法享受国家规定的上网电价优惠政策。利用畜禽养殖废弃物制取沼气或进而制取天然气的，依法享受新能源优惠政策。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地方各级人民政府可以根据本地区实际，对畜禽养殖场、养殖小区支出的建设项目环境影响咨询费用给予补助。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国家鼓励和支持对染疫畜禽、病死或者死因不明畜禽尸体进行集中无害化处理，并按照国家有关规定对处理费用、养殖损失给予适当补助。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畜禽养殖场、养殖小区排放污染物符合国家和地方规定的污染物排放标准和总量控制指标，自愿与环境保护主管部门签订进一步削减污染物排放量协议的，由县级人民政府按照国家有关规定给予奖励，并优先列入县级以上人民政府安排的环境保护和畜禽养殖发展相关财政资金扶持范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畜禽养殖户自愿建设综合利用和无害化处理设施、采取措施减少污染物排放的，可以依照本条例规定享受相关激励和扶持政策。</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各级人民政府环境保护主管部门、农牧主管部门以及其他有关部门未依照本条例规定履行职责的，对直接负责的主管人员和其他直接责任人员依法给予处分；直接负责的主管人员和其他直接责任人员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第三十七条</w:t>
      </w:r>
      <w:r>
        <w:rPr>
          <w:rFonts w:hint="eastAsia" w:ascii="仿宋" w:hAnsi="仿宋" w:eastAsia="仿宋" w:cs="仿宋"/>
          <w:sz w:val="32"/>
          <w:szCs w:val="32"/>
        </w:rPr>
        <w:t xml:space="preserve"> 违反本条例规定，在禁止养殖区域内建设畜禽养殖场、养殖小区的，由县级以上地方人民政府环境保护主管部门责令停止违法行为；拒不停止违法行为的，处3万元以上10万元以下的罚款，并报县级以上人民政府责令拆除或者关闭。在饮用水水源保护区建设畜禽养殖场、养殖小区的，由县级以上地方人民政府环境保护主管部门责令停止违法行为，处10万元以上50万元以下的罚款，并报经有批准权的人民政府批准，责令拆除或者关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违反本条例规定，畜禽养殖场、养殖小区依法应当进行环境影响评价而未进行的，由有权审批该项目环境影响评价文件的环境保护主管部门责令停止建设，限期补办手续；逾期不补办手续的，处5万元以上20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违反本条例规定，未建设污染防治配套设施或者自行建设的配套设施不合格，也未委托他人对畜禽养殖废弃物进行综合利用和无害化处理，畜禽养殖场、养殖小区即投入生产、使用，或者建设的污染防治配套设施未正常运行的，由县级以上人民政府环境保护主管部门责令停止生产或者使用，可以处10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第四十条</w:t>
      </w:r>
      <w:r>
        <w:rPr>
          <w:rFonts w:hint="eastAsia" w:ascii="仿宋" w:hAnsi="仿宋" w:eastAsia="仿宋" w:cs="仿宋"/>
          <w:sz w:val="32"/>
          <w:szCs w:val="32"/>
        </w:rPr>
        <w:t xml:space="preserve"> 违反本条例规定，有下列行为之一的，由县级以上地方人民政府环境保护主管部门责令停止违法行为，限期采取治理措施消除污染，依照《中华人民共和国水污染防治法》、《中华人民共和国固体废物污染环境防治法》的有关规定予以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（一）将畜禽养殖废弃物用作肥料，超出土地消纳能力，造成环境污染的；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（二）从事畜禽养殖活动或者畜禽养殖废弃物处理活动，未采取有效措施，导致畜禽养殖废弃物渗出、泄漏的。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排放畜禽养殖废弃物不符合国家或者地方规定的污染物排放标准或者总量控制指标，或者未经无害化处理直接向环境排放畜禽养殖废弃物的，由县级以上地方人民政府环境保护主管部门责令限期治理，可以处5万元以下的罚款。县级以上地方人民政府环境保护主管部门作出限期治理决定后，应当会同同级人民政府农牧等有关部门对整改措施的落实情况及时进行核查，并向社会公布核查结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未按照规定对染疫畜禽和病害畜禽养殖废弃物进行无害化处理的，由动物卫生监督机构责令无害化处理，所需处理费用由违法行为人承担，可以处3000元以下的罚款。</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第四十三条 </w:t>
      </w:r>
      <w:r>
        <w:rPr>
          <w:rFonts w:hint="eastAsia" w:ascii="仿宋" w:hAnsi="仿宋" w:eastAsia="仿宋" w:cs="仿宋"/>
          <w:sz w:val="32"/>
          <w:szCs w:val="32"/>
        </w:rPr>
        <w:t>畜禽养殖场、养殖小区的具体规模标准由省级人民政府确定，并报国务院环境保护主管部门和国务院农牧主管部门备案。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第四十四条</w:t>
      </w:r>
      <w:r>
        <w:rPr>
          <w:rFonts w:hint="eastAsia" w:ascii="仿宋" w:hAnsi="仿宋" w:eastAsia="仿宋" w:cs="仿宋"/>
          <w:sz w:val="32"/>
          <w:szCs w:val="32"/>
        </w:rPr>
        <w:t xml:space="preserve"> 本条例自2014年1月1日起施行。</w:t>
      </w:r>
    </w:p>
    <w:p>
      <w:pPr>
        <w:rPr>
          <w:rFonts w:hint="eastAsia" w:ascii="宋体" w:hAnsi="宋体" w:eastAsia="宋体" w:cs="宋体"/>
          <w:b w:val="0"/>
          <w:bCs w:val="0"/>
          <w:lang w:eastAsia="zh-CN"/>
        </w:rPr>
      </w:pPr>
    </w:p>
    <w:p>
      <w:pPr>
        <w:rPr>
          <w:rFonts w:hint="eastAsia" w:ascii="宋体" w:hAnsi="宋体" w:eastAsia="宋体" w:cs="宋体"/>
          <w:b w:val="0"/>
          <w:bCs w:val="0"/>
          <w:lang w:eastAsia="zh-CN"/>
        </w:rPr>
      </w:pPr>
      <w:r>
        <w:rPr>
          <w:rFonts w:hint="eastAsia" w:ascii="宋体" w:hAnsi="宋体" w:eastAsia="宋体" w:cs="宋体"/>
          <w:b w:val="0"/>
          <w:bCs w:val="0"/>
          <w:lang w:eastAsia="zh-CN"/>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50" w:name="_Toc17846"/>
      <w:r>
        <w:rPr>
          <w:rFonts w:hint="eastAsia" w:ascii="宋体" w:hAnsi="宋体" w:eastAsia="宋体" w:cs="宋体"/>
          <w:sz w:val="44"/>
          <w:szCs w:val="44"/>
        </w:rPr>
        <w:t>生猪屠宰管理条例</w:t>
      </w:r>
      <w:bookmarkEnd w:id="250"/>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rPr>
      </w:pPr>
      <w:r>
        <w:rPr>
          <w:rFonts w:hint="eastAsia" w:ascii="楷体" w:hAnsi="楷体" w:eastAsia="楷体" w:cs="楷体"/>
          <w:sz w:val="32"/>
          <w:szCs w:val="32"/>
        </w:rPr>
        <w:t>（1997年12月19日中华人民共和国国务院令第238号公布　2007年12月19日国务院第201次常务会议修订通过　根据2011年1月8日《国务院关于废止和修改部分行政法规的决定》第一次修订　根据2016年2月6日《国务院关于修改部分行政法规的决定》第二次修订）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为了加强生猪屠宰管理，保证生猪产品质量安全，保障人民身体健康，制定本条例。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国家实行生猪定点屠宰、集中检疫制度。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未经定点，任何单位和个人不得从事生猪屠宰活动。但是，农村地区个人自宰自食的除外。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在边远和交通不便的农村地区，可以设置仅限于向本地市场供应生猪产品的小型生猪屠宰场点，具体管理办法由省、自治区、直辖市制定。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国务院畜牧兽医行政主管部门负责全国生猪屠宰的行业管理工作。县级以上地方人民政府畜牧兽医行政主管部门负责本行政区域内生猪屠宰活动的监督管理。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县级以上人民政府有关部门在各自职责范围内负责生猪屠宰活动的相关管理工作。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国家根据生猪定点屠宰厂（场）的规模、生产和技术条件以及质量安全管理状况，推行生猪定点屠宰厂（场）分级管理制度，鼓励、引导、扶持生猪定点屠宰厂（场）改善生产和技术条件，加强质量安全管理，提高生猪产品质量安全水平。生猪定点屠宰厂（场）分级管理的具体办法由国务院畜牧兽医行政主管部门制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生猪定点屠宰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生猪定点屠宰厂（场）的设置规划（以下简称设置规划），由省、自治区、直辖市人民政府畜牧兽医行政主管部门会同环境保护主管部门以及其他有关部门，按照合理布局、适当集中、有利流通、方便群众的原则，结合本地实际情况制订，报本级人民政府批准后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第六条 </w:t>
      </w:r>
      <w:r>
        <w:rPr>
          <w:rFonts w:hint="eastAsia" w:ascii="仿宋" w:hAnsi="仿宋" w:eastAsia="仿宋" w:cs="仿宋"/>
          <w:sz w:val="32"/>
          <w:szCs w:val="32"/>
        </w:rPr>
        <w:t>生猪定点屠宰厂（场）由设区的市级人民政府根据设置规划，组织畜牧兽医行政主管部门、环境保护主管部门以及其他有关部门，依照本条例规定的条件进行审查，经征求省、自治区、直辖市人民政府畜牧兽医行政主管部门的意见确定，并颁发生猪定点屠宰证书和生猪定点屠宰标志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设区的市级人民政府应当将其确定的生猪定点屠宰厂（场）名单及时向社会公布，并报省、自治区、直辖市人民政府备案。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生猪定点屠宰厂（场）应当将生猪定点屠宰标志牌悬挂于厂（场）区的显著位置。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生猪定点屠宰证书和生猪定点屠宰标志牌不得出借、转让。任何单位和个人不得冒用或者使用伪造的生猪定点屠宰证书和生猪定点屠宰标志牌。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生猪定点屠宰厂（场）应当具备下列条件：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（一）有与屠宰规模相适应、水质符合国家规定标准的水源条件；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（二）有符合国家规定要求的待宰间、屠宰间、急宰间以及生猪屠宰设备和运载工具；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（三）有依法取得健康证明的屠宰技术人员；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（四）有经考核合格的肉品品质检验人员；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（五）有符合国家规定要求的检验设备、消毒设施以及符合环境保护要求的污染防治设施；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（六）有病害生猪及生猪产品无害化处理设施；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（七）依法取得动物防疫条件合格证。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生猪屠宰的检疫及其监督，依照动物防疫法和国务院的有关规定执行。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生猪屠宰的卫生检验及其监督，依照食品安全法的规定执行。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生猪定点屠宰厂（场）屠宰的生猪，应当依法经动物卫生监督机构检疫合格，并附有检疫证明。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生猪定点屠宰厂（场）屠宰生猪，应当符合国家规定的操作规程和技术要求。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生猪定点屠宰厂（场）应当如实记录其屠宰的生猪来源和生猪产品流向。生猪来源和生猪产品流向记录保存期限不得少于2年。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第十三条 </w:t>
      </w:r>
      <w:r>
        <w:rPr>
          <w:rFonts w:hint="eastAsia" w:ascii="仿宋" w:hAnsi="仿宋" w:eastAsia="仿宋" w:cs="仿宋"/>
          <w:sz w:val="32"/>
          <w:szCs w:val="32"/>
        </w:rPr>
        <w:t>生猪定点屠宰厂（场）应当建立严格的肉品品质检验管理制度。肉品品质检验应当与生猪屠宰同步进行，并如实记录检验结果。检验结果记录保存期限不得少于2年。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经肉品品质检验合格的生猪产品，生猪定点屠宰厂（场）应当加盖肉品品质检验合格验讫印章或者附具肉品品质检验合格标志。经肉品品质检验不合格的生猪产品，应当在肉品品质检验人员的监督下，按照国家有关规定处理，并如实记录处理情况；处理情况记录保存期限不得少于2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生猪定点屠宰厂（场）的生猪产品未经肉品品质检验或者经肉品品质检验不合格的，不得出厂（场）。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生猪定点屠宰厂（场）对病害生猪及生猪产品进行无害化处理的费用和损失，按照国务院财政部门的规定，由国家财政予以适当补助。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生猪定点屠宰厂（场）以及其他任何单位和个人不得对生猪或者生猪产品注水或者注入其他物质。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生猪定点屠宰厂（场）不得屠宰注水或者注入其他物质的生猪。</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生猪定点屠宰厂（场）对未能及时销售或者及时出厂（场）的生猪产品，应当采取冷冻或者冷藏等必要措施予以储存。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任何单位和个人不得为未经定点违法从事生猪屠宰活动的单位或者个人提供生猪屠宰场所或者生猪产品储存设施，不得为对生猪或者生猪产品注水或者注入其他物质的单位或者个人提供场所。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从事生猪产品销售、肉食品生产加工的单位和个人以及餐饮服务经营者、集体伙食单位销售、使用的生猪产品，应当是生猪定点屠宰厂（场）经检疫和肉品品质检验合格的生猪产品。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地方人民政府及其有关部门不得限制外地生猪定点屠宰厂（场）经检疫和肉品品质检验合格的生猪产品进入本地市场。</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县级以上地方人民政府应当加强对生猪屠宰监督管理工作的领导，及时协调、解决生猪屠宰监督管理工作中的重大问题。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畜牧兽医行政主管部门应当依照本条例的规定严格履行职责，加强对生猪屠宰活动的日常监督检查。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畜牧兽医行政主管部门依法进行监督检查，可以采取下列措施：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（一）进入生猪屠宰等有关场所实施现场检查；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（二）向有关单位和个人了解情况；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（三）查阅、复制有关记录、票据以及其他资料；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（四）查封与违法生猪屠宰活动有关的场所、设施，扣押与违法生猪屠宰活动有关的生猪、生猪产品以及屠宰工具和设备。</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畜牧兽医行政主管部门进行监督检查时，监督检查人员不得少于2人，并应当出示执法证件。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对畜牧兽医行政主管部门依法进行的监督检查，有关单位和个人应当予以配合，不得拒绝、阻挠。</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畜牧兽医行政主管部门应当建立举报制度，公布举报电话、信箱或者电子邮箱，受理对违反本条例规定行为的举报，并及时依法处理。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第二十三条 </w:t>
      </w:r>
      <w:r>
        <w:rPr>
          <w:rFonts w:hint="eastAsia" w:ascii="仿宋" w:hAnsi="仿宋" w:eastAsia="仿宋" w:cs="仿宋"/>
          <w:sz w:val="32"/>
          <w:szCs w:val="32"/>
        </w:rPr>
        <w:t>畜牧兽医行政主管部门在监督检查中发现生猪定点屠宰厂（场）不再具备本条例规定条件的，应当责令其限期整改；逾期仍达不到本条例规定条件的，由设区的市级人民政府取消其生猪定点屠宰厂（场）资格。</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违反本条例规定，未经定点从事生猪屠宰活动的，由畜牧兽医行政主管部门予以取缔，没收生猪、生猪产品、屠宰工具和设备以及违法所得，并处货值金额3倍以上5倍以下的罚款；货值金额难以确定的，对单位并处10万元以上20万元以下的罚款，对个人并处5000元以上1万元以下的罚款；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冒用或者使用伪造的生猪定点屠宰证书或者生猪定点屠宰标志牌的，依照前款的规定处罚。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生猪定点屠宰厂（场）出借、转让生猪定点屠宰证书或者生猪定点屠宰标志牌的，由设区的市级人民政府取消其生猪定点屠宰厂（场）资格；有违法所得的，由畜牧兽医行政主管部门没收违法所得。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生猪定点屠宰厂（场）有下列情形之一的，由畜牧兽医行政主管部门责令限期改正，处2万元以上5万元以下的罚款；逾期不改正的，责令停业整顿，对其主要负责人处5000元以上1万元以下的罚款：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（一）屠宰生猪不符合国家规定的操作规程和技术要求的；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（二）未如实记录其屠宰的生猪来源和生猪产品流向的；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（三）未建立或者实施肉品品质检验制度的；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（四）对经肉品品质检验不合格的生猪产品未按照国家有关规定处理并如实记录处理情况的。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生猪定点屠宰厂（场）出厂（场）未经肉品品质检验或者经肉品品质检验不合格的生猪产品的，由畜牧兽医行政主管部门责令停业整顿，没收生猪产品和违法所得，并处货值金额1倍以上3倍以下的罚款，对其主要负责人处1万元以上2万元以下的罚款；货值金额难以确定的，并处5万元以上10万元以下的罚款；造成严重后果的，由设区的市级人民政府取消其生猪定点屠宰厂（场）资格；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生猪定点屠宰厂（场）、其他单位或者个人对生猪、生猪产品注水或者注入其他物质的，由畜牧兽医行政主管部门没收注水或者注入其他物质的生猪、生猪产品、注水工具和设备以及违法所得，并处货值金额3倍以上5倍以下的罚款，对生猪定点屠宰厂（场）或者其他单位的主要负责人处1万元以上2万元以下的罚款；货值金额难以确定的，对生猪定点屠宰厂（场）或者其他单位并处5万元以上10万元以下的罚款，对个人并处1万元以上2万元以下的罚款；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厂（场）对生猪、生猪产品注水或者注入其他物质的，除依照前款的规定处罚外，还应当由畜牧兽医行政主管部门责令停业整顿；造成严重后果，或者两次以上对生猪、生猪产品注水或者注入其他物质的，由设区的市级人民政府取消其生猪定点屠宰厂（场）资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生猪定点屠宰厂（场）屠宰注水或者注入其他物质的生猪的，由畜牧兽医行政主管部门责令改正，没收注水或者注入其他物质的生猪、生猪产品以及违法所得，并处货值金额1倍以上3倍以下的罚款，对其主要负责人处1万元以上2万元以下的罚款；货值金额难以确定的，并处2万元以上5万元以下的罚款；拒不改正的，责令停业整顿；造成严重后果的，由设区的市级人民政府取消其生猪定点屠宰厂（场）资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从事生猪产品销售、肉食品生产加工的单位和个人以及餐饮服务经营者、集体伙食单位，销售、使用非生猪定点屠宰厂（场）屠宰的生猪产品、未经肉品品质检验或者经肉品品质检验不合格的生猪产品以及注水或者注入其他物质的生猪产品的，由食品药品监督管理部门没收尚未销售、使用的相关生猪产品以及违法所得，并处货值金额3倍以上5倍以下的罚款；货值金额难以确定的，对单位处5万元以上10万元以下的罚款，对个人处1万元以上2万元以下的罚款；情节严重的，由发证（照）机关吊销有关证照；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为未经定点违法从事生猪屠宰活动的单位或者个人提供生猪屠宰场所或者生猪产品储存设施，或者为对生猪、生猪产品注水或者注入其他物质的单位或者个人提供场所的，由畜牧兽医行政主管部门责令改正，没收违法所得，对单位并处2万元以上5万元以下的罚款，对个人并处5000元以上1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畜牧兽医行政主管部门和其他有关部门的工作人员在生猪屠宰监督管理工作中滥用职权、玩忽职守、徇私舞弊，构成犯罪的，依法追究刑事责任；尚不构成犯罪的，依法给予处分。</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省、自治区、直辖市人民政府确定实行定点屠宰的其他动物的屠宰管理办法，由省、自治区、直辖市根据本地区的实际情况，参照本条例制定。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本条例所称生猪产品，是指生猪屠宰后未经加工的胴体、肉、脂、脏器、血液、骨、头、蹄、皮。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本条例施行前设立的生猪定点屠宰厂（场），自本条例施行之日起180日内，由设区的市级人民政府换发生猪定点屠宰标志牌，并发给生猪定点屠宰证书。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生猪定点屠宰证书、生猪定点屠宰标志牌以及肉品品质检验合格验讫印章和肉品品质检验合格标志的式样，由国务院畜牧兽医行政主管部门统一规定。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本条例自2008年8月1日起施行。</w:t>
      </w:r>
    </w:p>
    <w:p>
      <w:pPr>
        <w:rPr>
          <w:rFonts w:hint="eastAsia" w:ascii="宋体" w:hAnsi="宋体" w:eastAsia="宋体" w:cs="宋体"/>
          <w:b w:val="0"/>
          <w:bCs w:val="0"/>
          <w:lang w:eastAsia="zh-CN"/>
        </w:rPr>
      </w:pPr>
      <w:r>
        <w:rPr>
          <w:rFonts w:hint="eastAsia" w:ascii="宋体" w:hAnsi="宋体" w:eastAsia="宋体" w:cs="宋体"/>
          <w:b w:val="0"/>
          <w:bCs w:val="0"/>
          <w:lang w:eastAsia="zh-CN"/>
        </w:rPr>
        <w:br w:type="page"/>
      </w:r>
    </w:p>
    <w:p>
      <w:pPr>
        <w:pStyle w:val="4"/>
        <w:widowControl w:val="0"/>
        <w:wordWrap/>
        <w:adjustRightInd/>
        <w:snapToGrid/>
        <w:spacing w:before="0" w:after="0" w:line="560" w:lineRule="exact"/>
        <w:jc w:val="center"/>
        <w:textAlignment w:val="auto"/>
        <w:outlineLvl w:val="0"/>
        <w:rPr>
          <w:rFonts w:hint="eastAsia" w:ascii="Times New Roman" w:hAnsi="Times New Roman"/>
          <w:lang w:eastAsia="zh-CN"/>
        </w:rPr>
      </w:pPr>
      <w:bookmarkStart w:id="251" w:name="_Toc17555"/>
      <w:r>
        <w:rPr>
          <w:rFonts w:hint="eastAsia" w:ascii="宋体" w:hAnsi="宋体" w:eastAsia="宋体" w:cs="宋体"/>
          <w:b w:val="0"/>
          <w:bCs w:val="0"/>
          <w:lang w:eastAsia="zh-CN"/>
        </w:rPr>
        <w:t>病原微生物实验室生物安全管理条例</w:t>
      </w:r>
      <w:bookmarkEnd w:id="240"/>
      <w:bookmarkEnd w:id="241"/>
      <w:bookmarkEnd w:id="242"/>
      <w:bookmarkEnd w:id="243"/>
      <w:bookmarkEnd w:id="244"/>
      <w:bookmarkEnd w:id="245"/>
      <w:bookmarkEnd w:id="246"/>
      <w:bookmarkEnd w:id="247"/>
      <w:bookmarkEnd w:id="248"/>
      <w:bookmarkEnd w:id="251"/>
    </w:p>
    <w:p>
      <w:pPr>
        <w:widowControl w:val="0"/>
        <w:wordWrap/>
        <w:adjustRightInd/>
        <w:snapToGrid/>
        <w:spacing w:line="560" w:lineRule="exact"/>
        <w:jc w:val="center"/>
        <w:textAlignment w:val="auto"/>
        <w:rPr>
          <w:rFonts w:hint="eastAsia"/>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lang w:eastAsia="zh-CN"/>
        </w:rPr>
        <w:t>（</w:t>
      </w:r>
      <w:r>
        <w:rPr>
          <w:rFonts w:hint="eastAsia" w:ascii="楷体" w:hAnsi="楷体" w:eastAsia="楷体" w:cs="楷体"/>
          <w:szCs w:val="32"/>
        </w:rPr>
        <w:t>2004年11月</w:t>
      </w:r>
      <w:r>
        <w:rPr>
          <w:rFonts w:hint="eastAsia" w:ascii="楷体" w:hAnsi="楷体" w:eastAsia="楷体" w:cs="楷体"/>
          <w:szCs w:val="32"/>
          <w:lang w:val="en-US" w:eastAsia="zh-CN"/>
        </w:rPr>
        <w:t>12</w:t>
      </w:r>
      <w:r>
        <w:rPr>
          <w:rFonts w:hint="eastAsia" w:ascii="楷体" w:hAnsi="楷体" w:eastAsia="楷体" w:cs="楷体"/>
          <w:szCs w:val="32"/>
        </w:rPr>
        <w:t>日国务院</w:t>
      </w:r>
      <w:r>
        <w:rPr>
          <w:rFonts w:hint="eastAsia" w:ascii="楷体" w:hAnsi="楷体" w:eastAsia="楷体" w:cs="楷体"/>
          <w:szCs w:val="32"/>
          <w:lang w:eastAsia="zh-CN"/>
        </w:rPr>
        <w:t>令</w:t>
      </w:r>
      <w:r>
        <w:rPr>
          <w:rFonts w:hint="eastAsia" w:ascii="楷体" w:hAnsi="楷体" w:eastAsia="楷体" w:cs="楷体"/>
          <w:szCs w:val="32"/>
        </w:rPr>
        <w:t>第424号</w:t>
      </w:r>
      <w:r>
        <w:rPr>
          <w:rFonts w:hint="eastAsia" w:ascii="楷体" w:hAnsi="楷体" w:eastAsia="楷体" w:cs="楷体"/>
          <w:szCs w:val="32"/>
          <w:lang w:eastAsia="zh-CN"/>
        </w:rPr>
        <w:t>公布</w:t>
      </w:r>
      <w:r>
        <w:rPr>
          <w:rFonts w:hint="eastAsia" w:ascii="楷体" w:hAnsi="楷体" w:eastAsia="楷体" w:cs="楷体"/>
          <w:szCs w:val="32"/>
          <w:lang w:val="en-US" w:eastAsia="zh-CN"/>
        </w:rPr>
        <w:t xml:space="preserve"> 根据2016年2月6日《国务院关于修改部分行政法规的决定》第一次修正　根据2018年3月19日《国务院关于修改和废止部分行政法规的决定》第二次修正</w:t>
      </w:r>
      <w:r>
        <w:rPr>
          <w:rFonts w:hint="eastAsia" w:ascii="楷体" w:hAnsi="楷体" w:eastAsia="楷体" w:cs="楷体"/>
          <w:szCs w:val="32"/>
          <w:lang w:eastAsia="zh-CN"/>
        </w:rPr>
        <w:t>）</w:t>
      </w:r>
    </w:p>
    <w:p>
      <w:pPr>
        <w:widowControl w:val="0"/>
        <w:wordWrap/>
        <w:adjustRightInd/>
        <w:snapToGrid/>
        <w:spacing w:line="560" w:lineRule="exact"/>
        <w:jc w:val="right"/>
        <w:textAlignment w:val="auto"/>
        <w:rPr>
          <w:rFonts w:hint="eastAsia"/>
        </w:rPr>
      </w:pPr>
    </w:p>
    <w:p>
      <w:pPr>
        <w:widowControl w:val="0"/>
        <w:wordWrap/>
        <w:adjustRightInd/>
        <w:snapToGrid/>
        <w:spacing w:line="560" w:lineRule="exact"/>
        <w:ind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第一章 总 则</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第一条</w:t>
      </w:r>
      <w:r>
        <w:rPr>
          <w:rFonts w:hint="eastAsia" w:ascii="仿宋_GB2312" w:hAnsi="仿宋_GB2312" w:eastAsia="仿宋_GB2312" w:cs="仿宋_GB2312"/>
          <w:sz w:val="32"/>
          <w:szCs w:val="32"/>
        </w:rPr>
        <w:t>　为了加强病原微生物实验室（以下称实验室）生物安全管理，保护实验室工作人员和公众的健康，制定本条例。</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第二条</w:t>
      </w:r>
      <w:r>
        <w:rPr>
          <w:rFonts w:hint="eastAsia" w:ascii="仿宋_GB2312" w:hAnsi="仿宋_GB2312" w:eastAsia="仿宋_GB2312" w:cs="仿宋_GB2312"/>
          <w:sz w:val="32"/>
          <w:szCs w:val="32"/>
        </w:rPr>
        <w:t>　对中华人民共和国境内的实验室及其从事实验活动的生物安全管理，适用本条例。</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本条例所称病原微生物，是指能够使人或者动物致病的微生物。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本条例所称实验活动，是指实验室从事与病原微生物菌（毒）种、样本有关的研究、教学、检测、诊断等活动。</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第三条</w:t>
      </w:r>
      <w:r>
        <w:rPr>
          <w:rFonts w:hint="eastAsia" w:ascii="仿宋_GB2312" w:hAnsi="仿宋_GB2312" w:eastAsia="仿宋_GB2312" w:cs="仿宋_GB2312"/>
          <w:sz w:val="32"/>
          <w:szCs w:val="32"/>
        </w:rPr>
        <w:t>　国务院卫生主管部门主管与人体健康有关的实验室及其实验活动的生物安全监督工作。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国务院兽医主管部门主管与动物有关的实验室及其实验活动的生物安全监督工作。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国务院其他有关部门在各自职责范围内负责实验室及其实验活动的生物安全管理工作。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县级以上地方人民政府及其有关部门在各自职责范围内负责实验室及其实验活动的生物安全管理工作。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第四条</w:t>
      </w:r>
      <w:r>
        <w:rPr>
          <w:rFonts w:hint="eastAsia" w:ascii="仿宋_GB2312" w:hAnsi="仿宋_GB2312" w:eastAsia="仿宋_GB2312" w:cs="仿宋_GB2312"/>
          <w:sz w:val="32"/>
          <w:szCs w:val="32"/>
        </w:rPr>
        <w:t>　国家对病原微生物实行分类管理，对实验室实行分级管理。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国家实行统一的实验室生物安全标准。实验室应当符合国家标准和要求。</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第六条</w:t>
      </w:r>
      <w:r>
        <w:rPr>
          <w:rFonts w:hint="eastAsia" w:ascii="仿宋_GB2312" w:hAnsi="仿宋_GB2312" w:eastAsia="仿宋_GB2312" w:cs="仿宋_GB2312"/>
          <w:sz w:val="32"/>
          <w:szCs w:val="32"/>
        </w:rPr>
        <w:t>　实验室的设立单位及其主管部门负责实验室日常活动的管理，承担建立健全安全管理制度，检查、维护实验设施、设备，控制实验室感染的职责。</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第二章 病原微生物的分类和管理</w:t>
      </w:r>
    </w:p>
    <w:p>
      <w:pPr>
        <w:widowControl w:val="0"/>
        <w:wordWrap/>
        <w:adjustRightInd/>
        <w:snapToGrid/>
        <w:spacing w:line="560" w:lineRule="exact"/>
        <w:ind w:left="0" w:leftChars="0" w:right="0" w:firstLine="640" w:firstLineChars="200"/>
        <w:jc w:val="left"/>
        <w:textAlignment w:val="auto"/>
        <w:outlineLvl w:val="9"/>
        <w:rPr>
          <w:rFonts w:hint="eastAsia" w:ascii="黑体" w:hAnsi="黑体" w:eastAsia="黑体" w:cs="黑体"/>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第七条</w:t>
      </w:r>
      <w:r>
        <w:rPr>
          <w:rFonts w:hint="eastAsia" w:ascii="仿宋_GB2312" w:hAnsi="仿宋_GB2312" w:eastAsia="仿宋_GB2312" w:cs="仿宋_GB2312"/>
          <w:sz w:val="32"/>
          <w:szCs w:val="32"/>
        </w:rPr>
        <w:t>　国家根据病原微生物的传染性、感染后对个体或者群体的危害程度，将病原微生物分为四类：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第一类病原微生物，是指能够引起人类或者动物非常严重疾病的微生物，以及我国尚未发现或者已经宣布消灭的微生物。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第二类病原微生物，是指能够引起人类或者动物严重疾病，比较容易直接或者间接在人与人、动物与人、动物与动物间传播的微生物。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第三类病原微生物，是指能够引起人类或者动物疾病，但一般情况下对人、动物或者环境不构成严重危害，传播风险有限，实验室感染后很少引起严重疾病，并且具备有效治疗和预防措施的微生物。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第四类病原微生物，是指在通常情况下不会引起人类或者动物疾病的微生物。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第一类、第二类病原微生物统称为高致病性病原微生物。 </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第八条</w:t>
      </w:r>
      <w:r>
        <w:rPr>
          <w:rFonts w:hint="eastAsia" w:ascii="仿宋_GB2312" w:hAnsi="仿宋_GB2312" w:eastAsia="仿宋_GB2312" w:cs="仿宋_GB2312"/>
          <w:sz w:val="32"/>
          <w:szCs w:val="32"/>
        </w:rPr>
        <w:t>　人间传染的病原微生物名录由国务院卫生主管部门商国务院有关部门后制定、调整并予以公布；动物间传染的病原微生物名录由国务院兽医主管部门商国务院有关部门后制定、调整并予以公布。 </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采集病原微生物样本应当具备下列条件：</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（一）具有与采集病原微生物样本所需要的生物安全防护水平相适应的设备；</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（二）具有掌握相关专业知识和操作技能的工作人员；</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（三）具有有效的防止病原微生物扩散和感染的措施；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（四）具有保证病原微生物样本质量的技术方法和手段。</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采集高致病性病原微生物样本的工作人员在采集过程中应当防止病原微生物扩散和感染，并对样本的来源、采集过程和方法等作详细记录。</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第十条　运输高致病性病原微生物菌（毒）种或者样本，应当通过陆路运输；没有陆路通道，必须经水路运输的，可以通过水路运输；紧急情况下或者需要将高致病性病原微生物菌（毒）种或者样本运往国外的，可以通过民用航空运输。</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第十一条　运输高致病性病原微生物菌（毒）种或者样本，应当具备下列条件：</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（一）运输目的、高致病性病原微生物的用途和接收单位符合国务院卫生主管部门或者兽医主管部门的规定；</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（二）高致病性病原微生物菌（毒）种或者样本的容器应当密封，容器或者包装材料还应当符合防水、防破损、防外泄、耐高（低）温、耐高压的要求；</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（三）容器或者包装材料上应当印有国务院卫生主管部门或者兽医主管部门规定的生物危险标识、警告用语和提示用语。</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输高致病性病原微生物菌（毒）种或者样本，应当经省级以上人民政府卫生主管部门或者兽医主管部门批准。在省、自治区、直辖市行政区域内运输的，由省、自治区、直辖市人民政府卫生主管部门或者兽医主管部门批准；需要跨省、自治区、直辖市运输或者运往国外的，由出发地的省、自治区、直辖市人民政府卫生主管部门或者兽医主管部门进行初审后，分别报国务院卫生主管部门或者兽医主管部门批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出入境检验检疫机构在检验检疫过程中需要运输病原微生物样本的，由国务院出入境检验检疫部门批准，并同时向国务院卫生主管部门或者兽医主管部门通报。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通过民用航空运输高致病性病原微生物菌（毒）种或者样本的，除依照本条第二款、第三款规定取得批准外，还应当经国务院民用航空主管部门批准。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有关主管部门应当对申请人提交的关于运输高致病性病原微生物菌（毒）种或者样本的申请材料进行审查，对符合本条第一款规定条件的，应当即时批准。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第十二条</w:t>
      </w:r>
      <w:r>
        <w:rPr>
          <w:rFonts w:hint="eastAsia" w:ascii="仿宋_GB2312" w:hAnsi="仿宋_GB2312" w:eastAsia="仿宋_GB2312" w:cs="仿宋_GB2312"/>
          <w:sz w:val="32"/>
          <w:szCs w:val="32"/>
        </w:rPr>
        <w:t>　运输高致病性病原微生物菌（毒）种或者样本，应当由不少于2人的专人护送，并采取相应的防护措施。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有关单位或者个人不得通过公共电（汽）车和城市铁路运输病原微生物菌（毒）种或者样本。</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第十三条</w:t>
      </w:r>
      <w:r>
        <w:rPr>
          <w:rFonts w:hint="eastAsia" w:ascii="仿宋_GB2312" w:hAnsi="仿宋_GB2312" w:eastAsia="仿宋_GB2312" w:cs="仿宋_GB2312"/>
          <w:sz w:val="32"/>
          <w:szCs w:val="32"/>
        </w:rPr>
        <w:t>　需要通过铁路、公路、民用航空等公共交通工具运输高致病性病原微生物菌（毒）种或者样本的，承运单位应当凭本条例第十一条规定的批准文件予以运输。</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承运单位应当与护送人共同采取措施，确保所运输的高致病性病原微生物菌（毒）种或者样本的安全，严防发生被盗、被抢、丢失、泄漏事件。</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第十四条</w:t>
      </w:r>
      <w:r>
        <w:rPr>
          <w:rFonts w:hint="eastAsia" w:ascii="仿宋_GB2312" w:hAnsi="仿宋_GB2312" w:eastAsia="仿宋_GB2312" w:cs="仿宋_GB2312"/>
          <w:sz w:val="32"/>
          <w:szCs w:val="32"/>
        </w:rPr>
        <w:t>　国务院卫生主管部门或者兽医主管部门指定的菌（毒）种保藏中心或者专业实验室（以下称保藏机构），承担集中储存病原微生物菌（毒）种和样本的任务。</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保藏机构应当依照国务院卫生主管部门或者兽医主管部门的规定，储存实验室送交的病原微生物菌（毒）种和样本，并向实验室提供病原微生物菌（毒）种和样本。</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保藏机构应当制定严格的安全保管制度，作好病原微生物菌（毒）种和样本进出和储存的记录，建立档案制度，并指定专人负责。对高致病性病原微生物菌（毒）种和样本应当设专库或者专柜单独储存。</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保藏机构储存、提供病原微生物菌（毒）种和样本，不得收取任何费用，其经费由同级财政在单位预算中予以保障。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保藏机构的管理办法由国务院卫生主管部门会同国务院兽医主管部门制定。</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第十五条</w:t>
      </w:r>
      <w:r>
        <w:rPr>
          <w:rFonts w:hint="eastAsia" w:ascii="仿宋_GB2312" w:hAnsi="仿宋_GB2312" w:eastAsia="仿宋_GB2312" w:cs="仿宋_GB2312"/>
          <w:sz w:val="32"/>
          <w:szCs w:val="32"/>
        </w:rPr>
        <w:t>　保藏机构应当凭实验室依照本条例的规定取得的从事高致病性病原微生物相关实验活动的批准文件，向实验室提供高致病性病原微生物菌（毒）种和样本，并予以登记。</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第十六条</w:t>
      </w:r>
      <w:r>
        <w:rPr>
          <w:rFonts w:hint="eastAsia" w:ascii="仿宋_GB2312" w:hAnsi="仿宋_GB2312" w:eastAsia="仿宋_GB2312" w:cs="仿宋_GB2312"/>
          <w:sz w:val="32"/>
          <w:szCs w:val="32"/>
        </w:rPr>
        <w:t>　实验室在相关实验活动结束后，应当依照国务院卫生主管部门或者兽医主管部门的规定，及时将病原微生物菌（毒）种和样本就地销毁或者送交保藏机构保管。</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保藏机构接受实验室送交的病原微生物菌（毒）种和样本，应当予以登记，并开具接收证明。</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第十七条</w:t>
      </w:r>
      <w:r>
        <w:rPr>
          <w:rFonts w:hint="eastAsia" w:ascii="仿宋_GB2312" w:hAnsi="仿宋_GB2312" w:eastAsia="仿宋_GB2312" w:cs="仿宋_GB2312"/>
          <w:sz w:val="32"/>
          <w:szCs w:val="32"/>
        </w:rPr>
        <w:t>　高致病性病原微生物菌（毒）种或者样本在运输、储存中被盗、被抢、丢失、泄漏的，承运单位、护送人、保藏机构应当采取必要的控制措施，并在2小时内分别向承运单位的主管部门、护送人所在单位和保藏机构的主管部门报告，同时向所在地的县级人民政府卫生主管部门或者兽医主管部门报告，发生被盗、被抢、丢失的，还应当向公安机关报告；接到报告的卫生主管部门或者兽医主管部门应当在2小时内向本级人民政府报告，并同时向上级人民政府卫生主管部门或者兽医主管部门和国务院卫生主管部门或者兽医主管部门报告。</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人民政府应当在接到报告后2小时内向设区的市级人民政府或者上一级人民政府报告；设区的市级人民政府应当在接到报告后2小时内向省、自治区、直辖市人民政府报告。省、自治区、直辖市人民政府应当在接到报告后1小时内，向国务院卫生主管部门或者兽医主管部门报告。</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单位和个人发现高致病性病原微生物菌（毒）种或者样本的容器或者包装材料，应当及时向附近的卫生主管部门或者兽医主管部门报告；接到报告的卫生主管部门或者兽医主管部门应当及时组织调查核实，并依法采取必要的控制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第三章 实验室的设立与管理</w:t>
      </w:r>
    </w:p>
    <w:p>
      <w:pPr>
        <w:widowControl w:val="0"/>
        <w:wordWrap/>
        <w:adjustRightInd/>
        <w:snapToGrid/>
        <w:spacing w:line="560" w:lineRule="exact"/>
        <w:ind w:left="0" w:leftChars="0" w:right="0" w:firstLine="640" w:firstLineChars="200"/>
        <w:jc w:val="left"/>
        <w:textAlignment w:val="auto"/>
        <w:outlineLvl w:val="9"/>
        <w:rPr>
          <w:rFonts w:hint="eastAsia" w:ascii="黑体" w:hAnsi="黑体" w:eastAsia="黑体" w:cs="黑体"/>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第十八条</w:t>
      </w:r>
      <w:r>
        <w:rPr>
          <w:rFonts w:hint="eastAsia" w:ascii="仿宋_GB2312" w:hAnsi="仿宋_GB2312" w:eastAsia="仿宋_GB2312" w:cs="仿宋_GB2312"/>
          <w:sz w:val="32"/>
          <w:szCs w:val="32"/>
        </w:rPr>
        <w:t>　国家根据实验室对病原微生物的生物安全防护水平，并依照实验室生物安全国家标准的规定，将实验室分为一级、二级、三级、四级。</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第十九条</w:t>
      </w:r>
      <w:r>
        <w:rPr>
          <w:rFonts w:hint="eastAsia" w:ascii="仿宋_GB2312" w:hAnsi="仿宋_GB2312" w:eastAsia="仿宋_GB2312" w:cs="仿宋_GB2312"/>
          <w:sz w:val="32"/>
          <w:szCs w:val="32"/>
        </w:rPr>
        <w:t>　新建、改建、扩建三级、四级实验室或者生产、进口移动式三级、四级实验室应当遵守下列规定：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（一）符合国家生物安全实验室体系规划并依法履行有关审批手续；</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（二）经国务院科技主管部门审查同意；</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（三）符合国家生物安全实验室建筑技术规范；</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（四）依照《中华人民共和国环境影响评价法》的规定进行环境影响评价并经环境保护主管部门审查批准；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（五）生物安全防护级别与其拟从事的实验活动相适应。</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款规定所称国家生物安全实验室体系规划，由国务院投资主管部门会同国务院有关部门制定。制定国家生物安全实验室体系规划应当遵循总量控制、合理布局、资源共享的原则，并应当召开听证会或者论证会，听取公共卫生、环境保护、投资管理和实验室管理等方面专家的意见。</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第二十条</w:t>
      </w:r>
      <w:r>
        <w:rPr>
          <w:rFonts w:hint="eastAsia" w:ascii="仿宋_GB2312" w:hAnsi="仿宋_GB2312" w:eastAsia="仿宋_GB2312" w:cs="仿宋_GB2312"/>
          <w:sz w:val="32"/>
          <w:szCs w:val="32"/>
        </w:rPr>
        <w:t>　三级、四级实验室应当通过实验室国家认可。</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认证认可监督管理部门确定的认可机构应当依照实验室生物安全国家标准以及本条例的有关规定，对三级、四级实验室进行认可；实验室通过认可的，颁发相应级别的生物安全实验室证书。证书有效期为5年。</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第二十一条</w:t>
      </w:r>
      <w:r>
        <w:rPr>
          <w:rFonts w:hint="eastAsia" w:ascii="仿宋_GB2312" w:hAnsi="仿宋_GB2312" w:eastAsia="仿宋_GB2312" w:cs="仿宋_GB2312"/>
          <w:sz w:val="32"/>
          <w:szCs w:val="32"/>
        </w:rPr>
        <w:t>　一级、二级实验室不得从事高致病性病原微生物实验活动。三级、四级实验室从事高致病性病原微生物实验活动，应当具备下列条件：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（一）实验目的和拟从事的实验活动符合国务院卫生主管部门或者兽医主管部门的规定；</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（二）具有与拟从事的实验活动相适应的工作人员；</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（三）工程质量经建筑主管部门依法检测验收合格。</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国务院卫生主管部门或者兽医主管部门依照各自职责对三级、四级实验室是否符合上述条件进行审查；对符合条件的，发给从事高致病性病原微生物实验活动的资格证书。</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第二十二条</w:t>
      </w:r>
      <w:r>
        <w:rPr>
          <w:rFonts w:hint="eastAsia" w:ascii="仿宋_GB2312" w:hAnsi="仿宋_GB2312" w:eastAsia="仿宋_GB2312" w:cs="仿宋_GB2312"/>
          <w:sz w:val="32"/>
          <w:szCs w:val="32"/>
        </w:rPr>
        <w:t>　三级、四级实验室，需要从事某种高致病性病原微生物或者疑似高致病性病原微生物实验活动的，应当依照国务院卫生主管部门或者兽医主管部门的规定报省级以上人民政府卫生主管部门或者兽医主管部门批准。实验活动结果以及工作情况应当向原批准部门报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验室申报或者接受与高致病性病原微生物有关的科研项目，应当符合科研需要和生物安全要求，具有相应的生物安全防护水平。与动物间传染的高致病性病原微生物有关的科研项目，应当经国务院兽医主管部门同意；与人体健康有关的高致病性病原微生物科研项目，实验室应当将立项结果告知省级以上人民政府卫生主管部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第二十三条</w:t>
      </w:r>
      <w:r>
        <w:rPr>
          <w:rFonts w:hint="eastAsia" w:ascii="仿宋_GB2312" w:hAnsi="仿宋_GB2312" w:eastAsia="仿宋_GB2312" w:cs="仿宋_GB2312"/>
          <w:sz w:val="32"/>
          <w:szCs w:val="32"/>
        </w:rPr>
        <w:t>　出入境检验检疫机构、医疗卫生机构、动物防疫机构在实验室开展检测、诊断工作时，发现高致病性病原微生物或者疑似高致病性病原微生物，需要进一步从事这类高致病性病原微生物相关实验活动的，应当依照本条例的规定经批准同意，并在具备相应条件的实验室中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专门从事检测、诊断的实验室应当严格依照国务院卫生主管部门或者兽医主管部门的规定，建立健全规章制度，保证实验室生物安全。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第二十四条　</w:t>
      </w:r>
      <w:r>
        <w:rPr>
          <w:rFonts w:hint="eastAsia" w:ascii="仿宋_GB2312" w:hAnsi="仿宋_GB2312" w:eastAsia="仿宋_GB2312" w:cs="仿宋_GB2312"/>
          <w:sz w:val="32"/>
          <w:szCs w:val="32"/>
        </w:rPr>
        <w:t>省级以上人民政府卫生主管部门或者兽医主管部门应当自收到需要从事高致病性病原微生物相关实验活动的申请之日起15日内作出是否批准的决定。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出入境检验检疫机构为了检验检疫工作的紧急需要，申请在实验室对高致病性病原微生物或者疑似高致病性病原微生物开展进一步实验活动的，省级以上人民政府卫生主管部门或者兽医主管部门应当自收到申请之时起2小时内作出是否批准的决定；2小时内未作出决定的，实验室可以从事相应的实验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省级以上人民政府卫生主管部门或者兽医主管部门应当为申请人通过电报、电传、传真、电子数据交换和电子邮件等方式提出申请提供方便。</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第二十五条　</w:t>
      </w:r>
      <w:r>
        <w:rPr>
          <w:rFonts w:hint="eastAsia" w:ascii="仿宋_GB2312" w:hAnsi="仿宋_GB2312" w:eastAsia="仿宋_GB2312" w:cs="仿宋_GB2312"/>
          <w:sz w:val="32"/>
          <w:szCs w:val="32"/>
        </w:rPr>
        <w:t>新建、改建或者扩建一级、二级实验室，应当向设区的市级人民政府卫生主管部门或者兽医主管部门备案。设区的市级人民政府卫生主管部门或者兽医主管部门应当每年将备案情况汇总后报省、自治区、直辖市人民政府卫生主管部门或者兽医主管部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第二十六条　</w:t>
      </w:r>
      <w:r>
        <w:rPr>
          <w:rFonts w:hint="eastAsia" w:ascii="仿宋_GB2312" w:hAnsi="仿宋_GB2312" w:eastAsia="仿宋_GB2312" w:cs="仿宋_GB2312"/>
          <w:sz w:val="32"/>
          <w:szCs w:val="32"/>
        </w:rPr>
        <w:t>国务院卫生主管部门和兽医主管部门应当定期汇总并互相通报实验室数量和实验室设立、分布情况，以及三级、四级实验室从事高致病性病原微生物实验活动的情况。。</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第二十七条</w:t>
      </w:r>
      <w:r>
        <w:rPr>
          <w:rFonts w:hint="eastAsia" w:ascii="仿宋_GB2312" w:hAnsi="仿宋_GB2312" w:eastAsia="仿宋_GB2312" w:cs="仿宋_GB2312"/>
          <w:sz w:val="32"/>
          <w:szCs w:val="32"/>
        </w:rPr>
        <w:t>　已经建成并通过实验室国家认可的三级、四级实验室应当向所在地的县级人民政府环境保护主管部门备案。环境保护主管部门依照法律、行政法规的规定对实验室排放的废水、废气和其他废物处置情况进行监督检查。</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第二十八条</w:t>
      </w:r>
      <w:r>
        <w:rPr>
          <w:rFonts w:hint="eastAsia" w:ascii="仿宋_GB2312" w:hAnsi="仿宋_GB2312" w:eastAsia="仿宋_GB2312" w:cs="仿宋_GB2312"/>
          <w:sz w:val="32"/>
          <w:szCs w:val="32"/>
        </w:rPr>
        <w:t>　对我国尚未发现或者已经宣布消灭的病原微生物，任何单位和个人未经批准不得从事相关实验活动。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为了预防、控制传染病，需要从事前款所指病原微生物相关实验活动的，应当经国务院卫生主管部门或者兽医主管部门批准，并在批准部门指定的专业实验室中进行。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第二十九条</w:t>
      </w:r>
      <w:r>
        <w:rPr>
          <w:rFonts w:hint="eastAsia" w:ascii="仿宋_GB2312" w:hAnsi="仿宋_GB2312" w:eastAsia="仿宋_GB2312" w:cs="仿宋_GB2312"/>
          <w:sz w:val="32"/>
          <w:szCs w:val="32"/>
        </w:rPr>
        <w:t>　实验室使用新技术、新方法从事高致病性病原微生物相关实验活动的，应当符合防止高致病性病原微生物扩散、保证生物安全和操作者人身安全的要求，并经国家病原微生物实验室生物安全专家委员会论证；经论证可行的，方可使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第三十条</w:t>
      </w:r>
      <w:r>
        <w:rPr>
          <w:rFonts w:hint="eastAsia" w:ascii="仿宋_GB2312" w:hAnsi="仿宋_GB2312" w:eastAsia="仿宋_GB2312" w:cs="仿宋_GB2312"/>
          <w:sz w:val="32"/>
          <w:szCs w:val="32"/>
        </w:rPr>
        <w:t>　需要在动物体上从事高致病性病原微生物相关实验活动的，应当在符合动物实验室生物安全国家标准的三级以上实验室进行。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第三十一条</w:t>
      </w:r>
      <w:r>
        <w:rPr>
          <w:rFonts w:hint="eastAsia" w:ascii="仿宋_GB2312" w:hAnsi="仿宋_GB2312" w:eastAsia="仿宋_GB2312" w:cs="仿宋_GB2312"/>
          <w:sz w:val="32"/>
          <w:szCs w:val="32"/>
        </w:rPr>
        <w:t>　实验室的设立单位负责实验室的生物安全管理。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实验室的设立单位应当依照本条例的规定制定科学、严格的管理制度，并定期对有关生物安全规定的落实情况进行检查，定期对实验室设施、设备、材料等进行检查、维护和更新，以确保其符合国家标准。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实验室的设立单位及其主管部门应当加强对实验室日常活动的管理。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第三十二条</w:t>
      </w:r>
      <w:r>
        <w:rPr>
          <w:rFonts w:hint="eastAsia" w:ascii="仿宋_GB2312" w:hAnsi="仿宋_GB2312" w:eastAsia="仿宋_GB2312" w:cs="仿宋_GB2312"/>
          <w:sz w:val="32"/>
          <w:szCs w:val="32"/>
        </w:rPr>
        <w:t>　实验室负责人为实验室生物安全的第一责任人。</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实验室从事实验活动应当严格遵守有关国家标准和实验室技术规范、操作规程。实验室负责人应当指定专人监督检查实验室技术规范和操作规程的落实情况。</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第三十三条</w:t>
      </w:r>
      <w:r>
        <w:rPr>
          <w:rFonts w:hint="eastAsia" w:ascii="仿宋_GB2312" w:hAnsi="仿宋_GB2312" w:eastAsia="仿宋_GB2312" w:cs="仿宋_GB2312"/>
          <w:sz w:val="32"/>
          <w:szCs w:val="32"/>
        </w:rPr>
        <w:t>　从事高致病性病原微生物相关实验活动的实验室的设立单位，应当建立健全安全保卫制度，采取安全保卫措施，严防高致病性病原微生物被盗、被抢、丢失、泄漏，保障实验室及其病原微生物的安全。实验室发生高致病性病原微生物被盗、被抢、丢失、泄漏的，实验室的设立单位应当依照本条例第十七条的规定进行报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从事高致病性病原微生物相关实验活动的实验室应当向当地公安机关备案，并接受公安机关有关实验室安全保卫工作的监督指导。</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第三十四条</w:t>
      </w:r>
      <w:r>
        <w:rPr>
          <w:rFonts w:hint="eastAsia" w:ascii="仿宋_GB2312" w:hAnsi="仿宋_GB2312" w:eastAsia="仿宋_GB2312" w:cs="仿宋_GB2312"/>
          <w:sz w:val="32"/>
          <w:szCs w:val="32"/>
        </w:rPr>
        <w:t>　实验室或者实验室的设立单位应当每年定期对工作人员进行培训，保证其掌握实验室技术规范、操作规程、生物安全防护知识和实际操作技能，并进行考核。工作人员经考核合格的，方可上岗。</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从事高致病性病原微生物相关实验活动的实验室，应当每半年将培训、考核其工作人员的情况和实验室运行情况向省、自治区、直辖市人民政府卫生主管部门或者兽医主管部门报告。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第三十五条</w:t>
      </w:r>
      <w:r>
        <w:rPr>
          <w:rFonts w:hint="eastAsia" w:ascii="仿宋_GB2312" w:hAnsi="仿宋_GB2312" w:eastAsia="仿宋_GB2312" w:cs="仿宋_GB2312"/>
          <w:sz w:val="32"/>
          <w:szCs w:val="32"/>
        </w:rPr>
        <w:t>　从事高致病性病原微生物相关实验活动应当有2名以上的工作人员共同进行。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从事高致病性病原微生物相关实验活动的实验室的工作人员或者其他有关人员，应当经实验室负责人批准。实验室应当为其提供符合防护要求的防护用品并采取其他职业防护措施。从事高致病性病原微生物相关实验活动的实验室，还应当对实验室工作人员进行健康监测，每年组织对其进行体检，并建立健康档案；必要时，应当对实验室工作人员进行预防接种。</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第三十六条</w:t>
      </w:r>
      <w:r>
        <w:rPr>
          <w:rFonts w:hint="eastAsia" w:ascii="仿宋_GB2312" w:hAnsi="仿宋_GB2312" w:eastAsia="仿宋_GB2312" w:cs="仿宋_GB2312"/>
          <w:sz w:val="32"/>
          <w:szCs w:val="32"/>
        </w:rPr>
        <w:t>　在同一个实验室的同一个独立安全区域内，只能同时从事一种高致病性病原微生物的相关实验活动。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第三十七条</w:t>
      </w:r>
      <w:r>
        <w:rPr>
          <w:rFonts w:hint="eastAsia" w:ascii="仿宋_GB2312" w:hAnsi="仿宋_GB2312" w:eastAsia="仿宋_GB2312" w:cs="仿宋_GB2312"/>
          <w:sz w:val="32"/>
          <w:szCs w:val="32"/>
        </w:rPr>
        <w:t>　实验室应当建立实验档案，记录实验室使用情况和安全监督情况。实验室从事高致病性病原微生物相关实验活动的实验档案保存期，不得少于20年。</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第三十八条　</w:t>
      </w:r>
      <w:r>
        <w:rPr>
          <w:rFonts w:hint="eastAsia" w:ascii="仿宋_GB2312" w:hAnsi="仿宋_GB2312" w:eastAsia="仿宋_GB2312" w:cs="仿宋_GB2312"/>
          <w:sz w:val="32"/>
          <w:szCs w:val="32"/>
        </w:rPr>
        <w:t>实验室应当依照环境保护的有关法律、行政法规和国务院有关部门的规定，对废水、废气以及其他废物进行处置，并制定相应的环境保护措施，防止环境污染。</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第三十九条</w:t>
      </w:r>
      <w:r>
        <w:rPr>
          <w:rFonts w:hint="eastAsia" w:ascii="仿宋_GB2312" w:hAnsi="仿宋_GB2312" w:eastAsia="仿宋_GB2312" w:cs="仿宋_GB2312"/>
          <w:sz w:val="32"/>
          <w:szCs w:val="32"/>
        </w:rPr>
        <w:t>　三级、四级实验室应当在明显位置标示国务院卫生主管部门和兽医主管部门规定的生物危险标识和生物安全实验室级别标志。</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第四十条</w:t>
      </w:r>
      <w:r>
        <w:rPr>
          <w:rFonts w:hint="eastAsia" w:ascii="仿宋_GB2312" w:hAnsi="仿宋_GB2312" w:eastAsia="仿宋_GB2312" w:cs="仿宋_GB2312"/>
          <w:sz w:val="32"/>
          <w:szCs w:val="32"/>
        </w:rPr>
        <w:t>　从事高致病性病原微生物相关实验活动的实验室应当制定实验室感染应急处置预案，并向该实验室所在地的省、自治区、直辖市人民政府卫生主管部门或者兽医主管部门备案。</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第四十一条</w:t>
      </w:r>
      <w:r>
        <w:rPr>
          <w:rFonts w:hint="eastAsia" w:ascii="仿宋_GB2312" w:hAnsi="仿宋_GB2312" w:eastAsia="仿宋_GB2312" w:cs="仿宋_GB2312"/>
          <w:sz w:val="32"/>
          <w:szCs w:val="32"/>
        </w:rPr>
        <w:t>　国务院卫生主管部门和兽医主管部门会同国务院有关部门组织病原学、免疫学、检验医学、流行病学、预防兽医学、环境保护和实验室管理等方面的专家，组成国家病原微生物实验室生物安全专家委员会。该委员会承担从事高致病性病原微生物相关实验活动的实验室的设立与运行的生物安全评估和技术咨询、论证工作。</w:t>
      </w:r>
    </w:p>
    <w:p>
      <w:pPr>
        <w:widowControl w:val="0"/>
        <w:wordWrap/>
        <w:adjustRightInd/>
        <w:snapToGrid/>
        <w:spacing w:line="560" w:lineRule="exact"/>
        <w:ind w:left="0" w:leftChars="0" w:right="0" w:firstLine="640" w:firstLineChars="200"/>
        <w:jc w:val="both"/>
        <w:textAlignment w:val="auto"/>
        <w:outlineLvl w:val="9"/>
        <w:rPr>
          <w:rFonts w:hint="eastAsia" w:ascii="微软雅黑" w:hAnsi="微软雅黑" w:eastAsia="微软雅黑" w:cs="微软雅黑"/>
          <w:i w:val="0"/>
          <w:caps w:val="0"/>
          <w:color w:val="000000"/>
          <w:spacing w:val="0"/>
          <w:szCs w:val="24"/>
        </w:rPr>
      </w:pPr>
      <w:r>
        <w:rPr>
          <w:rFonts w:hint="eastAsia" w:ascii="仿宋_GB2312" w:hAnsi="仿宋_GB2312" w:eastAsia="仿宋_GB2312" w:cs="仿宋_GB2312"/>
          <w:sz w:val="32"/>
          <w:szCs w:val="32"/>
        </w:rPr>
        <w:t>省、自治区、直辖市人民政府卫生主管部门和兽医主管部门会同同级人民政府有关部门组织病原学、免疫学、检验医学、流行病学、预防兽医学、环境保护和实验室管理等方面的专家，组成本地区病原微生物实验室生物安全专家委员会。该委员会承担本地区实验室设立和运行的技术咨询工作</w:t>
      </w:r>
      <w:r>
        <w:rPr>
          <w:rFonts w:hint="eastAsia" w:ascii="宋体" w:hAnsi="宋体" w:eastAsia="宋体" w:cs="宋体"/>
          <w:i w:val="0"/>
          <w:caps w:val="0"/>
          <w:color w:val="000000"/>
          <w:spacing w:val="0"/>
          <w:szCs w:val="24"/>
          <w:shd w:val="clear" w:color="060000" w:fill="FFFFFF"/>
        </w:rPr>
        <w:t>。</w:t>
      </w: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第四章 实验室感染控制</w:t>
      </w:r>
    </w:p>
    <w:p>
      <w:pPr>
        <w:widowControl w:val="0"/>
        <w:wordWrap/>
        <w:adjustRightInd/>
        <w:snapToGrid/>
        <w:spacing w:line="560" w:lineRule="exact"/>
        <w:ind w:left="0" w:leftChars="0" w:right="0" w:firstLine="640" w:firstLineChars="200"/>
        <w:jc w:val="left"/>
        <w:textAlignment w:val="auto"/>
        <w:outlineLvl w:val="9"/>
        <w:rPr>
          <w:rFonts w:hint="eastAsia" w:ascii="黑体" w:hAnsi="黑体" w:eastAsia="黑体" w:cs="黑体"/>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第四十二条</w:t>
      </w:r>
      <w:r>
        <w:rPr>
          <w:rFonts w:hint="eastAsia" w:ascii="仿宋_GB2312" w:hAnsi="仿宋_GB2312" w:eastAsia="仿宋_GB2312" w:cs="仿宋_GB2312"/>
          <w:sz w:val="32"/>
          <w:szCs w:val="32"/>
        </w:rPr>
        <w:t>　实验室的设立单位应当指定专门的机构或者人员承担实验室感染控制工作，定期检查实验室的生物安全防护、病原微生物菌（毒）种和样本保存与使用、安全操作、实验室排放的废水和废气以及其他废物处置等规章制度的实施情况。</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负责实验室感染控制工作的机构或者人员应当具有与该实验室中的病原微生物有关的传染病防治知识，并定期调查、了解实验室工作人员的健康状况。</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第四十三条</w:t>
      </w:r>
      <w:r>
        <w:rPr>
          <w:rFonts w:hint="eastAsia" w:ascii="仿宋_GB2312" w:hAnsi="仿宋_GB2312" w:eastAsia="仿宋_GB2312" w:cs="仿宋_GB2312"/>
          <w:sz w:val="32"/>
          <w:szCs w:val="32"/>
        </w:rPr>
        <w:t>　实验室工作人员出现与本实验室从事的高致病性病原微生物相关实验活动有关的感染临床症状或者体征时，实验室负责人应当向负责实验室感染控制工作的机构或者人员报告，同时派专人陪同及时就诊；实验室工作人员应当将近期所接触的病原微生物的种类和危险程度如实告知诊治医疗机构。接诊的医疗机构应当及时救治；不具备相应救治条件的，应当依照规定将感染的实验室工作人员转诊至具备相应传染病救治条件的医疗机构；具备相应传染病救治条件的医疗机构应当接诊治疗，不得拒绝救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第四十四条　</w:t>
      </w:r>
      <w:r>
        <w:rPr>
          <w:rFonts w:hint="eastAsia" w:ascii="仿宋_GB2312" w:hAnsi="仿宋_GB2312" w:eastAsia="仿宋_GB2312" w:cs="仿宋_GB2312"/>
          <w:sz w:val="32"/>
          <w:szCs w:val="32"/>
        </w:rPr>
        <w:t>实验室发生高致病性病原微生物泄漏时，实验室工作人员应当立即采取控制措施，防止高致病性病原微生物扩散，并同时向负责实验室感染控制工作的机构或者人员报告。</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第四十五条　</w:t>
      </w:r>
      <w:r>
        <w:rPr>
          <w:rFonts w:hint="eastAsia" w:ascii="仿宋_GB2312" w:hAnsi="仿宋_GB2312" w:eastAsia="仿宋_GB2312" w:cs="仿宋_GB2312"/>
          <w:sz w:val="32"/>
          <w:szCs w:val="32"/>
        </w:rPr>
        <w:t>负责实验室感染控制工作的机构或者人员接到本条例第四十三条、第四十四条规定的报告后，应当立即启动实验室感染应急处置预案，并组织人员对该实验室生物安全状况等情况进行调查；确认发生实验室感染或者高致病性病原微生物泄漏的，应当依照本条例第十七条的规定进行报告，并同时采取控制措施，对有关人员进行医学观察或者隔离治疗，封闭实验室，防止扩散。</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第四十六条　</w:t>
      </w:r>
      <w:r>
        <w:rPr>
          <w:rFonts w:hint="eastAsia" w:ascii="仿宋_GB2312" w:hAnsi="仿宋_GB2312" w:eastAsia="仿宋_GB2312" w:cs="仿宋_GB2312"/>
          <w:sz w:val="32"/>
          <w:szCs w:val="32"/>
        </w:rPr>
        <w:t>卫生主管部门或者兽医主管部门接到关于实验室发生工作人员感染事故或者病原微生物泄漏事件的报告，或者发现实验室从事病原微生物相关实验活动造成实验室感染事故的，应当立即组织疾病预防控制机构、动物防疫监督机构和医疗机构以及其他有关机构依法采取下列预防、控制措施：</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（一）封闭被病原微生物污染的实验室或者可能造成病原微生物扩散的场所；</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（二）开展流行病学调查；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（三）对病人进行隔离治疗，对相关人员进行医学检查；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（四）对密切接触者进行医学观察；</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（五）进行现场消毒；</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（六）对染疫或者疑似染疫的动物采取隔离、扑杀等措施；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（七）其他需要采取的预防、控制措施。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第四十七条</w:t>
      </w:r>
      <w:r>
        <w:rPr>
          <w:rFonts w:hint="eastAsia" w:ascii="仿宋_GB2312" w:hAnsi="仿宋_GB2312" w:eastAsia="仿宋_GB2312" w:cs="仿宋_GB2312"/>
          <w:sz w:val="32"/>
          <w:szCs w:val="32"/>
        </w:rPr>
        <w:t>　医疗机构或者兽医医疗机构及其执行职务的医务人员发现由于实验室感染而引起的与高致病性病原微生物相关的传染病病人、疑似传染病病人或者患有疫病、疑似患有疫病的动物，诊治的医疗机构或者兽医医疗机构应当在2小时内报告所在地的县级人民政府卫生主管部门或者兽医主管部门；接到报告的卫生主管部门或者兽医主管部门应当在2小时内通报实验室所在地的县级人民政府卫生主管部门或者兽医主管部门。接到通报的卫生主管部门或者兽医主管部门应当依照本条例第四十六条的规定采取预防、控制措施。</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第四十八条</w:t>
      </w:r>
      <w:r>
        <w:rPr>
          <w:rFonts w:hint="eastAsia" w:ascii="仿宋_GB2312" w:hAnsi="仿宋_GB2312" w:eastAsia="仿宋_GB2312" w:cs="仿宋_GB2312"/>
          <w:sz w:val="32"/>
          <w:szCs w:val="32"/>
        </w:rPr>
        <w:t>　发生病原微生物扩散，有可能造成传染病暴发、流行时，县级以上人民政府卫生主管部门或者兽医主管部门应当依照有关法律、行政法规的规定以及实验室感染应急处置预案进行处理。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第五章 监督管理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第四十九条　</w:t>
      </w:r>
      <w:r>
        <w:rPr>
          <w:rFonts w:hint="eastAsia" w:ascii="仿宋_GB2312" w:hAnsi="仿宋_GB2312" w:eastAsia="仿宋_GB2312" w:cs="仿宋_GB2312"/>
          <w:sz w:val="32"/>
          <w:szCs w:val="32"/>
        </w:rPr>
        <w:t>县级以上地方人民政府卫生主管部门、兽医主管部门依照各自分工，履行下列职责：</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（一）对病原微生物菌（毒）种、样本的采集、运输、储存进行监督检查；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（二）对从事高致病性病原微生物相关实验活动的实验室是否符合本条例规定的条件进行监督检查；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（三）对实验室或者实验室的设立单位培训、考核其工作人员以及上岗人员的情况进行监督检查；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（四）对实验室是否按照有关国家标准、技术规范和操作规程从事病原微生物相关实验活动进行监督检查。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县级以上地方人民政府卫生主管部门、兽医主管部门，应当主要通过检查反映实验室执行国家有关法律、行政法规以及国家标准和要求的记录、档案、报告，切实履行监督管理职责。</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第五十条</w:t>
      </w:r>
      <w:r>
        <w:rPr>
          <w:rFonts w:hint="eastAsia" w:ascii="仿宋_GB2312" w:hAnsi="仿宋_GB2312" w:eastAsia="仿宋_GB2312" w:cs="仿宋_GB2312"/>
          <w:sz w:val="32"/>
          <w:szCs w:val="32"/>
        </w:rPr>
        <w:t>　县级以上人民政府卫生主管部门、兽医主管部门、环境保护主管部门在履行监督检查职责时，有权进入被检查单位和病原微生物泄漏或者扩散现场调查取证、采集样品，查阅复制有关资料。需要进入从事高致病性病原微生物相关实验活动的实验室调查取证、采集样品的，应当指定或者委托专业机构实施。被检查单位应当予以配合，不得拒绝、阻挠。</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黑体" w:hAnsi="黑体" w:eastAsia="黑体" w:cs="黑体"/>
          <w:sz w:val="32"/>
          <w:szCs w:val="32"/>
        </w:rPr>
        <w:t>五十一条　</w:t>
      </w:r>
      <w:r>
        <w:rPr>
          <w:rFonts w:hint="eastAsia" w:ascii="仿宋_GB2312" w:hAnsi="仿宋_GB2312" w:eastAsia="仿宋_GB2312" w:cs="仿宋_GB2312"/>
          <w:sz w:val="32"/>
          <w:szCs w:val="32"/>
        </w:rPr>
        <w:t>国务院认证认可监督管理部门依照《中华人民共和国认证认可条例》的规定对实验室认可活动进行监督检查。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第五十二条　</w:t>
      </w:r>
      <w:r>
        <w:rPr>
          <w:rFonts w:hint="eastAsia" w:ascii="仿宋_GB2312" w:hAnsi="仿宋_GB2312" w:eastAsia="仿宋_GB2312" w:cs="仿宋_GB2312"/>
          <w:sz w:val="32"/>
          <w:szCs w:val="32"/>
        </w:rPr>
        <w:t>卫生主管部门、兽医主管部门、环境保护主管部门应当依据法定的职权和程序履行职责，做到公正、公平、公开、文明、高效。</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第五十三条　</w:t>
      </w:r>
      <w:r>
        <w:rPr>
          <w:rFonts w:hint="eastAsia" w:ascii="仿宋_GB2312" w:hAnsi="仿宋_GB2312" w:eastAsia="仿宋_GB2312" w:cs="仿宋_GB2312"/>
          <w:sz w:val="32"/>
          <w:szCs w:val="32"/>
        </w:rPr>
        <w:t>卫生主管部门、兽医主管部门、环境保护主管部门的执法人员执行职务时，应当有2名以上执法人员参加，出示执法证件，并依照规定填写执法文书。</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现场检查笔录、采样记录等文书经核对无误后，应当由执法人员和被检查人、被采样人签名。被检查人、被采样人拒绝签名的，执法人员应当在自己签名后注明情况。</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第五十四条</w:t>
      </w:r>
      <w:r>
        <w:rPr>
          <w:rFonts w:hint="eastAsia" w:ascii="仿宋_GB2312" w:hAnsi="仿宋_GB2312" w:eastAsia="仿宋_GB2312" w:cs="仿宋_GB2312"/>
          <w:sz w:val="32"/>
          <w:szCs w:val="32"/>
        </w:rPr>
        <w:t>　卫生主管部门、兽医主管部门、环境保护主管部门及其执法人员执行职务，应当自觉接受社会和公民的监督。公民、法人和其他组织有权向上级人民政府及其卫生主管部门、兽医主管部门、环境保护主管部门举报地方人民政府及其有关主管部门不依照规定履行职责的情况。接到举报的有关人民政府或者其卫生主管部门、兽医主管部门、环境保护主管部门，应当及时调查处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第五十五条　</w:t>
      </w:r>
      <w:r>
        <w:rPr>
          <w:rFonts w:hint="eastAsia" w:ascii="仿宋_GB2312" w:hAnsi="仿宋_GB2312" w:eastAsia="仿宋_GB2312" w:cs="仿宋_GB2312"/>
          <w:sz w:val="32"/>
          <w:szCs w:val="32"/>
        </w:rPr>
        <w:t>上级人民政府卫生主管部门、兽医主管部门、环境保护主管部门发现属于下级人民政府卫生主管部门、兽医主管部门、环境保护主管部门职责范围内需要处理的事项的，应当及时告知该部门处理；下级人民政府卫生主管部门、兽医主管部门、环境保护主管部门不及时处理或者不积极履行本部门职责的，上级人民政府卫生主管部门、兽医主管部门、环境保护主管部门应当责令其限期改正；逾期不改正的，上级人民政府卫生主管部门、兽医主管部门、环境保护主管部门有权直接予以处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第六章 法律责任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第五十六条</w:t>
      </w:r>
      <w:r>
        <w:rPr>
          <w:rFonts w:hint="eastAsia" w:ascii="仿宋_GB2312" w:hAnsi="仿宋_GB2312" w:eastAsia="仿宋_GB2312" w:cs="仿宋_GB2312"/>
          <w:sz w:val="32"/>
          <w:szCs w:val="32"/>
        </w:rPr>
        <w:t>　三级、四级实验室未经批准从事某种高致病性病原微生物或者疑似高致病性病原微生物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黑体" w:hAnsi="黑体" w:eastAsia="黑体" w:cs="黑体"/>
          <w:sz w:val="32"/>
          <w:szCs w:val="32"/>
        </w:rPr>
        <w:t>五十七条</w:t>
      </w:r>
      <w:r>
        <w:rPr>
          <w:rFonts w:hint="eastAsia" w:ascii="仿宋_GB2312" w:hAnsi="仿宋_GB2312" w:eastAsia="仿宋_GB2312" w:cs="仿宋_GB2312"/>
          <w:sz w:val="32"/>
          <w:szCs w:val="32"/>
        </w:rPr>
        <w:t>　卫生主管部门或者兽医主管部门违反本条例的规定，准予不符合本条例规定条件的实验室从事高致病性病原微生物相关实验活动的，由作出批准决定的卫生主管部门或者兽医主管部门撤销原批准决定，责令有关实验室立即停止有关活动，并监督其将用于实验活动的病原微生物销毁或者送交保藏机构，对直接负责的主管人员和其他直接责任人员依法给予行政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因违法作出批准决定给当事人的合法权益造成损害的，作出批准决定的卫生主管部门或者兽医主管部门应当依法承担赔偿责任。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第五十八条</w:t>
      </w:r>
      <w:r>
        <w:rPr>
          <w:rFonts w:hint="eastAsia" w:ascii="仿宋_GB2312" w:hAnsi="仿宋_GB2312" w:eastAsia="仿宋_GB2312" w:cs="仿宋_GB2312"/>
          <w:sz w:val="32"/>
          <w:szCs w:val="32"/>
        </w:rPr>
        <w:t>　卫生主管部门或者兽医主管部门对出入境检验检疫机构为了检验检疫工作的紧急需要，申请在实验室对高致病性病原微生物或者疑似高致病性病原微生物开展进一步检测活动，不在法定期限内作出是否批准决定的，由其上级行政机关或者监察机关责令改正，给予警告；造成传染病传播、流行或者其他严重后果的，对直接负责的主管人员和其他直接责任人员依法给予撤职、开除的行政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第五十九条　</w:t>
      </w:r>
      <w:r>
        <w:rPr>
          <w:rFonts w:hint="eastAsia" w:ascii="仿宋_GB2312" w:hAnsi="仿宋_GB2312" w:eastAsia="仿宋_GB2312" w:cs="仿宋_GB2312"/>
          <w:sz w:val="32"/>
          <w:szCs w:val="32"/>
        </w:rPr>
        <w:t>违反本条例规定，在不符合相应生物安全要求的实验室从事病原微生物相关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第六十条</w:t>
      </w:r>
      <w:r>
        <w:rPr>
          <w:rFonts w:hint="eastAsia" w:ascii="仿宋_GB2312" w:hAnsi="仿宋_GB2312" w:eastAsia="仿宋_GB2312" w:cs="仿宋_GB2312"/>
          <w:sz w:val="32"/>
          <w:szCs w:val="32"/>
        </w:rPr>
        <w:t>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（一）未依照规定在明显位置标示国务院卫生主管部门和兽医主管部门规定的生物危险标识和生物安全实验室级别标志的；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（二）未向原批准部门报告实验活动结果以及工作情况的；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（三）未依照规定采集病原微生物样本，或者对所采集样本的来源、采集过程和方法等未作详细记录的；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（四）新建、改建或者扩建一级、二级实验室未向设区的市级人民政府卫生主管部门或者兽医主管部门备案的；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（五）未依照规定定期对工作人员进行培训，或者工作人员考核不合格允许其上岗，或者批准未采取防护措施的人员进入实验室的；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（六）实验室工作人员未遵守实验室生物安全技术规范和操作规程的；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（七）未依照规定建立或者保存实验档案的；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（八）未依照规定制定实验室感染应急处置预案并备案的。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第六十一条　</w:t>
      </w:r>
      <w:r>
        <w:rPr>
          <w:rFonts w:hint="eastAsia" w:ascii="仿宋_GB2312" w:hAnsi="仿宋_GB2312" w:eastAsia="仿宋_GB2312" w:cs="仿宋_GB2312"/>
          <w:sz w:val="32"/>
          <w:szCs w:val="32"/>
        </w:rPr>
        <w:t>经依法批准从事高致病性病原微生物相关实验活动的实验室的设立单位未建立健全安全保卫制度，或者未采取安全保卫措施的，由县级以上地方人民政府卫生主管部门、兽医主管部门依照各自职责，责令限期改正；逾期不改正，导致高致病性病原微生物菌（毒）种、样本被盗、被抢或者造成其他严重后果的，责令停止该项实验活动，该实验室2年内不得申请从事高致病性病原微生物实验活动；造成传染病传播、流行的，该实验室设立单位的主管部门还应当对该实验室的设立单位的直接负责的主管人员和其他直接责任人员，依法给予降级、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第六十二条　</w:t>
      </w:r>
      <w:r>
        <w:rPr>
          <w:rFonts w:hint="eastAsia" w:ascii="仿宋_GB2312" w:hAnsi="仿宋_GB2312" w:eastAsia="仿宋_GB2312" w:cs="仿宋_GB2312"/>
          <w:sz w:val="32"/>
          <w:szCs w:val="32"/>
        </w:rPr>
        <w:t>未经批准运输高致病性病原微生物菌（毒）种或者样本，或者承运单位经批准运输高致病性病原微生物菌（毒）种或者样本未履行保护义务，导致高致病性病原微生物菌（毒）种或者样本被盗、被抢、丢失、泄漏的，由县级以上地方人民政府卫生主管部门、兽医主管部门依照各自职责，责令采取措施，消除隐患，给予警告；造成传染病传播、流行或者其他严重后果的，由托运单位和承运单位的主管部门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第六十三条　</w:t>
      </w:r>
      <w:r>
        <w:rPr>
          <w:rFonts w:hint="eastAsia" w:ascii="仿宋_GB2312" w:hAnsi="仿宋_GB2312" w:eastAsia="仿宋_GB2312" w:cs="仿宋_GB2312"/>
          <w:sz w:val="32"/>
          <w:szCs w:val="32"/>
        </w:rPr>
        <w:t>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（一）实验室在相关实验活动结束后，未依照规定及时将病原微生物菌（毒）种和样本就地销毁或者送交保藏机构保管的；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（二）实验室使用新技术、新方法从事高致病性病原微生物相关实验活动未经国家病原微生物实验室生物安全专家委员会论证的；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（三）未经批准擅自从事在我国尚未发现或者已经宣布消灭的病原微生物相关实验活动的；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（四）在未经指定的专业实验室从事在我国尚未发现或者已经宣布消灭的病原微生物相关实验活动的；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（五）在同一个实验室的同一个独立安全区域内同时从事两种或者两种以上高致病性病原微生物的相关实验活动的。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第六十四条　</w:t>
      </w:r>
      <w:r>
        <w:rPr>
          <w:rFonts w:hint="eastAsia" w:ascii="仿宋_GB2312" w:hAnsi="仿宋_GB2312" w:eastAsia="仿宋_GB2312" w:cs="仿宋_GB2312"/>
          <w:sz w:val="32"/>
          <w:szCs w:val="32"/>
        </w:rPr>
        <w:t>认可机构对不符合实验室生物安全国家标准以及本条例规定条件的实验室予以认可，或者对符合实验室生物安全国家标准以及本条例规定条件的实验室不予认可的，由国务院认证认可监督管理部门责令限期改正，给予警告；造成传染病传播、流行或者其他严重后果的，由国务院认证认可监督管理部门撤销其认可资格，有上级主管部门的，由其上级主管部门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第六十五条</w:t>
      </w:r>
      <w:r>
        <w:rPr>
          <w:rFonts w:hint="eastAsia" w:ascii="仿宋_GB2312" w:hAnsi="仿宋_GB2312" w:eastAsia="仿宋_GB2312" w:cs="仿宋_GB2312"/>
          <w:sz w:val="32"/>
          <w:szCs w:val="32"/>
        </w:rPr>
        <w:t>　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法给予撤职、开除的处分；有许可证件的，并由原发证部门吊销有关许可证件；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第六十六条　</w:t>
      </w:r>
      <w:r>
        <w:rPr>
          <w:rFonts w:hint="eastAsia" w:ascii="仿宋_GB2312" w:hAnsi="仿宋_GB2312" w:eastAsia="仿宋_GB2312" w:cs="仿宋_GB2312"/>
          <w:sz w:val="32"/>
          <w:szCs w:val="32"/>
        </w:rPr>
        <w:t>拒绝接受卫生主管部门、兽医主管部门依法开展有关高致病性病原微生物扩散的调查取证、采集样品等活动或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第六十七条　</w:t>
      </w:r>
      <w:r>
        <w:rPr>
          <w:rFonts w:hint="eastAsia" w:ascii="仿宋_GB2312" w:hAnsi="仿宋_GB2312" w:eastAsia="仿宋_GB2312" w:cs="仿宋_GB2312"/>
          <w:sz w:val="32"/>
          <w:szCs w:val="32"/>
        </w:rPr>
        <w:t>发生病原微生物被盗、被抢、丢失、泄漏，承运单位、护送人、保藏机构和实验室的设立单位未依照本条例的规定报告的，由所在地的县级人民政府卫生主管部门或者兽医主管部门给予警告；造成传染病传播、流行或者其他严重后果的，由实验室的设立单位或者承运单位、保藏机构的上级主管部门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第六十八条　</w:t>
      </w:r>
      <w:r>
        <w:rPr>
          <w:rFonts w:hint="eastAsia" w:ascii="仿宋_GB2312" w:hAnsi="仿宋_GB2312" w:eastAsia="仿宋_GB2312" w:cs="仿宋_GB2312"/>
          <w:sz w:val="32"/>
          <w:szCs w:val="32"/>
        </w:rPr>
        <w:t>保藏机构未依照规定储存实验室送交的菌（毒）种和样本，或者未依照规定提供菌（毒）种和样本的，由其指定部门责令限期改正，收回违法提供的菌（毒）种和样本，并给予警告；造成传染病传播、流行或者其他严重后果的，由其所在单位或者其上级主管部门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第六十九条　</w:t>
      </w:r>
      <w:r>
        <w:rPr>
          <w:rFonts w:hint="eastAsia" w:ascii="仿宋_GB2312" w:hAnsi="仿宋_GB2312" w:eastAsia="仿宋_GB2312" w:cs="仿宋_GB2312"/>
          <w:sz w:val="32"/>
          <w:szCs w:val="32"/>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第七章 附 则</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第七十条 </w:t>
      </w:r>
      <w:r>
        <w:rPr>
          <w:rFonts w:hint="eastAsia" w:ascii="仿宋_GB2312" w:hAnsi="仿宋_GB2312" w:eastAsia="仿宋_GB2312" w:cs="仿宋_GB2312"/>
          <w:sz w:val="32"/>
          <w:szCs w:val="32"/>
        </w:rPr>
        <w:t>军队实验室由中国人民解放军卫生主管部门参照本条例负责监督管理。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第七十一条 </w:t>
      </w:r>
      <w:r>
        <w:rPr>
          <w:rFonts w:hint="eastAsia" w:ascii="仿宋_GB2312" w:hAnsi="仿宋_GB2312" w:eastAsia="仿宋_GB2312" w:cs="仿宋_GB2312"/>
          <w:sz w:val="32"/>
          <w:szCs w:val="32"/>
        </w:rPr>
        <w:t>本条例施行前设立的实验室，应当自本条例施行之日起6个月内，依照本条例的规定，办理有关手续。</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第七十二条 </w:t>
      </w:r>
      <w:r>
        <w:rPr>
          <w:rFonts w:hint="eastAsia" w:ascii="仿宋_GB2312" w:hAnsi="仿宋_GB2312" w:eastAsia="仿宋_GB2312" w:cs="仿宋_GB2312"/>
          <w:sz w:val="32"/>
          <w:szCs w:val="32"/>
        </w:rPr>
        <w:t>本条例自公布之日起施行。</w:t>
      </w:r>
    </w:p>
    <w:p>
      <w:pPr>
        <w:wordWrap/>
        <w:spacing w:line="560" w:lineRule="exact"/>
        <w:textAlignment w:val="auto"/>
        <w:rPr>
          <w:rFonts w:hint="eastAsia" w:ascii="宋体" w:hAnsi="宋体" w:cs="Arial"/>
          <w:kern w:val="0"/>
          <w:szCs w:val="32"/>
        </w:rPr>
      </w:pPr>
    </w:p>
    <w:p>
      <w:pPr>
        <w:wordWrap/>
        <w:spacing w:line="560" w:lineRule="exact"/>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宋体"/>
          <w:sz w:val="44"/>
          <w:szCs w:val="44"/>
        </w:rPr>
      </w:pPr>
      <w:bookmarkStart w:id="252" w:name="_Toc9559"/>
      <w:r>
        <w:rPr>
          <w:rFonts w:hint="eastAsia" w:ascii="宋体" w:hAnsi="宋体" w:eastAsia="宋体" w:cs="Arial"/>
          <w:bCs/>
          <w:sz w:val="44"/>
          <w:szCs w:val="44"/>
        </w:rPr>
        <w:t>中华人民共和国食品安全法实施条例</w:t>
      </w:r>
      <w:bookmarkEnd w:id="252"/>
    </w:p>
    <w:p>
      <w:pPr>
        <w:widowControl w:val="0"/>
        <w:wordWrap/>
        <w:adjustRightInd/>
        <w:snapToGrid/>
        <w:spacing w:after="0" w:line="560" w:lineRule="exact"/>
        <w:ind w:left="0" w:leftChars="0" w:right="0"/>
        <w:jc w:val="center"/>
        <w:textAlignment w:val="auto"/>
        <w:outlineLvl w:val="9"/>
        <w:rPr>
          <w:rFonts w:hint="eastAsia" w:ascii="宋体" w:hAnsi="宋体" w:eastAsia="宋体" w:cs="宋体"/>
          <w:sz w:val="44"/>
          <w:szCs w:val="44"/>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（2009年7月20日中华人民共和国国务院令第557号公布 根据2016年2月6日《国务院关于修改部分行政法规的决定》修订</w:t>
      </w:r>
      <w:r>
        <w:rPr>
          <w:rFonts w:hint="eastAsia" w:ascii="楷体" w:hAnsi="楷体" w:eastAsia="楷体" w:cs="楷体"/>
          <w:szCs w:val="32"/>
          <w:lang w:val="en-US" w:eastAsia="zh-CN"/>
        </w:rPr>
        <w:t xml:space="preserve">  </w:t>
      </w:r>
      <w:r>
        <w:rPr>
          <w:rFonts w:hint="eastAsia" w:ascii="楷体" w:hAnsi="楷体" w:eastAsia="楷体" w:cs="楷体"/>
          <w:szCs w:val="32"/>
        </w:rPr>
        <w:t>2019年3月26日国务院第42次常务会议修订通过）</w:t>
      </w:r>
    </w:p>
    <w:p>
      <w:pPr>
        <w:widowControl w:val="0"/>
        <w:wordWrap/>
        <w:adjustRightInd/>
        <w:snapToGrid/>
        <w:spacing w:after="0" w:line="560" w:lineRule="exact"/>
        <w:ind w:left="0" w:leftChars="0" w:right="0"/>
        <w:textAlignment w:val="auto"/>
        <w:outlineLvl w:val="9"/>
        <w:rPr>
          <w:rFonts w:hint="eastAsia" w:ascii="楷体_GB2312" w:hAnsi="楷体_GB2312" w:eastAsia="楷体_GB2312" w:cs="楷体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第一条</w:t>
      </w:r>
      <w:r>
        <w:rPr>
          <w:rFonts w:hint="eastAsia" w:ascii="仿宋_GB2312" w:hAnsi="仿宋_GB2312" w:eastAsia="仿宋_GB2312" w:cs="仿宋_GB2312"/>
          <w:sz w:val="32"/>
          <w:szCs w:val="32"/>
        </w:rPr>
        <w:t>　根据《中华人民共和国食品安全法》（以下简称食品安全法），制定本条例。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第二条</w:t>
      </w:r>
      <w:r>
        <w:rPr>
          <w:rFonts w:hint="eastAsia" w:ascii="仿宋_GB2312" w:hAnsi="仿宋_GB2312" w:eastAsia="仿宋_GB2312" w:cs="仿宋_GB2312"/>
          <w:sz w:val="32"/>
          <w:szCs w:val="32"/>
        </w:rPr>
        <w:t>　食品生产经营者应当依照法律、法规和食品安全标准从事生产经营活动，建立健全食品安全管理制度，采取有效措施预防和控制食品安全风险，保证食品安全。</w:t>
      </w:r>
    </w:p>
    <w:p>
      <w:pPr>
        <w:widowControl w:val="0"/>
        <w:wordWrap/>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第三条</w:t>
      </w:r>
      <w:r>
        <w:rPr>
          <w:rFonts w:hint="eastAsia" w:ascii="仿宋_GB2312" w:hAnsi="仿宋_GB2312" w:eastAsia="仿宋_GB2312" w:cs="仿宋_GB2312"/>
          <w:sz w:val="32"/>
          <w:szCs w:val="32"/>
        </w:rPr>
        <w:t>　国务院食品安全委员会负责分析食品安全形势，研究部署、统筹指导食品安全工作，提出食品安全监督管理的重大政策措施，督促落实食品安全监督管理责任。县级以上地方人民政府食品安全委员会按照本级人民政府规定的职责开展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第四条</w:t>
      </w:r>
      <w:r>
        <w:rPr>
          <w:rFonts w:hint="eastAsia" w:ascii="仿宋_GB2312" w:hAnsi="仿宋_GB2312" w:eastAsia="仿宋_GB2312" w:cs="仿宋_GB2312"/>
          <w:sz w:val="32"/>
          <w:szCs w:val="32"/>
        </w:rPr>
        <w:t>　县级以上人民政府建立统一权威的食品安全监督管理体制，加强食品安全监督管理能力建设。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县级以上人民政府食品安全监督管理部门和其他有关部门应当依法履行职责，加强协调配合，做好食品安全监督管理工作。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乡镇人民政府和街道办事处应当支持、协助县级人民政府食品安全监督管理部门及其派出机构依法开展食品安全监督管理工作。</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国家将食品安全知识纳入国民素质教育内容，普及食品安全科学常识和法律知识，提高全社会的食品安全意识。</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食品安全风险监测和评估</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第六条</w:t>
      </w:r>
      <w:r>
        <w:rPr>
          <w:rFonts w:hint="eastAsia" w:ascii="仿宋_GB2312" w:hAnsi="仿宋_GB2312" w:eastAsia="仿宋_GB2312" w:cs="仿宋_GB2312"/>
          <w:sz w:val="32"/>
          <w:szCs w:val="32"/>
        </w:rPr>
        <w:t>　县级以上人民政府卫生行政部门会同同级食品安全监督管理等部门建立食品安全风险监测会商机制，汇总、分析风险监测数据，研判食品安全风险，形成食品安全风险监测分析报告，报本级人民政府；县级以上地方人民政府卫生行政部门还应当将食品安全风险监测分析报告同时报上一级人民政府卫生行政部门。食品安全风险监测会商的具体办法由国务院卫生行政部门会同国务院食品安全监督管理等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第七条</w:t>
      </w:r>
      <w:r>
        <w:rPr>
          <w:rFonts w:hint="eastAsia" w:ascii="仿宋_GB2312" w:hAnsi="仿宋_GB2312" w:eastAsia="仿宋_GB2312" w:cs="仿宋_GB2312"/>
          <w:sz w:val="32"/>
          <w:szCs w:val="32"/>
        </w:rPr>
        <w:t>　食品安全风险监测结果表明存在食品安全隐患，食品安全监督管理等部门经进一步调查确认有必要通知相关食品生产经营者的，应当及时通知。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接到通知的食品生产经营者应当立即进行自查，发现食品不符合食品安全标准或者有证据证明可能危害人体健康的，应当依照食品安全法第六十三条的规定停止生产、经营，实施食品召回，并报告相关情况。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第八条</w:t>
      </w:r>
      <w:r>
        <w:rPr>
          <w:rFonts w:hint="eastAsia" w:ascii="仿宋_GB2312" w:hAnsi="仿宋_GB2312" w:eastAsia="仿宋_GB2312" w:cs="仿宋_GB2312"/>
          <w:sz w:val="32"/>
          <w:szCs w:val="32"/>
        </w:rPr>
        <w:t>　国务院卫生行政、食品安全监督管理等部门发现需要对农药、肥料、兽药、饲料和饲料添加剂等进行安全性评估的，应当向国务院农业行政部门提出安全性评估建议。国务院农业行政部门应当及时组织评估，并向国务院有关部门通报评估结果。</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国务院食品安全监督管理部门和其他有关部门建立食品安全风险信息交流机制，明确食品安全风险信息交流的内容、程序和要求。</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食品安全标准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第十条</w:t>
      </w:r>
      <w:r>
        <w:rPr>
          <w:rFonts w:hint="eastAsia" w:ascii="仿宋_GB2312" w:hAnsi="仿宋_GB2312" w:eastAsia="仿宋_GB2312" w:cs="仿宋_GB2312"/>
          <w:sz w:val="32"/>
          <w:szCs w:val="32"/>
        </w:rPr>
        <w:t>　国务院卫生行政部门会同国务院食品安全监督管理、农业行政等部门制定食品安全国家标准规划及其年度实施计划。国务院卫生行政部门应当在其网站上公布食品安全国家标准规划及其年度实施计划的草案，公开征求意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第十一条</w:t>
      </w:r>
      <w:r>
        <w:rPr>
          <w:rFonts w:hint="eastAsia" w:ascii="仿宋_GB2312" w:hAnsi="仿宋_GB2312" w:eastAsia="仿宋_GB2312" w:cs="仿宋_GB2312"/>
          <w:sz w:val="32"/>
          <w:szCs w:val="32"/>
        </w:rPr>
        <w:t>　省、自治区、直辖市人民政府卫生行政部门依照食品安全法第二十九条的规定制定食品安全地方标准，应当公开征求意见。省、自治区、直辖市人民政府卫生行政部门应当自食品安全地方标准公布之日起30个工作日内，将地方标准报国务院卫生行政部门备案。国务院卫生行政部门发现备案的食品安全地方标准违反法律、法规或者食品安全国家标准的，应当及时予以纠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食品安全地方标准依法废止的，省、自治区、直辖市人民政府卫生行政部门应当及时在其网站上公布废止情况。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第十二条</w:t>
      </w:r>
      <w:r>
        <w:rPr>
          <w:rFonts w:hint="eastAsia" w:ascii="仿宋_GB2312" w:hAnsi="仿宋_GB2312" w:eastAsia="仿宋_GB2312" w:cs="仿宋_GB2312"/>
          <w:sz w:val="32"/>
          <w:szCs w:val="32"/>
        </w:rPr>
        <w:t>　保健食品、特殊医学用途配方食品、婴幼儿配方食品等特殊食品不属于地方特色食品，不得对其制定食品安全地方标准。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第十三条</w:t>
      </w:r>
      <w:r>
        <w:rPr>
          <w:rFonts w:hint="eastAsia" w:ascii="仿宋_GB2312" w:hAnsi="仿宋_GB2312" w:eastAsia="仿宋_GB2312" w:cs="仿宋_GB2312"/>
          <w:sz w:val="32"/>
          <w:szCs w:val="32"/>
        </w:rPr>
        <w:t>　食品安全标准公布后，食品生产经营者可以在食品安全标准规定的实施日期之前实施并公开提前实施情况。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第十四条</w:t>
      </w:r>
      <w:r>
        <w:rPr>
          <w:rFonts w:hint="eastAsia" w:ascii="仿宋_GB2312" w:hAnsi="仿宋_GB2312" w:eastAsia="仿宋_GB2312" w:cs="仿宋_GB2312"/>
          <w:sz w:val="32"/>
          <w:szCs w:val="32"/>
        </w:rPr>
        <w:t>　食品生产企业不得制定低于食品安全国家标准或者地方标准要求的企业标准。食品生产企业制定食品安全指标严于食品安全国家标准或者地方标准的企业标准的，应当报省、自治区、直辖市人民政府卫生行政部门备案。</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食品生产企业制定企业标准的，应当公开，供公众免费查阅。</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食品生产经营</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第十五条</w:t>
      </w:r>
      <w:r>
        <w:rPr>
          <w:rFonts w:hint="eastAsia" w:ascii="仿宋_GB2312" w:hAnsi="仿宋_GB2312" w:eastAsia="仿宋_GB2312" w:cs="仿宋_GB2312"/>
          <w:sz w:val="32"/>
          <w:szCs w:val="32"/>
        </w:rPr>
        <w:t>　食品生产经营许可的有效期为5年。</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食品生产经营者的生产经营条件发生变化，不再符合食品生产经营要求的，食品生产经营者应当立即采取整改措施；需要重新办理许可手续的，应当依法办理。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第十六条</w:t>
      </w:r>
      <w:r>
        <w:rPr>
          <w:rFonts w:hint="eastAsia" w:ascii="仿宋_GB2312" w:hAnsi="仿宋_GB2312" w:eastAsia="仿宋_GB2312" w:cs="仿宋_GB2312"/>
          <w:sz w:val="32"/>
          <w:szCs w:val="32"/>
        </w:rPr>
        <w:t>　国务院卫生行政部门应当及时公布新的食品原料、食品添加剂新品种和食品相关产品新品种目录以及所适用的食品安全国家标准。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对按照传统既是食品又是中药材的物质目录，国务院卫生行政部门会同国务院食品安全监督管理部门应当及时更新。</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第十七条</w:t>
      </w:r>
      <w:r>
        <w:rPr>
          <w:rFonts w:hint="eastAsia" w:ascii="仿宋_GB2312" w:hAnsi="仿宋_GB2312" w:eastAsia="仿宋_GB2312" w:cs="仿宋_GB2312"/>
          <w:sz w:val="32"/>
          <w:szCs w:val="32"/>
        </w:rPr>
        <w:t>　国务院食品安全监督管理部门会同国务院农业行政等有关部门明确食品安全全程追溯基本要求，指导食品生产经营者通过信息化手段建立、完善食品安全追溯体系。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食品安全监督管理等部门应当将婴幼儿配方食品等针对特定人群的食品以及其他食品安全风险较高或者销售量大的食品的追溯体系建设作为监督检查的重点。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第十八条</w:t>
      </w:r>
      <w:r>
        <w:rPr>
          <w:rFonts w:hint="eastAsia" w:ascii="仿宋_GB2312" w:hAnsi="仿宋_GB2312" w:eastAsia="仿宋_GB2312" w:cs="仿宋_GB2312"/>
          <w:sz w:val="32"/>
          <w:szCs w:val="32"/>
        </w:rPr>
        <w:t>　食品生产经营者应当建立食品安全追溯体系，依照食品安全法的规定如实记录并保存进货查验、出厂检验、食品销售等信息，保证食品可追溯。</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第十九条</w:t>
      </w:r>
      <w:r>
        <w:rPr>
          <w:rFonts w:hint="eastAsia" w:ascii="仿宋_GB2312" w:hAnsi="仿宋_GB2312" w:eastAsia="仿宋_GB2312" w:cs="仿宋_GB2312"/>
          <w:sz w:val="32"/>
          <w:szCs w:val="32"/>
        </w:rPr>
        <w:t>　食品生产经营企业的主要负责人对本企业的食品安全工作全面负责，建立并落实本企业的食品安全责任制，加强供货者管理、进货查验和出厂检验、生产经营过程控制、食品安全自查等工作。食品生产经营企业的食品安全管理人员应当协助企业主要负责人做好食品安全管理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第二十条</w:t>
      </w:r>
      <w:r>
        <w:rPr>
          <w:rFonts w:hint="eastAsia" w:ascii="仿宋_GB2312" w:hAnsi="仿宋_GB2312" w:eastAsia="仿宋_GB2312" w:cs="仿宋_GB2312"/>
          <w:sz w:val="32"/>
          <w:szCs w:val="32"/>
        </w:rPr>
        <w:t>　食品生产经营企业应当加强对食品安全管理人员的培训和考核。食品安全管理人员应当掌握与其岗位相适应的食品安全法律、法规、标准和专业知识，具备食品安全管理能力。食品安全监督管理部门应当对企业食品安全管理人员进行随机监督抽查考核。考核指南由国务院食品安全监督管理部门制定、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第二十一条　</w:t>
      </w:r>
      <w:r>
        <w:rPr>
          <w:rFonts w:hint="eastAsia" w:ascii="仿宋_GB2312" w:hAnsi="仿宋_GB2312" w:eastAsia="仿宋_GB2312" w:cs="仿宋_GB2312"/>
          <w:sz w:val="32"/>
          <w:szCs w:val="32"/>
        </w:rPr>
        <w:t>食品、食品添加剂生产经营者委托生产食品、食品添加剂的，应当委托取得食品生产许可、食品添加剂生产许可的生产者生产，并对其生产行为进行监督，对委托生产的食品、食品添加剂的安全负责。受托方应当依照法律、法规、食品安全标准以及合同约定进行生产，对生产行为负责，并接受委托方的监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第二十二条</w:t>
      </w:r>
      <w:r>
        <w:rPr>
          <w:rFonts w:hint="eastAsia" w:ascii="仿宋_GB2312" w:hAnsi="仿宋_GB2312" w:eastAsia="仿宋_GB2312" w:cs="仿宋_GB2312"/>
          <w:sz w:val="32"/>
          <w:szCs w:val="32"/>
        </w:rPr>
        <w:t>　食品生产经营者不得在食品生产、加工场所贮存依照本条例第六十三条规定制定的名录中的物质。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第二十三条</w:t>
      </w:r>
      <w:r>
        <w:rPr>
          <w:rFonts w:hint="eastAsia" w:ascii="仿宋_GB2312" w:hAnsi="仿宋_GB2312" w:eastAsia="仿宋_GB2312" w:cs="仿宋_GB2312"/>
          <w:sz w:val="32"/>
          <w:szCs w:val="32"/>
        </w:rPr>
        <w:t>　对食品进行辐照加工，应当遵守食品安全国家标准，并按照食品安全国家标准的要求对辐照加工食品进行检验和标注。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第二十四条</w:t>
      </w:r>
      <w:r>
        <w:rPr>
          <w:rFonts w:hint="eastAsia" w:ascii="仿宋_GB2312" w:hAnsi="仿宋_GB2312" w:eastAsia="仿宋_GB2312" w:cs="仿宋_GB2312"/>
          <w:sz w:val="32"/>
          <w:szCs w:val="32"/>
        </w:rPr>
        <w:t>　贮存、运输对温度、湿度等有特殊要求的食品，应当具备保温、冷藏或者冷冻等设备设施，并保持有效运行。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第二十五条</w:t>
      </w:r>
      <w:r>
        <w:rPr>
          <w:rFonts w:hint="eastAsia" w:ascii="仿宋_GB2312" w:hAnsi="仿宋_GB2312" w:eastAsia="仿宋_GB2312" w:cs="仿宋_GB2312"/>
          <w:sz w:val="32"/>
          <w:szCs w:val="32"/>
        </w:rPr>
        <w:t>　食品生产经营者委托贮存、运输食品的，应当对受托方的食品安全保障能力进行审核，并监督受托方按照保证食品安全的要求贮存、运输食品。受托方应当保证食品贮存、运输条件符合食品安全的要求，加强食品贮存、运输过程管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接受食品生产经营者委托贮存、运输食品的，应当如实记录委托方和收货方的名称、地址、联系方式等内容。记录保存期限不得少于贮存、运输结束后2年。</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非食品生产经营者从事对温度、湿度等有特殊要求的食品贮存业务的，应当自取得营业执照之日起30个工作日内向所在地县级人民政府食品安全监督管理部门备案。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第二十六条</w:t>
      </w:r>
      <w:r>
        <w:rPr>
          <w:rFonts w:hint="eastAsia" w:ascii="仿宋_GB2312" w:hAnsi="仿宋_GB2312" w:eastAsia="仿宋_GB2312" w:cs="仿宋_GB2312"/>
          <w:sz w:val="32"/>
          <w:szCs w:val="32"/>
        </w:rPr>
        <w:t>　餐饮服务提供者委托餐具饮具集中消毒服务单位提供清洗消毒服务的，应当查验、留存餐具饮具集中消毒服务单位的营业执照复印件和消毒合格证明。保存期限不得少于消毒餐具饮具使用期限到期后6个月。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第二十七条</w:t>
      </w:r>
      <w:r>
        <w:rPr>
          <w:rFonts w:hint="eastAsia" w:ascii="仿宋_GB2312" w:hAnsi="仿宋_GB2312" w:eastAsia="仿宋_GB2312" w:cs="仿宋_GB2312"/>
          <w:sz w:val="32"/>
          <w:szCs w:val="32"/>
        </w:rPr>
        <w:t>　餐具饮具集中消毒服务单位应当建立餐具饮具出厂检验记录制度，如实记录出厂餐具饮具的数量、消毒日期和批号、使用期限、出厂日期以及委托方名称、地址、联系方式等内容。出厂检验记录保存期限不得少于消毒餐具饮具使用期限到期后6个月。消毒后的餐具饮具应当在独立包装上标注单位名称、地址、联系方式、消毒日期和批号以及使用期限等内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第二十八条　</w:t>
      </w:r>
      <w:r>
        <w:rPr>
          <w:rFonts w:hint="eastAsia" w:ascii="仿宋_GB2312" w:hAnsi="仿宋_GB2312" w:eastAsia="仿宋_GB2312" w:cs="仿宋_GB2312"/>
          <w:sz w:val="32"/>
          <w:szCs w:val="32"/>
        </w:rPr>
        <w:t>学校、托幼机构、养老机构、建筑工地等集中用餐单位的食堂应当执行原料控制、餐具饮具清洗消毒、食品留样等制度，并依照食品安全法第四十七条的规定定期开展食堂食品安全自查。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承包经营集中用餐单位食堂的，应当依法取得食品经营许可，并对食堂的食品安全负责。集中用餐单位应当督促承包方落实食品安全管理制度，承担管理责任。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第二十九条</w:t>
      </w:r>
      <w:r>
        <w:rPr>
          <w:rFonts w:hint="eastAsia" w:ascii="仿宋_GB2312" w:hAnsi="仿宋_GB2312" w:eastAsia="仿宋_GB2312" w:cs="仿宋_GB2312"/>
          <w:sz w:val="32"/>
          <w:szCs w:val="32"/>
        </w:rPr>
        <w:t>　食品生产经营者应当对变质、超过保质期或者回收的食品进行显著标示或者单独存放在有明确标志的场所，及时采取无害化处理、销毁等措施并如实记录。</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食品安全法所称回收食品，是指已经售出，因违反法律、法规、食品安全标准或者超过保质期等原因，被召回或者退回的食品，不包括依照食品安全法第六十三条第三款的规定可以继续销售的食品。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第三十条</w:t>
      </w:r>
      <w:r>
        <w:rPr>
          <w:rFonts w:hint="eastAsia" w:ascii="仿宋_GB2312" w:hAnsi="仿宋_GB2312" w:eastAsia="仿宋_GB2312" w:cs="仿宋_GB2312"/>
          <w:sz w:val="32"/>
          <w:szCs w:val="32"/>
        </w:rPr>
        <w:t>　县级以上地方人民政府根据需要建设必要的食品无害化处理和销毁设施。食品生产经营者可以按照规定使用政府建设的设施对食品进行无害化处理或者予以销毁。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第三十一条</w:t>
      </w:r>
      <w:r>
        <w:rPr>
          <w:rFonts w:hint="eastAsia" w:ascii="仿宋_GB2312" w:hAnsi="仿宋_GB2312" w:eastAsia="仿宋_GB2312" w:cs="仿宋_GB2312"/>
          <w:sz w:val="32"/>
          <w:szCs w:val="32"/>
        </w:rPr>
        <w:t>　食品集中交易市场的开办者、食品展销会的举办者应当在市场开业或者展销会举办前向所在地县级人民政府食品安全监督管理部门报告。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第三十二条</w:t>
      </w:r>
      <w:r>
        <w:rPr>
          <w:rFonts w:hint="eastAsia" w:ascii="仿宋_GB2312" w:hAnsi="仿宋_GB2312" w:eastAsia="仿宋_GB2312" w:cs="仿宋_GB2312"/>
          <w:sz w:val="32"/>
          <w:szCs w:val="32"/>
        </w:rPr>
        <w:t>　网络食品交易第三方平台提供者应当妥善保存入网食品经营者的登记信息和交易信息。县级以上人民政府食品安全监督管理部门开展食品安全监督检查、食品安全案件调查处理、食品安全事故处置确需了解有关信息的，经其负责人批准，可以要求网络食品交易第三方平台提供者提供，网络食品交易第三方平台提供者应当按照要求提供。县级以上人民政府食品安全监督管理部门及其工作人员对网络食品交易第三方平台提供者提供的信息依法负有保密义务。</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第三十三条</w:t>
      </w:r>
      <w:r>
        <w:rPr>
          <w:rFonts w:hint="eastAsia" w:ascii="仿宋_GB2312" w:hAnsi="仿宋_GB2312" w:eastAsia="仿宋_GB2312" w:cs="仿宋_GB2312"/>
          <w:sz w:val="32"/>
          <w:szCs w:val="32"/>
        </w:rPr>
        <w:t>　生产经营转基因食品应当显著标示，标示办法由国务院食品安全监督管理部门会同国务院农业行政部门制定。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第三十四条</w:t>
      </w:r>
      <w:r>
        <w:rPr>
          <w:rFonts w:hint="eastAsia" w:ascii="仿宋_GB2312" w:hAnsi="仿宋_GB2312" w:eastAsia="仿宋_GB2312" w:cs="仿宋_GB2312"/>
          <w:sz w:val="32"/>
          <w:szCs w:val="32"/>
        </w:rPr>
        <w:t>　禁止利用包括会议、讲座、健康咨询在内的任何方式对食品进行虚假宣传。食品安全监督管理部门发现虚假宣传行为的，应当依法及时处理。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第三十五条</w:t>
      </w:r>
      <w:r>
        <w:rPr>
          <w:rFonts w:hint="eastAsia" w:ascii="仿宋_GB2312" w:hAnsi="仿宋_GB2312" w:eastAsia="仿宋_GB2312" w:cs="仿宋_GB2312"/>
          <w:sz w:val="32"/>
          <w:szCs w:val="32"/>
        </w:rPr>
        <w:t>　保健食品生产工艺有原料提取、纯化等前处理工序的，生产企业应当具备相应的原料前处理能力。</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第三十六条</w:t>
      </w:r>
      <w:r>
        <w:rPr>
          <w:rFonts w:hint="eastAsia" w:ascii="仿宋_GB2312" w:hAnsi="仿宋_GB2312" w:eastAsia="仿宋_GB2312" w:cs="仿宋_GB2312"/>
          <w:sz w:val="32"/>
          <w:szCs w:val="32"/>
        </w:rPr>
        <w:t>　特殊医学用途配方食品生产企业应当按照食品安全国家标准规定的检验项目对出厂产品实施逐批检验。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特殊医学用途配方食品中的特定全营养配方食品应当通过医疗机构或者药品零售企业向消费者销售。医疗机构、药品零售企业销售特定全营养配方食品的，不需要取得食品经营许可，但是应当遵守食品安全法和本条例关于食品销售的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第三十七条</w:t>
      </w:r>
      <w:r>
        <w:rPr>
          <w:rFonts w:hint="eastAsia" w:ascii="仿宋_GB2312" w:hAnsi="仿宋_GB2312" w:eastAsia="仿宋_GB2312" w:cs="仿宋_GB2312"/>
          <w:sz w:val="32"/>
          <w:szCs w:val="32"/>
        </w:rPr>
        <w:t>　特殊医学用途配方食品中的特定全营养配方食品广告按照处方药广告管理，其他类别的特殊医学用途配方食品广告按照非处方药广告管理。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第三十八条</w:t>
      </w:r>
      <w:r>
        <w:rPr>
          <w:rFonts w:hint="eastAsia" w:ascii="仿宋_GB2312" w:hAnsi="仿宋_GB2312" w:eastAsia="仿宋_GB2312" w:cs="仿宋_GB2312"/>
          <w:sz w:val="32"/>
          <w:szCs w:val="32"/>
        </w:rPr>
        <w:t>　对保健食品之外的其他食品，不得声称具有保健功能。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对添加食品安全国家标准规定的选择性添加物质的婴幼儿配方食品，不得以选择性添加物质命名。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第三十九条</w:t>
      </w:r>
      <w:r>
        <w:rPr>
          <w:rFonts w:hint="eastAsia" w:ascii="仿宋_GB2312" w:hAnsi="仿宋_GB2312" w:eastAsia="仿宋_GB2312" w:cs="仿宋_GB2312"/>
          <w:sz w:val="32"/>
          <w:szCs w:val="32"/>
        </w:rPr>
        <w:t>　特殊食品的标签、说明书内容应当与注册或者备案的标签、说明书一致。销售特殊食品，应当核对食品标签、说明书内容是否与注册或者备案的标签、说明书一致，不一致的不得销售。省级以上人民政府食品安全监督管理部门应当在其网站上公布注册或者备案的特殊食品的标签、说明书。</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特殊食品不得与普通食品或者药品混放销售。</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食品检验</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第四十条</w:t>
      </w:r>
      <w:r>
        <w:rPr>
          <w:rFonts w:hint="eastAsia" w:ascii="仿宋_GB2312" w:hAnsi="仿宋_GB2312" w:eastAsia="仿宋_GB2312" w:cs="仿宋_GB2312"/>
          <w:sz w:val="32"/>
          <w:szCs w:val="32"/>
        </w:rPr>
        <w:t>　对食品进行抽样检验，应当按照食品安全标准、注册或者备案的特殊食品的产品技术要求以及国家有关规定确定的检验项目和检验方法进行。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第四十一条</w:t>
      </w:r>
      <w:r>
        <w:rPr>
          <w:rFonts w:hint="eastAsia" w:ascii="仿宋_GB2312" w:hAnsi="仿宋_GB2312" w:eastAsia="仿宋_GB2312" w:cs="仿宋_GB2312"/>
          <w:sz w:val="32"/>
          <w:szCs w:val="32"/>
        </w:rPr>
        <w:t>　对可能掺杂掺假的食品，按照现有食品安全标准规定的检验项目和检验方法以及依照食品安全法第一百一十一条和本条例第六十三条规定制定的检验项目和检验方法无法检验的，国务院食品安全监督管理部门可以制定补充检验项目和检验方法，用于对食品的抽样检验、食品安全案件调查处理和食品安全事故处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第四十二条</w:t>
      </w:r>
      <w:r>
        <w:rPr>
          <w:rFonts w:hint="eastAsia" w:ascii="仿宋_GB2312" w:hAnsi="仿宋_GB2312" w:eastAsia="仿宋_GB2312" w:cs="仿宋_GB2312"/>
          <w:sz w:val="32"/>
          <w:szCs w:val="32"/>
        </w:rPr>
        <w:t>　依照食品安全法第八十八条的规定申请复检的，申请人应当向复检机构先行支付复检费用。复检结论表明食品不合格的，复检费用由复检申请人承担；复检结论表明食品合格的，复检费用由实施抽样检验的食品安全监督管理部门承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复检机构无正当理由不得拒绝承担复检任务。</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第四十三条</w:t>
      </w:r>
      <w:r>
        <w:rPr>
          <w:rFonts w:hint="eastAsia" w:ascii="仿宋_GB2312" w:hAnsi="仿宋_GB2312" w:eastAsia="仿宋_GB2312" w:cs="仿宋_GB2312"/>
          <w:sz w:val="32"/>
          <w:szCs w:val="32"/>
        </w:rPr>
        <w:t>　任何单位和个人不得发布未依法取得资质认定的食品检验机构出具的食品检验信息，不得利用上述检验信息对食品、食品生产经营者进行等级评定，欺骗、误导消费者。</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食品进出口</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第四十四条</w:t>
      </w:r>
      <w:r>
        <w:rPr>
          <w:rFonts w:hint="eastAsia" w:ascii="仿宋_GB2312" w:hAnsi="仿宋_GB2312" w:eastAsia="仿宋_GB2312" w:cs="仿宋_GB2312"/>
          <w:sz w:val="32"/>
          <w:szCs w:val="32"/>
        </w:rPr>
        <w:t>　进口商进口食品、食品添加剂，应当按照规定向出入境检验检疫机构报检，如实申报产品相关信息，并随附法律、行政法规规定的合格证明材料。</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第四十五条</w:t>
      </w:r>
      <w:r>
        <w:rPr>
          <w:rFonts w:hint="eastAsia" w:ascii="仿宋_GB2312" w:hAnsi="仿宋_GB2312" w:eastAsia="仿宋_GB2312" w:cs="仿宋_GB2312"/>
          <w:sz w:val="32"/>
          <w:szCs w:val="32"/>
        </w:rPr>
        <w:t>　进口食品运达口岸后，应当存放在出入境检验检疫机构指定或者认可的场所；需要移动的，应当按照出入境检验检疫机构的要求采取必要的安全防护措施。大宗散装进口食品应当在卸货口岸进行检验。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第四十六条</w:t>
      </w:r>
      <w:r>
        <w:rPr>
          <w:rFonts w:hint="eastAsia" w:ascii="仿宋_GB2312" w:hAnsi="仿宋_GB2312" w:eastAsia="仿宋_GB2312" w:cs="仿宋_GB2312"/>
          <w:sz w:val="32"/>
          <w:szCs w:val="32"/>
        </w:rPr>
        <w:t>　国家出入境检验检疫部门根据风险管理需要，可以对部分食品实行指定口岸进口。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第四十七条</w:t>
      </w:r>
      <w:r>
        <w:rPr>
          <w:rFonts w:hint="eastAsia" w:ascii="仿宋_GB2312" w:hAnsi="仿宋_GB2312" w:eastAsia="仿宋_GB2312" w:cs="仿宋_GB2312"/>
          <w:sz w:val="32"/>
          <w:szCs w:val="32"/>
        </w:rPr>
        <w:t>　国务院卫生行政部门依照食品安全法第九十三条的规定对境外出口商、境外生产企业或者其委托的进口商提交的相关国家（地区）标准或者国际标准进行审查，认为符合食品安全要求的，决定暂予适用并予以公布；暂予适用的标准公布前，不得进口尚无食品安全国家标准的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食品安全国家标准中通用标准已经涵盖的食品不属于食品安全法第九十三条规定的尚无食品安全国家标准的食品。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第四十八条</w:t>
      </w:r>
      <w:r>
        <w:rPr>
          <w:rFonts w:hint="eastAsia" w:ascii="仿宋_GB2312" w:hAnsi="仿宋_GB2312" w:eastAsia="仿宋_GB2312" w:cs="仿宋_GB2312"/>
          <w:sz w:val="32"/>
          <w:szCs w:val="32"/>
        </w:rPr>
        <w:t>　进口商应当建立境外出口商、境外生产企业审核制度，重点审核境外出口商、境外生产企业制定和执行食品安全风险控制措施的情况以及向我国出口的食品是否符合食品安全法、本条例和其他有关法律、行政法规的规定以及食品安全国家标准的要求。</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第四十九条</w:t>
      </w:r>
      <w:r>
        <w:rPr>
          <w:rFonts w:hint="eastAsia" w:ascii="仿宋_GB2312" w:hAnsi="仿宋_GB2312" w:eastAsia="仿宋_GB2312" w:cs="仿宋_GB2312"/>
          <w:sz w:val="32"/>
          <w:szCs w:val="32"/>
        </w:rPr>
        <w:t>　进口商依照食品安全法第九十四条第三款的规定召回进口食品的，应当将食品召回和处理情况向所在地县级人民政府食品安全监督管理部门和所在地出入境检验检疫机构报告。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第五十条</w:t>
      </w:r>
      <w:r>
        <w:rPr>
          <w:rFonts w:hint="eastAsia" w:ascii="仿宋_GB2312" w:hAnsi="仿宋_GB2312" w:eastAsia="仿宋_GB2312" w:cs="仿宋_GB2312"/>
          <w:sz w:val="32"/>
          <w:szCs w:val="32"/>
        </w:rPr>
        <w:t>　国家出入境检验检疫部门发现已经注册的境外食品生产企业不再符合注册要求的，应当责令其在规定期限内整改，整改期间暂停进口其生产的食品；经整改仍不符合注册要求的，国家出入境检验检疫部门应当撤销境外食品生产企业注册并公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第五十一条</w:t>
      </w:r>
      <w:r>
        <w:rPr>
          <w:rFonts w:hint="eastAsia" w:ascii="仿宋_GB2312" w:hAnsi="仿宋_GB2312" w:eastAsia="仿宋_GB2312" w:cs="仿宋_GB2312"/>
          <w:sz w:val="32"/>
          <w:szCs w:val="32"/>
        </w:rPr>
        <w:t>　对通过我国良好生产规范、危害分析与关键控制点体系认证的境外生产企业，认证机构应当依法实施跟踪调查。对不再符合认证要求的企业，认证机构应当依法撤销认证并向社会公布。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第五十二条</w:t>
      </w:r>
      <w:r>
        <w:rPr>
          <w:rFonts w:hint="eastAsia" w:ascii="仿宋_GB2312" w:hAnsi="仿宋_GB2312" w:eastAsia="仿宋_GB2312" w:cs="仿宋_GB2312"/>
          <w:sz w:val="32"/>
          <w:szCs w:val="32"/>
        </w:rPr>
        <w:t>　境外发生的食品安全事件可能对我国境内造成影响，或者在进口食品、食品添加剂、食品相关产品中发现严重食品安全问题的，国家出入境检验检疫部门应当及时进行风险预警，并可以对相关的食品、食品添加剂、食品相关产品采取下列控制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（一）退货或者销毁处理；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（二）有条件地限制进口；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（三）暂停或者禁止进口。</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第五十三条</w:t>
      </w:r>
      <w:r>
        <w:rPr>
          <w:rFonts w:hint="eastAsia" w:ascii="仿宋_GB2312" w:hAnsi="仿宋_GB2312" w:eastAsia="仿宋_GB2312" w:cs="仿宋_GB2312"/>
          <w:sz w:val="32"/>
          <w:szCs w:val="32"/>
        </w:rPr>
        <w:t>　出口食品、食品添加剂的生产企业应当保证其出口食品、食品添加剂符合进口国家（地区）的标准或者合同要求；我国缔结或者参加的国际条约、协定有要求的，还应当符合国际条约、协定的要求。</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食品安全事故处置</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第五十四条</w:t>
      </w:r>
      <w:r>
        <w:rPr>
          <w:rFonts w:hint="eastAsia" w:ascii="仿宋_GB2312" w:hAnsi="仿宋_GB2312" w:eastAsia="仿宋_GB2312" w:cs="仿宋_GB2312"/>
          <w:sz w:val="32"/>
          <w:szCs w:val="32"/>
        </w:rPr>
        <w:t>　食品安全事故按照国家食品安全事故应急预案实行分级管理。县级以上人民政府食品安全监督管理部门会同同级有关部门负责食品安全事故调查处理。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县级以上人民政府应当根据实际情况及时修改、完善食品安全事故应急预案。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第五十五条</w:t>
      </w:r>
      <w:r>
        <w:rPr>
          <w:rFonts w:hint="eastAsia" w:ascii="仿宋_GB2312" w:hAnsi="仿宋_GB2312" w:eastAsia="仿宋_GB2312" w:cs="仿宋_GB2312"/>
          <w:sz w:val="32"/>
          <w:szCs w:val="32"/>
        </w:rPr>
        <w:t>　县级以上人民政府应当完善食品安全事故应急管理机制，改善应急装备，做好应急物资储备和应急队伍建设，加强应急培训、演练。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第五十六条</w:t>
      </w:r>
      <w:r>
        <w:rPr>
          <w:rFonts w:hint="eastAsia" w:ascii="仿宋_GB2312" w:hAnsi="仿宋_GB2312" w:eastAsia="仿宋_GB2312" w:cs="仿宋_GB2312"/>
          <w:sz w:val="32"/>
          <w:szCs w:val="32"/>
        </w:rPr>
        <w:t>　发生食品安全事故的单位应当对导致或者可能导致食品安全事故的食品及原料、工具、设备、设施等，立即采取封存等控制措施。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第五十七条</w:t>
      </w:r>
      <w:r>
        <w:rPr>
          <w:rFonts w:hint="eastAsia" w:ascii="仿宋_GB2312" w:hAnsi="仿宋_GB2312" w:eastAsia="仿宋_GB2312" w:cs="仿宋_GB2312"/>
          <w:sz w:val="32"/>
          <w:szCs w:val="32"/>
        </w:rPr>
        <w:t>　县级以上人民政府食品安全监督管理部门接到食品安全事故报告后，应当立即会同同级卫生行政、农业行政等部门依照食品安全法第一百零五条的规定进行调查处理。食品安全监督管理部门应当对事故单位封存的食品及原料、工具、设备、设施等予以保护，需要封存而事故单位尚未封存的应当直接封存或者责令事故单位立即封存，并通知疾病预防控制机构对与事故有关的因素开展流行病学调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疾病预防控制机构应当在调查结束后向同级食品安全监督管理、卫生行政部门同时提交流行病学调查报告。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任何单位和个人不得拒绝、阻挠疾病预防控制机构开展流行病学调查。有关部门应当对疾病预防控制机构开展流行病学调查予以协助。</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第五十八条</w:t>
      </w:r>
      <w:r>
        <w:rPr>
          <w:rFonts w:hint="eastAsia" w:ascii="仿宋_GB2312" w:hAnsi="仿宋_GB2312" w:eastAsia="仿宋_GB2312" w:cs="仿宋_GB2312"/>
          <w:sz w:val="32"/>
          <w:szCs w:val="32"/>
        </w:rPr>
        <w:t>　国务院食品安全监督管理部门会同国务院卫生行政、农业行政等部门定期对全国食品安全事故情况进行分析，完善食品安全监督管理措施，预防和减少事故的发生。</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监督管理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第五十九条</w:t>
      </w:r>
      <w:r>
        <w:rPr>
          <w:rFonts w:hint="eastAsia" w:ascii="仿宋_GB2312" w:hAnsi="仿宋_GB2312" w:eastAsia="仿宋_GB2312" w:cs="仿宋_GB2312"/>
          <w:sz w:val="32"/>
          <w:szCs w:val="32"/>
        </w:rPr>
        <w:t>　设区的市级以上人民政府食品安全监督管理部门根据监督管理工作需要，可以对由下级人民政府食品安全监督管理部门负责日常监督管理的食品生产经营者实施随机监督检查，也可以组织下级人民政府食品安全监督管理部门对食品生产经营者实施异地监督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设区的市级以上人民政府食品安全监督管理部门认为必要的，可以直接调查处理下级人民政府食品安全监督管理部门管辖的食品安全违法案件，也可以指定其他下级人民政府食品安全监督管理部门调查处理。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第六十条</w:t>
      </w:r>
      <w:r>
        <w:rPr>
          <w:rFonts w:hint="eastAsia" w:ascii="仿宋_GB2312" w:hAnsi="仿宋_GB2312" w:eastAsia="仿宋_GB2312" w:cs="仿宋_GB2312"/>
          <w:sz w:val="32"/>
          <w:szCs w:val="32"/>
        </w:rPr>
        <w:t>　国家建立食品安全检查员制度，依托现有资源加强职业化检查员队伍建设，强化考核培训，提高检查员专业化水平。</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第六十一条</w:t>
      </w:r>
      <w:r>
        <w:rPr>
          <w:rFonts w:hint="eastAsia" w:ascii="仿宋_GB2312" w:hAnsi="仿宋_GB2312" w:eastAsia="仿宋_GB2312" w:cs="仿宋_GB2312"/>
          <w:sz w:val="32"/>
          <w:szCs w:val="32"/>
        </w:rPr>
        <w:t>　县级以上人民政府食品安全监督管理部门依照食品安全法第一百一十条的规定实施查封、扣押措施，查封、扣押的期限不得超过30日；情况复杂的，经实施查封、扣押措施的食品安全监督管理部门负责人批准，可以延长，延长期限不得超过45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第六十二条</w:t>
      </w:r>
      <w:r>
        <w:rPr>
          <w:rFonts w:hint="eastAsia" w:ascii="仿宋_GB2312" w:hAnsi="仿宋_GB2312" w:eastAsia="仿宋_GB2312" w:cs="仿宋_GB2312"/>
          <w:sz w:val="32"/>
          <w:szCs w:val="32"/>
        </w:rPr>
        <w:t>　网络食品交易第三方平台多次出现入网食品经营者违法经营或者入网食品经营者的违法经营行为造成严重后果的，县级以上人民政府食品安全监督管理部门可以对网络食品交易第三方平台提供者的法定代表人或者主要负责人进行责任约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第六十三条</w:t>
      </w:r>
      <w:r>
        <w:rPr>
          <w:rFonts w:hint="eastAsia" w:ascii="仿宋_GB2312" w:hAnsi="仿宋_GB2312" w:eastAsia="仿宋_GB2312" w:cs="仿宋_GB2312"/>
          <w:sz w:val="32"/>
          <w:szCs w:val="32"/>
        </w:rPr>
        <w:t>　国务院食品安全监督管理部门会同国务院卫生行政等部门根据食源性疾病信息、食品安全风险监测信息和监督管理信息等，对发现的添加或者可能添加到食品中的非食品用化学物质和其他可能危害人体健康的物质，制定名录及检测方法并予以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第六十四条</w:t>
      </w:r>
      <w:r>
        <w:rPr>
          <w:rFonts w:hint="eastAsia" w:ascii="仿宋_GB2312" w:hAnsi="仿宋_GB2312" w:eastAsia="仿宋_GB2312" w:cs="仿宋_GB2312"/>
          <w:sz w:val="32"/>
          <w:szCs w:val="32"/>
        </w:rPr>
        <w:t>　县级以上地方人民政府卫生行政部门应当对餐具饮具集中消毒服务单位进行监督检查，发现不符合法律、法规、国家相关标准以及相关卫生规范等要求的，应当及时调查处理。监督检查的结果应当向社会公布。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第六十五条</w:t>
      </w:r>
      <w:r>
        <w:rPr>
          <w:rFonts w:hint="eastAsia" w:ascii="仿宋_GB2312" w:hAnsi="仿宋_GB2312" w:eastAsia="仿宋_GB2312" w:cs="仿宋_GB2312"/>
          <w:sz w:val="32"/>
          <w:szCs w:val="32"/>
        </w:rPr>
        <w:t>　国家实行食品安全违法行为举报奖励制度，对查证属实的举报，给予举报人奖励。举报人举报所在企业食品安全重大违法犯罪行为的，应当加大奖励力度。有关部门应当对举报人的信息予以保密，保护举报人的合法权益。食品安全违法行为举报奖励办法由国务院食品安全监督管理部门会同国务院财政等有关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食品安全违法行为举报奖励资金纳入各级人民政府预算。</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第六十六条</w:t>
      </w:r>
      <w:r>
        <w:rPr>
          <w:rFonts w:hint="eastAsia" w:ascii="仿宋_GB2312" w:hAnsi="仿宋_GB2312" w:eastAsia="仿宋_GB2312" w:cs="仿宋_GB2312"/>
          <w:sz w:val="32"/>
          <w:szCs w:val="32"/>
        </w:rPr>
        <w:t>　国务院食品安全监督管理部门应当会同国务院有关部门建立守信联合激励和失信联合惩戒机制，结合食品生产经营者信用档案，建立严重违法生产经营者黑名单制度，将食品安全信用状况与准入、融资、信贷、征信等相衔接，及时向社会公布。</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法律责任</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第六十七条</w:t>
      </w:r>
      <w:r>
        <w:rPr>
          <w:rFonts w:hint="eastAsia" w:ascii="仿宋_GB2312" w:hAnsi="仿宋_GB2312" w:eastAsia="仿宋_GB2312" w:cs="仿宋_GB2312"/>
          <w:sz w:val="32"/>
          <w:szCs w:val="32"/>
        </w:rPr>
        <w:t>　有下列情形之一的，属于食品安全法第一百二十三条至第一百二十六条、第一百三十二条以及本条例第七十二条、第七十三条规定的情节严重情形：</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（一）违法行为涉及的产品货值金额2万元以上或者违法行为持续时间3个月以上；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（二）造成食源性疾病并出现死亡病例，或者造成30人以上食源性疾病但未出现死亡病例；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（三）故意提供虚假信息或者隐瞒真实情况；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（四）拒绝、逃避监督检查；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（五）因违反食品安全法律、法规受到行政处罚后1年内又实施同一性质的食品安全违法行为，或者因违反食品安全法律、法规受到刑事处罚后又实施食品安全违法行为；</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（六）其他情节严重的情形。</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对情节严重的违法行为处以罚款时，应当依法从重从严。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第六十八条</w:t>
      </w:r>
      <w:r>
        <w:rPr>
          <w:rFonts w:hint="eastAsia" w:ascii="仿宋_GB2312" w:hAnsi="仿宋_GB2312" w:eastAsia="仿宋_GB2312" w:cs="仿宋_GB2312"/>
          <w:sz w:val="32"/>
          <w:szCs w:val="32"/>
        </w:rPr>
        <w:t>　有下列情形之一的，依照食品安全法第一百二十五条第一款、本条例第七十五条的规定给予处罚：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（一）在食品生产、加工场所贮存依照本条例第六十三条规定制定的名录中的物质；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（二）生产经营的保健食品之外的食品的标签、说明书声称具有保健功能；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（三）以食品安全国家标准规定的选择性添加物质命名婴幼儿配方食品；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（四）生产经营的特殊食品的标签、说明书内容与注册或者备案的标签、说明书不一致。</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第六十九条</w:t>
      </w:r>
      <w:r>
        <w:rPr>
          <w:rFonts w:hint="eastAsia" w:ascii="仿宋_GB2312" w:hAnsi="仿宋_GB2312" w:eastAsia="仿宋_GB2312" w:cs="仿宋_GB2312"/>
          <w:sz w:val="32"/>
          <w:szCs w:val="32"/>
        </w:rPr>
        <w:t>　有下列情形之一的，依照食品安全法第一百二十六条第一款、本条例第七十五条的规定给予处罚：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（一）接受食品生产经营者委托贮存、运输食品，未按照规定记录保存信息；</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（二）餐饮服务提供者未查验、留存餐具饮具集中消毒服务单位的营业执照复印件和消毒合格证明；</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（三）食品生产经营者未按照规定对变质、超过保质期或者回收的食品进行标示或者存放，或者未及时对上述食品采取无害化处理、销毁等措施并如实记录；</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（四）医疗机构和药品零售企业之外的单位或者个人向消费者销售特殊医学用途配方食品中的特定全营养配方食品；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（五）将特殊食品与普通食品或者药品混放销售。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第七十条</w:t>
      </w:r>
      <w:r>
        <w:rPr>
          <w:rFonts w:hint="eastAsia" w:ascii="仿宋_GB2312" w:hAnsi="仿宋_GB2312" w:eastAsia="仿宋_GB2312" w:cs="仿宋_GB2312"/>
          <w:sz w:val="32"/>
          <w:szCs w:val="32"/>
        </w:rPr>
        <w:t>　除食品安全法第一百二十五条第一款、第一百二十六条规定的情形外，食品生产经营者的生产经营行为不符合食品安全法第三十三条第一款第五项、第七项至第十项的规定，或者不符合有关食品生产经营过程要求的食品安全国家标准的，依照食品安全法第一百二十六条第一款、本条例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第七十一条</w:t>
      </w:r>
      <w:r>
        <w:rPr>
          <w:rFonts w:hint="eastAsia" w:ascii="仿宋_GB2312" w:hAnsi="仿宋_GB2312" w:eastAsia="仿宋_GB2312" w:cs="仿宋_GB2312"/>
          <w:sz w:val="32"/>
          <w:szCs w:val="32"/>
        </w:rPr>
        <w:t>　餐具饮具集中消毒服务单位未按照规定建立并遵守出厂检验记录制度的，由县级以上人民政府卫生行政部门依照食品安全法第一百二十六条第一款、本条例第七十五条的规定给予处罚。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第七十二条</w:t>
      </w:r>
      <w:r>
        <w:rPr>
          <w:rFonts w:hint="eastAsia" w:ascii="仿宋_GB2312" w:hAnsi="仿宋_GB2312" w:eastAsia="仿宋_GB2312" w:cs="仿宋_GB2312"/>
          <w:sz w:val="32"/>
          <w:szCs w:val="32"/>
        </w:rPr>
        <w:t>　从事对温度、湿度等有特殊要求的食品贮存业务的非食品生产经营者，食品集中交易市场的开办者、食品展销会的举办者，未按照规定备案或者报告的，由县级以上人民政府食品安全监督管理部门责令改正，给予警告；拒不改正的，处1万元以上5万元以下罚款；情节严重的，责令停产停业，并处5万元以上20万元以下罚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第七十三条</w:t>
      </w:r>
      <w:r>
        <w:rPr>
          <w:rFonts w:hint="eastAsia" w:ascii="仿宋_GB2312" w:hAnsi="仿宋_GB2312" w:eastAsia="仿宋_GB2312" w:cs="仿宋_GB2312"/>
          <w:sz w:val="32"/>
          <w:szCs w:val="32"/>
        </w:rPr>
        <w:t>　利用会议、讲座、健康咨询等方式对食品进行虚假宣传的，由县级以上人民政府食品安全监督管理部门责令消除影响，有违法所得的，没收违法所得；情节严重的，依照食品安全法第一百四十条第五款的规定进行处罚；属于单位违法的，还应当依照本条例第七十五条的规定对单位的法定代表人、主要负责人、直接负责的主管人员和其他直接责任人员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第七十四条</w:t>
      </w:r>
      <w:r>
        <w:rPr>
          <w:rFonts w:hint="eastAsia" w:ascii="仿宋_GB2312" w:hAnsi="仿宋_GB2312" w:eastAsia="仿宋_GB2312" w:cs="仿宋_GB2312"/>
          <w:sz w:val="32"/>
          <w:szCs w:val="32"/>
        </w:rPr>
        <w:t>　食品生产经营者生产经营的食品符合食品安全标准但不符合食品所标注的企业标准规定的食品安全指标的，由县级以上人民政府食品安全监督管理部门给予警告，并责令食品经营者停止经营该食品，责令食品生产企业改正；拒不停止经营或者改正的，没收不符合企业标准规定的食品安全指标的食品，货值金额不足1万元的，并处1万元以上5万元以下罚款，货值金额1万元以上的，并处货值金额5倍以上10倍以下罚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第七十五条</w:t>
      </w:r>
      <w:r>
        <w:rPr>
          <w:rFonts w:hint="eastAsia" w:ascii="仿宋_GB2312" w:hAnsi="仿宋_GB2312" w:eastAsia="仿宋_GB2312" w:cs="仿宋_GB2312"/>
          <w:sz w:val="32"/>
          <w:szCs w:val="32"/>
        </w:rPr>
        <w:t>　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（一）故意实施违法行为；</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（二）违法行为性质恶劣；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（三）违法行为造成严重后果。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属于食品安全法第一百二十五条第二款规定情形的，不适用前款规定。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第七十六条</w:t>
      </w:r>
      <w:r>
        <w:rPr>
          <w:rFonts w:hint="eastAsia" w:ascii="仿宋_GB2312" w:hAnsi="仿宋_GB2312" w:eastAsia="仿宋_GB2312" w:cs="仿宋_GB2312"/>
          <w:sz w:val="32"/>
          <w:szCs w:val="32"/>
        </w:rPr>
        <w:t>　食品生产经营者依照食品安全法第六十三条第一款、第二款的规定停止生产、经营，实施食品召回，或者采取其他有效措施减轻或者消除食品安全风险，未造成危害后果的，可以从轻或者减轻处罚。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第七十七条</w:t>
      </w:r>
      <w:r>
        <w:rPr>
          <w:rFonts w:hint="eastAsia" w:ascii="仿宋_GB2312" w:hAnsi="仿宋_GB2312" w:eastAsia="仿宋_GB2312" w:cs="仿宋_GB2312"/>
          <w:sz w:val="32"/>
          <w:szCs w:val="32"/>
        </w:rPr>
        <w:t>　县级以上地方人民政府食品安全监督管理等部门对有食品安全法第一百二十三条规定的违法情形且情节严重，可能需要行政拘留的，应当及时将案件及有关材料移送同级公安机关。公安机关认为需要补充材料的，食品安全监督管理等部门应当及时提供。公安机关经审查认为不符合行政拘留条件的，应当及时将案件及有关材料退回移送的食品安全监督管理等部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第七十八条</w:t>
      </w:r>
      <w:r>
        <w:rPr>
          <w:rFonts w:hint="eastAsia" w:ascii="仿宋_GB2312" w:hAnsi="仿宋_GB2312" w:eastAsia="仿宋_GB2312" w:cs="仿宋_GB2312"/>
          <w:sz w:val="32"/>
          <w:szCs w:val="32"/>
        </w:rPr>
        <w:t>　公安机关对发现的食品安全违法行为，经审查没有犯罪事实或者立案侦查后认为不需要追究刑事责任，但依法应当予以行政拘留的，应当及时作出行政拘留的处罚决定；不需要予以行政拘留但依法应当追究其他行政责任的，应当及时将案件及有关材料移送同级食品安全监督管理等部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第七十九条</w:t>
      </w:r>
      <w:r>
        <w:rPr>
          <w:rFonts w:hint="eastAsia" w:ascii="仿宋_GB2312" w:hAnsi="仿宋_GB2312" w:eastAsia="仿宋_GB2312" w:cs="仿宋_GB2312"/>
          <w:sz w:val="32"/>
          <w:szCs w:val="32"/>
        </w:rPr>
        <w:t>　复检机构无正当理由拒绝承担复检任务的，由县级以上人民政府食品安全监督管理部门给予警告，无正当理由1年内2次拒绝承担复检任务的，由国务院有关部门撤销其复检机构资质并向社会公布。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第八十条</w:t>
      </w:r>
      <w:r>
        <w:rPr>
          <w:rFonts w:hint="eastAsia" w:ascii="仿宋_GB2312" w:hAnsi="仿宋_GB2312" w:eastAsia="仿宋_GB2312" w:cs="仿宋_GB2312"/>
          <w:sz w:val="32"/>
          <w:szCs w:val="32"/>
        </w:rPr>
        <w:t>　发布未依法取得资质认定的食品检验机构出具的食品检验信息，或者利用上述检验信息对食品、食品生产经营者进行等级评定，欺骗、误导消费者的，由县级以上人民政府食品安全监督管理部门责令改正，有违法所得的，没收违法所得，并处10万元以上50万元以下罚款；拒不改正的，处50万元以上100万元以下罚款；构成违反治安管理行为的，由公安机关依法给予治安管理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第八十一条</w:t>
      </w:r>
      <w:r>
        <w:rPr>
          <w:rFonts w:hint="eastAsia" w:ascii="仿宋_GB2312" w:hAnsi="仿宋_GB2312" w:eastAsia="仿宋_GB2312" w:cs="仿宋_GB2312"/>
          <w:sz w:val="32"/>
          <w:szCs w:val="32"/>
        </w:rPr>
        <w:t>　食品安全监督管理部门依照食品安全法、本条例对违法单位或者个人处以30万元以上罚款的，由设区的市级以上人民政府食品安全监督管理部门决定。罚款具体处罚权限由国务院食品安全监督管理部门规定。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第八十二条</w:t>
      </w:r>
      <w:r>
        <w:rPr>
          <w:rFonts w:hint="eastAsia" w:ascii="仿宋_GB2312" w:hAnsi="仿宋_GB2312" w:eastAsia="仿宋_GB2312" w:cs="仿宋_GB2312"/>
          <w:sz w:val="32"/>
          <w:szCs w:val="32"/>
        </w:rPr>
        <w:t>　阻碍食品安全监督管理等部门工作人员依法执行职务，构成违反治安管理行为的，由公安机关依法给予治安管理处罚。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第八十三条</w:t>
      </w:r>
      <w:r>
        <w:rPr>
          <w:rFonts w:hint="eastAsia" w:ascii="仿宋_GB2312" w:hAnsi="仿宋_GB2312" w:eastAsia="仿宋_GB2312" w:cs="仿宋_GB2312"/>
          <w:sz w:val="32"/>
          <w:szCs w:val="32"/>
        </w:rPr>
        <w:t>　县级以上人民政府食品安全监督管理等部门发现单位或者个人违反食品安全法第一百二十条第一款规定，编造、散布虚假食品安全信息，涉嫌构成违反治安管理行为的，应当将相关情况通报同级公安机关。</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第八十四条</w:t>
      </w:r>
      <w:r>
        <w:rPr>
          <w:rFonts w:hint="eastAsia" w:ascii="仿宋_GB2312" w:hAnsi="仿宋_GB2312" w:eastAsia="仿宋_GB2312" w:cs="仿宋_GB2312"/>
          <w:sz w:val="32"/>
          <w:szCs w:val="32"/>
        </w:rPr>
        <w:t>　县级以上人民政府食品安全监督管理部门及其工作人员违法向他人提供网络食品交易第三方平台提供者提供的信息的，依照食品安全法第一百四十五条的规定给予处分。</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第八十五条</w:t>
      </w:r>
      <w:r>
        <w:rPr>
          <w:rFonts w:hint="eastAsia" w:ascii="仿宋_GB2312" w:hAnsi="仿宋_GB2312" w:eastAsia="仿宋_GB2312" w:cs="仿宋_GB2312"/>
          <w:sz w:val="32"/>
          <w:szCs w:val="32"/>
        </w:rPr>
        <w:t>　违反本条例规定，构成犯罪的，依法追究刑事责任。</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第十章　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第八十六条</w:t>
      </w:r>
      <w:r>
        <w:rPr>
          <w:rFonts w:hint="eastAsia" w:ascii="仿宋_GB2312" w:hAnsi="仿宋_GB2312" w:eastAsia="仿宋_GB2312" w:cs="仿宋_GB2312"/>
          <w:sz w:val="32"/>
          <w:szCs w:val="32"/>
        </w:rPr>
        <w:t>　本条例自</w:t>
      </w:r>
      <w:r>
        <w:rPr>
          <w:rFonts w:hint="eastAsia" w:ascii="宋体" w:hAnsi="宋体" w:eastAsia="宋体" w:cs="宋体"/>
          <w:sz w:val="32"/>
          <w:szCs w:val="32"/>
        </w:rPr>
        <w:t>2019</w:t>
      </w:r>
      <w:r>
        <w:rPr>
          <w:rFonts w:hint="eastAsia" w:ascii="仿宋_GB2312" w:hAnsi="仿宋_GB2312" w:eastAsia="仿宋_GB2312" w:cs="仿宋_GB2312"/>
          <w:sz w:val="32"/>
          <w:szCs w:val="32"/>
        </w:rPr>
        <w:t>年</w:t>
      </w:r>
      <w:r>
        <w:rPr>
          <w:rFonts w:hint="eastAsia" w:ascii="宋体" w:hAnsi="宋体" w:eastAsia="宋体" w:cs="宋体"/>
          <w:sz w:val="32"/>
          <w:szCs w:val="32"/>
        </w:rPr>
        <w:t>12</w:t>
      </w:r>
      <w:r>
        <w:rPr>
          <w:rFonts w:hint="eastAsia" w:ascii="仿宋_GB2312" w:hAnsi="仿宋_GB2312" w:eastAsia="仿宋_GB2312" w:cs="仿宋_GB2312"/>
          <w:sz w:val="32"/>
          <w:szCs w:val="32"/>
        </w:rPr>
        <w:t>月</w:t>
      </w:r>
      <w:r>
        <w:rPr>
          <w:rFonts w:hint="eastAsia" w:ascii="宋体" w:hAnsi="宋体" w:eastAsia="宋体" w:cs="宋体"/>
          <w:sz w:val="32"/>
          <w:szCs w:val="32"/>
        </w:rPr>
        <w:t>1</w:t>
      </w:r>
      <w:r>
        <w:rPr>
          <w:rFonts w:hint="eastAsia" w:ascii="仿宋_GB2312" w:hAnsi="仿宋_GB2312" w:eastAsia="仿宋_GB2312" w:cs="仿宋_GB2312"/>
          <w:sz w:val="32"/>
          <w:szCs w:val="32"/>
        </w:rPr>
        <w:t>日起施行。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3" w:name="_Toc7478"/>
      <w:r>
        <w:rPr>
          <w:rFonts w:hint="eastAsia" w:ascii="宋体" w:hAnsi="宋体" w:eastAsia="宋体" w:cs="Arial"/>
          <w:bCs/>
          <w:sz w:val="44"/>
          <w:szCs w:val="44"/>
        </w:rPr>
        <w:t>中华人民共和国药品管理法实施条例</w:t>
      </w:r>
      <w:bookmarkEnd w:id="253"/>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（2002年8月4日中华人民共和国国务院令第360号公布　根据2016年2月6日《国务院关于修改部分行政法规的决定》修订　根据2019年3月2日《国务院关于修改部分行政法规的决定》修正）</w:t>
      </w:r>
    </w:p>
    <w:p>
      <w:pPr>
        <w:widowControl w:val="0"/>
        <w:wordWrap/>
        <w:adjustRightInd/>
        <w:snapToGrid/>
        <w:spacing w:after="0" w:line="560" w:lineRule="exact"/>
        <w:ind w:left="0" w:leftChars="0" w:right="0"/>
        <w:textAlignment w:val="auto"/>
        <w:outlineLvl w:val="9"/>
        <w:rPr>
          <w:rFonts w:hint="eastAsia" w:ascii="楷体_GB2312" w:hAnsi="楷体_GB2312" w:eastAsia="楷体_GB2312" w:cs="楷体_GB2312"/>
          <w:sz w:val="32"/>
          <w:szCs w:val="32"/>
        </w:rPr>
      </w:pPr>
    </w:p>
    <w:p>
      <w:pPr>
        <w:widowControl w:val="0"/>
        <w:numPr>
          <w:ilvl w:val="0"/>
          <w:numId w:val="10"/>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第一条</w:t>
      </w:r>
      <w:r>
        <w:rPr>
          <w:rFonts w:hint="eastAsia" w:ascii="仿宋_GB2312" w:hAnsi="仿宋_GB2312" w:eastAsia="仿宋_GB2312" w:cs="仿宋_GB2312"/>
          <w:sz w:val="32"/>
          <w:szCs w:val="32"/>
        </w:rPr>
        <w:t>　根据《中华人民共和国药品管理法》（以下简称《药品管理法》），制定本条例。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第二条</w:t>
      </w:r>
      <w:r>
        <w:rPr>
          <w:rFonts w:hint="eastAsia" w:ascii="仿宋_GB2312" w:hAnsi="仿宋_GB2312" w:eastAsia="仿宋_GB2312" w:cs="仿宋_GB2312"/>
          <w:sz w:val="32"/>
          <w:szCs w:val="32"/>
        </w:rPr>
        <w:t>　国务院药品监督管理部门设置国家药品检验机构。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省、自治区、直辖市人民政府药品监督管理部门可以在本行政区域内设置药品检验机构。地方药品检验机构的设置规划由省、自治区、直辖市人民政府药品监督管理部门提出，报省、自治区、直辖市人民政府批准。</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国务院和省、自治区、直辖市人民政府的药品监督管理部门可以根据需要，确定符合药品检验条件的检验机构承担药品检验工作。</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第二章　药品生产企业管理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第三条</w:t>
      </w:r>
      <w:r>
        <w:rPr>
          <w:rFonts w:hint="eastAsia" w:ascii="仿宋_GB2312" w:hAnsi="仿宋_GB2312" w:eastAsia="仿宋_GB2312" w:cs="仿宋_GB2312"/>
          <w:sz w:val="32"/>
          <w:szCs w:val="32"/>
        </w:rPr>
        <w:t>　开办药品生产企业，申办人应当向拟办企业所在地省、自治区、直辖市人民政府药品监督管理部门提出申请。省、自治区、直辖市人民政府药品监督管理部门应当自收到申请之日起30个工作日内，依据《药品管理法》第八条规定的开办条件组织验收；验收合格的，发给《药品生产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第四条</w:t>
      </w:r>
      <w:r>
        <w:rPr>
          <w:rFonts w:hint="eastAsia" w:ascii="仿宋_GB2312" w:hAnsi="仿宋_GB2312" w:eastAsia="仿宋_GB2312" w:cs="仿宋_GB2312"/>
          <w:sz w:val="32"/>
          <w:szCs w:val="32"/>
        </w:rPr>
        <w:t>　药品生产企业变更《药品生产许可证》许可事项的，应当在许可事项发生变更30日前，向原发证机关申请《药品生产许可证》变更登记；未经批准，不得变更许可事项。原发证机关应当自收到申请之日起15个工作日内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第五条</w:t>
      </w:r>
      <w:r>
        <w:rPr>
          <w:rFonts w:hint="eastAsia" w:ascii="仿宋_GB2312" w:hAnsi="仿宋_GB2312" w:eastAsia="仿宋_GB2312" w:cs="仿宋_GB2312"/>
          <w:sz w:val="32"/>
          <w:szCs w:val="32"/>
        </w:rPr>
        <w:t>　省级以上人民政府药品监督管理部门应当按照《药品生产质量管理规范》和国务院药品监督管理部门规定的实施办法和实施步骤，组织对药品生产企业的认证工作；符合《药品生产质量管理规范》的，发给认证证书。其中，生产注射剂、放射性药品和国务院药品监督管理部门规定的生物制品的药品生产企业的认证工作，由国务院药品监督管理部门负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《药品生产质量管理规范》认证证书的格式由国务院药品监督管理部门统一规定。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第六条</w:t>
      </w:r>
      <w:r>
        <w:rPr>
          <w:rFonts w:hint="eastAsia" w:ascii="仿宋_GB2312" w:hAnsi="仿宋_GB2312" w:eastAsia="仿宋_GB2312" w:cs="仿宋_GB2312"/>
          <w:sz w:val="32"/>
          <w:szCs w:val="32"/>
        </w:rPr>
        <w:t>　新开办药品生产企业、药品生产企业新建药品生产车间或者新增生产剂型的，应当自取得药品生产证明文件或者经批准正式生产之日起30日内，按照规定向药品监督管理部门申请《药品生产质量管理规范》认证。受理申请的药品监督管理部门应当自收到企业申请之日起6个月内，组织对申请企业是否符合《药品生产质量管理规范》进行认证；认证合格的，发给认证证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第七条</w:t>
      </w:r>
      <w:r>
        <w:rPr>
          <w:rFonts w:hint="eastAsia" w:ascii="仿宋_GB2312" w:hAnsi="仿宋_GB2312" w:eastAsia="仿宋_GB2312" w:cs="仿宋_GB2312"/>
          <w:sz w:val="32"/>
          <w:szCs w:val="32"/>
        </w:rPr>
        <w:t>　国务院药品监督管理部门应当设立《药品生产质量管理规范》认证检查员库。《药品生产质量管理规范》认证检查员必须符合国务院药品监督管理部门规定的条件。进行《药品生产质量管理规范》认证，必须按照国务院药品监督管理部门的规定，从《药品生产质量管理规范》认证检查员库中随机抽取认证检查员组成认证检查组进行认证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第八条</w:t>
      </w:r>
      <w:r>
        <w:rPr>
          <w:rFonts w:hint="eastAsia" w:ascii="仿宋_GB2312" w:hAnsi="仿宋_GB2312" w:eastAsia="仿宋_GB2312" w:cs="仿宋_GB2312"/>
          <w:sz w:val="32"/>
          <w:szCs w:val="32"/>
        </w:rPr>
        <w:t>　《药品生产许可证》有效期为5年。有效期届满，需要继续生产药品的，持证企业应当在许可证有效期届满前6个月，按照国务院药品监督管理部门的规定申请换发《药品生产许可证》。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药品生产企业终止生产药品或者关闭的，《药品生产许可证》由原发证部门缴销。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第九条</w:t>
      </w:r>
      <w:r>
        <w:rPr>
          <w:rFonts w:hint="eastAsia" w:ascii="仿宋_GB2312" w:hAnsi="仿宋_GB2312" w:eastAsia="仿宋_GB2312" w:cs="仿宋_GB2312"/>
          <w:sz w:val="32"/>
          <w:szCs w:val="32"/>
        </w:rPr>
        <w:t>　药品生产企业生产药品所使用的原料药，必须具有国务院药品监督管理部门核发的药品批准文号或者进口药品注册证书、医药产品注册证书；但是，未实施批准文号管理的中药材、中药饮片除外。</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第十条</w:t>
      </w:r>
      <w:r>
        <w:rPr>
          <w:rFonts w:hint="eastAsia" w:ascii="仿宋_GB2312" w:hAnsi="仿宋_GB2312" w:eastAsia="仿宋_GB2312" w:cs="仿宋_GB2312"/>
          <w:sz w:val="32"/>
          <w:szCs w:val="32"/>
        </w:rPr>
        <w:t>　依据《药品管理法》第十三条规定，接受委托生产药品的，受托方必须是持有与其受托生产的药品相适应的《药品生产质量管理规范》认证证书的药品生产企业。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疫苗、血液制品和国务院药品监督管理部门规定的其他药品，不得委托生产。</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药品经营企业管理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第十一条</w:t>
      </w:r>
      <w:r>
        <w:rPr>
          <w:rFonts w:hint="eastAsia" w:ascii="仿宋_GB2312" w:hAnsi="仿宋_GB2312" w:eastAsia="仿宋_GB2312" w:cs="仿宋_GB2312"/>
          <w:sz w:val="32"/>
          <w:szCs w:val="32"/>
        </w:rPr>
        <w:t>　开办药品批发企业，申办人应当向拟办企业所在地省、自治区、直辖市人民政府药品监督管理部门提出申请。省、自治区、直辖市人民政府药品监督管理部门应当自收到申请之日起30个工作日内，依据国务院药品监督管理部门规定的设置标准作出是否同意筹建的决定。申办人完成拟办企业筹建后，应当向原审批部门申请验收。原审批部门应当自收到申请之日起30个工作日内，依据《药品管理法》第十五条规定的开办条件组织验收；符合条件的，发给《药品经营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第十二条</w:t>
      </w:r>
      <w:r>
        <w:rPr>
          <w:rFonts w:hint="eastAsia" w:ascii="仿宋_GB2312" w:hAnsi="仿宋_GB2312" w:eastAsia="仿宋_GB2312" w:cs="仿宋_GB2312"/>
          <w:sz w:val="32"/>
          <w:szCs w:val="32"/>
        </w:rPr>
        <w:t>　开办药品零售企业，申办人应当向拟办企业所在地设区的市级药品监督管理机构或者省、自治区、直辖市人民政府药品监督管理部门直接设置的县级药品监督管理机构提出申请。受理申请的药品监督管理机构应当自收到申请之日起30个工作日内，依据国务院药品监督管理部门的规定，结合当地常住人口数量、地域、交通状况和实际需要进行审查，作出是否同意筹建的决定。申办人完成拟办企业筹建后，应当向原审批机构申请验收。原审批机构应当自收到申请之日起15个工作日内，依据《药品管理法》第十五条规定的开办条件组织验收；符合条件的，发给《药品经营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第十三条</w:t>
      </w:r>
      <w:r>
        <w:rPr>
          <w:rFonts w:hint="eastAsia" w:ascii="仿宋_GB2312" w:hAnsi="仿宋_GB2312" w:eastAsia="仿宋_GB2312" w:cs="仿宋_GB2312"/>
          <w:sz w:val="32"/>
          <w:szCs w:val="32"/>
        </w:rPr>
        <w:t>　省、自治区、直辖市人民政府药品监督管理部门和设区的市级药品监督管理机构负责组织药品经营企业的认证工作。药品经营企业应当按照国务院药品监督管理部门规定的实施办法和实施步骤，通过省、自治区、直辖市人民政府药品监督管理部门或者设区的市级药品监督管理机构组织的《药品经营质量管理规范》的认证，取得认证证书。《药品经营质量管理规范》认证证书的格式由国务院药品监督管理部门统一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新开办药品批发企业和药品零售企业，应当自取得《药品经营许可证》之日起30日内，向发给其《药品经营许可证》的药品监督管理部门或者药品监督管理机构申请《药品经营质量管理规范》认证。受理申请的药品监督管理部门或者药品监督管理机构应当自收到申请之日起3个月内，按照国务院药品监督管理部门的规定，组织对申请认证的药品批发企业或者药品零售企业是否符合《药品经营质量管理规范》进行认证；认证合格的，发给认证证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第十四条</w:t>
      </w:r>
      <w:r>
        <w:rPr>
          <w:rFonts w:hint="eastAsia" w:ascii="仿宋_GB2312" w:hAnsi="仿宋_GB2312" w:eastAsia="仿宋_GB2312" w:cs="仿宋_GB2312"/>
          <w:sz w:val="32"/>
          <w:szCs w:val="32"/>
        </w:rPr>
        <w:t>　省、自治区、直辖市人民政府药品监督管理部门应当设立《药品经营质量管理规范》认证检查员库。《药品经营质量管理规范》认证检查员必须符合国务院药品监督管理部门规定的条件。进行《药品经营质量管理规范》认证，必须按照国务院药品监督管理部门的规定，从《药品经营质量管理规范》认证检查员库中随机抽取认证检查员组成认证检查组进行认证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第十五条</w:t>
      </w:r>
      <w:r>
        <w:rPr>
          <w:rFonts w:hint="eastAsia" w:ascii="仿宋_GB2312" w:hAnsi="仿宋_GB2312" w:eastAsia="仿宋_GB2312" w:cs="仿宋_GB2312"/>
          <w:sz w:val="32"/>
          <w:szCs w:val="32"/>
        </w:rPr>
        <w:t>　国家实行处方药和非处方药分类管理制度。国家根据非处方药品的安全性，将非处方药分为甲类非处方药和乙类非处方药。</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经营处方药、甲类非处方药的药品零售企业，应当配备执业药师或者其他依法经资格认定的药学技术人员。经营乙类非处方药的药品零售企业，应当配备经设区的市级药品监督管理机构或者省、自治区、直辖市人民政府药品监督管理部门直接设置的县级药品监督管理机构组织考核合格的业务人员。</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第十六条</w:t>
      </w:r>
      <w:r>
        <w:rPr>
          <w:rFonts w:hint="eastAsia" w:ascii="仿宋_GB2312" w:hAnsi="仿宋_GB2312" w:eastAsia="仿宋_GB2312" w:cs="仿宋_GB2312"/>
          <w:sz w:val="32"/>
          <w:szCs w:val="32"/>
        </w:rPr>
        <w:t>　药品经营企业变更《药品经营许可证》许可事项的，应当在许可事项发生变更30日前，向原发证机关申请《药品经营许可证》变更登记；未经批准，不得变更许可事项。原发证机关应当自收到企业申请之日起15个工作日内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第十七条</w:t>
      </w:r>
      <w:r>
        <w:rPr>
          <w:rFonts w:hint="eastAsia" w:ascii="仿宋_GB2312" w:hAnsi="仿宋_GB2312" w:eastAsia="仿宋_GB2312" w:cs="仿宋_GB2312"/>
          <w:sz w:val="32"/>
          <w:szCs w:val="32"/>
        </w:rPr>
        <w:t>　《药品经营许可证》有效期为5年。有效期届满，需要继续经营药品的，持证企业应当在许可证有效期届满前6个月，按照国务院药品监督管理部门的规定申请换发《药品经营许可证》。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药品经营企业终止经营药品或者关闭的，《药品经营许可证》由原发证机关缴销。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第十八条</w:t>
      </w:r>
      <w:r>
        <w:rPr>
          <w:rFonts w:hint="eastAsia" w:ascii="仿宋_GB2312" w:hAnsi="仿宋_GB2312" w:eastAsia="仿宋_GB2312" w:cs="仿宋_GB2312"/>
          <w:sz w:val="32"/>
          <w:szCs w:val="32"/>
        </w:rPr>
        <w:t>　交通不便的边远地区城乡集市贸易市场没有药品零售企业的，当地药品零售企业经所在地县（市）药品监督管理机构批准并到工商行政管理部门办理登记注册后，可以在该城乡集市贸易市场内设点并在批准经营的药品范围内销售非处方药品。</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第十九条</w:t>
      </w:r>
      <w:r>
        <w:rPr>
          <w:rFonts w:hint="eastAsia" w:ascii="仿宋_GB2312" w:hAnsi="仿宋_GB2312" w:eastAsia="仿宋_GB2312" w:cs="仿宋_GB2312"/>
          <w:sz w:val="32"/>
          <w:szCs w:val="32"/>
        </w:rPr>
        <w:t>　通过互联网进行药品交易的药品生产企业、药品经营企业、医疗机构及其交易的药品，必须符合《药品管理法》和本条例的规定。互联网药品交易服务的管理办法，由国务院药品监督管理部门会同国务院有关部门制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医疗机构的药剂管理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第二十条　</w:t>
      </w:r>
      <w:r>
        <w:rPr>
          <w:rFonts w:hint="eastAsia" w:ascii="仿宋_GB2312" w:hAnsi="仿宋_GB2312" w:eastAsia="仿宋_GB2312" w:cs="仿宋_GB2312"/>
          <w:sz w:val="32"/>
          <w:szCs w:val="32"/>
        </w:rPr>
        <w:t>医疗机构设立制剂室，应当向所在地省、自治区、直辖市人民政府卫生行政部门提出申请，经审核同意后，报同级人民政府药品监督管理部门审批；省、自治区、直辖市人民政府药品监督管理部门验收合格的，予以批准，发给《医疗机构制剂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省、自治区、直辖市人民政府卫生行政部门和药品监督管理部门应当在各自收到申请之日起30个工作日内，作出是否同意或者批准的决定。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第二十一条</w:t>
      </w:r>
      <w:r>
        <w:rPr>
          <w:rFonts w:hint="eastAsia" w:ascii="仿宋_GB2312" w:hAnsi="仿宋_GB2312" w:eastAsia="仿宋_GB2312" w:cs="仿宋_GB2312"/>
          <w:sz w:val="32"/>
          <w:szCs w:val="32"/>
        </w:rPr>
        <w:t>　医疗机构变更《医疗机构制剂许可证》许可事项的，应当在许可事项发生变更30日前，依照本条例第二十条的规定向原审核、批准机关申请《医疗机构制剂许可证》变更登记；未经批准，不得变更许可事项。原审核、批准机关应当在各自收到申请之日起15个工作日内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医疗机构新增配制剂型或者改变配制场所的，应当经所在地省、自治区、直辖市人民政府药品监督管理部门验收合格后，依照前款规定办理《医疗机构制剂许可证》变更登记。</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第二十二条</w:t>
      </w:r>
      <w:r>
        <w:rPr>
          <w:rFonts w:hint="eastAsia" w:ascii="仿宋_GB2312" w:hAnsi="仿宋_GB2312" w:eastAsia="仿宋_GB2312" w:cs="仿宋_GB2312"/>
          <w:sz w:val="32"/>
          <w:szCs w:val="32"/>
        </w:rPr>
        <w:t>　《医疗机构制剂许可证》有效期为5年。有效期届满，需要继续配制制剂的，医疗机构应当在许可证有效期届满前6个月，按照国务院药品监督管理部门的规定申请换发《医疗机构制剂许可证》。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医疗机构终止配制制剂或者关闭的，《医疗机构制剂许可证》由原发证机关缴销。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第二十三条</w:t>
      </w:r>
      <w:r>
        <w:rPr>
          <w:rFonts w:hint="eastAsia" w:ascii="仿宋_GB2312" w:hAnsi="仿宋_GB2312" w:eastAsia="仿宋_GB2312" w:cs="仿宋_GB2312"/>
          <w:sz w:val="32"/>
          <w:szCs w:val="32"/>
        </w:rPr>
        <w:t>　医疗机构配制制剂，必须按照国务院药品监督管理部门的规定报送有关资料和样品，经所在地省、自治区、直辖市人民政府药品监督管理部门批准，并发给制剂批准文号后，方可配制。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第二十四条</w:t>
      </w:r>
      <w:r>
        <w:rPr>
          <w:rFonts w:hint="eastAsia" w:ascii="仿宋_GB2312" w:hAnsi="仿宋_GB2312" w:eastAsia="仿宋_GB2312" w:cs="仿宋_GB2312"/>
          <w:sz w:val="32"/>
          <w:szCs w:val="32"/>
        </w:rPr>
        <w:t>　医疗机构配制的制剂不得在市场上销售或者变相销售，不得发布医疗机构制剂广告。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发生灾情、疫情、突发事件或者临床急需而市场没有供应时，经国务院或者省、自治区、直辖市人民政府的药品监督管理部门批准，在规定期限内，医疗机构配制的制剂可以在指定的医疗机构之间调剂使用。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国务院药品监督管理部门规定的特殊制剂的调剂使用以及省、自治区、直辖市之间医疗机构制剂的调剂使用，必须经国务院药品监督管理部门批准。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第二十五条</w:t>
      </w:r>
      <w:r>
        <w:rPr>
          <w:rFonts w:hint="eastAsia" w:ascii="仿宋_GB2312" w:hAnsi="仿宋_GB2312" w:eastAsia="仿宋_GB2312" w:cs="仿宋_GB2312"/>
          <w:sz w:val="32"/>
          <w:szCs w:val="32"/>
        </w:rPr>
        <w:t>　医疗机构审核和调配处方的药剂人员必须是依法经资格认定的药学技术人员。</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第二十六条</w:t>
      </w:r>
      <w:r>
        <w:rPr>
          <w:rFonts w:hint="eastAsia" w:ascii="仿宋_GB2312" w:hAnsi="仿宋_GB2312" w:eastAsia="仿宋_GB2312" w:cs="仿宋_GB2312"/>
          <w:sz w:val="32"/>
          <w:szCs w:val="32"/>
        </w:rPr>
        <w:t>　医疗机构购进药品，必须有真实、完整的药品购进记录。药品购进记录必须注明药品的通用名称、剂型、规格、批号、有效期、生产厂商、供货单位、购货数量、购进价格、购货日期以及国务院药品监督管理部门规定的其他内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第二十七条</w:t>
      </w:r>
      <w:r>
        <w:rPr>
          <w:rFonts w:hint="eastAsia" w:ascii="仿宋_GB2312" w:hAnsi="仿宋_GB2312" w:eastAsia="仿宋_GB2312" w:cs="仿宋_GB2312"/>
          <w:sz w:val="32"/>
          <w:szCs w:val="32"/>
        </w:rPr>
        <w:t>　医疗机构向患者提供的药品应当与诊疗范围相适应，并凭执业医师或者执业助理医师的处方调配。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计划生育技术服务机构采购和向患者提供药品，其范围应当与经批准的服务范围相一致，并凭执业医师或者执业助理医师的处方调配。</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人设置的门诊部、诊所等医疗机构不得配备常用药品和急救药品以外的其他药品。常用药品和急救药品的范围和品种，由所在地的省、自治区、直辖市人民政府卫生行政部门会同同级人民政府药品监督管理部门规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第二十八条</w:t>
      </w:r>
      <w:r>
        <w:rPr>
          <w:rFonts w:hint="eastAsia" w:ascii="仿宋_GB2312" w:hAnsi="仿宋_GB2312" w:eastAsia="仿宋_GB2312" w:cs="仿宋_GB2312"/>
          <w:sz w:val="32"/>
          <w:szCs w:val="32"/>
        </w:rPr>
        <w:t>　药物非临床安全性评价研究机构必须执行《药物非临床研究质量管理规范》，药物临床试验机构必须执行《药物临床试验质量管理规范》。《药物非临床研究质量管理规范》、《药物临床试验质量管理规范》由国务院药品监督管理部门分别商国务院科学技术行政部门和国务院卫生行政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第二十九条</w:t>
      </w:r>
      <w:r>
        <w:rPr>
          <w:rFonts w:hint="eastAsia" w:ascii="仿宋_GB2312" w:hAnsi="仿宋_GB2312" w:eastAsia="仿宋_GB2312" w:cs="仿宋_GB2312"/>
          <w:sz w:val="32"/>
          <w:szCs w:val="32"/>
        </w:rPr>
        <w:t>　药物临床试验、生产药品和进口药品，应当符合《药品管理法》及本条例的规定，经国务院药品监督管理部门审查批准；国务院药品监督管理部门可以委托省、自治区、直辖市人民政府药品监督管理部门对申报药物的研制情况及条件进行审查，对申报资料进行形式审查，并对试制的样品进行检验。具体办法由国务院药品监督管理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第三十条</w:t>
      </w:r>
      <w:r>
        <w:rPr>
          <w:rFonts w:hint="eastAsia" w:ascii="仿宋_GB2312" w:hAnsi="仿宋_GB2312" w:eastAsia="仿宋_GB2312" w:cs="仿宋_GB2312"/>
          <w:sz w:val="32"/>
          <w:szCs w:val="32"/>
        </w:rPr>
        <w:t>　研制新药，需要进行临床试验的，应当依照《药品管理法》第二十九条的规定，经国务院药品监督管理部门批准。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物临床试验申请经国务院药品监督管理部门批准后，申报人应当在经依法认定的具有药物临床试验资格的机构中选择承担药物临床试验的机构，并将该临床试验机构报国务院药品监督管理部门和国务院卫生行政部门备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药物临床试验机构进行药物临床试验，应当事先告知受试者或者其监护人真实情况，并取得其书面同意。</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第三十一条</w:t>
      </w:r>
      <w:r>
        <w:rPr>
          <w:rFonts w:hint="eastAsia" w:ascii="仿宋_GB2312" w:hAnsi="仿宋_GB2312" w:eastAsia="仿宋_GB2312" w:cs="仿宋_GB2312"/>
          <w:sz w:val="32"/>
          <w:szCs w:val="32"/>
        </w:rPr>
        <w:t>　生产已有国家标准的药品，应当按照国务院药品监督管理部门的规定，向省、自治区、直辖市人民政府药品监督管理部门或者国务院药品监督管理部门提出申请，报送有关技术资料并提供相关证明文件。省、自治区、直辖市人民政府药品监督管理部门应当自受理申请之日起30个工作日内进行审查，提出意见后报送国务院药品监督管理部门审核，并同时将审查意见通知申报方。国务院药品监督管理部门经审核符合规定的，发给药品批准文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第三十二条</w:t>
      </w:r>
      <w:r>
        <w:rPr>
          <w:rFonts w:hint="eastAsia" w:ascii="仿宋_GB2312" w:hAnsi="仿宋_GB2312" w:eastAsia="仿宋_GB2312" w:cs="仿宋_GB2312"/>
          <w:sz w:val="32"/>
          <w:szCs w:val="32"/>
        </w:rPr>
        <w:t>　变更研制新药、生产药品和进口药品已获批准证明文件及其附件中载明事项的，应当向国务院药品监督管理部门提出补充申请；国务院药品监督管理部门经审核符合规定的，应当予以批准。其中，不改变药品内在质量的，应当向省、自治区、直辖市人民政府药品监督管理部门提出补充申请；省、自治区、直辖市人民政府药品监督管理部门经审核符合规定的，应当予以批准，并报国务院药品监督管理部门备案。不改变药品内在质量的补充申请事项由国务院药品监督管理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第三十三条</w:t>
      </w:r>
      <w:r>
        <w:rPr>
          <w:rFonts w:hint="eastAsia" w:ascii="仿宋_GB2312" w:hAnsi="仿宋_GB2312" w:eastAsia="仿宋_GB2312" w:cs="仿宋_GB2312"/>
          <w:sz w:val="32"/>
          <w:szCs w:val="32"/>
        </w:rPr>
        <w:t>　国务院药品监督管理部门根据保护公众健康的要求，可以对药品生产企业生产的新药品种设立不超过5年的监测期；在监测期内，不得批准其他企业生产和进口。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第三十四条</w:t>
      </w:r>
      <w:r>
        <w:rPr>
          <w:rFonts w:hint="eastAsia" w:ascii="仿宋_GB2312" w:hAnsi="仿宋_GB2312" w:eastAsia="仿宋_GB2312" w:cs="仿宋_GB2312"/>
          <w:sz w:val="32"/>
          <w:szCs w:val="32"/>
        </w:rPr>
        <w:t>　国家对获得生产或者销售含有新型化学成份药品许可的生产者或者销售者提交的自行取得且未披露的试验数据和其他数据实施保护，任何人不得对该未披露的试验数据和其他数据进行不正当的商业利用。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自药品生产者或者销售者获得生产、销售新型化学成份药品的许可证明文件之日起6年内，对其他申请人未经已获得许可的申请人同意，使用前款数据申请生产、销售新型化学成份药品许可的，药品监督管理部门不予许可；但是，其他申请人提交自行取得数据的除外。</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除下列情形外，药品监督管理部门不得披露本条第一款规定的数据：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（一）公共利益需要；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（二）已采取措施确保该类数据不会被不正当地进行商业利用。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第三十五条</w:t>
      </w:r>
      <w:r>
        <w:rPr>
          <w:rFonts w:hint="eastAsia" w:ascii="仿宋_GB2312" w:hAnsi="仿宋_GB2312" w:eastAsia="仿宋_GB2312" w:cs="仿宋_GB2312"/>
          <w:sz w:val="32"/>
          <w:szCs w:val="32"/>
        </w:rPr>
        <w:t>　申请进口的药品，应当是在生产国家或者地区获得上市许可的药品；未在生产国家或者地区获得上市许可的，经国务院药品监督管理部门确认该药品品种安全、有效而且临床需要的，可以依照《药品管理法》及本条例的规定批准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进口药品，应当按照国务院药品监督管理部门的规定申请注册。国外企业生产的药品取得《进口药品注册证》，中国香港、澳门和台湾地区企业生产的药品取得《医药产品注册证》后，方可进口。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第三十六条</w:t>
      </w:r>
      <w:r>
        <w:rPr>
          <w:rFonts w:hint="eastAsia" w:ascii="仿宋_GB2312" w:hAnsi="仿宋_GB2312" w:eastAsia="仿宋_GB2312" w:cs="仿宋_GB2312"/>
          <w:sz w:val="32"/>
          <w:szCs w:val="32"/>
        </w:rPr>
        <w:t>　医疗机构因临床急需进口少量药品的，应当持《医疗机构执业许可证》向国务院药品监督管理部门提出申请；经批准后，方可进口。进口的药品应当在指定医疗机构内用于特定医疗目的。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第三十七条</w:t>
      </w:r>
      <w:r>
        <w:rPr>
          <w:rFonts w:hint="eastAsia" w:ascii="仿宋_GB2312" w:hAnsi="仿宋_GB2312" w:eastAsia="仿宋_GB2312" w:cs="仿宋_GB2312"/>
          <w:sz w:val="32"/>
          <w:szCs w:val="32"/>
        </w:rPr>
        <w:t>　进口药品到岸后，进口单位应当持《进口药品注册证》或者《医药产品注册证》以及产地证明原件、购货合同副本、装箱单、运单、货运发票、出厂检验报告书、说明书等材料，向口岸所在地药品监督管理部门备案。口岸所在地药品监督管理部门经审查，提交的材料符合要求的，发给《进口药品通关单》。进口单位凭《进口药品通关单》向海关办理报关验放手续。</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口岸所在地药品监督管理部门应当通知药品检验机构对进口药品逐批进行抽查检验；但是，有《药品管理法》第四十一条规定情形的除外。</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第三十八条</w:t>
      </w:r>
      <w:r>
        <w:rPr>
          <w:rFonts w:hint="eastAsia" w:ascii="仿宋_GB2312" w:hAnsi="仿宋_GB2312" w:eastAsia="仿宋_GB2312" w:cs="仿宋_GB2312"/>
          <w:sz w:val="32"/>
          <w:szCs w:val="32"/>
        </w:rPr>
        <w:t>　疫苗类制品、血液制品、用于血源筛查的体外诊断试剂以及国务院药品监督管理部门规定的其他生物制品在销售前或者进口时，应当按照国务院药品监督管理部门的规定进行检验或者审核批准；检验不合格或者未获批准的，不得销售或者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第三十九条</w:t>
      </w:r>
      <w:r>
        <w:rPr>
          <w:rFonts w:hint="eastAsia" w:ascii="仿宋_GB2312" w:hAnsi="仿宋_GB2312" w:eastAsia="仿宋_GB2312" w:cs="仿宋_GB2312"/>
          <w:sz w:val="32"/>
          <w:szCs w:val="32"/>
        </w:rPr>
        <w:t>　国家鼓励培育中药材。对集中规模化栽培养殖、质量可以控制并符合国务院药品监督管理部门规定条件的中药材品种，实行批准文号管理。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第四十条</w:t>
      </w:r>
      <w:r>
        <w:rPr>
          <w:rFonts w:hint="eastAsia" w:ascii="仿宋_GB2312" w:hAnsi="仿宋_GB2312" w:eastAsia="仿宋_GB2312" w:cs="仿宋_GB2312"/>
          <w:sz w:val="32"/>
          <w:szCs w:val="32"/>
        </w:rPr>
        <w:t>　国务院药品监督管理部门对已批准生产、销售的药品进行再评价，根据药品再评价结果，可以采取责令修改药品说明书，暂停生产、销售和使用的措施；对不良反应大或者其他原因危害人体健康的药品，应当撤销该药品批准证明文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第四十一条</w:t>
      </w:r>
      <w:r>
        <w:rPr>
          <w:rFonts w:hint="eastAsia" w:ascii="仿宋_GB2312" w:hAnsi="仿宋_GB2312" w:eastAsia="仿宋_GB2312" w:cs="仿宋_GB2312"/>
          <w:sz w:val="32"/>
          <w:szCs w:val="32"/>
        </w:rPr>
        <w:t>　国务院药品监督管理部门核发的药品批准文号、《进口药品注册证》、《医药产品注册证》的有效期为5年。有效期届满，需要继续生产或者进口的，应当在有效期届满前6个月申请再注册。药品再注册时，应当按照国务院药品监督管理部门的规定报送相关资料。有效期届满，未申请再注册或者经审查不符合国务院药品监督管理部门关于再注册的规定的，注销其药品批准文号、《进口药品注册证》或者《医药产品注册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药品批准文号的再注册由省、自治区、直辖市人民政府药品监督管理部门审批，并报国务院药品监督管理部门备案；《进口药品注册证》、《医药产品注册证》的再注册由国务院药品监督管理部门审批。</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第四十二条</w:t>
      </w:r>
      <w:r>
        <w:rPr>
          <w:rFonts w:hint="eastAsia" w:ascii="仿宋_GB2312" w:hAnsi="仿宋_GB2312" w:eastAsia="仿宋_GB2312" w:cs="仿宋_GB2312"/>
          <w:sz w:val="32"/>
          <w:szCs w:val="32"/>
        </w:rPr>
        <w:t>　非药品不得在其包装、标签、说明书及有关宣传资料上进行含有预防、治疗、诊断人体疾病等有关内容的宣传；但是，法律、行政法规另有规定的除外。</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药品包装的管理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第四十三条</w:t>
      </w:r>
      <w:r>
        <w:rPr>
          <w:rFonts w:hint="eastAsia" w:ascii="仿宋_GB2312" w:hAnsi="仿宋_GB2312" w:eastAsia="仿宋_GB2312" w:cs="仿宋_GB2312"/>
          <w:sz w:val="32"/>
          <w:szCs w:val="32"/>
        </w:rPr>
        <w:t>　药品生产企业使用的直接接触药品的包装材料和容器，必须符合药用要求和保障人体健康、安全的标准。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直接接触药品的包装材料和容器的管理办法、产品目录和药用要求与标准，由国务院药品监督管理部门组织制定并公布。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第四十四条</w:t>
      </w:r>
      <w:r>
        <w:rPr>
          <w:rFonts w:hint="eastAsia" w:ascii="仿宋_GB2312" w:hAnsi="仿宋_GB2312" w:eastAsia="仿宋_GB2312" w:cs="仿宋_GB2312"/>
          <w:sz w:val="32"/>
          <w:szCs w:val="32"/>
        </w:rPr>
        <w:t>　生产中药饮片，应当选用与药品性质相适应的包装材料和容器；包装不符合规定的中药饮片，不得销售。中药饮片包装必须印有或者贴有标签。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中药饮片的标签必须注明品名、规格、产地、生产企业、产品批号、生产日期，实施批准文号管理的中药饮片还必须注明药品批准文号。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第四十五条</w:t>
      </w:r>
      <w:r>
        <w:rPr>
          <w:rFonts w:hint="eastAsia" w:ascii="仿宋_GB2312" w:hAnsi="仿宋_GB2312" w:eastAsia="仿宋_GB2312" w:cs="仿宋_GB2312"/>
          <w:sz w:val="32"/>
          <w:szCs w:val="32"/>
        </w:rPr>
        <w:t>　药品包装、标签、说明书必须依照《药品管理法》第五十四条和国务院药品监督管理部门的规定印制。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药品商品名称应当符合国务院药品监督管理部门的规定。</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第四十六条</w:t>
      </w:r>
      <w:r>
        <w:rPr>
          <w:rFonts w:hint="eastAsia" w:ascii="仿宋_GB2312" w:hAnsi="仿宋_GB2312" w:eastAsia="仿宋_GB2312" w:cs="仿宋_GB2312"/>
          <w:sz w:val="32"/>
          <w:szCs w:val="32"/>
        </w:rPr>
        <w:t>　医疗机构配制制剂所使用的直接接触药品的包装材料和容器、制剂的标签和说明书应当符合《药品管理法》第六章和本条例的有关规定，并经省、自治区、直辖市人民政府药品监督管理部门批准。</w:t>
      </w:r>
    </w:p>
    <w:p>
      <w:pPr>
        <w:widowControl w:val="0"/>
        <w:wordWrap/>
        <w:adjustRightInd/>
        <w:snapToGrid/>
        <w:spacing w:after="0" w:line="560" w:lineRule="exact"/>
        <w:ind w:left="0" w:leftChars="0" w:right="0" w:firstLine="665"/>
        <w:jc w:val="center"/>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药品价格和广告的管理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第四十七条　</w:t>
      </w:r>
      <w:r>
        <w:rPr>
          <w:rFonts w:hint="eastAsia" w:ascii="仿宋_GB2312" w:hAnsi="仿宋_GB2312" w:eastAsia="仿宋_GB2312" w:cs="仿宋_GB2312"/>
          <w:sz w:val="32"/>
          <w:szCs w:val="32"/>
        </w:rPr>
        <w:t>政府价格主管部门依照《价格法》第二十八条的规定实行药品价格监测时，为掌握、分析药品价格变动和趋势，可以指定部分药品生产企业、药品经营企业和医疗机构作为价格监测定点单位；定点单位应当给予配合、支持，如实提供有关信息资料。</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第四十八条</w:t>
      </w:r>
      <w:r>
        <w:rPr>
          <w:rFonts w:hint="eastAsia" w:ascii="仿宋_GB2312" w:hAnsi="仿宋_GB2312" w:eastAsia="仿宋_GB2312" w:cs="仿宋_GB2312"/>
          <w:sz w:val="32"/>
          <w:szCs w:val="32"/>
        </w:rPr>
        <w:t>　发布药品广告，应当向药品生产企业所在地省、自治区、直辖市人民政府药品监督管理部门报送有关材料。省、自治区、直辖市人民政府药品监督管理部门应当自收到有关材料之日起10个工作日内作出是否核发药品广告批准文号的决定；核发药品广告批准文号的，应当同时报国务院药品监督管理部门备案。具体办法由国务院药品监督管理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发布进口药品广告，应当依照前款规定向进口药品代理机构所在地省、自治区、直辖市人民政府药品监督管理部门申请药品广告批准文号。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在药品生产企业所在地和进口药品代理机构所在地以外的省、自治区、直辖市发布药品广告的，发布广告的企业应当在发布前向发布地省、自治区、直辖市人民政府药品监督管理部门备案。接受备案的省、自治区、直辖市人民政府药品监督管理部门发现药品广告批准内容不符合药品广告管理规定的，应当交由原核发部门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第四十九条</w:t>
      </w:r>
      <w:r>
        <w:rPr>
          <w:rFonts w:hint="eastAsia" w:ascii="仿宋_GB2312" w:hAnsi="仿宋_GB2312" w:eastAsia="仿宋_GB2312" w:cs="仿宋_GB2312"/>
          <w:sz w:val="32"/>
          <w:szCs w:val="32"/>
        </w:rPr>
        <w:t>　经国务院或者省、自治区、直辖市人民政府的药品监督管理部门决定，责令暂停生产、销售和使用的药品，在暂停期间不得发布该品种药品广告；已经发布广告的，必须立即停止。</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第五十条</w:t>
      </w:r>
      <w:r>
        <w:rPr>
          <w:rFonts w:hint="eastAsia" w:ascii="仿宋_GB2312" w:hAnsi="仿宋_GB2312" w:eastAsia="仿宋_GB2312" w:cs="仿宋_GB2312"/>
          <w:sz w:val="32"/>
          <w:szCs w:val="32"/>
        </w:rPr>
        <w:t>　未经省、自治区、直辖市人民政府药品监督管理部门批准的药品广告，使用伪造、冒用、失效的药品广告批准文号的广告，或者因其他广告违法活动被撤销药品广告批准文号的广告，发布广告的企业、广告经营者、广告发布者必须立即停止该药品广告的发布。</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对违法发布药品广告，情节严重的，省、自治区、直辖市人民政府药品监督管理部门可以予以公告。</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药品监督</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第五十一条　</w:t>
      </w:r>
      <w:r>
        <w:rPr>
          <w:rFonts w:hint="eastAsia" w:ascii="仿宋_GB2312" w:hAnsi="仿宋_GB2312" w:eastAsia="仿宋_GB2312" w:cs="仿宋_GB2312"/>
          <w:sz w:val="32"/>
          <w:szCs w:val="32"/>
        </w:rPr>
        <w:t>药品监督管理部门（含省级人民政府药品监督管理部门依法设立的药品监督管理机构，下同）依法对药品的研制、生产、经营、使用实施监督检查。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第五十二条</w:t>
      </w:r>
      <w:r>
        <w:rPr>
          <w:rFonts w:hint="eastAsia" w:ascii="仿宋_GB2312" w:hAnsi="仿宋_GB2312" w:eastAsia="仿宋_GB2312" w:cs="仿宋_GB2312"/>
          <w:sz w:val="32"/>
          <w:szCs w:val="32"/>
        </w:rPr>
        <w:t>　药品抽样必须由两名以上药品监督检查人员实施，并按照国务院药品监督管理部门的规定进行抽样；被抽检方应当提供抽检样品，不得拒绝。</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药品被抽检单位没有正当理由，拒绝抽查检验的，国务院药品监督管理部门和被抽检单位所在地省、自治区、直辖市人民政府药品监督管理部门可以宣布停止该单位拒绝抽检的药品上市销售和使用。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第五十三条</w:t>
      </w:r>
      <w:r>
        <w:rPr>
          <w:rFonts w:hint="eastAsia" w:ascii="仿宋_GB2312" w:hAnsi="仿宋_GB2312" w:eastAsia="仿宋_GB2312" w:cs="仿宋_GB2312"/>
          <w:sz w:val="32"/>
          <w:szCs w:val="32"/>
        </w:rPr>
        <w:t>　对有掺杂、掺假嫌疑的药品，在国家药品标准规定的检验方法和检验项目不能检验时，药品检验机构可以补充检验方法和检验项目进行药品检验；经国务院药品监督管理部门批准后，使用补充检验方法和检验项目所得出的检验结果，可以作为药品监督管理部门认定药品质量的依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第五十四条</w:t>
      </w:r>
      <w:r>
        <w:rPr>
          <w:rFonts w:hint="eastAsia" w:ascii="仿宋_GB2312" w:hAnsi="仿宋_GB2312" w:eastAsia="仿宋_GB2312" w:cs="仿宋_GB2312"/>
          <w:sz w:val="32"/>
          <w:szCs w:val="32"/>
        </w:rPr>
        <w:t>　国务院和省、自治区、直辖市人民政府的药品监督管理部门应当根据药品质量抽查检验结果，定期发布药品质量公告。药品质量公告应当包括抽验药品的品名、检品来源、生产企业、生产批号、药品规格、检验机构、检验依据、检验结果、不合格项目等内容。药品质量公告不当的，发布部门应当自确认公告不当之日起5日内，在原公告范围内予以更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当事人对药品检验机构的检验结果有异议，申请复验的，应当向负责复验的药品检验机构提交书面申请、原药品检验报告书。复验的样品从原药品检验机构留样中抽取。</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第五十五条</w:t>
      </w:r>
      <w:r>
        <w:rPr>
          <w:rFonts w:hint="eastAsia" w:ascii="仿宋_GB2312" w:hAnsi="仿宋_GB2312" w:eastAsia="仿宋_GB2312" w:cs="仿宋_GB2312"/>
          <w:sz w:val="32"/>
          <w:szCs w:val="32"/>
        </w:rPr>
        <w:t>　药品监督管理部门依法对有证据证明可能危害人体健康的药品及其有关证据材料采取查封、扣押的行政强制措施的，应当自采取行政强制措施之日起7日内作出是否立案的决定；需要检验的，应当自检验报告书发出之日起15日内作出是否立案的决定；不符合立案条件的，应当解除行政强制措施；需要暂停销售和使用的，应当由国务院或者省、自治区、直辖市人民政府的药品监督管理部门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第五十六条</w:t>
      </w:r>
      <w:r>
        <w:rPr>
          <w:rFonts w:hint="eastAsia" w:ascii="仿宋_GB2312" w:hAnsi="仿宋_GB2312" w:eastAsia="仿宋_GB2312" w:cs="仿宋_GB2312"/>
          <w:sz w:val="32"/>
          <w:szCs w:val="32"/>
        </w:rPr>
        <w:t>　药品抽查检验，不得收取任何费用。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当事人对药品检验结果有异议，申请复验的，应当按照国务院有关部门或者省、自治区、直辖市人民政府有关部门的规定，向复验机构预先支付药品检验费用。复验结论与原检验结论不一致的，复验检验费用由原药品检验机构承担。</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第五十七条</w:t>
      </w:r>
      <w:r>
        <w:rPr>
          <w:rFonts w:hint="eastAsia" w:ascii="仿宋_GB2312" w:hAnsi="仿宋_GB2312" w:eastAsia="仿宋_GB2312" w:cs="仿宋_GB2312"/>
          <w:sz w:val="32"/>
          <w:szCs w:val="32"/>
        </w:rPr>
        <w:t>　依据《药品管理法》和本条例的规定核发证书、进行药品注册、药品认证和实施药品审批检验及其强制性检验，可以收取费用。具体收费标准由国务院财政部门、国务院价格主管部门制定。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第九章　法律责任</w:t>
      </w:r>
    </w:p>
    <w:p>
      <w:pPr>
        <w:pStyle w:val="3"/>
        <w:rPr>
          <w:rFonts w:hint="eastAsia"/>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第五十八条</w:t>
      </w:r>
      <w:r>
        <w:rPr>
          <w:rFonts w:hint="eastAsia" w:ascii="仿宋_GB2312" w:hAnsi="仿宋_GB2312" w:eastAsia="仿宋_GB2312" w:cs="仿宋_GB2312"/>
          <w:sz w:val="32"/>
          <w:szCs w:val="32"/>
        </w:rPr>
        <w:t>　药品生产企业、药品经营企业有下列情形之一的，由药品监督管理部门依照《药品管理法》第七十九条的规定给予处罚：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（一）开办药品生产企业、药品生产企业新建药品生产车间、新增生产剂型，在国务院药品监督管理部门规定的时间内未通过《药品生产质量管理规范》认证，仍进行药品生产的；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（二）开办药品经营企业，在国务院药品监督管理部门规定的时间内未通过《药品经营质量管理规范》认证，仍进行药品经营的。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第五十九条</w:t>
      </w:r>
      <w:r>
        <w:rPr>
          <w:rFonts w:hint="eastAsia" w:ascii="仿宋_GB2312" w:hAnsi="仿宋_GB2312" w:eastAsia="仿宋_GB2312" w:cs="仿宋_GB2312"/>
          <w:sz w:val="32"/>
          <w:szCs w:val="32"/>
        </w:rPr>
        <w:t>　违反《药品管理法》第十三条的规定，擅自委托或者接受委托生产药品的，对委托方和受托方均依照《药品管理法》第七十四条的规定给予处罚。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第六十条</w:t>
      </w:r>
      <w:r>
        <w:rPr>
          <w:rFonts w:hint="eastAsia" w:ascii="仿宋_GB2312" w:hAnsi="仿宋_GB2312" w:eastAsia="仿宋_GB2312" w:cs="仿宋_GB2312"/>
          <w:sz w:val="32"/>
          <w:szCs w:val="32"/>
        </w:rPr>
        <w:t>　未经批准，擅自在城乡集市贸易市场设点销售药品或者在城乡集市贸易市场设点销售的药品超出批准经营的药品范围的，依照《药品管理法》第七十三条的规定给予处罚。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第六十一条</w:t>
      </w:r>
      <w:r>
        <w:rPr>
          <w:rFonts w:hint="eastAsia" w:ascii="仿宋_GB2312" w:hAnsi="仿宋_GB2312" w:eastAsia="仿宋_GB2312" w:cs="仿宋_GB2312"/>
          <w:sz w:val="32"/>
          <w:szCs w:val="32"/>
        </w:rPr>
        <w:t>　未经批准，医疗机构擅自使用其他医疗机构配制的制剂的，依照《药品管理法》第八十条的规定给予处罚。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第六十二条</w:t>
      </w:r>
      <w:r>
        <w:rPr>
          <w:rFonts w:hint="eastAsia" w:ascii="仿宋_GB2312" w:hAnsi="仿宋_GB2312" w:eastAsia="仿宋_GB2312" w:cs="仿宋_GB2312"/>
          <w:sz w:val="32"/>
          <w:szCs w:val="32"/>
        </w:rPr>
        <w:t>　个人设置的门诊部、诊所等医疗机构向患者提供的药品超出规定的范围和品种的，依照《药品管理法》第七十三条的规定给予处罚。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第六十三条</w:t>
      </w:r>
      <w:r>
        <w:rPr>
          <w:rFonts w:hint="eastAsia" w:ascii="仿宋_GB2312" w:hAnsi="仿宋_GB2312" w:eastAsia="仿宋_GB2312" w:cs="仿宋_GB2312"/>
          <w:sz w:val="32"/>
          <w:szCs w:val="32"/>
        </w:rPr>
        <w:t>　医疗机构使用假药、劣药的，依照《药品管理法》第七十四条、第七十五条的规定给予处罚。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第六十四条</w:t>
      </w:r>
      <w:r>
        <w:rPr>
          <w:rFonts w:hint="eastAsia" w:ascii="仿宋_GB2312" w:hAnsi="仿宋_GB2312" w:eastAsia="仿宋_GB2312" w:cs="仿宋_GB2312"/>
          <w:sz w:val="32"/>
          <w:szCs w:val="32"/>
        </w:rPr>
        <w:t>　违反《药品管理法》第二十九条的规定，擅自进行临床试验的，对承担药物临床试验的机构，依照《药品管理法》第七十九条的规定给予处罚。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第六十五条</w:t>
      </w:r>
      <w:r>
        <w:rPr>
          <w:rFonts w:hint="eastAsia" w:ascii="仿宋_GB2312" w:hAnsi="仿宋_GB2312" w:eastAsia="仿宋_GB2312" w:cs="仿宋_GB2312"/>
          <w:sz w:val="32"/>
          <w:szCs w:val="32"/>
        </w:rPr>
        <w:t>　药品申报者在申报临床试验时，报送虚假研制方法、质量标准、药理及毒理试验结果等有关资料和样品的，国务院药品监督管理部门对该申报药品的临床试验不予批准，对药品申报者给予警告；情节严重的，3年内不受理该药品申报者申报该品种的临床试验申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第六十六条</w:t>
      </w:r>
      <w:r>
        <w:rPr>
          <w:rFonts w:hint="eastAsia" w:ascii="仿宋_GB2312" w:hAnsi="仿宋_GB2312" w:eastAsia="仿宋_GB2312" w:cs="仿宋_GB2312"/>
          <w:sz w:val="32"/>
          <w:szCs w:val="32"/>
        </w:rPr>
        <w:t>　生产没有国家药品标准的中药饮片，不符合省、自治区、直辖市人民政府药品监督管理部门制定的炮制规范的；医疗机构不按照省、自治区、直辖市人民政府药品监督管理部门批准的标准配制制剂的，依照《药品管理法》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第六十七条</w:t>
      </w:r>
      <w:r>
        <w:rPr>
          <w:rFonts w:hint="eastAsia" w:ascii="仿宋_GB2312" w:hAnsi="仿宋_GB2312" w:eastAsia="仿宋_GB2312" w:cs="仿宋_GB2312"/>
          <w:sz w:val="32"/>
          <w:szCs w:val="32"/>
        </w:rPr>
        <w:t>　药品监督管理部门及其工作人员违反规定，泄露生产者、销售者为获得生产、销售含有新型化学成份药品许可而提交的未披露试验数据或者其他数据，造成申请人损失的，由药品监督管理部门依法承担赔偿责任；药品监督管理部门赔偿损失后，应当责令故意或者有重大过失的工作人员承担部分或者全部赔偿费用，并对直接责任人员依法给予行政处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第六十八条</w:t>
      </w:r>
      <w:r>
        <w:rPr>
          <w:rFonts w:hint="eastAsia" w:ascii="仿宋_GB2312" w:hAnsi="仿宋_GB2312" w:eastAsia="仿宋_GB2312" w:cs="仿宋_GB2312"/>
          <w:sz w:val="32"/>
          <w:szCs w:val="32"/>
        </w:rPr>
        <w:t>　药品生产企业、药品经营企业生产、经营的药品及医疗机构配制的制剂，其包装、标签、说明书违反《药品管理法》及本条例规定的，依照《药品管理法》第八十六条的规定给予处罚。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第六十九条</w:t>
      </w:r>
      <w:r>
        <w:rPr>
          <w:rFonts w:hint="eastAsia" w:ascii="仿宋_GB2312" w:hAnsi="仿宋_GB2312" w:eastAsia="仿宋_GB2312" w:cs="仿宋_GB2312"/>
          <w:sz w:val="32"/>
          <w:szCs w:val="32"/>
        </w:rPr>
        <w:t>　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三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第七十条</w:t>
      </w:r>
      <w:r>
        <w:rPr>
          <w:rFonts w:hint="eastAsia" w:ascii="仿宋_GB2312" w:hAnsi="仿宋_GB2312" w:eastAsia="仿宋_GB2312" w:cs="仿宋_GB2312"/>
          <w:sz w:val="32"/>
          <w:szCs w:val="32"/>
        </w:rPr>
        <w:t>　篡改经批准的药品广告内容的，由药品监督管理部门责令广告主立即停止该药品广告的发布，并由原审批的药品监督管理部门依照《药品管理法》第九十二条的规定给予处罚。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监督管理部门撤销药品广告批准文号后，应当自作出行政处理决定之日起5个工作日内通知广告监督管理机关。广告监督管理机关应当自收到药品监督管理部门通知之日起15个工作日内，依照《中华人民共和国广告法》的有关规定作出行政处理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第七十一条</w:t>
      </w:r>
      <w:r>
        <w:rPr>
          <w:rFonts w:hint="eastAsia" w:ascii="仿宋_GB2312" w:hAnsi="仿宋_GB2312" w:eastAsia="仿宋_GB2312" w:cs="仿宋_GB2312"/>
          <w:sz w:val="32"/>
          <w:szCs w:val="32"/>
        </w:rPr>
        <w:t>　发布药品广告的企业在药品生产企业所在地或者进口药品代理机构所在地以外的省、自治区、直辖市发布药品广告，未按照规定向发布地省、自治区、直辖市人民政府药品监督管理部门备案的，由发布地的药品监督管理部门责令限期改正；逾期不改正的，停止该药品品种在发布地的广告发布活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第七十二条</w:t>
      </w:r>
      <w:r>
        <w:rPr>
          <w:rFonts w:hint="eastAsia" w:ascii="仿宋_GB2312" w:hAnsi="仿宋_GB2312" w:eastAsia="仿宋_GB2312" w:cs="仿宋_GB2312"/>
          <w:sz w:val="32"/>
          <w:szCs w:val="32"/>
        </w:rPr>
        <w:t>　未经省、自治区、直辖市人民政府药品监督管理部门批准，擅自发布药品广告的，药品监督管理部门发现后，应当通知广告监督管理部门依法查处。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第七十三条</w:t>
      </w:r>
      <w:r>
        <w:rPr>
          <w:rFonts w:hint="eastAsia" w:ascii="仿宋_GB2312" w:hAnsi="仿宋_GB2312" w:eastAsia="仿宋_GB2312" w:cs="仿宋_GB2312"/>
          <w:sz w:val="32"/>
          <w:szCs w:val="32"/>
        </w:rPr>
        <w:t>　违反《药品管理法》和本条例的规定，有下列行为之一的，由药品监督管理部门在《药品管理法》和本条例规定的处罚幅度内从重处罚：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（一）以麻醉药品、精神药品、医疗用毒性药品、放射性药品冒充其他药品，或者以其他药品冒充上述药品的；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（二）生产、销售以孕产妇、婴幼儿及儿童为主要使用对象的假药、劣药的；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（三）生产、销售的生物制品、血液制品属于假药、劣药的；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（四）生产、销售、使用假药、劣药，造成人员伤害后果的；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（五）生产、销售、使用假药、劣药，经处理后重犯的；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（六）拒绝、逃避监督检查，或者伪造、销毁、隐匿有关证据材料的，或者擅自动用查封、扣押物品的。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第七十四条</w:t>
      </w:r>
      <w:r>
        <w:rPr>
          <w:rFonts w:hint="eastAsia" w:ascii="仿宋_GB2312" w:hAnsi="仿宋_GB2312" w:eastAsia="仿宋_GB2312" w:cs="仿宋_GB2312"/>
          <w:sz w:val="32"/>
          <w:szCs w:val="32"/>
        </w:rPr>
        <w:t>　药品监督管理部门设置的派出机构，有权作出《药品管理法》和本条例规定的警告、罚款、没收违法生产、销售的药品和违法所得的行政处罚。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第七十五条</w:t>
      </w:r>
      <w:r>
        <w:rPr>
          <w:rFonts w:hint="eastAsia" w:ascii="仿宋_GB2312" w:hAnsi="仿宋_GB2312" w:eastAsia="仿宋_GB2312" w:cs="仿宋_GB2312"/>
          <w:sz w:val="32"/>
          <w:szCs w:val="32"/>
        </w:rPr>
        <w:t>　药品经营企业、医疗机构未违反《药品管理法》和本条例的有关规定，并有充分证据证明其不知道所销售或者使用的药品是假药、劣药的，应当没收其销售或者使用的假药、劣药和违法所得；但是，可以免除其他行政处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第七十六条</w:t>
      </w:r>
      <w:r>
        <w:rPr>
          <w:rFonts w:hint="eastAsia" w:ascii="仿宋_GB2312" w:hAnsi="仿宋_GB2312" w:eastAsia="仿宋_GB2312" w:cs="仿宋_GB2312"/>
          <w:sz w:val="32"/>
          <w:szCs w:val="32"/>
        </w:rPr>
        <w:t>　依照《药品管理法》和本条例的规定没收的物品，由药品监督管理部门按照规定监督处理。</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2"/>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附则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第七十七条</w:t>
      </w:r>
      <w:r>
        <w:rPr>
          <w:rFonts w:hint="eastAsia" w:ascii="仿宋_GB2312" w:hAnsi="仿宋_GB2312" w:eastAsia="仿宋_GB2312" w:cs="仿宋_GB2312"/>
          <w:sz w:val="32"/>
          <w:szCs w:val="32"/>
        </w:rPr>
        <w:t>　本条例下列用语的含义：</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药品合格证明和其他标识，是指药品生产批准证明文件、药品检验报告书、药品的包装、标签和说明书。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新药，是指未曾在中国境内上市销售的药品。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处方药，是指凭执业医师和执业助理医师处方方可购买、调配和使用的药品。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非处方药，是指由国务院药品监督管理部门公布的，不需要凭执业医师和执业助理医师处方，消费者可以自行判断、购买和使用的药品。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医疗机构制剂，是指医疗机构根据本单位临床需要经批准而配制、自用的固定处方制剂。</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药品认证，是指药品监督管理部门对药品研制、生产、经营、使用单位实施相应质量管理规范进行检查、评价并决定是否发给相应认证证书的过程。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药品经营方式，是指药品批发和药品零售。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药品经营范围，是指经药品监督管理部门核准经营药品的品种类别。</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药品批发企业，是指将购进的药品销售给药品生产企业、药品经营企业、医疗机构的药品经营企业。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药品零售企业，是指将购进的药品直接销售给消费者的药品经营企业。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第七十八条</w:t>
      </w:r>
      <w:r>
        <w:rPr>
          <w:rFonts w:hint="eastAsia" w:ascii="仿宋_GB2312" w:hAnsi="仿宋_GB2312" w:eastAsia="仿宋_GB2312" w:cs="仿宋_GB2312"/>
          <w:sz w:val="32"/>
          <w:szCs w:val="32"/>
        </w:rPr>
        <w:t>《药品管理法》第四十一条中“首次在中国销售的药品”，是指国内或者国外药品生产企业第一次在中国销售的药品，包括不同药品生产企业生产的相同品种。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第七十九条</w:t>
      </w:r>
      <w:r>
        <w:rPr>
          <w:rFonts w:hint="eastAsia" w:ascii="仿宋_GB2312" w:hAnsi="仿宋_GB2312" w:eastAsia="仿宋_GB2312" w:cs="仿宋_GB2312"/>
          <w:sz w:val="32"/>
          <w:szCs w:val="32"/>
        </w:rPr>
        <w:t>《药品管理法》第五十九条第二款“禁止药品的生产企业、经营企业或者其代理人以任何名义给予使用其药品的医疗机构的负责人、药品采购人员、医师等有关人员以财物或者其他利益”中的“财物或者其他利益”，是指药品的生产企业、经营企业或者其代理人向医疗机构的负责人、药品采购人员、医师等有关人员提供的目的在于影响其药品采购或者药品处方行为的不正当利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第八十条</w:t>
      </w:r>
      <w:r>
        <w:rPr>
          <w:rFonts w:hint="eastAsia" w:ascii="仿宋_GB2312" w:hAnsi="仿宋_GB2312" w:eastAsia="仿宋_GB2312" w:cs="仿宋_GB2312"/>
          <w:sz w:val="32"/>
          <w:szCs w:val="32"/>
        </w:rPr>
        <w:t>　本条例自</w:t>
      </w:r>
      <w:r>
        <w:rPr>
          <w:rFonts w:hint="eastAsia" w:ascii="宋体" w:hAnsi="宋体" w:eastAsia="宋体" w:cs="宋体"/>
          <w:sz w:val="32"/>
          <w:szCs w:val="32"/>
        </w:rPr>
        <w:t>2002</w:t>
      </w:r>
      <w:r>
        <w:rPr>
          <w:rFonts w:hint="eastAsia" w:ascii="仿宋_GB2312" w:hAnsi="仿宋_GB2312" w:eastAsia="仿宋_GB2312" w:cs="仿宋_GB2312"/>
          <w:sz w:val="32"/>
          <w:szCs w:val="32"/>
        </w:rPr>
        <w:t>年</w:t>
      </w:r>
      <w:r>
        <w:rPr>
          <w:rFonts w:hint="eastAsia" w:ascii="宋体" w:hAnsi="宋体" w:eastAsia="宋体" w:cs="宋体"/>
          <w:sz w:val="32"/>
          <w:szCs w:val="32"/>
        </w:rPr>
        <w:t>9</w:t>
      </w:r>
      <w:r>
        <w:rPr>
          <w:rFonts w:hint="eastAsia" w:ascii="仿宋_GB2312" w:hAnsi="仿宋_GB2312" w:eastAsia="仿宋_GB2312" w:cs="仿宋_GB2312"/>
          <w:sz w:val="32"/>
          <w:szCs w:val="32"/>
        </w:rPr>
        <w:t>月</w:t>
      </w:r>
      <w:r>
        <w:rPr>
          <w:rFonts w:hint="eastAsia" w:ascii="宋体" w:hAnsi="宋体" w:eastAsia="宋体" w:cs="宋体"/>
          <w:sz w:val="32"/>
          <w:szCs w:val="32"/>
        </w:rPr>
        <w:t>15</w:t>
      </w:r>
      <w:r>
        <w:rPr>
          <w:rFonts w:hint="eastAsia" w:ascii="仿宋_GB2312" w:hAnsi="仿宋_GB2312" w:eastAsia="仿宋_GB2312" w:cs="仿宋_GB2312"/>
          <w:sz w:val="32"/>
          <w:szCs w:val="32"/>
        </w:rPr>
        <w:t>日起施行。</w:t>
      </w:r>
    </w:p>
    <w:p>
      <w:pPr>
        <w:widowControl w:val="0"/>
        <w:wordWrap/>
        <w:overflowPunct w:val="0"/>
        <w:spacing w:beforeAutospacing="0" w:afterAutospacing="0" w:line="560" w:lineRule="exact"/>
        <w:textAlignment w:val="auto"/>
        <w:rPr>
          <w:rFonts w:ascii="宋体" w:hAnsi="宋体" w:cs="Arial"/>
          <w:kern w:val="0"/>
          <w:szCs w:val="32"/>
        </w:rPr>
      </w:pPr>
    </w:p>
    <w:p>
      <w:pPr>
        <w:rPr>
          <w:rFonts w:hint="eastAsia" w:ascii="宋体" w:hAnsi="宋体" w:cs="Arial"/>
          <w:kern w:val="0"/>
          <w:szCs w:val="32"/>
        </w:rPr>
      </w:pPr>
      <w:r>
        <w:rPr>
          <w:rFonts w:ascii="宋体" w:hAnsi="宋体" w:cs="Arial"/>
          <w:kern w:val="0"/>
          <w:szCs w:val="32"/>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宋体"/>
          <w:sz w:val="32"/>
          <w:szCs w:val="32"/>
        </w:rPr>
      </w:pPr>
      <w:bookmarkStart w:id="254" w:name="_Toc13253"/>
      <w:r>
        <w:rPr>
          <w:rFonts w:hint="eastAsia" w:ascii="宋体" w:hAnsi="宋体" w:eastAsia="宋体" w:cs="Arial"/>
          <w:bCs/>
          <w:sz w:val="44"/>
          <w:szCs w:val="44"/>
        </w:rPr>
        <w:t>公共场所卫生管理条例</w:t>
      </w:r>
      <w:bookmarkEnd w:id="254"/>
    </w:p>
    <w:p>
      <w:pPr>
        <w:widowControl w:val="0"/>
        <w:wordWrap/>
        <w:adjustRightInd/>
        <w:snapToGrid/>
        <w:spacing w:after="0" w:line="560" w:lineRule="exact"/>
        <w:ind w:left="0" w:leftChars="0" w:right="0"/>
        <w:jc w:val="center"/>
        <w:textAlignment w:val="auto"/>
        <w:outlineLvl w:val="9"/>
        <w:rPr>
          <w:rFonts w:hint="eastAsia" w:ascii="宋体" w:hAnsi="宋体" w:eastAsia="宋体" w:cs="宋体"/>
          <w:sz w:val="32"/>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（1987年4月1日国务院发布　根据2016年2月6日《国务院关于修改部分行政法规的决定》修订　根据2019年4月23日国务院令第714号《国务院关于修改部分行政法规的决定》修正）</w:t>
      </w:r>
    </w:p>
    <w:p>
      <w:pPr>
        <w:widowControl w:val="0"/>
        <w:wordWrap/>
        <w:adjustRightInd/>
        <w:snapToGrid/>
        <w:spacing w:after="0" w:line="560" w:lineRule="exact"/>
        <w:ind w:left="0" w:leftChars="0" w:right="0"/>
        <w:textAlignment w:val="auto"/>
        <w:outlineLvl w:val="9"/>
        <w:rPr>
          <w:rFonts w:hint="eastAsia" w:ascii="楷体_GB2312" w:hAnsi="楷体_GB2312" w:eastAsia="楷体_GB2312" w:cs="楷体_GB2312"/>
          <w:sz w:val="32"/>
          <w:szCs w:val="32"/>
        </w:rPr>
      </w:pPr>
    </w:p>
    <w:p>
      <w:pPr>
        <w:widowControl w:val="0"/>
        <w:numPr>
          <w:ilvl w:val="0"/>
          <w:numId w:val="13"/>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第一条</w:t>
      </w:r>
      <w:r>
        <w:rPr>
          <w:rFonts w:hint="eastAsia" w:ascii="仿宋_GB2312" w:hAnsi="仿宋_GB2312" w:eastAsia="仿宋_GB2312" w:cs="仿宋_GB2312"/>
          <w:sz w:val="32"/>
          <w:szCs w:val="32"/>
        </w:rPr>
        <w:t>　为创造良好的公共场所卫生条件，预防疾病，保障人体健康，制定本条例。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第二条</w:t>
      </w:r>
      <w:r>
        <w:rPr>
          <w:rFonts w:hint="eastAsia" w:ascii="仿宋_GB2312" w:hAnsi="仿宋_GB2312" w:eastAsia="仿宋_GB2312" w:cs="仿宋_GB2312"/>
          <w:sz w:val="32"/>
          <w:szCs w:val="32"/>
        </w:rPr>
        <w:t>　本条例适用于下列公共场所：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（一）宾馆、饭馆、旅店、招待所、车马店、咖啡馆、酒吧、茶座；</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（二）公共浴室、理发店、美容店；</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（三）影剧院、录像厅（室）、游艺厅（室）、舞厅、音乐厅；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（四）体育场（馆）、游泳场（馆）、公园；</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（五）展览馆、博物馆、美术馆、图书馆；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（六）商场（店）、书店；</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（七）候诊室、候车（机、船）室、公共交通工具。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第三条</w:t>
      </w:r>
      <w:r>
        <w:rPr>
          <w:rFonts w:hint="eastAsia" w:ascii="仿宋_GB2312" w:hAnsi="仿宋_GB2312" w:eastAsia="仿宋_GB2312" w:cs="仿宋_GB2312"/>
          <w:sz w:val="32"/>
          <w:szCs w:val="32"/>
        </w:rPr>
        <w:t>　公共场所的下列项目应符合国家卫生标准和要求：</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（一）空气、微小气候（湿度、温度、风速）；</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（二）水质；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（三）采光、照明；</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（四）噪音；</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（五）顾客用具和卫生设施。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公共场所的卫生标准和要求，由国务院卫生行政部门负责制定。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第四条</w:t>
      </w:r>
      <w:r>
        <w:rPr>
          <w:rFonts w:hint="eastAsia" w:ascii="仿宋_GB2312" w:hAnsi="仿宋_GB2312" w:eastAsia="仿宋_GB2312" w:cs="仿宋_GB2312"/>
          <w:sz w:val="32"/>
          <w:szCs w:val="32"/>
        </w:rPr>
        <w:t>　国家对公共场所实行“卫生许可证”制度。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“卫生许可证”由县以上卫生行政部门签发。</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第二章　卫 生 管 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第五条</w:t>
      </w:r>
      <w:r>
        <w:rPr>
          <w:rFonts w:hint="eastAsia" w:ascii="仿宋_GB2312" w:hAnsi="仿宋_GB2312" w:eastAsia="仿宋_GB2312" w:cs="仿宋_GB2312"/>
          <w:sz w:val="32"/>
          <w:szCs w:val="32"/>
        </w:rPr>
        <w:t>　公共场所的主管部门应当建立卫生管理制度，配备专职或者兼职卫生管理人员，对所属经营单位（包括个体经营者，下同）的卫生状况进行经常性检查，并提供必要的条件。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第六条</w:t>
      </w:r>
      <w:r>
        <w:rPr>
          <w:rFonts w:hint="eastAsia" w:ascii="仿宋_GB2312" w:hAnsi="仿宋_GB2312" w:eastAsia="仿宋_GB2312" w:cs="仿宋_GB2312"/>
          <w:sz w:val="32"/>
          <w:szCs w:val="32"/>
        </w:rPr>
        <w:t>　经营单位应当负责所经营的公共场所的卫生管理，建立卫生责任制度，对本单位的从业人员进行卫生知识的培训和考核工作。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第七条</w:t>
      </w:r>
      <w:r>
        <w:rPr>
          <w:rFonts w:hint="eastAsia" w:ascii="仿宋_GB2312" w:hAnsi="仿宋_GB2312" w:eastAsia="仿宋_GB2312" w:cs="仿宋_GB2312"/>
          <w:sz w:val="32"/>
          <w:szCs w:val="32"/>
        </w:rPr>
        <w:t>　公共场所直接为顾客服务的人员，持有“健康合格证”方能从事本职工作。患有痢疾、伤寒、病毒性肝炎、活动期肺结核、化脓性或者渗出性皮肤病以及其他有碍公共卫生的疾病的，治愈前不得从事直接为顾客服务的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第八条</w:t>
      </w:r>
      <w:r>
        <w:rPr>
          <w:rFonts w:hint="eastAsia" w:ascii="仿宋_GB2312" w:hAnsi="仿宋_GB2312" w:eastAsia="仿宋_GB2312" w:cs="仿宋_GB2312"/>
          <w:sz w:val="32"/>
          <w:szCs w:val="32"/>
        </w:rPr>
        <w:t>　除公园、体育场（馆）、公共交通工具外的公共场所，经营单位应当及时向卫生行政部门申请办理“卫生许可证”。“卫生许可证”两年复核一次。</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公共场所因不符合卫生标准和要求造成危害健康事故的，经营单位应妥善处理，并及时报告卫生防疫机构。</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14"/>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卫生监督</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第十条　</w:t>
      </w:r>
      <w:r>
        <w:rPr>
          <w:rFonts w:hint="eastAsia" w:ascii="仿宋_GB2312" w:hAnsi="仿宋_GB2312" w:eastAsia="仿宋_GB2312" w:cs="仿宋_GB2312"/>
          <w:sz w:val="32"/>
          <w:szCs w:val="32"/>
        </w:rPr>
        <w:t>各级卫生防疫机构，负责管辖范围内的公共场所卫生监督工作。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民航、铁路、交通、厂（场）矿卫生防疫机构对管辖范围内的公共场所，施行卫生监督，并接受当地卫生防疫机构的业务指导。</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第十一条</w:t>
      </w:r>
      <w:r>
        <w:rPr>
          <w:rFonts w:hint="eastAsia" w:ascii="仿宋_GB2312" w:hAnsi="仿宋_GB2312" w:eastAsia="仿宋_GB2312" w:cs="仿宋_GB2312"/>
          <w:sz w:val="32"/>
          <w:szCs w:val="32"/>
        </w:rPr>
        <w:t>　卫生防疫机构根据需要设立公共场所卫生监督员，执行卫生防疫机构交给的任务。公共场所卫生监督员由同级人民政府发给证书。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民航、铁路、交通、工矿企业卫生防疫机构的公共场所卫生监督员，由其上级主管部门发给证书。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第十二条</w:t>
      </w:r>
      <w:r>
        <w:rPr>
          <w:rFonts w:hint="eastAsia" w:ascii="仿宋_GB2312" w:hAnsi="仿宋_GB2312" w:eastAsia="仿宋_GB2312" w:cs="仿宋_GB2312"/>
          <w:sz w:val="32"/>
          <w:szCs w:val="32"/>
        </w:rPr>
        <w:t>　卫生防疫机构对公共场所的卫生监督职责：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（一）对公共场所进行卫生监测和卫生技术指导；</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（二）监督从业人员健康检查，指导有关部门对从业人员进行卫生知识的教育和培训；</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第十三条</w:t>
      </w:r>
      <w:r>
        <w:rPr>
          <w:rFonts w:hint="eastAsia" w:ascii="仿宋_GB2312" w:hAnsi="仿宋_GB2312" w:eastAsia="仿宋_GB2312" w:cs="仿宋_GB2312"/>
          <w:sz w:val="32"/>
          <w:szCs w:val="32"/>
        </w:rPr>
        <w:t>　卫生监督员有权对公共场所进行现场检查，索取有关资料，经营单位不得拒绝或隐瞒。卫生监督员对所提供的技术资料有保密的责任。</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公共场所卫生监督员在执行任务时，应佩戴证章、出示证件。</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4"/>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罚则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第十四条</w:t>
      </w:r>
      <w:r>
        <w:rPr>
          <w:rFonts w:hint="eastAsia" w:ascii="仿宋_GB2312" w:hAnsi="仿宋_GB2312" w:eastAsia="仿宋_GB2312" w:cs="仿宋_GB2312"/>
          <w:sz w:val="32"/>
          <w:szCs w:val="32"/>
        </w:rPr>
        <w:t>　凡有下列行为之一的单位或者个人，卫生防疫机构可以根据情节轻重，给予警告、罚款、停业整顿、吊销“卫生许可证”的行政处罚：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（一）卫生质量不符合国家卫生标准和要求，而继续营业的；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（二）未获得“健康合格证”，而从事直接为顾客服务的；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（三）拒绝卫生监督的；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（四）未取得“卫生许可证”，擅自营业的。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罚款一律上交国库。</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第十五条　</w:t>
      </w:r>
      <w:r>
        <w:rPr>
          <w:rFonts w:hint="eastAsia" w:ascii="仿宋_GB2312" w:hAnsi="仿宋_GB2312" w:eastAsia="仿宋_GB2312" w:cs="仿宋_GB2312"/>
          <w:sz w:val="32"/>
          <w:szCs w:val="32"/>
        </w:rPr>
        <w:t>违反本条例的规定造成严重危害公民健康的事故或中毒事故的单位或者个人，应当对受害人赔偿损失。</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违反本条例致人残疾或者死亡，构成犯罪的，应由司法机关依法追究直接责任人员的刑事责任。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第十六条</w:t>
      </w:r>
      <w:r>
        <w:rPr>
          <w:rFonts w:hint="eastAsia" w:ascii="仿宋_GB2312" w:hAnsi="仿宋_GB2312" w:eastAsia="仿宋_GB2312" w:cs="仿宋_GB2312"/>
          <w:sz w:val="32"/>
          <w:szCs w:val="32"/>
        </w:rPr>
        <w:t>　对罚款、停业整顿及吊销“卫生许可证”的行政处罚不服的，在接到处罚通知之日起15天内，可以向当地人民法院起诉。但对公共场所卫生质量控制的决定应立即执行。对处罚的决定不履行又逾期不起诉的，由卫生防疫机构向人民法院申请强制执行。</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第十七条</w:t>
      </w:r>
      <w:r>
        <w:rPr>
          <w:rFonts w:hint="eastAsia" w:ascii="仿宋_GB2312" w:hAnsi="仿宋_GB2312" w:eastAsia="仿宋_GB2312" w:cs="仿宋_GB2312"/>
          <w:sz w:val="32"/>
          <w:szCs w:val="32"/>
        </w:rPr>
        <w:t>　公共场所卫生监督机构和卫生监督员必须尽职尽责，依法办事。对玩忽职守，滥用职权，收取贿赂的，由上级主管部门给予直接责任人员行政处分。构成犯罪的，由司法机关依法追究直接责任人员的刑事责任。</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14"/>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附则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第十八条　</w:t>
      </w:r>
      <w:r>
        <w:rPr>
          <w:rFonts w:hint="eastAsia" w:ascii="仿宋_GB2312" w:hAnsi="仿宋_GB2312" w:eastAsia="仿宋_GB2312" w:cs="仿宋_GB2312"/>
          <w:sz w:val="32"/>
          <w:szCs w:val="32"/>
        </w:rPr>
        <w:t>本条例的实施细则由国务院卫生行政部门负责制定。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第十九条</w:t>
      </w:r>
      <w:r>
        <w:rPr>
          <w:rFonts w:hint="eastAsia" w:ascii="仿宋_GB2312" w:hAnsi="仿宋_GB2312" w:eastAsia="仿宋_GB2312" w:cs="仿宋_GB2312"/>
          <w:sz w:val="32"/>
          <w:szCs w:val="32"/>
        </w:rPr>
        <w:t>　本条例自发布之日起施行。</w:t>
      </w:r>
    </w:p>
    <w:p>
      <w:pPr>
        <w:wordWrap/>
        <w:spacing w:line="560" w:lineRule="exact"/>
        <w:textAlignment w:val="auto"/>
        <w:rPr>
          <w:rFonts w:hint="eastAsia" w:ascii="仿宋_GB2312" w:hAnsi="仿宋_GB2312" w:eastAsia="仿宋_GB2312" w:cs="仿宋_GB2312"/>
          <w:sz w:val="32"/>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5" w:name="_Toc20353"/>
      <w:r>
        <w:rPr>
          <w:rFonts w:hint="eastAsia" w:ascii="宋体" w:hAnsi="宋体" w:eastAsia="宋体" w:cs="Arial"/>
          <w:bCs/>
          <w:sz w:val="44"/>
          <w:szCs w:val="44"/>
        </w:rPr>
        <w:t>国内交通卫生检疫条例</w:t>
      </w:r>
      <w:bookmarkEnd w:id="255"/>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（1998年11月28日中华人民共和国国务院令第254号发布</w:t>
      </w:r>
      <w:r>
        <w:rPr>
          <w:rFonts w:hint="eastAsia" w:ascii="楷体" w:hAnsi="楷体" w:eastAsia="楷体" w:cs="楷体"/>
          <w:szCs w:val="32"/>
          <w:lang w:val="en-US" w:eastAsia="zh-CN"/>
        </w:rPr>
        <w:t xml:space="preserve"> 自1999年3月1日起施行</w:t>
      </w:r>
      <w:r>
        <w:rPr>
          <w:rFonts w:hint="eastAsia" w:ascii="楷体" w:hAnsi="楷体" w:eastAsia="楷体" w:cs="楷体"/>
          <w:szCs w:val="32"/>
        </w:rPr>
        <w:t>）</w:t>
      </w:r>
    </w:p>
    <w:p>
      <w:pPr>
        <w:pStyle w:val="3"/>
        <w:rPr>
          <w:rFonts w:hint="eastAsia" w:ascii="宋体" w:hAnsi="宋体" w:eastAsia="宋体" w:cs="Arial"/>
          <w:bCs/>
          <w:sz w:val="44"/>
          <w:szCs w:val="44"/>
        </w:rPr>
      </w:pP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第一条</w:t>
      </w:r>
      <w:r>
        <w:rPr>
          <w:rFonts w:hint="eastAsia" w:ascii="宋体" w:hAnsi="宋体" w:cs="Arial"/>
          <w:kern w:val="0"/>
          <w:szCs w:val="32"/>
        </w:rPr>
        <w:t xml:space="preserve"> 为了控制检疫传染病通过交通工具及其乘运的人员、物资传播，防止检疫传染病流行，保障人体健康，依照《中华人民共和国传染病防治法》（以下简称传染病防治法）的规定，制定本条例。</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xml:space="preserve">　第二条 </w:t>
      </w:r>
      <w:r>
        <w:rPr>
          <w:rFonts w:hint="eastAsia" w:ascii="宋体" w:hAnsi="宋体" w:cs="Arial"/>
          <w:kern w:val="0"/>
          <w:szCs w:val="32"/>
        </w:rPr>
        <w:t>列车、船舶、航空器和其他车辆（以下简称交通工具）出入检疫传染病疫区和在非检疫传染病疫区的交通工具上发现检疫传染病疫情时，依照本条例对交通工具及其乘运的人员、物资实施交通卫生检疫。</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在中华人民共和国国际通航的港口、机场以及陆地边境和国界江河口岸的国境卫生检疫，依照《中华人民共和国国境卫生检疫法》的规定执行。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第三条</w:t>
      </w:r>
      <w:r>
        <w:rPr>
          <w:rFonts w:hint="eastAsia" w:ascii="宋体" w:hAnsi="宋体" w:cs="Arial"/>
          <w:kern w:val="0"/>
          <w:szCs w:val="32"/>
        </w:rPr>
        <w:t xml:space="preserve"> 本条例所称检疫传染病，是指鼠疫、霍乱以及国务院确定并公布的其他传染病。</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检疫传染病的诊断标准，按照国家有关卫生标准和国务院卫生行政部门的规定执行。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第四条</w:t>
      </w:r>
      <w:r>
        <w:rPr>
          <w:rFonts w:hint="eastAsia" w:ascii="宋体" w:hAnsi="宋体" w:cs="Arial"/>
          <w:kern w:val="0"/>
          <w:szCs w:val="32"/>
        </w:rPr>
        <w:t xml:space="preserve"> 国务院卫生行政部门主管全国国内交通卫生检疫监督管理工作。</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县级以上地方人民政府卫生行政部门负责本行政区域内的国内交通卫生检疫监督管理工作。</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铁路、交通、民用航空行政主管部门的卫生主管机构，根据有关法律、法规和国务院卫生行政部门分别会同国务院铁路、交通、民用航空行政主管部门规定的职责划分，负责各自职责范围内的国内交通卫生检疫工作。</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第五条</w:t>
      </w:r>
      <w:r>
        <w:rPr>
          <w:rFonts w:hint="eastAsia" w:ascii="宋体" w:hAnsi="宋体" w:cs="Arial"/>
          <w:kern w:val="0"/>
          <w:szCs w:val="32"/>
        </w:rPr>
        <w:t xml:space="preserve"> 省、自治区、直辖市人民政府依照传染病防治法的规定，确定检疫传染病疫区，并决定对出入疫区的交通工具及其乘运的人员、物资实施交通卫生检疫。</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第六条</w:t>
      </w:r>
      <w:r>
        <w:rPr>
          <w:rFonts w:hint="eastAsia" w:ascii="宋体" w:hAnsi="宋体" w:cs="Arial"/>
          <w:kern w:val="0"/>
          <w:szCs w:val="32"/>
        </w:rPr>
        <w:t xml:space="preserve"> 对出入检疫传染病疫区的交通工具及其乘运的人员、物资，县级以上地方人民政府卫生行政部门或者铁路、交通、民用航空行政主管部门的卫生主管机构根据各自的职责，有权采取下列相应的交通卫生检疫措施：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（一）对出入检疫传染病疫区的人员、交通工具及其承运的物资进行查验；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（二）对检疫传染病病人、病原携带者、疑似检疫传染病病人和与其密切接触者，实施临时隔离、医学检查及其他应急医学措施；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（三）对被检疫传染病病原体污染或者可能被污染的物品，实施控制和卫生处理；</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（四）对通过该疫区的交通工具及其停靠场所，实施紧急卫生处理；</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（五）需要采取的其他卫生检疫措施。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采取前款所列交通卫生检疫措施的期间自决定实施时起至决定解除时止。</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第七条</w:t>
      </w:r>
      <w:r>
        <w:rPr>
          <w:rFonts w:hint="eastAsia" w:ascii="宋体" w:hAnsi="宋体" w:cs="Arial"/>
          <w:kern w:val="0"/>
          <w:szCs w:val="32"/>
        </w:rPr>
        <w:t xml:space="preserve"> 非检疫传染病疫区的交通工具上发现下列情形之一时，县级以上地方人民政府卫生行政部门或者铁路、交通、民用航空行政主管部门的卫生主管机构根据各自的职责，有权对交通工具及其乘运的人员、物资实施交通卫生检疫：</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（一）发现有感染鼠疫的啮齿类动物或者啮齿类动物反常死亡，并且死因不明；</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（二）发现鼠疫、霍乱病人、病原携带者和疑似鼠疫、霍乱病人；</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（三）发现国务院确定并公布的需要实施国内交通卫生检疫的其他传染病。</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跨省、自治区、直辖市在非检疫传染病疫区运行的列车、船舶、航空器上发现前款所列情列之一时，国务院卫生行政部门分别会同国务院铁路、交通、民用航空行政主管部门，可以决定对该列车、船舶、航空器实施交通卫生检疫和指令列车、船舶、航空器不得停靠或者通过港口、机场、车站；但是，因实施交通卫生检疫导致中断干线交通或者封锁国境的，须由国务院决定。</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第八条</w:t>
      </w:r>
      <w:r>
        <w:rPr>
          <w:rFonts w:hint="eastAsia" w:ascii="宋体" w:hAnsi="宋体" w:cs="Arial"/>
          <w:kern w:val="0"/>
          <w:szCs w:val="32"/>
        </w:rPr>
        <w:t xml:space="preserve"> 在非检疫传染病疫区的交通工具上，发现检疫传染病病人、病原携带者、疑似检疫传染病病人时，交通工具负责人应当组织有关人员采取下列临时措施：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（一）以最快的方式通知前方停靠点，并向交通工具营运单位的主管部门报告；</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（二）对检疫传染病病人、病原携带者、疑似检疫传染病病人和与其密切接触者实施隔离；</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（三）封锁已经污染或者可能污染的区域，采取禁止向外排放污物等卫生处理措施；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（四）在指定的停靠点将检疫传染病病人、病原携带者、疑似检疫传染病病人和与其密切接触者以及其他需要跟踪观察的旅客名单，移交当地县级以上地方人民政府卫生行政部门；</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（五）对承运过检疫传染病病人、病原携带者、疑似检疫传染病病人的交通工具和可能被污染的环境实施卫生处理。</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交通工具停靠地的县级以上地方人民政府卫生行政部门或者铁路、交通、民用航空行政主管部门的卫生主管机构，应当根据各自的职责，依照传染病防治法的规定，采取控制措施。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第九条</w:t>
      </w:r>
      <w:r>
        <w:rPr>
          <w:rFonts w:hint="eastAsia" w:ascii="宋体" w:hAnsi="宋体" w:cs="Arial"/>
          <w:kern w:val="0"/>
          <w:szCs w:val="32"/>
        </w:rPr>
        <w:t xml:space="preserve"> 县级以上地方人民政府卫生行政部门或者铁路、交通、民用航空行政主管部门的卫生主管机构，根据各自的职责，对出入检疫传染病疫区的或者在非检疫传染病疫区发现检疫传染病疫情的交通工具及其乘运的人员、物资，实施交通卫生检疫；经检疫合格的，签发检疫合格证明。交通工具及其乘运的人员、物资凭检疫合格证明，方可通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检疫合格证明的格式，由国务院卫生行政部门商国务院铁路、交通、民用航空行政主管部门制定。</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Arial"/>
          <w:kern w:val="0"/>
          <w:szCs w:val="32"/>
        </w:rPr>
      </w:pPr>
      <w:r>
        <w:rPr>
          <w:rFonts w:hint="eastAsia" w:ascii="黑体" w:hAnsi="黑体" w:eastAsia="黑体" w:cs="黑体"/>
          <w:kern w:val="0"/>
          <w:szCs w:val="32"/>
        </w:rPr>
        <w:t>第十条</w:t>
      </w:r>
      <w:r>
        <w:rPr>
          <w:rFonts w:hint="eastAsia" w:ascii="宋体" w:hAnsi="宋体" w:cs="Arial"/>
          <w:kern w:val="0"/>
          <w:szCs w:val="32"/>
        </w:rPr>
        <w:t xml:space="preserve"> 对拒绝隔离、治疗、留验的检疫传染病病人、病原携带者、疑似检疫传染病病人和与其密切接触者，以及拒绝检查和卫生处理的可能传播检疫传染病的交通工具、停靠场所及物资，县级以上地方人民政府卫生行政部门或者铁路、交通、民用航空行政主管部门的卫生主管机构根据各自的职责，应当依照传染病防治法的规定，采取强制检疫措施；必要时，由当地县级以上人民政府组织公安部门予以协助。</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xml:space="preserve">第十一条 </w:t>
      </w:r>
      <w:r>
        <w:rPr>
          <w:rFonts w:hint="eastAsia" w:ascii="宋体" w:hAnsi="宋体" w:cs="Arial"/>
          <w:kern w:val="0"/>
          <w:szCs w:val="32"/>
        </w:rPr>
        <w:t>检疫传染病疫情发生后，疫区所在地的省、自治区、直辖市人民政府卫生行政部门应当向有关铁路、交通、民用航空行政主管部门的卫生主管机构通报疫情。铁路、交通、民用航空行政主管部门的卫生主管机构接到疫情通报后，应当及时通知有关交通工具的营运单位。</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检疫传染病疫情的报告、通报和公布，依照传染病防治法及其实施办法的规定执行。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xml:space="preserve">　第十二条 </w:t>
      </w:r>
      <w:r>
        <w:rPr>
          <w:rFonts w:hint="eastAsia" w:ascii="宋体" w:hAnsi="宋体" w:cs="Arial"/>
          <w:kern w:val="0"/>
          <w:szCs w:val="32"/>
        </w:rPr>
        <w:t>国务院卫生行政部门应当依照传染病防治法的规定，加强对检疫传染病防治的监督管理，会同国务院铁路、交通、民用航空行政主管部门，依照本条例的规定，拟订国内交通卫生检疫实施方案。</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xml:space="preserve">　　第十三条 </w:t>
      </w:r>
      <w:r>
        <w:rPr>
          <w:rFonts w:hint="eastAsia" w:ascii="宋体" w:hAnsi="宋体" w:cs="Arial"/>
          <w:kern w:val="0"/>
          <w:szCs w:val="32"/>
        </w:rPr>
        <w:t>检疫传染病病人、病原携带者、疑似检疫传染病病人和与其密切接触者隐瞒真实情况、逃避交通卫生检疫的，由县级以上地方人民政府卫生行政部门或者铁路、交通、民用航空行政主管部门的卫生主管机构，根据各自的职责分工，责令限期改正，给予警告，可以并处1000元以下的罚款；拒绝接受查验和卫生处理的，给予警告，并处1000元以上5000元以下的罚款；情节严重，引起检疫传染病传播或者有传播严重危险，构成犯罪的，依法追究刑事责任。</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第十四条</w:t>
      </w:r>
      <w:r>
        <w:rPr>
          <w:rFonts w:hint="eastAsia" w:ascii="宋体" w:hAnsi="宋体" w:cs="Arial"/>
          <w:kern w:val="0"/>
          <w:szCs w:val="32"/>
        </w:rPr>
        <w:t xml:space="preserve"> 在非检疫传染病疫区的交通工具上发现检疫传染病病人、病原携带者、疑似检疫传染病病人时，交通工具负责人未依照本条例规定采取措施的，由县级以上地方人民政府卫生行政部门或者铁路、交通、民用航空行政主管部门的卫生主管机构，根据各自的职责，责令改正，给予警告，并处1000元以上5000元以下的罚款；情节严重，引起检疫传染病传播或者有传播严重危险，构成犯罪的，依法追究刑事责任。</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第十五条</w:t>
      </w:r>
      <w:r>
        <w:rPr>
          <w:rFonts w:hint="eastAsia" w:ascii="宋体" w:hAnsi="宋体" w:cs="Arial"/>
          <w:kern w:val="0"/>
          <w:szCs w:val="32"/>
        </w:rPr>
        <w:t xml:space="preserve"> 县级以上地方人民政府卫生行政部门或者铁路、交通、民用航空行政主管部门的卫生主管机构，对发现的检疫传染病病人、病原携带者、疑似检疫传染病病人和与其密切接触者，未依法实施临时隔离、医学检查和其他应急医学措施的，以及对被检疫传染病病原体污染或者可能被污染的物品、交通工具及其停靠场所未依法进行必要的控制和卫生处理的，由其上级行政主管部门责令限期改正，对直接负责的主管人员和其他直接责任人员依法给予行政处分；情节严重，引起检疫传染病传播或者有传播严重危险，构成犯罪的，依法追究刑事责任。</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第十六条</w:t>
      </w:r>
      <w:r>
        <w:rPr>
          <w:rFonts w:hint="eastAsia" w:ascii="宋体" w:hAnsi="宋体" w:cs="Arial"/>
          <w:kern w:val="0"/>
          <w:szCs w:val="32"/>
        </w:rPr>
        <w:t xml:space="preserve"> 本条例自1999年3月1日起施行。1985年9月19日国务院批准、1985年10月12日铁道部、卫生部公布的《铁路交通检疫管理办法》同时废止。</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p>
    <w:p>
      <w:pPr>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6" w:name="_Toc4168"/>
      <w:r>
        <w:rPr>
          <w:rFonts w:hint="eastAsia" w:ascii="宋体" w:hAnsi="宋体" w:eastAsia="宋体" w:cs="Arial"/>
          <w:bCs/>
          <w:sz w:val="44"/>
          <w:szCs w:val="44"/>
        </w:rPr>
        <w:t>城市市容和环境卫生管理条例</w:t>
      </w:r>
      <w:bookmarkEnd w:id="256"/>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（1992年5月20日国务院第104次常务会议通过 1992年6月28日中华人民共和国国务院令第101号公布 自1992年8月1日起施行 根据2011年1月8日《国务院关于废止和修改部分行政法规的决定》第一次修订 根据2017年3月1日《国务院关于修改和废止部分行政法规的决定》第二次修订）</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城市市容管理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城市环境卫生管理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罚则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为了加强城市市容和环境卫生管理，创造清洁、优美的城市工作、生活环境，促进城市社会主义物质文明和精神文明建设，制定本条例。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在中华人民共和国城市内，一切单位和个人都必须遵守本条例。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城市市容和环境卫生工作，实行统一领导、分区负责、专业人员管理与群众管理相结合的原则。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国务院城市建设行政主管部门主管全国城市市容和环境卫生工作。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省、自治区人民政府城市建设行政主管部门负责本行政区域的城市市容和环境卫生管理工作。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城市人民政府市容环境卫生行政主管部门负责本行政区域的城市市容和环境卫生管理工作。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城市人民政府应当把城市市容和环境卫生事业纳入国民经济和社会发展计划，并组织实施。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城市人民政府应当结合本地的实际情况，积极推行环境卫生用工制度的改革，并采取措施，逐步提高环境卫生工作人员的工资福利待遇。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城市人民政府应当加强城市市容和环境卫生科学知识的宣传，提高公民的环境卫生意识，养成良好的卫生习惯。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一切单位和个人，都应当尊重市容和环境卫生工作人员的劳动，不得妨碍、阻挠市容和环境卫生工作人员履行职务。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国家鼓励城市市容和环境卫生的科学技术研究，推广先进技术，提高城市市容和环境卫生水平。</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对在城市市容和环境卫生工作中成绩显著的单位和个人，由人民政府给予奖励。</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城市市容管理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城市中的建筑物和设施，应当符合国家规定的城市容貌标准。对外开放城市、风景旅游城市和有条件的其他城市，可以结合本地具体情况，制定严于国家规定的城市容貌标准；建制镇可以参照国家规定的城市容貌标准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一切单位和个人都应当保持建筑物的整洁、美观。在城市人民政府规定的街道的临街建筑物的阳台和窗外，不得堆放、吊挂有碍市容的物品。搭建或者封闭阳台必须符合城市人民政府市容环境卫生行政主管部门的有关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在城市中设置户外广告、标语牌、画廊、橱窗等，应当内容健康、外形美观，并定期维修、油饰或者拆除。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大型户外广告的设置必须征得城市人民政府市容环境卫生行政主管部门同意后，按照有关规定办理审批手续。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城市中的市政公用设施，应当与周围环境相协调，并维护和保持设施完好、整洁。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主要街道两侧的建筑物前，应当根据需要与可能，选用透景、半透景的围墙、栅栏或者绿篱、花坛（池）、草坪等作为分界。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临街树木、绿篱、花坛（池）、草坪等，应当保持整洁、美观。栽培、整修或者其他作业留下的渣土、枝叶等，管理单位、个人或者作业者应当及时清除。</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在市区运行的交通运输工具，应当保持外形完好、整洁，货运车辆运输的液体、散装货物，应当密封、包扎、覆盖，避免泄漏、遗撒。</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城市的工程施工现场的材料、机具应当堆放整齐，渣土应当及时清运；临街工地应当设置护栏或者围布遮挡；停工场地应当及时整理并作必要的覆盖；竣工后，应当及时清理和平整场地。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一切单位和个人，都不得在城市建筑物、设施以及树木上涂写、刻画。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单位和个人在城市建筑物、设施上张挂、张贴宣传品等，须经城市人民政府市容环境卫生行政主管部门或者其他有关部门批准。</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城市环境卫生管理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城市中的环境卫生设施，应当符合国家规定的城市环境卫生标准。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城市人民政府在进行城市新区开发或者旧区改造时，应当依照国家有关规定，建设生活废弃物的清扫、收集、运输和处理等环境卫生设施，所需经费应当纳入建设工程概算。</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城市人民政府市容环境卫生行政主管部门，应当根据城市居住人口密度和流动人口数量以及公共场所等特定地区的需要，制定公共厕所建设规划，并按照规定的标准，建设、改造或者支持有关单位建设、改造公共厕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人民政府市容环境卫生行政主管部门，应当配备专业人员或者委托有关单位和个人负责公共厕所的保洁和管理；有关单位和个人也可以承包公共厕所的保洁和管理。公共厕所的管理者可以适当收费，具体办法由省、自治区、直辖市人民政府制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对不符合规定标准的公共厕所，城市人民政府应当责令有关单位限期改造。</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公共厕所的粪便应当排入贮（化）粪池或者城市污水系统。</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多层和高层建筑应当设置封闭式垃圾通道或者垃圾贮存设施，并修建清运车辆通道。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城市街道两侧、居住区或者人流密集地区，应当设置封闭式垃圾容器、果皮箱等设施。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一切单位和个人都不得擅自拆除环境卫生设施；因建设需要必须拆除的，建设单位必须事先提出拆迁方案，报城市人民政府市容环境卫生行政主管部门批准。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按国家行政建制设立的市的主要街道、广场和公共水域的环境卫生，由环境卫生专业单位负责。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居住区、街巷等地方，由街道办事处负责组织专人清扫保洁。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飞机场、火车站、公共汽车始末站、港口、影剧院、博物馆、展览馆、纪念馆、体育馆（场）和公园等公共场所，由本单位负责清扫保洁。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机关、团体、部队、企事业单位，应当按照城市人民政府市容环境卫生行政主管部门划分的卫生责任区负责清扫保洁。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城市集贸市场，由主管部门负责组织专人清扫保洁。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各种摊点，由从业者负责清扫保洁。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城市港口客货码头作业范围内的水面，由港口客货码头经营单位责成作业者清理保洁。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在市区水域行驶或者停泊的各类船舶上的垃圾、粪便，由船上负责人依照规定处理。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城市人民政府市容环境卫生行政主管部门对城市生活废弃物的收集、运输和处理实施监督管理。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一切单位和个人，都应当依照城市人民政府市容环境卫生行政主管部门规定的时间、地点、方式，倾倒垃圾、粪便。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对垃圾、粪便应当及时清运，并逐步做到垃圾、粪便的无害化处理和综合利用。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对城市生活废弃物应当逐步做到分类收集、运输和处理。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环境卫生管理应当逐步实行社会化服务。有条件的城市，可以成立环境卫生服务公司。</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凡委托环境卫生专业单位清扫、收集、运输和处理废弃物的，应当交纳服务费。具体办法由省、自治区、直辖市人民政府制定。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城市人民政府应当有计划地发展城市煤气、天然气、液化气，改变燃料结构；鼓励和支持有关部门组织净菜进城和回收利用废旧物资，减少城市垃圾。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医院、疗养院、屠宰场、生物制品厂产生的废弃物，必须依照有关规定处理。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公民应当爱护公共卫生环境，不随地吐痰、便溺，不乱扔果皮、纸屑和烟头等废弃物。</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按国家行政建制设立的市的市区内，禁止饲养鸡、鸭、鹅、兔、羊、猪等家畜家禽；因教学、科研以及其他特殊需要饲养的除外。</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罚则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有下列行为之一者，城市人民政府市容环境卫生行政主管部门或者其委托的单位除责令其纠正违法行为、采取补救措施外，可以并处警告、罚款：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（一）随地吐痰、便溺，乱扔果皮、纸屑和烟头等废弃物的；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（二）在城市建筑物、设施以及树木上涂写、刻画或者未经批准张挂、张贴宣传品等的；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（三）在城市人民政府规定的街道的临街建筑物的阳台和窗外，堆放、吊挂有碍市容的物品的；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（四）不按规定的时间、地点、方式，倾倒垃圾、粪便的；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（五）不履行卫生责任区清扫保洁义务或者不按规定清运、处理垃圾和粪便的；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（六）运输液体、散装货物不作密封、包扎、覆盖，造成泄漏、遗撒的；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（七）临街工地不设置护栏或者不作遮挡、停工场地不及时整理并作必要覆盖或者竣工后不及时清理和平整场地，影响市容和环境卫生的。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饲养家畜家禽影响市容和环境卫生的，由城市人民政府市容环境卫生行政主管部门或者其委托的单位，责令其限期处理或者予以没收，并可处以罚款。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有下列行为之一者，由城市人民政府市容环境卫生行政主管部门或者其委托的单位责令其停止违法行为，限期清理、拆除或者采取其他补救措施，并可处以罚款：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（一）未经城市人民政府市容环境卫生行政主管部门同意，擅自设置大型户外广告，影响市容的；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（二）未经城市人民政府市容环境卫生行政主管部门批准，擅自在街道两侧和公共场地堆放物料，搭建建筑物、构筑物或者其他设施，影响市容的；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（三）未经批准擅自拆除环境卫生设施或者未按批准的拆迁方案进行拆迁的。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损坏各类环境卫生设施及其附属设施的，城市人民政府市容环境卫生行政主管部门或者其委托的单位除责令其恢复原状外，可以并处罚款；盗窃、损坏各类环境卫生设施及其附属设施，应当给予治安管理处罚的，依照《中华人民共和国治安管理处罚法》的规定处罚；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侮辱、殴打市容和环境卫生工作人员或者阻挠其执行公务的，依照《中华人民共和国治安管理处罚法》的规定处罚；构成犯罪的，依法追究刑事责任。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当事人对行政处罚决定不服的，可以自接到处罚通知之日起15日内，向作出处罚决定机关的上一级机关申请复议；对复议决定不服的，可以自接到复议决定书之日起15日内向人民法院起诉。当事人也可以自接到处罚通知之日起15日内直接向人民法院起诉。期满不申请复议、也不向人民法院起诉、又不履行处罚决定的，由作出处罚决定的机关申请人民法院强制执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对治安管理处罚不服的，依照《中华人民共和国治安管理处罚法》的规定办理。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城市人民政府市容环境卫生行政主管部门工作人员玩忽职守、滥用职权、徇私舞弊的，由其所在单位或者上级主管机关给予行政处分；构成犯罪的，依法追究刑事责任。</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未设镇建制的城市型居民区可以参照本条例执行。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省、自治区、直辖市人民政府可以根据本条例制定实施办法。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本条例由国务院城市建设行政主管部门负责解释。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本条例自1992年8月1日起施行。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7" w:name="_Toc15216"/>
      <w:r>
        <w:rPr>
          <w:rFonts w:hint="eastAsia" w:ascii="宋体" w:hAnsi="宋体" w:eastAsia="宋体" w:cs="Arial"/>
          <w:bCs/>
          <w:sz w:val="44"/>
          <w:szCs w:val="44"/>
        </w:rPr>
        <w:t>护士条例</w:t>
      </w:r>
      <w:bookmarkEnd w:id="257"/>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（2008年1月23日国务院第206次常务会议通过 2008年1月31日中华人民共和国国务院令第517号公布 自2008年5月12日起施行）</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第一章　总则</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第一条</w:t>
      </w:r>
      <w:r>
        <w:rPr>
          <w:rFonts w:hint="eastAsia" w:ascii="宋体" w:hAnsi="宋体" w:eastAsia="仿宋_GB2312" w:cs="Arial"/>
          <w:kern w:val="0"/>
          <w:sz w:val="32"/>
          <w:szCs w:val="32"/>
          <w:lang w:val="en-US" w:eastAsia="zh-CN" w:bidi="ar-SA"/>
        </w:rPr>
        <w:t xml:space="preserve"> 为了维护护士的合法权益，规范护理行为，促进护理事业发展，保障医疗安全和人体健康，制定本条例。</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第二条 </w:t>
      </w:r>
      <w:r>
        <w:rPr>
          <w:rFonts w:hint="eastAsia" w:ascii="宋体" w:hAnsi="宋体" w:eastAsia="仿宋_GB2312" w:cs="Arial"/>
          <w:kern w:val="0"/>
          <w:sz w:val="32"/>
          <w:szCs w:val="32"/>
          <w:lang w:val="en-US" w:eastAsia="zh-CN" w:bidi="ar-SA"/>
        </w:rPr>
        <w:t>本条例所称护士，是指经执业注册取得护士执业证书，依照本条例规定从事护理活动，履行保护生命、减轻痛苦、增进健康职责的卫生技术人员。</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第三条</w:t>
      </w:r>
      <w:r>
        <w:rPr>
          <w:rFonts w:hint="eastAsia" w:ascii="宋体" w:hAnsi="宋体" w:eastAsia="仿宋_GB2312" w:cs="Arial"/>
          <w:kern w:val="0"/>
          <w:sz w:val="32"/>
          <w:szCs w:val="32"/>
          <w:lang w:val="en-US" w:eastAsia="zh-CN" w:bidi="ar-SA"/>
        </w:rPr>
        <w:t xml:space="preserve"> 护士人格尊严、人身安全不受侵犯。护士依法履行职责，受法律保护。</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全社会应当尊重护士。</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第四条</w:t>
      </w:r>
      <w:r>
        <w:rPr>
          <w:rFonts w:hint="eastAsia" w:ascii="宋体" w:hAnsi="宋体" w:eastAsia="仿宋_GB2312" w:cs="Arial"/>
          <w:kern w:val="0"/>
          <w:sz w:val="32"/>
          <w:szCs w:val="32"/>
          <w:lang w:val="en-US" w:eastAsia="zh-CN" w:bidi="ar-SA"/>
        </w:rPr>
        <w:t xml:space="preserve"> 国务院有关部门、县级以上地方人民政府及其有关部门以及乡（镇）人民政府应当采取措施，改善护士的工作条件，保障护士待遇，加强护士队伍建设，促进护理事业健康发展。</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国务院有关部门和县级以上地方人民政府应当采取措施，鼓励护士到农村、基层医疗卫生机构工作。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第五条</w:t>
      </w:r>
      <w:r>
        <w:rPr>
          <w:rFonts w:hint="eastAsia" w:ascii="宋体" w:hAnsi="宋体" w:eastAsia="仿宋_GB2312" w:cs="Arial"/>
          <w:kern w:val="0"/>
          <w:sz w:val="32"/>
          <w:szCs w:val="32"/>
          <w:lang w:val="en-US" w:eastAsia="zh-CN" w:bidi="ar-SA"/>
        </w:rPr>
        <w:t xml:space="preserve"> 国务院卫生主管部门负责全国的护士监督管理工作。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县级以上地方人民政府卫生主管部门负责本行政区域的护士监督管理工作。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第六条</w:t>
      </w:r>
      <w:r>
        <w:rPr>
          <w:rFonts w:hint="eastAsia" w:ascii="宋体" w:hAnsi="宋体" w:eastAsia="仿宋_GB2312" w:cs="Arial"/>
          <w:kern w:val="0"/>
          <w:sz w:val="32"/>
          <w:szCs w:val="32"/>
          <w:lang w:val="en-US" w:eastAsia="zh-CN" w:bidi="ar-SA"/>
        </w:rPr>
        <w:t xml:space="preserve"> 国务院有关部门对在护理工作中做出杰出贡献的护士，应当授予全国卫生系统先进工作者荣誉称号或者颁发白求恩奖章，受到表彰、奖励的护士享受省部级劳动模范、先进工作者待遇；对长期从事护理工作的护士应当颁发荣誉证书。具体办法由国务院有关部门制定。</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县级以上地方人民政府及其有关部门对本行政区域内做出突出贡献的护士，按照省、自治区、直辖市人民政府的有关规定给予表彰、奖励。</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第二章　执业注册</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第七条 </w:t>
      </w:r>
      <w:r>
        <w:rPr>
          <w:rFonts w:hint="eastAsia" w:ascii="宋体" w:hAnsi="宋体" w:eastAsia="仿宋_GB2312" w:cs="Arial"/>
          <w:kern w:val="0"/>
          <w:sz w:val="32"/>
          <w:szCs w:val="32"/>
          <w:lang w:val="en-US" w:eastAsia="zh-CN" w:bidi="ar-SA"/>
        </w:rPr>
        <w:t>护士执业，应当经执业注册取得护士执业证书。</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申请护士执业注册，应当具备下列条件：</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（一）具有完全民事行为能力；</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在中等职业学校、高等学校完成国务院教育主管部门和国务院卫生主管部门规定的普通全日制3年以上的护理、助产专业课程学习，包括在教学、综合医院完成8个月以上护理临床实习，并取得相应学历证书；</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（三）通过国务院卫生主管部门组织的护士执业资格考试；</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（四）符合国务院卫生主管部门规定的健康标准。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执业注册申请，应当自通过护士执业资格考试之日起3年内提出；逾期提出申请的，除应当具备前款第（一）项、第（二）项和第（四）项规定条件外，还应当在符合国务院卫生主管部门规定条件的医疗卫生机构接受3个月临床护理培训并考核合格。</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护士执业资格考试办法由国务院卫生主管部门会同国务院人事部门制定。</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第八条</w:t>
      </w:r>
      <w:r>
        <w:rPr>
          <w:rFonts w:hint="eastAsia" w:ascii="宋体" w:hAnsi="宋体" w:eastAsia="仿宋_GB2312" w:cs="Arial"/>
          <w:kern w:val="0"/>
          <w:sz w:val="32"/>
          <w:szCs w:val="32"/>
          <w:lang w:val="en-US" w:eastAsia="zh-CN" w:bidi="ar-SA"/>
        </w:rPr>
        <w:t xml:space="preserve"> 申请护士执业注册的，应当向拟执业地省、自治区、直辖市人民政府卫生主管部门提出申请。收到申请的卫生主管部门应当自收到申请之日起20个工作日内做出决定，对具备本条例规定条件的，准予注册，并发给护士执业证书；对不具备本条例规定条件的，不予注册，并书面说明理由。</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护士执业注册有效期为5年。</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第九条</w:t>
      </w:r>
      <w:r>
        <w:rPr>
          <w:rFonts w:hint="eastAsia" w:ascii="宋体" w:hAnsi="宋体" w:eastAsia="仿宋_GB2312" w:cs="Arial"/>
          <w:kern w:val="0"/>
          <w:sz w:val="32"/>
          <w:szCs w:val="32"/>
          <w:lang w:val="en-US" w:eastAsia="zh-CN" w:bidi="ar-SA"/>
        </w:rPr>
        <w:t xml:space="preserve"> 护士在其执业注册有效期内变更执业地点的，应当向拟执业地省、自治区、直辖市人民政府卫生主管部门报告。收到报告的卫生主管部门应当自收到报告之日起7个工作日内为其办理变更手续。护士跨省、自治区、直辖市变更执业地点的，收到报告的卫生主管部门还应当向其原执业地省、自治区、直辖市人民政府卫生主管部门通报。</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第十条</w:t>
      </w:r>
      <w:r>
        <w:rPr>
          <w:rFonts w:hint="eastAsia" w:ascii="宋体" w:hAnsi="宋体" w:eastAsia="仿宋_GB2312" w:cs="Arial"/>
          <w:kern w:val="0"/>
          <w:sz w:val="32"/>
          <w:szCs w:val="32"/>
          <w:lang w:val="en-US" w:eastAsia="zh-CN" w:bidi="ar-SA"/>
        </w:rPr>
        <w:t xml:space="preserve"> 护士执业注册有效期届满需要继续执业的，应当在护士执业注册有效期届满前30日向执业地省、自治区、直辖市人民政府卫生主管部门申请延续注册。收到申请的卫生主管部门对具备本条例规定条件的，准予延续，延续执业注册有效期为5年；对不具备本条例规定条件的，不予延续，并书面说明理由。</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护士有行政许可法规定的应当予以注销执业注册情形的，原注册部门应当依照行政许可法的规定注销其执业注册。</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第十一条</w:t>
      </w:r>
      <w:r>
        <w:rPr>
          <w:rFonts w:hint="eastAsia" w:ascii="宋体" w:hAnsi="宋体" w:eastAsia="仿宋_GB2312" w:cs="Arial"/>
          <w:kern w:val="0"/>
          <w:sz w:val="32"/>
          <w:szCs w:val="32"/>
          <w:lang w:val="en-US" w:eastAsia="zh-CN" w:bidi="ar-SA"/>
        </w:rPr>
        <w:t xml:space="preserve"> 县级以上地方人民政府卫生主管部门应当建立本行政区域的护士执业良好记录和不良记录，并将该记录记入护士执业信息系统。</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执业良好记录包括护士受到的表彰、奖励以及完成政府指令性任务的情况等内容。护士执业不良记录包括护士因违反本条例以及其他卫生管理法律、法规、规章或者诊疗技术规范的规定受到行政处罚、处分的情况等内容。</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第三章　权利和义务</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第十二条</w:t>
      </w:r>
      <w:r>
        <w:rPr>
          <w:rFonts w:hint="eastAsia" w:ascii="宋体" w:hAnsi="宋体" w:eastAsia="仿宋_GB2312" w:cs="Arial"/>
          <w:kern w:val="0"/>
          <w:sz w:val="32"/>
          <w:szCs w:val="32"/>
          <w:lang w:val="en-US" w:eastAsia="zh-CN" w:bidi="ar-SA"/>
        </w:rPr>
        <w:t xml:space="preserve"> 护士执业，有按照国家有关规定获取工资报酬、享受福利待遇、参加社会保险的权利。任何单位或者个人不得克扣护士工资，降低或者取消护士福利等待遇。</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第十三条</w:t>
      </w:r>
      <w:r>
        <w:rPr>
          <w:rFonts w:hint="eastAsia" w:ascii="宋体" w:hAnsi="宋体" w:eastAsia="仿宋_GB2312" w:cs="Arial"/>
          <w:kern w:val="0"/>
          <w:sz w:val="32"/>
          <w:szCs w:val="32"/>
          <w:lang w:val="en-US" w:eastAsia="zh-CN" w:bidi="ar-SA"/>
        </w:rPr>
        <w:t xml:space="preserve"> 护士执业，有获得与其所从事的护理工作相适应的卫生防护、医疗保健服务的权利。从事直接接触有毒有害物质、有感染传染病危险工作的护士，有依照有关法律、行政法规的规定接受职业健康监护的权利；患职业病的，有依照有关法律、行政法规的规定获得赔偿的权利。</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第十四条</w:t>
      </w:r>
      <w:r>
        <w:rPr>
          <w:rFonts w:hint="eastAsia" w:ascii="宋体" w:hAnsi="宋体" w:eastAsia="仿宋_GB2312" w:cs="Arial"/>
          <w:kern w:val="0"/>
          <w:sz w:val="32"/>
          <w:szCs w:val="32"/>
          <w:lang w:val="en-US" w:eastAsia="zh-CN" w:bidi="ar-SA"/>
        </w:rPr>
        <w:t xml:space="preserve"> 护士有按照国家有关规定获得与本人业务能力和学术水平相应的专业技术职务、职称的权利；有参加专业培训、从事学术研究和交流、参加行业协会和专业学术团体的权利。</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第十五条 </w:t>
      </w:r>
      <w:r>
        <w:rPr>
          <w:rFonts w:hint="eastAsia" w:ascii="宋体" w:hAnsi="宋体" w:eastAsia="仿宋_GB2312" w:cs="Arial"/>
          <w:kern w:val="0"/>
          <w:sz w:val="32"/>
          <w:szCs w:val="32"/>
          <w:lang w:val="en-US" w:eastAsia="zh-CN" w:bidi="ar-SA"/>
        </w:rPr>
        <w:t>护士有获得疾病诊疗、护理相关信息的权利和其他与履行护理职责相关的权利，可以对医疗卫生机构和卫生主管部门的工作提出意见和建议。</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第十六条</w:t>
      </w:r>
      <w:r>
        <w:rPr>
          <w:rFonts w:hint="eastAsia" w:ascii="宋体" w:hAnsi="宋体" w:eastAsia="仿宋_GB2312" w:cs="Arial"/>
          <w:kern w:val="0"/>
          <w:sz w:val="32"/>
          <w:szCs w:val="32"/>
          <w:lang w:val="en-US" w:eastAsia="zh-CN" w:bidi="ar-SA"/>
        </w:rPr>
        <w:t xml:space="preserve"> 护士执业，应当遵守法律、法规、规章和诊疗技术规范的规定。</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第十七条</w:t>
      </w:r>
      <w:r>
        <w:rPr>
          <w:rFonts w:hint="eastAsia" w:ascii="宋体" w:hAnsi="宋体" w:eastAsia="仿宋_GB2312" w:cs="Arial"/>
          <w:kern w:val="0"/>
          <w:sz w:val="32"/>
          <w:szCs w:val="32"/>
          <w:lang w:val="en-US" w:eastAsia="zh-CN" w:bidi="ar-SA"/>
        </w:rPr>
        <w:t xml:space="preserve"> 护士在执业活动中，发现患者病情危急，应当立即通知医师；在紧急情况下为抢救垂危患者生命，应当先行实施必要的紧急救护。</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护士发现医嘱违反法律、法规、规章或者诊疗技术规范规定的，应当及时向开具医嘱的医师提出；必要时，应当向该医师所在科室的负责人或者医疗卫生机构负责医疗服务管理的人员报告。</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第十八条</w:t>
      </w:r>
      <w:r>
        <w:rPr>
          <w:rFonts w:hint="eastAsia" w:ascii="宋体" w:hAnsi="宋体" w:eastAsia="仿宋_GB2312" w:cs="Arial"/>
          <w:kern w:val="0"/>
          <w:sz w:val="32"/>
          <w:szCs w:val="32"/>
          <w:lang w:val="en-US" w:eastAsia="zh-CN" w:bidi="ar-SA"/>
        </w:rPr>
        <w:t xml:space="preserve"> 护士应当尊重、关心、爱护患者，保护患者的隐私。</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第十九条</w:t>
      </w:r>
      <w:r>
        <w:rPr>
          <w:rFonts w:hint="eastAsia" w:ascii="宋体" w:hAnsi="宋体" w:eastAsia="仿宋_GB2312" w:cs="Arial"/>
          <w:kern w:val="0"/>
          <w:sz w:val="32"/>
          <w:szCs w:val="32"/>
          <w:lang w:val="en-US" w:eastAsia="zh-CN" w:bidi="ar-SA"/>
        </w:rPr>
        <w:t xml:space="preserve"> 护士有义务参与公共卫生和疾病预防控制工作。发生自然灾害、公共卫生事件等严重威胁公众生命健康的突发事件，护士应当服从县级以上人民政府卫生主管部门或者所在医疗卫生机构的安排，参加医疗救护。</w:t>
      </w: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第四章　医疗卫生机构的职责</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第二十条</w:t>
      </w:r>
      <w:r>
        <w:rPr>
          <w:rFonts w:hint="eastAsia" w:ascii="宋体" w:hAnsi="宋体" w:eastAsia="仿宋_GB2312" w:cs="Arial"/>
          <w:kern w:val="0"/>
          <w:sz w:val="32"/>
          <w:szCs w:val="32"/>
          <w:lang w:val="en-US" w:eastAsia="zh-CN" w:bidi="ar-SA"/>
        </w:rPr>
        <w:t xml:space="preserve"> 医疗卫生机构配备护士的数量不得低于国务院卫生主管部门规定的护士配备标准。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第二十一条</w:t>
      </w:r>
      <w:r>
        <w:rPr>
          <w:rFonts w:hint="eastAsia" w:ascii="宋体" w:hAnsi="宋体" w:eastAsia="仿宋_GB2312" w:cs="Arial"/>
          <w:kern w:val="0"/>
          <w:sz w:val="32"/>
          <w:szCs w:val="32"/>
          <w:lang w:val="en-US" w:eastAsia="zh-CN" w:bidi="ar-SA"/>
        </w:rPr>
        <w:t xml:space="preserve"> 医疗卫生机构不得允许下列人员在本机构从事诊疗技术规范规定的护理活动：</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（一）未取得护士执业证书的人员；</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（二）未依照本条例第九条的规定办理执业地点变更手续的护士；</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（三）护士执业注册有效期届满未延续执业注册的护士。</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在教学、综合医院进行护理临床实习的人员应当在护士指导下开展有关工作。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第二十二条</w:t>
      </w:r>
      <w:r>
        <w:rPr>
          <w:rFonts w:hint="eastAsia" w:ascii="宋体" w:hAnsi="宋体" w:eastAsia="仿宋_GB2312" w:cs="Arial"/>
          <w:kern w:val="0"/>
          <w:sz w:val="32"/>
          <w:szCs w:val="32"/>
          <w:lang w:val="en-US" w:eastAsia="zh-CN" w:bidi="ar-SA"/>
        </w:rPr>
        <w:t xml:space="preserve"> 医疗卫生机构应当为护士提供卫生防护用品，并采取有效的卫生防护措施和医疗保健措施。</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第二十三条 医疗卫生机构应当执行国家有关工资、福利待遇等规定，按照国家有关规定为在本机构从事护理工作的护士足额缴纳社会保险费用，保障护士的合法权益。</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对在艰苦边远地区工作，或者从事直接接触有毒有害物质、有感染传染病危险工作的护士，所在医疗卫生机构应当按照国家有关规定给予津贴。</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第二十四条</w:t>
      </w:r>
      <w:r>
        <w:rPr>
          <w:rFonts w:hint="eastAsia" w:ascii="宋体" w:hAnsi="宋体" w:eastAsia="仿宋_GB2312" w:cs="Arial"/>
          <w:kern w:val="0"/>
          <w:sz w:val="32"/>
          <w:szCs w:val="32"/>
          <w:lang w:val="en-US" w:eastAsia="zh-CN" w:bidi="ar-SA"/>
        </w:rPr>
        <w:t xml:space="preserve"> 医疗卫生机构应当制定、实施本机构护士在职培训计划，并保证护士接受培训。</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护士培训应当注重新知识、新技术的应用；根据临床专科护理发展和专科护理岗位的需要，开展对护士的专科护理培训。</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第二十五条</w:t>
      </w:r>
      <w:r>
        <w:rPr>
          <w:rFonts w:hint="eastAsia" w:ascii="宋体" w:hAnsi="宋体" w:eastAsia="仿宋_GB2312" w:cs="Arial"/>
          <w:kern w:val="0"/>
          <w:sz w:val="32"/>
          <w:szCs w:val="32"/>
          <w:lang w:val="en-US" w:eastAsia="zh-CN" w:bidi="ar-SA"/>
        </w:rPr>
        <w:t xml:space="preserve"> 医疗卫生机构应当按照国务院卫生主管部门的规定，设置专门机构或者配备专（兼）职人员负责护理管理工作。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第二十六条</w:t>
      </w:r>
      <w:r>
        <w:rPr>
          <w:rFonts w:hint="eastAsia" w:ascii="宋体" w:hAnsi="宋体" w:eastAsia="仿宋_GB2312" w:cs="Arial"/>
          <w:kern w:val="0"/>
          <w:sz w:val="32"/>
          <w:szCs w:val="32"/>
          <w:lang w:val="en-US" w:eastAsia="zh-CN" w:bidi="ar-SA"/>
        </w:rPr>
        <w:t xml:space="preserve"> 医疗卫生机构应当建立护士岗位责任制并进行监督检查。</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护士因不履行职责或者违反职业道德受到投诉的，其所在医疗卫生机构应当进行调查。经查证属实的，医疗卫生机构应当对护士做出处理，并将调查处理情况告知投诉人。</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第五章　法律责任</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第二十七条</w:t>
      </w:r>
      <w:r>
        <w:rPr>
          <w:rFonts w:hint="eastAsia" w:ascii="宋体" w:hAnsi="宋体" w:eastAsia="仿宋_GB2312" w:cs="Arial"/>
          <w:kern w:val="0"/>
          <w:sz w:val="32"/>
          <w:szCs w:val="32"/>
          <w:lang w:val="en-US" w:eastAsia="zh-CN" w:bidi="ar-SA"/>
        </w:rPr>
        <w:t xml:space="preserve"> 卫生主管部门的工作人员未依照本条例规定履行职责，在护士监督管理工作中滥用职权、徇私舞弊，或者有其他失职、渎职行为的，依法给予处分；构成犯罪的，依法追究刑事责任。</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第二十八条</w:t>
      </w:r>
      <w:r>
        <w:rPr>
          <w:rFonts w:hint="eastAsia" w:ascii="宋体" w:hAnsi="宋体" w:eastAsia="仿宋_GB2312" w:cs="Arial"/>
          <w:kern w:val="0"/>
          <w:sz w:val="32"/>
          <w:szCs w:val="32"/>
          <w:lang w:val="en-US" w:eastAsia="zh-CN" w:bidi="ar-SA"/>
        </w:rPr>
        <w:t xml:space="preserve"> 医疗卫生机构有下列情形之一的，由县级以上地方人民政府卫生主管部门依据职责分工责令限期改正，给予警告；逾期不改正的，根据国务院卫生主管部门规定的护士配备标准和在医疗卫生机构合法执业的护士数量核减其诊疗科目，或者暂停其6个月以上1年以下执业活动；国家举办的医疗卫生机构有下列情形之一、情节严重的，还应当对负有责任的主管人员和其他直接责任人员依法给予处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（一）违反本条例规定，护士的配备数量低于国务院卫生主管部门规定的护士配备标准的；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（二）允许未取得护士执业证书的人员或者允许未依照本条例规定办理执业地点变更手续、延续执业注册有效期的护士在本机构从事诊疗技术规范规定的护理活动的。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第二十九条</w:t>
      </w:r>
      <w:r>
        <w:rPr>
          <w:rFonts w:hint="eastAsia" w:ascii="宋体" w:hAnsi="宋体" w:eastAsia="仿宋_GB2312" w:cs="Arial"/>
          <w:kern w:val="0"/>
          <w:sz w:val="32"/>
          <w:szCs w:val="32"/>
          <w:lang w:val="en-US" w:eastAsia="zh-CN" w:bidi="ar-SA"/>
        </w:rPr>
        <w:t xml:space="preserve"> 医疗卫生机构有下列情形之一的，依照有关法律、行政法规的规定给予处罚；国家举办的医疗卫生机构有下列情形之一、情节严重的，还应当对负有责任的主管人员和其他直接责任人员依法给予处分：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（一）未执行国家有关工资、福利待遇等规定的；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（二）对在本机构从事护理工作的护士，未按照国家有关规定足额缴纳社会保险费用的；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（三）未为护士提供卫生防护用品，或者未采取有效的卫生防护措施、医疗保健措施的；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（四）对在艰苦边远地区工作，或者从事直接接触有毒有害物质、有感染传染病危险工作的护士，未按照国家有关规定给予津贴的。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第三十条</w:t>
      </w:r>
      <w:r>
        <w:rPr>
          <w:rFonts w:hint="eastAsia" w:ascii="宋体" w:hAnsi="宋体" w:eastAsia="仿宋_GB2312" w:cs="Arial"/>
          <w:kern w:val="0"/>
          <w:sz w:val="32"/>
          <w:szCs w:val="32"/>
          <w:lang w:val="en-US" w:eastAsia="zh-CN" w:bidi="ar-SA"/>
        </w:rPr>
        <w:t xml:space="preserve"> 医疗卫生机构有下列情形之一的，由县级以上地方人民政府卫生主管部门依据职责分工责令限期改正，给予警告：</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（一）未制定、实施本机构护士在职培训计划或者未保证护士接受培训的；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（二）未依照本条例规定履行护士管理职责的。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第三十一条</w:t>
      </w:r>
      <w:r>
        <w:rPr>
          <w:rFonts w:hint="eastAsia" w:ascii="宋体" w:hAnsi="宋体" w:eastAsia="仿宋_GB2312" w:cs="Arial"/>
          <w:kern w:val="0"/>
          <w:sz w:val="32"/>
          <w:szCs w:val="32"/>
          <w:lang w:val="en-US" w:eastAsia="zh-CN" w:bidi="ar-SA"/>
        </w:rPr>
        <w:t xml:space="preserve"> 护士在执业活动中有下列情形之一的，由县级以上地方人民政府卫生主管部门依据职责分工责令改正，给予警告；情节严重的，暂停其6个月以上1年以下执业活动，直至由原发证部门吊销其护士执业证书：</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（一）发现患者病情危急未立即通知医师的；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（二）发现医嘱违反法律、法规、规章或者诊疗技术规范的规定，未依照本条例第十七条的规定提出或者报告的；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（三）泄露患者隐私的；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（四）发生自然灾害、公共卫生事件等严重威胁公众生命健康的突发事件，不服从安排参加医疗救护的。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护士在执业活动中造成医疗事故的，依照医疗事故处理的有关规定承担法律责任。</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第三十二条 </w:t>
      </w:r>
      <w:r>
        <w:rPr>
          <w:rFonts w:hint="eastAsia" w:ascii="宋体" w:hAnsi="宋体" w:eastAsia="仿宋_GB2312" w:cs="Arial"/>
          <w:kern w:val="0"/>
          <w:sz w:val="32"/>
          <w:szCs w:val="32"/>
          <w:lang w:val="en-US" w:eastAsia="zh-CN" w:bidi="ar-SA"/>
        </w:rPr>
        <w:t>护士被吊销执业证书的，自执业证书被吊销之日起2年内不得申请执业注册。</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第三十三条 </w:t>
      </w:r>
      <w:r>
        <w:rPr>
          <w:rFonts w:hint="eastAsia" w:ascii="宋体" w:hAnsi="宋体" w:eastAsia="仿宋_GB2312" w:cs="Arial"/>
          <w:kern w:val="0"/>
          <w:sz w:val="32"/>
          <w:szCs w:val="32"/>
          <w:lang w:val="en-US" w:eastAsia="zh-CN" w:bidi="ar-SA"/>
        </w:rPr>
        <w:t>扰乱医疗秩序，阻碍护士依法开展执业活动，侮辱、威胁、殴打护士，或者有其他侵犯护士合法权益行为的，由公安机关依照治安管理处罚法的规定给予处罚；构成犯罪的，依法追究刑事责任。</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第六章　附则</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第三十四条</w:t>
      </w:r>
      <w:r>
        <w:rPr>
          <w:rFonts w:hint="eastAsia" w:ascii="宋体" w:hAnsi="宋体" w:eastAsia="仿宋_GB2312" w:cs="Arial"/>
          <w:kern w:val="0"/>
          <w:sz w:val="32"/>
          <w:szCs w:val="32"/>
          <w:lang w:val="en-US" w:eastAsia="zh-CN" w:bidi="ar-SA"/>
        </w:rPr>
        <w:t xml:space="preserve"> 本条例施行前按照国家有关规定已经取得护士执业证书或者护理专业技术职称、从事护理活动的人员，经执业地省、自治区、直辖市人民政府卫生主管部门审核合格，换领护士执业证书。</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本条例施行前，尚未达到护士配备标准的医疗卫生机构，应当按照国务院卫生主管部门规定的实施步骤，自本条例施行之日起3年内达到护士配备标准。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第三十五条</w:t>
      </w:r>
      <w:r>
        <w:rPr>
          <w:rFonts w:hint="eastAsia" w:ascii="宋体" w:hAnsi="宋体" w:eastAsia="仿宋_GB2312" w:cs="Arial"/>
          <w:kern w:val="0"/>
          <w:sz w:val="32"/>
          <w:szCs w:val="32"/>
          <w:lang w:val="en-US" w:eastAsia="zh-CN" w:bidi="ar-SA"/>
        </w:rPr>
        <w:t xml:space="preserve"> 本条例自2008年5月12日起施行。</w:t>
      </w:r>
      <w:r>
        <w:rPr>
          <w:rFonts w:hint="eastAsia" w:ascii="宋体" w:hAnsi="宋体" w:eastAsia="仿宋_GB2312" w:cs="Arial"/>
          <w:kern w:val="0"/>
          <w:sz w:val="32"/>
          <w:szCs w:val="32"/>
          <w:lang w:val="en-US" w:eastAsia="zh-CN" w:bidi="ar-SA"/>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8" w:name="_Toc13616"/>
      <w:r>
        <w:rPr>
          <w:rFonts w:hint="eastAsia" w:ascii="宋体" w:hAnsi="宋体" w:eastAsia="宋体" w:cs="Arial"/>
          <w:bCs/>
          <w:sz w:val="44"/>
          <w:szCs w:val="44"/>
        </w:rPr>
        <w:t>职工带薪年休假条例</w:t>
      </w:r>
      <w:bookmarkEnd w:id="258"/>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（2007年12月7日国务院第198次常务会议通过  2007年12月14日中华人民共和国国务院令第514号公布  自2008年1月1日起施行）</w:t>
      </w:r>
    </w:p>
    <w:p>
      <w:pPr>
        <w:widowControl w:val="0"/>
        <w:wordWrap/>
        <w:overflowPunct w:val="0"/>
        <w:spacing w:beforeAutospacing="0" w:afterAutospacing="0" w:line="560" w:lineRule="exact"/>
        <w:textAlignment w:val="auto"/>
        <w:rPr>
          <w:rFonts w:ascii="宋体" w:hAnsi="宋体" w:cs="Arial"/>
          <w:szCs w:val="32"/>
        </w:rPr>
      </w:pP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ascii="宋体" w:hAnsi="宋体"/>
        </w:rPr>
        <w:t>　</w:t>
      </w: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第一条</w:t>
      </w:r>
      <w:r>
        <w:rPr>
          <w:rFonts w:hint="eastAsia" w:ascii="宋体" w:hAnsi="宋体" w:eastAsia="仿宋_GB2312" w:cs="Arial"/>
          <w:kern w:val="0"/>
          <w:sz w:val="32"/>
          <w:szCs w:val="32"/>
          <w:lang w:val="en-US" w:eastAsia="zh-CN" w:bidi="ar-SA"/>
        </w:rPr>
        <w:t xml:space="preserve"> 为了维护职工休息休假权利，调动职工工作积极性，根据劳动法和公务员法，制定本条例。</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第二条</w:t>
      </w:r>
      <w:r>
        <w:rPr>
          <w:rFonts w:hint="eastAsia" w:ascii="宋体" w:hAnsi="宋体" w:eastAsia="仿宋_GB2312" w:cs="Arial"/>
          <w:kern w:val="0"/>
          <w:sz w:val="32"/>
          <w:szCs w:val="32"/>
          <w:lang w:val="en-US" w:eastAsia="zh-CN" w:bidi="ar-SA"/>
        </w:rPr>
        <w:t xml:space="preserve"> 机关、团体、企业、事业单位、民办非企业单位、有雇工的个体工商户等单位的职工连续工作1年以上的，享受带薪年休假（以下简称年休假）。单位应当保证职工享受年休假。职工在年休假期间享受与正常工作期间相同的工资收入。</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第三条</w:t>
      </w:r>
      <w:r>
        <w:rPr>
          <w:rFonts w:hint="eastAsia" w:ascii="宋体" w:hAnsi="宋体" w:eastAsia="仿宋_GB2312" w:cs="Arial"/>
          <w:kern w:val="0"/>
          <w:sz w:val="32"/>
          <w:szCs w:val="32"/>
          <w:lang w:val="en-US" w:eastAsia="zh-CN" w:bidi="ar-SA"/>
        </w:rPr>
        <w:t xml:space="preserve"> 职工累计工作已满1年不满10年的，年休假5天；已满10年不满20年的，年休假10天；已满20年的，年休假15天。</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国家法定休假日、休息日不计入年休假的假期。</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第四条</w:t>
      </w:r>
      <w:r>
        <w:rPr>
          <w:rFonts w:hint="eastAsia" w:ascii="宋体" w:hAnsi="宋体" w:eastAsia="仿宋_GB2312" w:cs="Arial"/>
          <w:kern w:val="0"/>
          <w:sz w:val="32"/>
          <w:szCs w:val="32"/>
          <w:lang w:val="en-US" w:eastAsia="zh-CN" w:bidi="ar-SA"/>
        </w:rPr>
        <w:t xml:space="preserve"> 职工有下列情形之一的，不享受当年的年休假：</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（一）职工依法享受寒暑假，其休假天数多于年休假天数的；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（二）职工请事假累计20天以上且单位按照规定不扣工资的；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（三）累计工作满1年不满10年的职工，请病假累计2个月以上的；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（四）累计工作满10年不满20年的职工，请病假累计3个月以上的；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（五）累计工作满20年以上的职工，请病假累计4个月以上的。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第五条</w:t>
      </w:r>
      <w:r>
        <w:rPr>
          <w:rFonts w:hint="eastAsia" w:ascii="宋体" w:hAnsi="宋体" w:eastAsia="仿宋_GB2312" w:cs="Arial"/>
          <w:kern w:val="0"/>
          <w:sz w:val="32"/>
          <w:szCs w:val="32"/>
          <w:lang w:val="en-US" w:eastAsia="zh-CN" w:bidi="ar-SA"/>
        </w:rPr>
        <w:t xml:space="preserve"> 单位根据生产、工作的具体情况，并考虑职工本人意愿，统筹安排职工年休假。</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年休假在1个年度内可以集中安排，也可以分段安排，一般不跨年度安排。单位因生产、工作特点确有必要跨年度安排职工年休假的，可以跨1个年度安排。</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单位确因工作需要不能安排职工休年休假的，经职工本人同意，可以不安排职工休年休假。对职工应休未休的年休假天数，单位应当按照该职工日工资收入的300%支付年休假工资报酬。</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第六条</w:t>
      </w:r>
      <w:r>
        <w:rPr>
          <w:rFonts w:hint="eastAsia" w:ascii="宋体" w:hAnsi="宋体" w:eastAsia="仿宋_GB2312" w:cs="Arial"/>
          <w:kern w:val="0"/>
          <w:sz w:val="32"/>
          <w:szCs w:val="32"/>
          <w:lang w:val="en-US" w:eastAsia="zh-CN" w:bidi="ar-SA"/>
        </w:rPr>
        <w:t xml:space="preserve"> 县级以上地方人民政府人事部门、劳动保障部门应当依据职权对单位执行本条例的情况主动进行监督检查。</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工会组织依法维护职工的年休假权利。</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第七条</w:t>
      </w:r>
      <w:r>
        <w:rPr>
          <w:rFonts w:hint="eastAsia" w:ascii="宋体" w:hAnsi="宋体" w:eastAsia="仿宋_GB2312" w:cs="Arial"/>
          <w:kern w:val="0"/>
          <w:sz w:val="32"/>
          <w:szCs w:val="32"/>
          <w:lang w:val="en-US" w:eastAsia="zh-CN" w:bidi="ar-SA"/>
        </w:rPr>
        <w:t xml:space="preserve"> 单位不安排职工休年休假又不依照本条例规定给予年休假工资报酬的，由县级以上地方人民政府人事部门或者劳动保障部门依据职权责令限期改正；对逾期不改正的，除责令该单位支付年休假工资报酬外，单位还应当按照年休假工资报酬的数额向职工加付赔偿金；对拒不支付年休假工资报酬、赔偿金的，属于公务员和参照公务员法管理的人员所在单位的，对直接负责的主管人员以及其他直接责任人员依法给予处分；属于其他单位的，由劳动保障部门、人事部门或者职工申请人民法院强制执行。</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 xml:space="preserve">第八条 </w:t>
      </w:r>
      <w:r>
        <w:rPr>
          <w:rFonts w:hint="eastAsia" w:ascii="宋体" w:hAnsi="宋体" w:eastAsia="仿宋_GB2312" w:cs="Arial"/>
          <w:kern w:val="0"/>
          <w:sz w:val="32"/>
          <w:szCs w:val="32"/>
          <w:lang w:val="en-US" w:eastAsia="zh-CN" w:bidi="ar-SA"/>
        </w:rPr>
        <w:t>职工与单位因年休假发生的争议，依照国家有关法律、行政法规的规定处理。</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 xml:space="preserve">第九条 </w:t>
      </w:r>
      <w:r>
        <w:rPr>
          <w:rFonts w:hint="eastAsia" w:ascii="宋体" w:hAnsi="宋体" w:eastAsia="仿宋_GB2312" w:cs="Arial"/>
          <w:kern w:val="0"/>
          <w:sz w:val="32"/>
          <w:szCs w:val="32"/>
          <w:lang w:val="en-US" w:eastAsia="zh-CN" w:bidi="ar-SA"/>
        </w:rPr>
        <w:t>国务院人事部门、国务院劳动保障部门依据职权，分别制定本条例的实施办法。</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　第十条</w:t>
      </w:r>
      <w:r>
        <w:rPr>
          <w:rFonts w:hint="eastAsia" w:ascii="宋体" w:hAnsi="宋体" w:eastAsia="仿宋_GB2312" w:cs="Arial"/>
          <w:kern w:val="0"/>
          <w:sz w:val="32"/>
          <w:szCs w:val="32"/>
          <w:lang w:val="en-US" w:eastAsia="zh-CN" w:bidi="ar-SA"/>
        </w:rPr>
        <w:t xml:space="preserve"> 本条例自2008年1月1日起施行。</w:t>
      </w:r>
    </w:p>
    <w:p>
      <w:pPr>
        <w:widowControl w:val="0"/>
        <w:wordWrap/>
        <w:overflowPunct w:val="0"/>
        <w:adjustRightInd/>
        <w:snapToGrid/>
        <w:spacing w:beforeAutospacing="0" w:afterAutospacing="0" w:line="560" w:lineRule="exact"/>
        <w:ind w:left="0" w:leftChars="0" w:right="0" w:firstLine="0" w:firstLineChars="0"/>
        <w:jc w:val="both"/>
        <w:textAlignment w:val="auto"/>
        <w:outlineLvl w:val="9"/>
        <w:rPr>
          <w:rFonts w:hint="eastAsia" w:ascii="宋体" w:hAnsi="宋体" w:eastAsia="楷体_GB2312" w:cs="Arial"/>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9" w:name="_Toc19254"/>
      <w:r>
        <w:rPr>
          <w:rFonts w:hint="eastAsia" w:ascii="宋体" w:hAnsi="宋体" w:eastAsia="宋体" w:cs="Arial"/>
          <w:bCs/>
          <w:sz w:val="44"/>
          <w:szCs w:val="44"/>
        </w:rPr>
        <w:t>工伤保险条例</w:t>
      </w:r>
      <w:bookmarkEnd w:id="259"/>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 xml:space="preserve">（2010年12月20日中华人民共和国国务院令第586号公布 </w:t>
      </w:r>
      <w:r>
        <w:rPr>
          <w:rFonts w:hint="eastAsia" w:ascii="楷体" w:hAnsi="楷体" w:eastAsia="楷体" w:cs="楷体"/>
          <w:szCs w:val="32"/>
          <w:lang w:val="en-US" w:eastAsia="zh-CN"/>
        </w:rPr>
        <w:t>根据</w:t>
      </w:r>
      <w:r>
        <w:rPr>
          <w:rFonts w:hint="eastAsia" w:ascii="楷体" w:hAnsi="楷体" w:eastAsia="楷体" w:cs="楷体"/>
          <w:szCs w:val="32"/>
        </w:rPr>
        <w:t>2010年12月20日《国务院关于修改〈工伤保险条例〉的决定》修订）</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工伤保险基金</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工伤认定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劳动能力鉴定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工伤保险待遇</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法律责任</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第八章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为了保障因工作遭受事故伤害或者患职业病的职工获得医疗救治和经济补偿，促进工伤预防和职业康复，分散用人单位的工伤风险，制定本条例。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中华人民共和国境内的各类企业、有雇工的个体工商户（以下称用人单位）应当依照本条例规定参加工伤保险，为本单位全部职工或者雇工（以下称职工）缴纳工伤保险费。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中华人民共和国境内的各类企业的职工和个体工商户的雇工，均有依照本条例的规定享受工伤保险待遇的权利。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有雇工的个体工商户参加工伤保险的具体步骤和实施办法，由省、自治区、直辖市人民政府规定。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工伤保险费的征缴按照《社会保险费征缴暂行条例》关于基本养老保险费、基本医疗保险费、失业保险费的征缴规定执行。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用人单位应当将参加工伤保险的有关情况在本单位内公示。用人单位和职工应当遵守有关安全生产和职业病防治的法律法规，执行安全卫生规程和标准，预防工伤事故发生，避免和减少职业病危害。</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职工发生工伤时，用人单位应当采取措施使工伤职工得到及时救治。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国务院劳动保障行政部门负责全国的工伤保险工作。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县级以上地方各级人民政府劳动保障行政部门负责本行政区域内的工伤保险工作。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劳动保障行政部门按照国务院有关规定设立的社会保险经办机构（以下称经办机构）具体承办工伤保险事务。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劳动保障行政部门等部门制定工伤保险的政策、标准，应当征求工会组织、用人单位代表的意见。</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工伤保险基金</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工伤保险基金由用人单位缴纳的工伤保险费、工伤保险基金的利息和依法纳入工伤保险基金的其他资金构成。</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工伤保险费根据以支定收、收支平衡的原则，确定费率。国家根据不同行业的工伤风险程度确定行业的差别费率，并根据工伤保险费使用、工伤发生率等情况在每个行业内确定若干费率档次。行业差别费率及行业内费率档次由国务院劳动保障行政部门会同国务院财政部门、卫生行政部门、安全生产监督管理部门制定，报国务院批准后公布施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统筹地区经办机构根据用人单位工伤保险费使用、工伤发生率等情况，适用所属行业内相应的费率档次确定单位缴费费率。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国务院劳动保障行政部门应当定期了解全国各统筹地区工伤保险基金收支情况，及时会同国务院财政部门、卫生行政部门、安全生产监督管理部门提出调整行业差别费率及行业内费率档次的方案，报国务院批准后公布施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用人单位应当按时缴纳工伤保险费。职工个人不缴纳工伤保险费。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用人单位缴纳工伤保险费的数额为本单位职工工资总额乘以单位缴费费率之积。</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工伤保险基金在直辖市和设区的市实行全市统筹，其他地区的统筹层次由省、自治区人民政府确定。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跨地区、生产流动性较大的行业，可以采取相对集中的方式异地参加统筹地区的工伤保险。具体办法由国务院劳动保障行政部门会同有关行业的主管部门制定。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工伤保险基金存入社会保障基金财政专户，用于本条例规定的工伤保险待遇、劳动能力鉴定以及法律、法规规定的用于工伤保险的其他费用的支付。任何单位或者个人不得将工伤保险基金用于投资运营、兴建或者改建办公场所、发放奖金，或者挪作其他用途。</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工伤认定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职工有下列情形之一的，应当认定为工伤：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（一）在工作时间和工作场所内，因工作原因受到事故伤害的；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（二）工作时间前后在工作场所内，从事与工作有关的预备性或者收尾性工作受到事故伤害的；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（三）在工作时间和工作场所内，因履行工作职责受到暴力等意外伤害的；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（四）患职业病的；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（五）因工外出期间，由于工作原因受到伤害或者发生事故下落不明的；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（六）在上下班途中，受到机动车事故伤害的；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（七）法律、行政法规规定应当认定为工伤的其他情形。</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职工有下列情形之一的，视同工伤：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（一）在工作时间和工作岗位，突发疾病死亡或者在48小时之内经抢救无效死亡的；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（二）在抢险救灾等维护国家利益、公共利益活动中受到伤害的；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（三）职工原在军队服役，因战、因公负伤致残，已取得革命伤残军人证，到用人单位后旧伤复发的。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职工有前款第（一）项、第（二）项情形的，按照本条例的有关规定享受工伤保险待遇；职工有前款第（三）项情形的，按照本条例的有关规定享受除一次性伤残补助金以外的工伤保险待遇。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职工有下列情形之一的，不得认定为工伤或者视同工伤：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（一）因犯罪或者违反治安管理伤亡的；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（二）醉酒导致伤亡的；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（三）自残或者自杀的。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职工发生事故伤害或者按照职业病防治法规定被诊断、鉴定为职业病，所在单位应当自事故伤害发生之日或者被诊断、鉴定为职业病之日起30日内，向统筹地区劳动保障行政部门提出工伤认定申请。遇有特殊情况，经报劳动保障行政部门同意，申请时限可以适当延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未按前款规定提出工伤认定申请的，工伤职工或者其直系亲属、工会组织在事故伤害发生之日或者被诊断、鉴定为职业病之日起1年内，可以直接向用人单位所在地统筹地区劳动保障行政部门提出工伤认定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按照本条第一款规定应当由省级劳动保障行政部门进行工伤认定的事项，根据属地原则由用人单位所在地的设区的市级劳动保障行政部门办理。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用人单位未在本条第一款规定的时限内提交工伤认定申请，在此期间发生符合本条例规定的工伤待遇等有关费用由该用人单位负担。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提出工伤认定申请应当提交下列材料：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（一）工伤认定申请表；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（二）与用人单位存在劳动关系（包括事实劳动关系）的证明材料；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（三）医疗诊断证明或者职业病诊断证明书（或者职业病诊断鉴定书）。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工伤认定申请表应当包括事故发生的时间、地点、原因以及职工伤害程度等基本情况。</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工伤认定申请人提供材料不完整的，劳动保障行政部门应当一次性书面告知工伤认定申请人需要补正的全部材料。申请人按照书面告知要求补正材料后，劳动保障行政部门应当受理。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劳动保障行政部门受理工伤认定申请后，根据审核需要可以对事故伤害进行调查核实，用人单位、职工、工会组织、医疗机构以及有关部门应当予以协助。职业病诊断和诊断争议的鉴定，依照职业病防治法的有关规定执行。对依法取得职业病诊断证明书或者职业病诊断鉴定书的，劳动保障行政部门不再进行调查核实。</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职工或者其直系亲属认为是工伤，用人单位不认为是工伤的，由用人单位承担举证责任。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劳动保障行政部门应当自受理工伤认定申请之日起60日内作出工伤认定的决定，并书面通知申请工伤认定的职工或者其直系亲属和该职工所在单位。</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劳动保障行政部门工作人员与工伤认定申请人有利害关系的，应当回避。</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劳动能力鉴定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职工发生工伤，经治疗伤情相对稳定后存在残疾、影响劳动能力的，应当进行劳动能力鉴定。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劳动能力鉴定是指劳动功能障碍程度和生活自理障碍程度的等级鉴定。劳动功能障碍分为十个伤残等级，最重的为一级，最轻的为十级。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生活自理障碍分为三个等级：生活完全不能自理、生活大部分不能自理和生活部分不能自理。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劳动能力鉴定标准由国务院劳动保障行政部门会同国务院卫生行政部门等部门制定。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劳动能力鉴定由用人单位、工伤职工或者其直系亲属向设区的市级劳动能力鉴定委员会提出申请，并提供工伤认定决定和职工工伤医疗的有关资料。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省、自治区、直辖市劳动能力鉴定委员会和设区的市级劳动能力鉴定委员会分别由省、自治区、直辖市和设区的市级劳动保障行政部门、人事行政部门、卫生行政部门、工会组织、经办机构代表以及用人单位代表组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劳动能力鉴定委员会建立医疗卫生专家库。列入专家库的医疗卫生专业技术人员应当具备下列条件：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（一）具有医疗卫生高级专业技术职务任职资格；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（二）掌握劳动能力鉴定的相关知识；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（三）具有良好的职业品德。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设区的市级劳动能力鉴定委员会收到劳动能力鉴定申请后，应当从其建立的医疗卫生专家库中随机抽取3名或者5名相关专家组成专家组，由专家组提出鉴定意见。设区的市级劳动能力鉴定委员会根据专家组的鉴定意见作出工伤职工劳动能力鉴定结论；必要时，可以委托具备资格的医疗机构协助进行有关的诊断。</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设区的市级劳动能力鉴定委员会应当自收到劳动能力鉴定申请之日起60日内作出劳动能力鉴定结论，必要时，作出劳动能力鉴定结论的期限可以延长30日。劳动能力鉴定结论应当及时送达申请鉴定的单位和个人。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申请鉴定的单位或者个人对设区的市级劳动能力鉴定委员会作出的鉴定结论不服的，可以在收到该鉴定结论之日起15日内向省、自治区、直辖市劳动能力鉴定委员会提出再次鉴定申请。省、自治区、直辖市劳动能力鉴定委员会作出的劳动能力鉴定结论为最终结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劳动能力鉴定工作应当客观、公正。劳动能力鉴定委员会组成人员或者参加鉴定的专家与当事人有利害关系的，应当回避。</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自劳动能力鉴定结论作出之日起1年后，工伤职工或者其直系亲属、所在单位或者经办机构认为伤残情况发生变化的，可以申请劳动能力复查鉴定。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工伤保险待遇</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职工因工作遭受事故伤害或者患职业病进行治疗，享受工伤医疗待遇。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职工治疗工伤应当在签订服务协议的医疗机构就医，情况紧急时可以先到就近的医疗机构急救。</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治疗工伤所需费用符合工伤保险诊疗项目目录、工伤保险药品目录、工伤保险住院服务标准的，从工伤保险基金支付。工伤保险诊疗项目目录、工伤保险药品目录、工伤保险住院服务标准，由国务院劳动保障行政部门会同国务院卫生行政部门、药品监督管理部门等部门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住院治疗工伤的，由所在单位按照本单位因公出差伙食补助标准的70%发给住院伙食补助费；经医疗机构出具证明，报经办机构同意，工伤职工到统筹地区以外就医的，所需交通、食宿费用由所在单位按照本单位职工因公出差标准报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工伤职工治疗非工伤引发的疾病，不享受工伤医疗待遇，按照基本医疗保险办法处理。工伤职工到签订服务协议的医疗机构进行康复性治疗的费用，符合本条第三款规定的，从工伤保险基金支付。</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工伤职工因日常生活或者就业需要，经劳动能力鉴定委员会确认，可以安装假肢、矫形器、假眼、假牙和配置轮椅等辅助器具，所需费用按照国家规定的标准从工伤保险基金支付。</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职工因工作遭受事故伤害或者患职业病需要暂停工作接受工伤医疗的，在停工留薪期内，原工资福利待遇不变，由所在单位按月支付。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停工留薪期一般不超过12个月。伤情严重或者情况特殊，经设区的市级劳动能力鉴定委员会确认，可以适当延长，但延长不得超过12个月。工伤职工评定伤残等级后，停发原待遇，按照本章的有关规定享受伤残待遇。工伤职工在停工留薪期满后仍需治疗的，继续享受工伤医疗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生活不能自理的工伤职工在停工留薪期需要护理的，由所在单位负责。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工伤职工已经评定伤残等级并经劳动能力鉴定委员会确认需要生活护理的，从工伤保险基金按月支付生活护理费。生活护理费按照生活完全不能自理、生活大部分不能自理或者生活部分不能自理3个不同等级支付，其标准分别为统筹地区上年度职工月平均工资的50%、40%或者30%。</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职工因工致残被鉴定为一级至四级伤残的，保留劳动关系，退出工作岗位，享受以下待遇：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（一）从工伤保险基金按伤残等级支付一次性伤残补助金，标准为：一级伤残为24个月的本人工资，二级伤残为22个月的本人工资，三级伤残为20个月的本人工资，四级伤残为18个月的本人工资；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从工伤保险基金按月支付伤残津贴，标准为：一级伤残为本人工资的90%，二级伤残为本人工资的85%，三级伤残为本人工资的80%，四级伤残为本人工资的75%。伤残津贴实际金额低于当地最低工资标准的，由工伤保险基金补足差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（三）工伤职工达到退休年龄并办理退休手续后，停发伤残津贴，享受基本养老保险待遇。基本养老保险待遇低于伤残津贴的，由工伤保险基金补足差额。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职工因工致残被鉴定为一级至四级伤残的，由用人单位和职工个人以伤残津贴为基数，缴纳基本医疗保险费。</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职工因工致残被鉴定为五级、六级伤残的，享受以下待遇：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（一）从工伤保险基金按伤残等级支付一次性伤残补助金，标准为：五级伤残为16个月的本人工资，六级伤残为14个月的本人工资；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保留与用人单位的劳动关系，由用人单位安排适当工作。难以安排工作的，由用人单位按月发给伤残津贴，标准为：五级伤残为本人工资的70%，六级伤残为本人工资的60%，并由用人单位按照规定为其缴纳应缴纳的各项社会保险费。伤残津贴实际金额低于当地最低工资标准的，由用人单位补足差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经工伤职工本人提出，该职工可以与用人单位解除或者终止劳动关系，由用人单位支付一次性工伤医疗补助金和伤残就业补助金。具体标准由省、自治区、直辖市人民政府规定。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职工因工致残被鉴定为七级至十级伤残的，享受以下待遇：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（一）从工伤保险基金按伤残等级支付一次性伤残补助金，标准为：七级伤残为12个月的本人工资，八级伤残为10个月的本人工资，九级伤残为8个月的本人工资，十级伤残为6个月的本人工资；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（二）劳动合同期满终止，或者职工本人提出解除劳动合同的，由用人单位支付一次性工伤医疗补助金和伤残就业补助金。具体标准由省、自治区、直辖市人民政府规定。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工伤职工工伤复发，确认需要治疗的，享受本条例第二十九条、第三十条和第三十一条规定的工伤待遇。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职工因工死亡，其直系亲属按照下列规定从工伤保险基金领取丧葬补助金、供养亲属抚恤金和一次性工亡补助金：</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（一）丧葬补助金为6个月的统筹地区上年度职工月平均工资；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供养亲属抚恤金按照职工本人工资的一定比例发给由因工死亡职工生前提供主要生活来源、无劳动能力的亲属。标准为：配偶每月40%，其他亲属每人每月30%，孤寡老人或者孤儿每人每月在上述标准的基础上增加10%。核定的各供养亲属的抚恤金之和不应高于因工死亡职工生前的工资。供养亲属的具体范围由国务院劳动保障行政部门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（三）一次性工亡补助金标准为48个月至60个月的统筹地区上年度职工月平均工资。具体标准由统筹地区的人民政府根据当地经济、社会发展状况规定，报省、自治区、直辖市人民政府备案。</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伤残职工在停工留薪期内因工伤导致死亡的，其直系亲属享受本条第一款规定的待遇。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一级至四级伤残职工在停工留薪期满后死亡的，其直系亲属可以享受本条第一款第（一）项、第（二）项规定的待遇。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伤残津贴、供养亲属抚恤金、生活护理费由统筹地区劳动保障行政部门根据职工平均工资和生活费用变化等情况适时调整。调整办法由省、自治区、直辖市人民政府规定。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职工因工外出期间发生事故或者在抢险救灾中下落不明的，从事故发生当月起3个月内照发工资，从第4个月起停发工资，由工伤保险基金向其供养亲属按月支付供养亲属抚恤金。生活有困难的，可以预支一次性工亡补助金的50%。职工被人民法院宣告死亡的，按照本条例第三十七条职工因工死亡的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工伤职工有下列情形之一的，停止享受工伤保险待遇：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（一）丧失享受待遇条件的；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（二）拒不接受劳动能力鉴定的；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（三）拒绝治疗的；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（四）被判刑正在收监执行的。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用人单位分立、合并、转让的，承继单位应当承担原用人单位的工伤保险责任；原用人单位已经参加工伤保险的，承继单位应当到当地经办机构办理工伤保险变更登记。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用人单位实行承包经营的，工伤保险责任由职工劳动关系所在单位承担。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职工被借调期间受到工伤事故伤害的，由原用人单位承担工伤保险责任，但原用人单位与借调单位可以约定补偿办法。</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企业破产的，在破产清算时优先拨付依法应由单位支付的工伤保险待遇费用。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职工被派遣出境工作，依据前往国家或者地区的法律应当参加当地工伤保险的，参加当地工伤保险，其国内工伤保险关系中止；不能参加当地工伤保险的，其国内工伤保险关系不中止。</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职工再次发生工伤，根据规定应当享受伤残津贴的，按照新认定的伤残等级享受伤残津贴待遇。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经办机构具体承办工伤保险事务，履行下列职责：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（一）根据省、自治区、直辖市人民政府规定，征收工伤保险费；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（二）核查用人单位的工资总额和职工人数，办理工伤保险登记，并负责保存用人单位缴费和职工享受工伤保险待遇情况的记录；</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（三）进行工伤保险的调查、统计；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（四）按照规定管理工伤保险基金的支出；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（五）按照规定核定工伤保险待遇；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（六）为工伤职工或者其直系亲属免费提供咨询服务。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经办机构与医疗机构、辅助器具配置机构在平等协商的基础上签订服务协议，并公布签订服务协议的医疗机构、辅助器具配置机构的名单。具体办法由国务院劳动保障行政部门分别会同国务院卫生行政部门、民政部门等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经办机构按照协议和国家有关目录、标准对工伤职工医疗费用、康复费用、辅助器具费用的使用情况进行核查，并按时足额结算费用。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经办机构应当定期公布工伤保险基金的收支情况，及时向劳动保障行政部门提出调整费率的建议。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劳动保障行政部门、经办机构应当定期听取工伤职工、医疗机构、辅助器具配置机构以及社会各界对改进工伤保险工作的意见。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劳动保障行政部门依法对工伤保险费的征缴和工伤保险基金的支付情况进行监督检查。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财政部门和审计机关依法对工伤保险基金的收支、管理情况进行监督。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任何组织和个人对有关工伤保险的违法行为，有权举报。劳动保障行政部门对举报应当及时调查，按照规定处理，并为举报人保密。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工会组织依法维护工伤职工的合法权益，对用人单位的工伤保险工作实行监督。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职工与用人单位发生工伤待遇方面的争议，按照处理劳动争议的有关规定处理。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有下列情形之一的，有关单位和个人可以依法申请行政复议；对复议决定不服的，可以依法提起行政诉讼：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（一）申请工伤认定的职工或者其直系亲属、该职工所在单位对工伤认定结论不服的；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（二）用人单位对经办机构确定的单位缴费费率不服的；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（三）签订服务协议的医疗机构、辅助器具配置机构认为经办机构未履行有关协议或者规定的；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（四）工伤职工或者其直系亲属对经办机构核定的工伤保险待遇有异议的。</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法律责任</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单位或者个人违反本条例第十二条规定挪用工伤保险基金，构成犯罪的，依法追究刑事责任；尚不构成犯罪的，依法给予行政处分或者纪律处分。被挪用的基金由劳动保障行政部门追回，并入工伤保险基金；没收的违法所得依法上缴国库。</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劳动保障行政部门工作人员有下列情形之一的，依法给予行政处分；情节严重，构成犯罪的，依法追究刑事责任：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（一）无正当理由不受理工伤认定申请，或者弄虚作假将不符合工伤条件的人员认定为工伤职工的；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（二）未妥善保管申请工伤认定的证据材料，致使有关证据灭失的；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（三）收受当事人财物的。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经办机构有下列行为之一的，由劳动保障行政部门责令改正，对直接负责的主管人员和其他责任人员依法给予纪律处分；情节严重，构成犯罪的，依法追究刑事责任；造成当事人经济损失的，由经办机构依法承担赔偿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（一）未按规定保存用人单位缴费和职工享受工伤保险待遇情况记录的；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（二）不按规定核定工伤保险待遇的；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（三）收受当事人财物的。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医疗机构、辅助器具配置机构不按服务协议提供服务的，经办机构可以解除服务协议。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经办机构不按时足额结算费用的，由劳动保障行政部门责令改正；医疗机构、辅助器具配置机构可以解除服务协议。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第五十八条　</w:t>
      </w:r>
      <w:r>
        <w:rPr>
          <w:rFonts w:hint="eastAsia" w:ascii="宋体" w:hAnsi="宋体" w:cs="Arial"/>
          <w:kern w:val="0"/>
          <w:szCs w:val="32"/>
        </w:rPr>
        <w:t>用人单位瞒报工资总额或者职工人数的，由劳动保障行政部门责令改正，并处瞒报工资数额1倍以上3倍以下的罚款。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工伤职工或者其直系亲属骗取工伤保险待遇，医疗机构、辅助器具配置机构骗取工伤保险基金支出的，由劳动保障行政部门责令退还，并处骗取金额1倍以上3倍以下的罚款；情节严重，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第五十九条　</w:t>
      </w:r>
      <w:r>
        <w:rPr>
          <w:rFonts w:hint="eastAsia" w:ascii="宋体" w:hAnsi="宋体" w:cs="Arial"/>
          <w:kern w:val="0"/>
          <w:szCs w:val="32"/>
        </w:rPr>
        <w:t>从事劳动能力鉴定的组织或者个人有下列情形之一的，由劳动保障行政部门责令改正，并处2000元以上1万元以下的罚款；情节严重，构成犯罪的，依法追究刑事责任：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（一）提供虚假鉴定意见的；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（二）提供虚假诊断证明的；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（三）收受当事人财物的。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第六十条　</w:t>
      </w:r>
      <w:r>
        <w:rPr>
          <w:rFonts w:hint="eastAsia" w:ascii="宋体" w:hAnsi="宋体" w:cs="Arial"/>
          <w:kern w:val="0"/>
          <w:szCs w:val="32"/>
        </w:rPr>
        <w:t>用人单位依照本条例规定应当参加工伤保险而未参加的，由劳动保障行政部门责令改正；未参加工伤保险期间用人单位职工发生工伤的，由该用人单位按照本条例规定的工伤保险待遇项目和标准支付费用。</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第八章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第六十一条　</w:t>
      </w:r>
      <w:r>
        <w:rPr>
          <w:rFonts w:hint="eastAsia" w:ascii="宋体" w:hAnsi="宋体" w:cs="Arial"/>
          <w:kern w:val="0"/>
          <w:szCs w:val="32"/>
        </w:rPr>
        <w:t>本条例所称职工，是指与用人单位存在劳动关系（包括事实劳动关系）的各种用工形式、各种用工期限的劳动者。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本条例所称工资总额，是指用人单位直接支付给本单位全部职工的劳动报酬总额。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本条例所称本人工资，是指工伤职工因工作遭受事故伤害或者患职业病前12个月平均月缴费工资。本人工资高于统筹地区职工平均工资300%的，按照统筹地区职工平均工资的300%计算；本人工资低于统筹地区职工平均工资60%的，按照统筹地区职工平均工资的60%计算。</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第六十二条　</w:t>
      </w:r>
      <w:r>
        <w:rPr>
          <w:rFonts w:hint="eastAsia" w:ascii="宋体" w:hAnsi="宋体" w:cs="Arial"/>
          <w:kern w:val="0"/>
          <w:szCs w:val="32"/>
        </w:rPr>
        <w:t>国家机关和依照或者参照国家公务员制度进行人事管理的事业单位、社会团体的工作人员因工作遭受事故伤害或者患职业病的，由所在单位支付费用。具体办法由国务院劳动保障行政部门会同国务院人事行政部门、财政部门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其他事业单位、社会团体以及各类民办非企业单位的工伤保险等办法，由国务院劳动保障行政部门会同国务院人事行政部门、民政部门、财政部门等部门参照本条例另行规定，报国务院批准后施行。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第六十三条　</w:t>
      </w:r>
      <w:r>
        <w:rPr>
          <w:rFonts w:hint="eastAsia" w:ascii="宋体" w:hAnsi="宋体" w:cs="Arial"/>
          <w:kern w:val="0"/>
          <w:szCs w:val="32"/>
        </w:rPr>
        <w:t>无营业执照或者未经依法登记、备案的单位以及被依法吊销营业执照或者撤销登记、备案的单位的职工受到事故伤害或者患职业病的，由该单位向伤残职工或者死亡职工的直系亲属给予一次性赔偿，赔偿标准不得低于本条例规定的工伤保险待遇；用人单位不得使用童工，用人单位使用童工造成童工伤残、死亡的，由该单位向童工或者童工的直系亲属给予一次性赔偿，赔偿标准不得低于本条例规定的工伤保险待遇。具体办法由国务院劳动保障行政部门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前款规定的伤残职工或者死亡职工的直系亲属就赔偿数额与单位发生争议的，以及前款规定的童工或者童工的直系亲属就赔偿数额与单位发生争议的，按照处理劳动争议的有关规定处理。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第六十四条　</w:t>
      </w:r>
      <w:r>
        <w:rPr>
          <w:rFonts w:hint="eastAsia" w:ascii="宋体" w:hAnsi="宋体" w:cs="Arial"/>
          <w:kern w:val="0"/>
          <w:szCs w:val="32"/>
        </w:rPr>
        <w:t>本条例自2004年1月1日起施行。本条例施行前已受到事故伤害或者患职业病的职工尚未完成工伤认定的，按照本条例的规定执行。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lang w:val="en-US" w:eastAsia="zh-CN"/>
        </w:rPr>
      </w:pPr>
    </w:p>
    <w:p>
      <w:pPr>
        <w:widowControl w:val="0"/>
        <w:wordWrap/>
        <w:overflowPunct w:val="0"/>
        <w:spacing w:beforeAutospacing="0" w:afterAutospacing="0" w:line="560" w:lineRule="exact"/>
        <w:ind w:firstLine="880" w:firstLineChars="200"/>
        <w:jc w:val="center"/>
        <w:textAlignment w:val="auto"/>
        <w:rPr>
          <w:rFonts w:hint="eastAsia" w:ascii="宋体" w:hAnsi="宋体" w:eastAsia="宋体" w:cs="宋体"/>
          <w:kern w:val="0"/>
          <w:sz w:val="44"/>
          <w:szCs w:val="44"/>
          <w:lang w:val="en-US" w:eastAsia="zh-CN"/>
        </w:rPr>
      </w:pPr>
      <w:r>
        <w:rPr>
          <w:rFonts w:hint="eastAsia" w:ascii="宋体" w:hAnsi="宋体" w:eastAsia="宋体" w:cs="宋体"/>
          <w:kern w:val="0"/>
          <w:sz w:val="44"/>
          <w:szCs w:val="44"/>
          <w:lang w:val="en-US" w:eastAsia="zh-CN"/>
        </w:rPr>
        <w:br w:type="page"/>
      </w:r>
    </w:p>
    <w:p>
      <w:pPr>
        <w:widowControl w:val="0"/>
        <w:wordWrap/>
        <w:overflowPunct w:val="0"/>
        <w:spacing w:beforeAutospacing="0" w:afterAutospacing="0" w:line="560" w:lineRule="exact"/>
        <w:ind w:left="0" w:leftChars="0" w:firstLine="0" w:firstLineChars="0"/>
        <w:jc w:val="center"/>
        <w:textAlignment w:val="auto"/>
        <w:outlineLvl w:val="0"/>
        <w:rPr>
          <w:rFonts w:hint="eastAsia" w:ascii="宋体" w:hAnsi="宋体" w:cs="Arial"/>
          <w:kern w:val="0"/>
          <w:szCs w:val="32"/>
          <w:lang w:val="en-US" w:eastAsia="zh-CN"/>
        </w:rPr>
      </w:pPr>
      <w:bookmarkStart w:id="260" w:name="_Toc24704"/>
      <w:r>
        <w:rPr>
          <w:rFonts w:hint="eastAsia" w:ascii="宋体" w:hAnsi="宋体" w:eastAsia="宋体" w:cs="Arial"/>
          <w:bCs/>
          <w:sz w:val="44"/>
          <w:szCs w:val="44"/>
          <w:lang w:val="en-US" w:eastAsia="zh-CN"/>
        </w:rPr>
        <w:fldChar w:fldCharType="begin"/>
      </w:r>
      <w:r>
        <w:rPr>
          <w:rFonts w:hint="eastAsia" w:ascii="宋体" w:hAnsi="宋体" w:eastAsia="宋体" w:cs="Arial"/>
          <w:bCs/>
          <w:sz w:val="44"/>
          <w:szCs w:val="44"/>
          <w:lang w:val="en-US" w:eastAsia="zh-CN"/>
        </w:rPr>
        <w:instrText xml:space="preserve"> HYPERLINK "http://172.17.252.5/FullText/fulltext_form.aspx?db=chl&amp;gid=331244&amp;ix=0&amp;w=H4sIAAAAAAAEAABJAbb+AAEAAAD/////AQAAAAAAAAAMAgAAADxDbGlWNSwgVmVyc2lvbj0xLjAuMC4wLCBDdWx0dXJlPW5ldXRyYWwsIFB1YmxpY0tleVRva2VuPW51bGwFAQAAACtDbGlWNS5Db21tb25DbGFzcy5TZXJpYWxQYXJhbStTZWFyY2hfU3RydWN0BgAAAAhEYXRhYmFzZQVXaGVyZQRTb3J0B0tleXdvcmQHSXNHcm91cAlJc1N1bW1hcnkBAQEBAAABAQIAAAAGAwAAAANjaGwGBAAAAETmlYjlipvnuqfliKs9WEMwMiUgYW5kICAo5rOV6KeE5qCH6aKYPScl5pS/5bqc5L+h5oGv5YWs5byA5p2h5L6LJScpIAYFAAAADS3lj5HluIPml6XmnJ8GBgAAABjmlL/lupzkv6Hmga/lhazlvIDmnaHkvosAAAsBAAD//javascript:SLC(90387,0)" </w:instrText>
      </w:r>
      <w:r>
        <w:rPr>
          <w:rFonts w:hint="eastAsia" w:ascii="宋体" w:hAnsi="宋体" w:eastAsia="宋体" w:cs="Arial"/>
          <w:bCs/>
          <w:sz w:val="44"/>
          <w:szCs w:val="44"/>
          <w:lang w:val="en-US" w:eastAsia="zh-CN"/>
        </w:rPr>
        <w:fldChar w:fldCharType="separate"/>
      </w:r>
      <w:r>
        <w:rPr>
          <w:rFonts w:hint="eastAsia" w:ascii="宋体" w:hAnsi="宋体" w:eastAsia="宋体" w:cs="Arial"/>
          <w:bCs/>
          <w:sz w:val="44"/>
          <w:szCs w:val="44"/>
        </w:rPr>
        <w:t>中华人民共和国政府信息公开条例</w:t>
      </w:r>
      <w:r>
        <w:rPr>
          <w:rFonts w:hint="eastAsia" w:ascii="宋体" w:hAnsi="宋体" w:eastAsia="宋体" w:cs="Arial"/>
          <w:bCs/>
          <w:sz w:val="44"/>
          <w:szCs w:val="44"/>
          <w:lang w:val="en-US" w:eastAsia="zh-CN"/>
        </w:rPr>
        <w:fldChar w:fldCharType="end"/>
      </w:r>
      <w:r>
        <w:rPr>
          <w:rFonts w:hint="eastAsia" w:ascii="宋体" w:hAnsi="宋体" w:cs="Arial"/>
          <w:kern w:val="0"/>
          <w:szCs w:val="32"/>
          <w:lang w:val="en-US" w:eastAsia="zh-CN"/>
        </w:rPr>
        <w:br w:type="textWrapping"/>
      </w:r>
      <w:bookmarkEnd w:id="260"/>
    </w:p>
    <w:p>
      <w:pPr>
        <w:widowControl w:val="0"/>
        <w:wordWrap/>
        <w:overflowPunct w:val="0"/>
        <w:spacing w:beforeAutospacing="0" w:afterAutospacing="0" w:line="560" w:lineRule="exact"/>
        <w:ind w:left="640" w:leftChars="200" w:right="525" w:rightChars="164" w:firstLine="0" w:firstLineChars="0"/>
        <w:jc w:val="left"/>
        <w:textAlignment w:val="auto"/>
        <w:rPr>
          <w:rFonts w:hint="eastAsia" w:ascii="楷体" w:hAnsi="楷体" w:eastAsia="楷体" w:cs="楷体"/>
          <w:kern w:val="0"/>
          <w:szCs w:val="32"/>
        </w:rPr>
      </w:pPr>
      <w:r>
        <w:rPr>
          <w:rFonts w:hint="eastAsia" w:ascii="楷体" w:hAnsi="楷体" w:eastAsia="楷体" w:cs="楷体"/>
          <w:kern w:val="0"/>
          <w:szCs w:val="32"/>
          <w:lang w:val="en-US" w:eastAsia="zh-CN"/>
        </w:rPr>
        <w:t>（2007年4月5日中华人民共和国国务院令第492号2019年4月3日中华人民共和国国务院令第711号修订）</w:t>
      </w: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第一章　总</w:t>
      </w:r>
      <w:r>
        <w:rPr>
          <w:rFonts w:hint="eastAsia" w:ascii="宋体" w:hAnsi="宋体" w:eastAsia="黑体" w:cs="黑体"/>
          <w:kern w:val="0"/>
          <w:szCs w:val="32"/>
          <w:lang w:val="en-US" w:eastAsia="zh-CN"/>
        </w:rPr>
        <w:t xml:space="preserve"> </w:t>
      </w:r>
      <w:r>
        <w:rPr>
          <w:rFonts w:hint="eastAsia" w:ascii="宋体" w:hAnsi="宋体" w:eastAsia="黑体" w:cs="黑体"/>
          <w:kern w:val="0"/>
          <w:szCs w:val="32"/>
        </w:rPr>
        <w:t>则</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lang w:val="en-US" w:eastAsia="zh-CN"/>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第一条</w:t>
      </w:r>
      <w:r>
        <w:rPr>
          <w:rFonts w:hint="eastAsia" w:ascii="宋体" w:hAnsi="宋体" w:cs="Arial"/>
          <w:kern w:val="0"/>
          <w:szCs w:val="32"/>
          <w:lang w:val="en-US" w:eastAsia="zh-CN"/>
        </w:rPr>
        <w:t>　为了保障公民、法人和其他组织依法获取政府信息，提高政府工作的透明度，建设法治政府，充分发挥政府信息对人民群众生产、生活和经济社会活动的服务作用，制定本条例。</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第二条　</w:t>
      </w:r>
      <w:r>
        <w:rPr>
          <w:rFonts w:hint="eastAsia" w:ascii="宋体" w:hAnsi="宋体" w:cs="Arial"/>
          <w:kern w:val="0"/>
          <w:szCs w:val="32"/>
          <w:lang w:val="en-US" w:eastAsia="zh-CN"/>
        </w:rPr>
        <w:t>本条例所称政府信息，是指行政机关在履行行政管理职能过程中制作或者获取的，以一定形式记录、保存的信息。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第三条</w:t>
      </w:r>
      <w:r>
        <w:rPr>
          <w:rFonts w:hint="eastAsia" w:ascii="宋体" w:hAnsi="宋体" w:cs="Arial"/>
          <w:kern w:val="0"/>
          <w:szCs w:val="32"/>
          <w:lang w:val="en-US" w:eastAsia="zh-CN"/>
        </w:rPr>
        <w:t>　各级人民政府应当加强对政府信息公开工作的组织领导。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国务院办公厅是全国政府信息公开工作的主管部门，负责推进、指导、协调、监督全国的政府信息公开工作。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县级以上地方人民政府办公厅（室）是本行政区域的政府信息公开工作主管部门，负责推进、指导、协调、监督本行政区域的政府信息公开工作。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实行垂直领导的部门的办公厅（室）主管本系统的政府信息公开工作。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第四条</w:t>
      </w:r>
      <w:r>
        <w:rPr>
          <w:rFonts w:hint="eastAsia" w:ascii="宋体" w:hAnsi="宋体" w:cs="Arial"/>
          <w:kern w:val="0"/>
          <w:szCs w:val="32"/>
          <w:lang w:val="en-US" w:eastAsia="zh-CN"/>
        </w:rPr>
        <w:t>　各级人民政府及县级以上人民政府部门应当建立健全本行政机关的政府信息公开工作制度，并指定机构（以下统称政府信息公开工作机构）负责本行政机关政府信息公开的日常工作。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政府信息公开工作机构的具体职能是：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（一）办理本行政机关的政府信息公开事宜；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（二）维护和更新本行政机关公开的政府信息；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（三）组织编制本行政机关的政府信息公开指南、政府信息公开目录和政府信息公开工作年度报告；</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（四）组织开展对拟公开政府信息的审查；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（五）本行政机关规定的与政府信息公开有关的其他职能。</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第五条</w:t>
      </w:r>
      <w:r>
        <w:rPr>
          <w:rFonts w:hint="eastAsia" w:ascii="宋体" w:hAnsi="宋体" w:cs="Arial"/>
          <w:kern w:val="0"/>
          <w:szCs w:val="32"/>
          <w:lang w:val="en-US" w:eastAsia="zh-CN"/>
        </w:rPr>
        <w:t>　行政机关公开政府信息，应当坚持以公开为常态、不公开为例外，遵循公正、公平、合法、便民的原则。</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第六条</w:t>
      </w:r>
      <w:r>
        <w:rPr>
          <w:rFonts w:hint="eastAsia" w:ascii="宋体" w:hAnsi="宋体" w:cs="Arial"/>
          <w:kern w:val="0"/>
          <w:szCs w:val="32"/>
          <w:lang w:val="en-US" w:eastAsia="zh-CN"/>
        </w:rPr>
        <w:t>　行政机关应当及时、准确地公开政府信息。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行政机关发现影响或者可能影响社会稳定、扰乱社会和经济管理秩序的虚假或者不完整信息的，应当发布准确的政府信息予以澄清。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第七条</w:t>
      </w:r>
      <w:r>
        <w:rPr>
          <w:rFonts w:hint="eastAsia" w:ascii="宋体" w:hAnsi="宋体" w:cs="Arial"/>
          <w:kern w:val="0"/>
          <w:szCs w:val="32"/>
          <w:lang w:val="en-US" w:eastAsia="zh-CN"/>
        </w:rPr>
        <w:t>　各级人民政府应当积极推进政府信息公开工作，逐步增加政府信息公开的内容。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第八条</w:t>
      </w:r>
      <w:r>
        <w:rPr>
          <w:rFonts w:hint="eastAsia" w:ascii="宋体" w:hAnsi="宋体" w:cs="Arial"/>
          <w:kern w:val="0"/>
          <w:szCs w:val="32"/>
          <w:lang w:val="en-US" w:eastAsia="zh-CN"/>
        </w:rPr>
        <w:t>　各级人民政府应当加强政府信息资源的规范化、标准化、信息化管理，加强互联网政府信息公开平台建设，推进政府信息公开平台与政务服务平台融合，提高政府信息公开在线办理水平。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第九条</w:t>
      </w:r>
      <w:r>
        <w:rPr>
          <w:rFonts w:hint="eastAsia" w:ascii="宋体" w:hAnsi="宋体" w:cs="Arial"/>
          <w:kern w:val="0"/>
          <w:szCs w:val="32"/>
          <w:lang w:val="en-US" w:eastAsia="zh-CN"/>
        </w:rPr>
        <w:t>　公民、法人和其他组织有权对行政机关的政府信息公开工作进行监督，并提出批评和建议。</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第二章　公开的主体和范围</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第十条</w:t>
      </w:r>
      <w:r>
        <w:rPr>
          <w:rFonts w:hint="eastAsia" w:ascii="宋体" w:hAnsi="宋体" w:cs="Arial"/>
          <w:kern w:val="0"/>
          <w:szCs w:val="32"/>
          <w:lang w:val="en-US" w:eastAsia="zh-CN"/>
        </w:rPr>
        <w:t>　行政机关制作的政府信息，由制作该政府信息的行政机关负责公开。行政机关从公民、法人和其他组织获取的政府信息，由保存该政府信息的行政机关负责公开；行政机关获取的其他行政机关的政府信息，由制作或者最初获取该政府信息的行政机关负责公开。法律、法规对政府信息公开的权限另有规定的，从其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行政机关设立的派出机构、内设机构依照法律、法规对外以自己名义履行行政管理职能的，可以由该派出机构、内设机构负责与所履行行政管理职能有关的政府信息公开工作。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两个以上行政机关共同制作的政府信息，由牵头制作的行政机关负责公开。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第十一条</w:t>
      </w:r>
      <w:r>
        <w:rPr>
          <w:rFonts w:hint="eastAsia" w:ascii="宋体" w:hAnsi="宋体" w:cs="Arial"/>
          <w:kern w:val="0"/>
          <w:szCs w:val="32"/>
          <w:lang w:val="en-US" w:eastAsia="zh-CN"/>
        </w:rPr>
        <w:t>　行政机关应当建立健全政府信息公开协调机制。行政机关公开政府信息涉及其他机关的，应当与有关机关协商、确认，保证行政机关公开的政府信息准确一致。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行政机关公开政府信息依照法律、行政法规和国家有关规定需要批准的，经批准予以公开。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第十二条</w:t>
      </w:r>
      <w:r>
        <w:rPr>
          <w:rFonts w:hint="eastAsia" w:ascii="宋体" w:hAnsi="宋体" w:cs="Arial"/>
          <w:kern w:val="0"/>
          <w:szCs w:val="32"/>
          <w:lang w:val="en-US" w:eastAsia="zh-CN"/>
        </w:rPr>
        <w:t>　行政机关编制、公布的政府信息公开指南和政府信息公开目录应当及时更新。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政府信息公开指南包括政府信息的分类、编排体系、获取方式和政府信息公开工作机构的名称、办公地址、办公时间、联系电话、传真号码、互联网联系方式等内容。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政府信息公开目录包括政府信息的索引、名称、内容概述、生成日期等内容。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第十三条　</w:t>
      </w:r>
      <w:r>
        <w:rPr>
          <w:rFonts w:hint="eastAsia" w:ascii="宋体" w:hAnsi="宋体" w:cs="Arial"/>
          <w:kern w:val="0"/>
          <w:szCs w:val="32"/>
          <w:lang w:val="en-US" w:eastAsia="zh-CN"/>
        </w:rPr>
        <w:t>除本条例第十四条、第十五条、第十六条规定的政府信息外，政府信息应当公开。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行政机关公开政府信息，采取主动公开和依申请公开的方式。</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第十四条</w:t>
      </w:r>
      <w:r>
        <w:rPr>
          <w:rFonts w:hint="eastAsia" w:ascii="宋体" w:hAnsi="宋体" w:cs="Arial"/>
          <w:kern w:val="0"/>
          <w:szCs w:val="32"/>
          <w:lang w:val="en-US" w:eastAsia="zh-CN"/>
        </w:rPr>
        <w:t>　依法确定为国家秘密的政府信息，法律、行政法规禁止公开的政府信息，以及公开后可能危及国家安全、公共安全、经济安全、社会稳定的政府信息，不予公开。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第十五条</w:t>
      </w:r>
      <w:r>
        <w:rPr>
          <w:rFonts w:hint="eastAsia" w:ascii="宋体" w:hAnsi="宋体" w:cs="Arial"/>
          <w:kern w:val="0"/>
          <w:szCs w:val="32"/>
          <w:lang w:val="en-US" w:eastAsia="zh-CN"/>
        </w:rPr>
        <w:t>　涉及商业秘密、个人隐私等公开会对第三方合法权益造成损害的政府信息，行政机关不得公开。但是，第三方同意公开或者行政机关认为不公开会对公共利益造成重大影响的，予以公开。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第十六条</w:t>
      </w:r>
      <w:r>
        <w:rPr>
          <w:rFonts w:hint="eastAsia" w:ascii="宋体" w:hAnsi="宋体" w:cs="Arial"/>
          <w:kern w:val="0"/>
          <w:szCs w:val="32"/>
          <w:lang w:val="en-US" w:eastAsia="zh-CN"/>
        </w:rPr>
        <w:t>　行政机关的内部事务信息，包括人事管理、后勤管理、内部工作流程等方面的信息，可以不予公开。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行政机关在履行行政管理职能过程中形成的讨论记录、过程稿、磋商信函、请示报告等过程性信息以及行政执法案卷信息，可以不予公开。法律、法规、规章规定上述信息应当公开的，从其规定。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第十七条</w:t>
      </w:r>
      <w:r>
        <w:rPr>
          <w:rFonts w:hint="eastAsia" w:ascii="宋体" w:hAnsi="宋体" w:cs="Arial"/>
          <w:kern w:val="0"/>
          <w:szCs w:val="32"/>
          <w:lang w:val="en-US" w:eastAsia="zh-CN"/>
        </w:rPr>
        <w:t>　行政机关应当建立健全政府信息公开审查机制，明确审查的程序和责任。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行政机关应当依照《</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331244&amp;ix=0&amp;w=H4sIAAAAAAAEAABJAbb+AAEAAAD/////AQAAAAAAAAAMAgAAADxDbGlWNSwgVmVyc2lvbj0xLjAuMC4wLCBDdWx0dXJlPW5ldXRyYWwsIFB1YmxpY0tleVRva2VuPW51bGwFAQAAACtDbGlWNS5Db21tb25DbGFzcy5TZXJpYWxQYXJhbStTZWFyY2hfU3RydWN0BgAAAAhEYXRhYmFzZQVXaGVyZQRTb3J0B0tleXdvcmQHSXNHcm91cAlJc1N1bW1hcnkBAQEBAAABAQIAAAAGAwAAAANjaGwGBAAAAETmlYjlipvnuqfliKs9WEMwMiUgYW5kICAo5rOV6KeE5qCH6aKYPScl5pS/5bqc5L+h5oGv5YWs5byA5p2h5L6LJScpIAYFAAAADS3lj5HluIPml6XmnJ8GBgAAABjmlL/lupzkv6Hmga/lhazlvIDmnaHkvosAAAsBAAD//javascript:SLC(129605,0)" </w:instrText>
      </w:r>
      <w:r>
        <w:rPr>
          <w:rFonts w:hint="eastAsia" w:ascii="宋体" w:hAnsi="宋体" w:cs="Arial"/>
          <w:kern w:val="0"/>
          <w:szCs w:val="32"/>
          <w:lang w:val="en-US" w:eastAsia="zh-CN"/>
        </w:rPr>
        <w:fldChar w:fldCharType="separate"/>
      </w:r>
      <w:r>
        <w:rPr>
          <w:rFonts w:hint="eastAsia" w:ascii="宋体" w:hAnsi="宋体" w:cs="Arial"/>
          <w:kern w:val="0"/>
          <w:szCs w:val="32"/>
        </w:rPr>
        <w:t>中华人民共和国保守国家秘密法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》以及其他法律、法规和国家有关规定对拟公开的政府信息进行审查。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行政机关不能确定政府信息是否可以公开的，应当依照法律、法规和国家有关规定报有关主管部门或者保密行政管理部门确定。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第十八条</w:t>
      </w:r>
      <w:r>
        <w:rPr>
          <w:rFonts w:hint="eastAsia" w:ascii="宋体" w:hAnsi="宋体" w:cs="Arial"/>
          <w:kern w:val="0"/>
          <w:szCs w:val="32"/>
          <w:lang w:val="en-US" w:eastAsia="zh-CN"/>
        </w:rPr>
        <w:t>　行政机关应当建立健全政府信息管理动态调整机制，对本行政机关不予公开的政府信息进行定期评估审查，对因情势变化可以公开的政府信息应当公开。</w:t>
      </w: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第三章　主动公开</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r>
        <w:rPr>
          <w:rFonts w:hint="eastAsia" w:ascii="黑体" w:hAnsi="黑体" w:eastAsia="黑体" w:cs="黑体"/>
          <w:kern w:val="0"/>
          <w:szCs w:val="32"/>
          <w:lang w:val="en-US" w:eastAsia="zh-CN"/>
        </w:rPr>
        <w:t>　　第十九条</w:t>
      </w:r>
      <w:r>
        <w:rPr>
          <w:rFonts w:hint="eastAsia" w:ascii="宋体" w:hAnsi="宋体" w:cs="Arial"/>
          <w:kern w:val="0"/>
          <w:szCs w:val="32"/>
          <w:lang w:val="en-US" w:eastAsia="zh-CN"/>
        </w:rPr>
        <w:t>　对涉及公众利益调整、需要公众广泛知晓或者需要公众参与决策的政府信息，行政机关应当主动公开。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第二十条　</w:t>
      </w:r>
      <w:r>
        <w:rPr>
          <w:rFonts w:hint="eastAsia" w:ascii="宋体" w:hAnsi="宋体" w:cs="Arial"/>
          <w:kern w:val="0"/>
          <w:szCs w:val="32"/>
          <w:lang w:val="en-US" w:eastAsia="zh-CN"/>
        </w:rPr>
        <w:t>行政机关应当依照本条例第十九条的规定，主动公开本行政机关的下列政府信息：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（一）行政法规、规章和规范性文件；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（二）机关职能、机构设置、办公地址、办公时间、联系方式、负责人姓名；</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（三）国民经济和社会发展规划、专项规划、区域规划及相关政策；</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（四）国民经济和社会发展统计信息；</w:t>
      </w:r>
      <w:r>
        <w:rPr>
          <w:rFonts w:hint="eastAsia" w:ascii="黑体" w:hAnsi="黑体" w:eastAsia="黑体" w:cs="黑体"/>
          <w:kern w:val="0"/>
          <w:szCs w:val="32"/>
          <w:lang w:val="en-US" w:eastAsia="zh-CN"/>
        </w:rPr>
        <w:br w:type="textWrapping"/>
      </w:r>
      <w:r>
        <w:rPr>
          <w:rFonts w:hint="eastAsia" w:ascii="黑体" w:hAnsi="黑体" w:eastAsia="黑体" w:cs="黑体"/>
          <w:kern w:val="0"/>
          <w:szCs w:val="32"/>
          <w:lang w:val="en-US" w:eastAsia="zh-CN"/>
        </w:rPr>
        <w:t xml:space="preserve">    （</w:t>
      </w:r>
      <w:r>
        <w:rPr>
          <w:rFonts w:hint="eastAsia" w:ascii="宋体" w:hAnsi="宋体" w:cs="Arial"/>
          <w:kern w:val="0"/>
          <w:szCs w:val="32"/>
          <w:lang w:val="en-US" w:eastAsia="zh-CN"/>
        </w:rPr>
        <w:t>五）办理行政许可和其他对外管理服务事项的依据、条件、程序以及办理结果；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（六）实施行政处罚、行政强制的依据、条件、程序以及本行政机关认为具有一定社会影响的行政处罚决定；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（七）财政预算、决算信息；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（八）行政事业性收费项目及其依据、标准；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（九）政府集中采购项目的目录、标准及实施情况；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（十）重大建设项目的批准和实施情况；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（十一）扶贫、教育、医疗、社会保障、促进就业等方面的政策、措施及其实施情况；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（十二）突发公共事件的应急预案、预警信息及应对情况；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（十三）环境保护、公共卫生、安全生产、食品药品、产品质量的监督检查情况；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（十四）公务员招考的职位、名额、报考条件等事项以及录用结果；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（十五）法律、法规、规章和国家有关规定规定应当主动公开的其他政府信息。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第二十一条</w:t>
      </w:r>
      <w:r>
        <w:rPr>
          <w:rFonts w:hint="eastAsia" w:ascii="宋体" w:hAnsi="宋体" w:cs="Arial"/>
          <w:kern w:val="0"/>
          <w:szCs w:val="32"/>
          <w:lang w:val="en-US" w:eastAsia="zh-CN"/>
        </w:rPr>
        <w:t>　除本条例第二十条规定的政府信息外，设区的市级、县级人民政府及其部门还应当根据本地方的具体情况，主动公开涉及市政建设、公共服务、公益事业、土地征收、房屋征收、治安管理、社会救助等方面的政府信息；乡（镇）人民政府还应当根据本地方的具体情况，主动公开贯彻落实农业农村政策、农田水利工程建设运营、农村土地承包经营权流转、宅基地使用情况审核、土地征收、房屋征收、筹资筹劳、社会救助等方面的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第二十二条</w:t>
      </w:r>
      <w:r>
        <w:rPr>
          <w:rFonts w:hint="eastAsia" w:ascii="宋体" w:hAnsi="宋体" w:cs="Arial"/>
          <w:kern w:val="0"/>
          <w:szCs w:val="32"/>
          <w:lang w:val="en-US" w:eastAsia="zh-CN"/>
        </w:rPr>
        <w:t>　行政机关应当依照本条例第二十条、第二十一条的规定，确定主动公开政府信息的具体内容，并按照上级行政机关的部署，不断增加主动公开的内容。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第二十三条</w:t>
      </w:r>
      <w:r>
        <w:rPr>
          <w:rFonts w:hint="eastAsia" w:ascii="宋体" w:hAnsi="宋体" w:cs="Arial"/>
          <w:kern w:val="0"/>
          <w:szCs w:val="32"/>
          <w:lang w:val="en-US" w:eastAsia="zh-CN"/>
        </w:rPr>
        <w:t>　行政机关应当建立健全政府信息发布机制，将主动公开的政府信息通过政府公报、政府网站或者其他互联网政务媒体、新闻发布会以及报刊、广播、电视等途径予以公开。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第二十四条</w:t>
      </w:r>
      <w:r>
        <w:rPr>
          <w:rFonts w:hint="eastAsia" w:ascii="宋体" w:hAnsi="宋体" w:cs="Arial"/>
          <w:kern w:val="0"/>
          <w:szCs w:val="32"/>
          <w:lang w:val="en-US" w:eastAsia="zh-CN"/>
        </w:rPr>
        <w:t>　各级人民政府应当加强依托政府门户网站公开政府信息的工作，利用统一的政府信息公开平台集中发布主动公开的政府信息。政府信息公开平台应当具备信息检索、查阅、下载等功能。</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第二十五条</w:t>
      </w:r>
      <w:r>
        <w:rPr>
          <w:rFonts w:hint="eastAsia" w:ascii="宋体" w:hAnsi="宋体" w:cs="Arial"/>
          <w:kern w:val="0"/>
          <w:szCs w:val="32"/>
          <w:lang w:val="en-US" w:eastAsia="zh-CN"/>
        </w:rPr>
        <w:t>　各级人民政府应当在国家档案馆、公共图书馆、政务服务场所设置政府信息查阅场所，并配备相应的设施、设备，为公民、法人和其他组织获取政府信息提供便利。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行政机关可以根据需要设立公共查阅室、资料索取点、信息公告栏、电子信息屏等场所、设施，公开政府信息。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行政机关应当及时向国家档案馆、公共图书馆提供主动公开的政府信息。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第二十六条</w:t>
      </w:r>
      <w:r>
        <w:rPr>
          <w:rFonts w:hint="eastAsia" w:ascii="宋体" w:hAnsi="宋体" w:cs="Arial"/>
          <w:kern w:val="0"/>
          <w:szCs w:val="32"/>
          <w:lang w:val="en-US" w:eastAsia="zh-CN"/>
        </w:rPr>
        <w:t>　属于主动公开范围的政府信息，应当自该政府信息形成或者变更之日起20个工作日内及时公开。法律、法规对政府信息公开的期限另有规定的，从其规定。</w:t>
      </w: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第四章　依申请公开</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第二十七条</w:t>
      </w:r>
      <w:r>
        <w:rPr>
          <w:rFonts w:hint="eastAsia" w:ascii="宋体" w:hAnsi="宋体" w:cs="Arial"/>
          <w:kern w:val="0"/>
          <w:szCs w:val="32"/>
          <w:lang w:val="en-US" w:eastAsia="zh-CN"/>
        </w:rPr>
        <w:t>　除行政机关主动公开的政府信息外，公民、法人或者其他组织可以向地方各级人民政府、对外以自己名义履行行政管理职能的县级以上人民政府部门（含本条例第十条第二款规定的派出机构、内设机构）申请获取相关政府信息。</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第二十八条</w:t>
      </w:r>
      <w:r>
        <w:rPr>
          <w:rFonts w:hint="eastAsia" w:ascii="宋体" w:hAnsi="宋体" w:cs="Arial"/>
          <w:kern w:val="0"/>
          <w:szCs w:val="32"/>
          <w:lang w:val="en-US" w:eastAsia="zh-CN"/>
        </w:rPr>
        <w:t>　本条例第二十七条规定的行政机关应当建立完善政府信息公开申请渠道，为申请人依法申请获取政府信息提供便利。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第二十九条</w:t>
      </w:r>
      <w:r>
        <w:rPr>
          <w:rFonts w:hint="eastAsia" w:ascii="宋体" w:hAnsi="宋体" w:cs="Arial"/>
          <w:kern w:val="0"/>
          <w:szCs w:val="32"/>
          <w:lang w:val="en-US" w:eastAsia="zh-CN"/>
        </w:rPr>
        <w:t>　公民、法人或者其他组织申请获取政府信息的，应当向行政机关的政府信息公开工作机构提出，并采用包括信件、数据电文在内的书面形式；采用书面形式确有困难的，申请人可以口头提出，由受理该申请的政府信息公开工作机构代为填写政府信息公开申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政府信息公开申请应当包括下列内容：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（一）申请人的姓名或者名称、身份证明、联系方式；</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（二）申请公开的政府信息的名称、文号或者便于行政机关查询的其他特征性描述；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（三）申请公开的政府信息的形式要求，包括获取信息的方式、途径。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第三十条</w:t>
      </w:r>
      <w:r>
        <w:rPr>
          <w:rFonts w:hint="eastAsia" w:ascii="宋体" w:hAnsi="宋体" w:cs="Arial"/>
          <w:kern w:val="0"/>
          <w:szCs w:val="32"/>
          <w:lang w:val="en-US" w:eastAsia="zh-CN"/>
        </w:rPr>
        <w:t>　政府信息公开申请内容不明确的，行政机关应当给予指导和释明，并自收到申请之日起7个工作日内一次性告知申请人作出补正，说明需要补正的事项和合理的补正期限。答复期限自行政机关收到补正的申请之日起计算。申请人无正当理由逾期不补正的，视为放弃申请，行政机关不再处理该政府信息公开申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第三十一条　</w:t>
      </w:r>
      <w:r>
        <w:rPr>
          <w:rFonts w:hint="eastAsia" w:ascii="宋体" w:hAnsi="宋体" w:cs="Arial"/>
          <w:kern w:val="0"/>
          <w:szCs w:val="32"/>
          <w:lang w:val="en-US" w:eastAsia="zh-CN"/>
        </w:rPr>
        <w:t>行政机关收到政府信息公开申请的时间，按照下列规定确定：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（一）申请人当面提交政府信息公开申请的，以提交之日为收到申请之日；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申请人以邮寄方式提交政府信息公开申请的，以行政机关签收之日为收到申请之日；以平常信函等无需签收的邮寄方式提交政府信息公开申请的，政府信息公开工作机构应当于收到申请的当日与申请人确认，确认之日为收到申请之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（三）申请人通过互联网渠道或者政府信息公开工作机构的传真提交政府信息公开申请的，以双方确认之日为收到申请之日。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第三十二条</w:t>
      </w:r>
      <w:r>
        <w:rPr>
          <w:rFonts w:hint="eastAsia" w:ascii="宋体" w:hAnsi="宋体" w:cs="Arial"/>
          <w:kern w:val="0"/>
          <w:szCs w:val="32"/>
          <w:lang w:val="en-US" w:eastAsia="zh-CN"/>
        </w:rPr>
        <w:t>　依申请公开的政府信息公开会损害第三方合法权益的，行政机关应当书面征求第三方的意见。第三方应当自收到征求意见书之日起15个工作日内提出意见。第三方逾期未提出意见的，由行政机关依照本条例的规定决定是否公开。第三方不同意公开且有合理理由的，行政机关不予公开。行政机关认为不公开可能对公共利益造成重大影响的，可以决定予以公开，并将决定公开的政府信息内容和理由书面告知第三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第三十三条</w:t>
      </w:r>
      <w:r>
        <w:rPr>
          <w:rFonts w:hint="eastAsia" w:ascii="宋体" w:hAnsi="宋体" w:cs="Arial"/>
          <w:kern w:val="0"/>
          <w:szCs w:val="32"/>
          <w:lang w:val="en-US" w:eastAsia="zh-CN"/>
        </w:rPr>
        <w:t>　行政机关收到政府信息公开申请，能够当场答复的，应当当场予以答复。</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行政机关不能当场答复的，应当自收到申请之日起20个工作日内予以答复；需要延长答复期限的，应当经政府信息公开工作机构负责人同意并告知申请人，延长的期限最长不得超过20个工作日。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行政机关征求第三方和其他机关意见所需时间不计算在前款规定的期限内。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第三十四条　</w:t>
      </w:r>
      <w:r>
        <w:rPr>
          <w:rFonts w:hint="eastAsia" w:ascii="宋体" w:hAnsi="宋体" w:cs="Arial"/>
          <w:kern w:val="0"/>
          <w:szCs w:val="32"/>
          <w:lang w:val="en-US" w:eastAsia="zh-CN"/>
        </w:rPr>
        <w:t>申请公开的政府信息由两个以上行政机关共同制作的，牵头制作的行政机关收到政府信息公开申请后可以征求相关行政机关的意见，被征求意见机关应当自收到征求意见书之日起15个工作日内提出意见，逾期未提出意见的视为同意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第三十五条</w:t>
      </w:r>
      <w:r>
        <w:rPr>
          <w:rFonts w:hint="eastAsia" w:ascii="宋体" w:hAnsi="宋体" w:cs="Arial"/>
          <w:kern w:val="0"/>
          <w:szCs w:val="32"/>
          <w:lang w:val="en-US" w:eastAsia="zh-CN"/>
        </w:rPr>
        <w:t>　申请人申请公开政府信息的数量、频次明显超过合理范围，行政机关可以要求申请人说明理由。行政机关认为申请理由不合理的，告知申请人不予处理；行政机关认为申请理由合理，但是无法在本条例第三十三条规定的期限内答复申请人的，可以确定延迟答复的合理期限并告知申请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第三十六条</w:t>
      </w:r>
      <w:r>
        <w:rPr>
          <w:rFonts w:hint="eastAsia" w:ascii="宋体" w:hAnsi="宋体" w:cs="Arial"/>
          <w:kern w:val="0"/>
          <w:szCs w:val="32"/>
          <w:lang w:val="en-US" w:eastAsia="zh-CN"/>
        </w:rPr>
        <w:t>　对政府信息公开申请，行政机关根据下列情况分别作出答复：</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（一）所申请公开信息已经主动公开的，告知申请人获取该政府信息的方式、途径；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（二）所申请公开信息可以公开的，向申请人提供该政府信息，或者告知申请人获取该政府信息的方式、途径和时间；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（三）行政机关依据本条例的规定决定不予公开的，告知申请人不予公开并说明理由；</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（四）经检索没有所申请公开信息的，告知申请人该政府信息不存在；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（五）所申请公开信息不属于本行政机关负责公开的，告知申请人并说明理由；能够确定负责公开该政府信息的行政机关的，告知申请人该行政机关的名称、联系方式；</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（六）行政机关已就申请人提出的政府信息公开申请作出答复、申请人重复申请公开相同政府信息的，告知申请人不予重复处理；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（七）所申请公开信息属于工商、不动产登记资料等信息，有关法律、行政法规对信息的获取有特别规定的，告知申请人依照有关法律、行政法规的规定办理。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第三十七条</w:t>
      </w:r>
      <w:r>
        <w:rPr>
          <w:rFonts w:hint="eastAsia" w:ascii="宋体" w:hAnsi="宋体" w:cs="Arial"/>
          <w:kern w:val="0"/>
          <w:szCs w:val="32"/>
          <w:lang w:val="en-US" w:eastAsia="zh-CN"/>
        </w:rPr>
        <w:t>　申请公开的信息中含有不应当公开或者不属于政府信息的内容，但是能够作区分处理的，行政机关应当向申请人提供可以公开的政府信息内容，并对不予公开的内容说明理由。</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第三十八条　</w:t>
      </w:r>
      <w:r>
        <w:rPr>
          <w:rFonts w:hint="eastAsia" w:ascii="宋体" w:hAnsi="宋体" w:cs="Arial"/>
          <w:kern w:val="0"/>
          <w:szCs w:val="32"/>
          <w:lang w:val="en-US" w:eastAsia="zh-CN"/>
        </w:rPr>
        <w:t>行政机关向申请人提供的信息，应当是已制作或者获取的政府信息。除依照本条例第三十七条的规定能够作区分处理的外，需要行政机关对现有政府信息进行加工、分析的，行政机关可以不予提供。</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第三十九条</w:t>
      </w:r>
      <w:r>
        <w:rPr>
          <w:rFonts w:hint="eastAsia" w:ascii="宋体" w:hAnsi="宋体" w:cs="Arial"/>
          <w:kern w:val="0"/>
          <w:szCs w:val="32"/>
          <w:lang w:val="en-US" w:eastAsia="zh-CN"/>
        </w:rPr>
        <w:t>　申请人以政府信息公开申请的形式进行信访、投诉、举报等活动，行政机关应当告知申请人不作为政府信息公开申请处理并可以告知通过相应渠道提出。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申请人提出的申请内容为要求行政机关提供政府公报、报刊、书籍等公开出版物的，行政机关可以告知获取的途径。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第四十条</w:t>
      </w:r>
      <w:r>
        <w:rPr>
          <w:rFonts w:hint="eastAsia" w:ascii="宋体" w:hAnsi="宋体" w:cs="Arial"/>
          <w:kern w:val="0"/>
          <w:szCs w:val="32"/>
          <w:lang w:val="en-US" w:eastAsia="zh-CN"/>
        </w:rPr>
        <w:t>　行政机关依申请公开政府信息，应当根据申请人的要求及行政机关保存政府信息的实际情况，确定提供政府信息的具体形式；按照申请人要求的形式提供政府信息，可能危及政府信息载体安全或者公开成本过高的，可以通过电子数据以及其他适当形式提供，或者安排申请人查阅、抄录相关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第四十一条　</w:t>
      </w:r>
      <w:r>
        <w:rPr>
          <w:rFonts w:hint="eastAsia" w:ascii="宋体" w:hAnsi="宋体" w:cs="Arial"/>
          <w:kern w:val="0"/>
          <w:szCs w:val="32"/>
          <w:lang w:val="en-US" w:eastAsia="zh-CN"/>
        </w:rPr>
        <w:t>公民、法人或者其他组织有证据证明行政机关提供的与其自身相关的政府信息记录不准确的，可以要求行政机关更正。有权更正的行政机关审核属实的，应当予以更正并告知申请人；不属于本行政机关职能范围的，行政机关可以转送有权更正的行政机关处理并告知申请人，或者告知申请人向有权更正的行政机关提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第四十二条</w:t>
      </w:r>
      <w:r>
        <w:rPr>
          <w:rFonts w:hint="eastAsia" w:ascii="宋体" w:hAnsi="宋体" w:cs="Arial"/>
          <w:kern w:val="0"/>
          <w:szCs w:val="32"/>
          <w:lang w:val="en-US" w:eastAsia="zh-CN"/>
        </w:rPr>
        <w:t>　行政机关依申请提供政府信息，不收取费用。但是，申请人申请公开政府信息的数量、频次明显超过合理范围的，行政机关可以收取信息处理费。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行政机关收取信息处理费的具体办法由国务院价格主管部门会同国务院财政部门、全国政府信息公开工作主管部门制定。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第四十三条</w:t>
      </w:r>
      <w:r>
        <w:rPr>
          <w:rFonts w:hint="eastAsia" w:ascii="宋体" w:hAnsi="宋体" w:cs="Arial"/>
          <w:kern w:val="0"/>
          <w:szCs w:val="32"/>
          <w:lang w:val="en-US" w:eastAsia="zh-CN"/>
        </w:rPr>
        <w:t>　申请公开政府信息的公民存在阅读困难或者视听障碍的，行政机关应当为其提供必要的帮助。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第四十四条</w:t>
      </w:r>
      <w:r>
        <w:rPr>
          <w:rFonts w:hint="eastAsia" w:ascii="宋体" w:hAnsi="宋体" w:cs="Arial"/>
          <w:kern w:val="0"/>
          <w:szCs w:val="32"/>
          <w:lang w:val="en-US" w:eastAsia="zh-CN"/>
        </w:rPr>
        <w:t>　多个申请人就相同政府信息向同一行政机关提出公开申请，且该政府信息属于可以公开的，行政机关可以纳入主动公开的范围。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对行政机关依申请公开的政府信息，申请人认为涉及公众利益调整、需要公众广泛知晓或者需要公众参与决策的，可以建议行政机关将该信息纳入主动公开的范围。行政机关经审核认为属于主动公开范围的，应当及时主动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第四十五条</w:t>
      </w:r>
      <w:r>
        <w:rPr>
          <w:rFonts w:hint="eastAsia" w:ascii="宋体" w:hAnsi="宋体" w:cs="Arial"/>
          <w:kern w:val="0"/>
          <w:szCs w:val="32"/>
          <w:lang w:val="en-US" w:eastAsia="zh-CN"/>
        </w:rPr>
        <w:t>　行政机关应当建立健全政府信息公开申请登记、审核、办理、答复、归档的工作制度，加强工作规范。</w:t>
      </w: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p>
    <w:p>
      <w:pPr>
        <w:widowControl w:val="0"/>
        <w:numPr>
          <w:ilvl w:val="0"/>
          <w:numId w:val="15"/>
        </w:numPr>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监督和保障</w:t>
      </w:r>
    </w:p>
    <w:p>
      <w:pPr>
        <w:pStyle w:val="33"/>
        <w:numPr>
          <w:ilvl w:val="0"/>
          <w:numId w:val="0"/>
        </w:numPr>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第四十六条</w:t>
      </w:r>
      <w:r>
        <w:rPr>
          <w:rFonts w:hint="eastAsia" w:ascii="宋体" w:hAnsi="宋体" w:cs="Arial"/>
          <w:kern w:val="0"/>
          <w:szCs w:val="32"/>
          <w:lang w:val="en-US" w:eastAsia="zh-CN"/>
        </w:rPr>
        <w:t>　各级人民政府应当建立健全政府信息公开工作考核制度、社会评议制度和责任追究制度，定期对政府信息公开工作进行考核、评议。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第四十七条</w:t>
      </w:r>
      <w:r>
        <w:rPr>
          <w:rFonts w:hint="eastAsia" w:ascii="宋体" w:hAnsi="宋体" w:cs="Arial"/>
          <w:kern w:val="0"/>
          <w:szCs w:val="32"/>
          <w:lang w:val="en-US" w:eastAsia="zh-CN"/>
        </w:rPr>
        <w:t>　政府信息公开工作主管部门应当加强对政府信息公开工作的日常指导和监督检查，对行政机关未按照要求开展政府信息公开工作的，予以督促整改或者通报批评；需要对负有责任的领导人员和直接责任人员追究责任的，依法向有权机关提出处理建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公民、法人或者其他组织认为行政机关未按照要求主动公开政府信息或者对政府信息公开申请不依法答复处理的，可以向政府信息公开工作主管部门提出。政府信息公开工作主管部门查证属实的，应当予以督促整改或者通报批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第四十八条</w:t>
      </w:r>
      <w:r>
        <w:rPr>
          <w:rFonts w:hint="eastAsia" w:ascii="宋体" w:hAnsi="宋体" w:cs="Arial"/>
          <w:kern w:val="0"/>
          <w:szCs w:val="32"/>
          <w:lang w:val="en-US" w:eastAsia="zh-CN"/>
        </w:rPr>
        <w:t>　政府信息公开工作主管部门应当对行政机关的政府信息公开工作人员定期进行培训。</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第四十九条　</w:t>
      </w:r>
      <w:r>
        <w:rPr>
          <w:rFonts w:hint="eastAsia" w:ascii="宋体" w:hAnsi="宋体" w:cs="Arial"/>
          <w:kern w:val="0"/>
          <w:szCs w:val="32"/>
          <w:lang w:val="en-US" w:eastAsia="zh-CN"/>
        </w:rPr>
        <w:t>县级以上人民政府部门应当在每年1月31日前向本级政府信息公开工作主管部门提交本行政机关上一年度政府信息公开工作年度报告并向社会公布。</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县级以上地方人民政府的政府信息公开工作主管部门应当在每年3月31日前向社会公布本级政府上一年度政府信息公开工作年度报告。</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第五十条　</w:t>
      </w:r>
      <w:r>
        <w:rPr>
          <w:rFonts w:hint="eastAsia" w:ascii="宋体" w:hAnsi="宋体" w:cs="Arial"/>
          <w:kern w:val="0"/>
          <w:szCs w:val="32"/>
          <w:lang w:val="en-US" w:eastAsia="zh-CN"/>
        </w:rPr>
        <w:t>政府信息公开工作年度报告应当包括下列内容：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（一）行政机关主动公开政府信息的情况；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（二）行政机关收到和处理政府信息公开申请的情况；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（三）因政府信息公开工作被申请行政复议、提起行政诉讼的情况；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（四）政府信息公开工作存在的主要问题及改进情况，各级人民政府的政府信息公开工作年度报告还应当包括工作考核、社会评议和责任追究结果情况；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（五）其他需要报告的事项。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全国政府信息公开工作主管部门应当公布政府信息公开工作年度报告统一格式，并适时更新。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第五十一条　</w:t>
      </w:r>
      <w:r>
        <w:rPr>
          <w:rFonts w:hint="eastAsia" w:ascii="宋体" w:hAnsi="宋体" w:cs="Arial"/>
          <w:kern w:val="0"/>
          <w:szCs w:val="32"/>
          <w:lang w:val="en-US" w:eastAsia="zh-CN"/>
        </w:rPr>
        <w:t>公民、法人或者其他组织认为行政机关在政府信息公开工作中侵犯其合法权益的，可以向上一级行政机关或者政府信息公开工作主管部门投诉、举报，也可以依法申请行政复议或者提起行政诉讼。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第五十二条</w:t>
      </w:r>
      <w:r>
        <w:rPr>
          <w:rFonts w:hint="eastAsia" w:ascii="宋体" w:hAnsi="宋体" w:cs="Arial"/>
          <w:kern w:val="0"/>
          <w:szCs w:val="32"/>
          <w:lang w:val="en-US" w:eastAsia="zh-CN"/>
        </w:rPr>
        <w:t>　行政机关违反本条例的规定，未建立健全政府信息公开有关制度、机制的，由上一级行政机关责令改正；情节严重的，对负有责任的领导人员和直接责任人员依法给予处分。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第五十三条</w:t>
      </w:r>
      <w:r>
        <w:rPr>
          <w:rFonts w:hint="eastAsia" w:ascii="宋体" w:hAnsi="宋体" w:cs="Arial"/>
          <w:kern w:val="0"/>
          <w:szCs w:val="32"/>
          <w:lang w:val="en-US" w:eastAsia="zh-CN"/>
        </w:rPr>
        <w:t>　行政机关违反本条例的规定，有下列情形之一的，由上一级行政机关责令改正；情节严重的，对负有责任的领导人员和直接责任人员依法给予处分；构成犯罪的，依法追究刑事责任：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（一）不依法履行政府信息公开职能；</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（二）不及时更新公开的政府信息内容、政府信息公开指南和政府信息公开目录；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（三）违反本条例规定的其他情形。</w:t>
      </w: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第六章　附则</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640" w:firstLineChars="0"/>
        <w:textAlignment w:val="auto"/>
        <w:rPr>
          <w:rFonts w:hint="eastAsia" w:ascii="宋体" w:hAnsi="宋体" w:cs="Arial"/>
          <w:kern w:val="0"/>
          <w:szCs w:val="32"/>
          <w:lang w:val="en-US" w:eastAsia="zh-CN"/>
        </w:rPr>
      </w:pPr>
      <w:r>
        <w:rPr>
          <w:rFonts w:hint="eastAsia" w:ascii="黑体" w:hAnsi="黑体" w:eastAsia="黑体" w:cs="黑体"/>
          <w:kern w:val="0"/>
          <w:szCs w:val="32"/>
          <w:lang w:val="en-US" w:eastAsia="zh-CN"/>
        </w:rPr>
        <w:t>第五十四条</w:t>
      </w:r>
      <w:r>
        <w:rPr>
          <w:rFonts w:hint="eastAsia" w:ascii="宋体" w:hAnsi="宋体" w:cs="Arial"/>
          <w:kern w:val="0"/>
          <w:szCs w:val="32"/>
          <w:lang w:val="en-US" w:eastAsia="zh-CN"/>
        </w:rPr>
        <w:t>　法律、法规授权的具有管理公共事务职能的组织公开政府信息的活动，适用本条例。</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第五十五条　</w:t>
      </w:r>
      <w:r>
        <w:rPr>
          <w:rFonts w:hint="eastAsia" w:ascii="宋体" w:hAnsi="宋体" w:cs="Arial"/>
          <w:kern w:val="0"/>
          <w:szCs w:val="32"/>
          <w:lang w:val="en-US" w:eastAsia="zh-CN"/>
        </w:rPr>
        <w:t>教育、卫生健康、供水、供电、供气、供热、环境保护、公共交通等与人民群众利益密切相关的公共企事业单位，公开在提供社会公共服务过程中制作、获取的信息，依照相关法律、法规和国务院有关主管部门或者机构的规定执行。全国政府信息公开工作主管部门根据实际需要可以制定专门的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前款规定的公共企事业单位未依照相关法律、法规和国务院有关主管部门或者机构的规定公开在提供社会公共服务过程中制作、获取的信息，公民、法人或者其他组织可以向有关主管部门或者机构申诉，接受申诉的部门或者机构应当及时调查处理并将处理结果告知申诉人。</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第五十六条</w:t>
      </w:r>
      <w:r>
        <w:rPr>
          <w:rFonts w:hint="eastAsia" w:ascii="宋体" w:hAnsi="宋体" w:cs="Arial"/>
          <w:kern w:val="0"/>
          <w:szCs w:val="32"/>
          <w:lang w:val="en-US" w:eastAsia="zh-CN"/>
        </w:rPr>
        <w:t>　本条例自2019年5月15日起施行。</w:t>
      </w:r>
    </w:p>
    <w:p>
      <w:pPr>
        <w:pStyle w:val="11"/>
        <w:ind w:firstLine="640" w:firstLineChars="200"/>
        <w:rPr>
          <w:rFonts w:hint="eastAsia" w:ascii="Times New Roman" w:hAnsi="Times New Roman" w:eastAsia="仿宋_GB2312" w:cs="Times New Roman"/>
          <w:sz w:val="32"/>
          <w:szCs w:val="32"/>
          <w:lang w:eastAsia="zh-CN"/>
        </w:rPr>
      </w:pPr>
    </w:p>
    <w:p>
      <w:pPr>
        <w:pStyle w:val="11"/>
        <w:jc w:val="center"/>
        <w:rPr>
          <w:rFonts w:ascii="Times New Roman" w:hAnsi="Times New Roman" w:cs="Times New Roman"/>
          <w:sz w:val="32"/>
          <w:szCs w:val="32"/>
        </w:rPr>
      </w:pPr>
      <w:r>
        <w:rPr>
          <w:rFonts w:ascii="Times New Roman" w:hAnsi="Times New Roman" w:cs="Times New Roman"/>
          <w:sz w:val="44"/>
          <w:szCs w:val="44"/>
        </w:rPr>
        <w:t>娱乐场所管理条例</w:t>
      </w:r>
    </w:p>
    <w:p>
      <w:pPr>
        <w:pStyle w:val="11"/>
        <w:ind w:firstLine="640" w:firstLineChars="200"/>
        <w:jc w:val="center"/>
        <w:rPr>
          <w:rFonts w:ascii="Times New Roman" w:hAnsi="Times New Roman" w:cs="Times New Roman"/>
          <w:sz w:val="32"/>
          <w:szCs w:val="32"/>
        </w:rPr>
      </w:pPr>
    </w:p>
    <w:p>
      <w:pPr>
        <w:pStyle w:val="11"/>
        <w:spacing w:line="560" w:lineRule="exact"/>
        <w:ind w:firstLine="596" w:firstLineChars="200"/>
        <w:rPr>
          <w:rFonts w:hint="eastAsia" w:ascii="楷体_GB2312" w:hAnsi="楷体_GB2312" w:eastAsia="楷体_GB2312" w:cs="楷体_GB2312"/>
          <w:spacing w:val="-11"/>
          <w:sz w:val="32"/>
          <w:szCs w:val="32"/>
          <w:lang w:eastAsia="zh-CN"/>
        </w:rPr>
      </w:pPr>
      <w:r>
        <w:rPr>
          <w:rFonts w:hint="eastAsia" w:ascii="楷体_GB2312" w:hAnsi="楷体_GB2312" w:eastAsia="楷体_GB2312" w:cs="楷体_GB2312"/>
          <w:spacing w:val="-11"/>
          <w:sz w:val="32"/>
          <w:szCs w:val="32"/>
          <w:lang w:eastAsia="zh-CN"/>
        </w:rPr>
        <w:t>(2006年1月29日中华人民共和国国务院令第458号公布　根据2016年2月6日《国务院关于修改部分行政法规的决定》第一次修订</w:t>
      </w:r>
      <w:r>
        <w:rPr>
          <w:rFonts w:hint="eastAsia" w:ascii="楷体_GB2312" w:hAnsi="楷体_GB2312" w:eastAsia="楷体_GB2312" w:cs="楷体_GB2312"/>
          <w:spacing w:val="-11"/>
          <w:sz w:val="32"/>
          <w:szCs w:val="32"/>
          <w:lang w:val="en-US" w:eastAsia="zh-CN"/>
        </w:rPr>
        <w:t xml:space="preserve">  </w:t>
      </w:r>
      <w:r>
        <w:rPr>
          <w:rFonts w:hint="eastAsia" w:ascii="楷体_GB2312" w:hAnsi="楷体_GB2312" w:eastAsia="楷体_GB2312" w:cs="楷体_GB2312"/>
          <w:spacing w:val="-11"/>
          <w:sz w:val="32"/>
          <w:szCs w:val="32"/>
          <w:lang w:eastAsia="zh-CN"/>
        </w:rPr>
        <w:t>根据2020年11月29日《国务院关于修改和废止部分行政法规的决定》第二次修订)</w:t>
      </w:r>
    </w:p>
    <w:p>
      <w:pPr>
        <w:pStyle w:val="5"/>
        <w:spacing w:line="560" w:lineRule="exact"/>
        <w:rPr>
          <w:sz w:val="32"/>
          <w:szCs w:val="32"/>
        </w:rPr>
      </w:pPr>
      <w:r>
        <w:rPr>
          <w:rFonts w:ascii="Times New Roman" w:hAnsi="Times New Roman" w:cs="Times New Roman"/>
          <w:sz w:val="32"/>
          <w:szCs w:val="32"/>
        </w:rPr>
        <w:t>第一章　总则</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第一条　</w:t>
      </w:r>
      <w:r>
        <w:rPr>
          <w:rFonts w:ascii="Times New Roman" w:hAnsi="Times New Roman" w:eastAsia="仿宋_GB2312" w:cs="Times New Roman"/>
          <w:sz w:val="32"/>
          <w:szCs w:val="32"/>
        </w:rPr>
        <w:t>为了加强对娱乐场所的管理，保障娱乐场所的健康发展，制定本条例。</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第二条　</w:t>
      </w:r>
      <w:r>
        <w:rPr>
          <w:rFonts w:ascii="Times New Roman" w:hAnsi="Times New Roman" w:eastAsia="仿宋_GB2312" w:cs="Times New Roman"/>
          <w:sz w:val="32"/>
          <w:szCs w:val="32"/>
        </w:rPr>
        <w:t>本条例所称娱乐场所，是指以营利为目的，并向公众开放、消费者自娱自乐的歌舞、游艺等场所。</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第三条　</w:t>
      </w:r>
      <w:r>
        <w:rPr>
          <w:rFonts w:ascii="Times New Roman" w:hAnsi="Times New Roman" w:eastAsia="仿宋_GB2312" w:cs="Times New Roman"/>
          <w:sz w:val="32"/>
          <w:szCs w:val="32"/>
        </w:rPr>
        <w:t>县级以上人民政府文化主管部门负责对娱乐场所日常经营活动的监督管理；县级以上公安部门负责对娱乐场所消防、治安状况的监督管理。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第四条　</w:t>
      </w:r>
      <w:r>
        <w:rPr>
          <w:rFonts w:ascii="Times New Roman" w:hAnsi="Times New Roman" w:eastAsia="仿宋_GB2312" w:cs="Times New Roman"/>
          <w:sz w:val="32"/>
          <w:szCs w:val="32"/>
        </w:rPr>
        <w:t>国家机关及其工作人员不得开办娱乐场所，不得参与或者变相参与娱乐场所的经营活动。</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与文化主管部门、公安部门的工作人员有夫妻关系、直系血亲关系、三代以内旁系血亲关系以及近姻亲关系的亲属，不得开办娱乐场所，不得参与或者变相参与娱乐场所的经营活动。</w:t>
      </w:r>
    </w:p>
    <w:p>
      <w:pPr>
        <w:pStyle w:val="5"/>
        <w:spacing w:line="560" w:lineRule="exact"/>
      </w:pPr>
      <w:r>
        <w:t>第二章　设立</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第五条　</w:t>
      </w:r>
      <w:r>
        <w:rPr>
          <w:rFonts w:ascii="Times New Roman" w:hAnsi="Times New Roman" w:eastAsia="仿宋_GB2312" w:cs="Times New Roman"/>
          <w:sz w:val="32"/>
          <w:szCs w:val="32"/>
        </w:rPr>
        <w:t>有下列情形之一的人员，不得开办娱乐场所或者在娱乐场所内从业：</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(一)曾犯有组织、强迫、引诱、容留、介绍卖淫罪，制作、贩卖、传播淫秽物品罪，走私、贩卖、运输、制造毒品罪，强奸罪，强制猥亵、侮辱妇女罪，赌博罪，洗钱罪，组织、领导、参加黑社会性质组织罪的；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(二)因犯罪曾被剥夺政治权利的；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(三)因吸食、注射毒品曾被强制戒毒的；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(四)因卖淫、嫖娼曾被处以行政拘留的。</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第六条　</w:t>
      </w:r>
      <w:r>
        <w:rPr>
          <w:rFonts w:hint="eastAsia" w:ascii="Times New Roman" w:hAnsi="Times New Roman" w:eastAsia="仿宋_GB2312" w:cs="Times New Roman"/>
          <w:sz w:val="32"/>
          <w:szCs w:val="32"/>
        </w:rPr>
        <w:t>外国投资者可以依法在中国境内设立娱乐场所</w:t>
      </w:r>
      <w:r>
        <w:rPr>
          <w:rFonts w:ascii="Times New Roman" w:hAnsi="Times New Roman" w:eastAsia="仿宋_GB2312" w:cs="Times New Roman"/>
          <w:sz w:val="32"/>
          <w:szCs w:val="32"/>
        </w:rPr>
        <w:t>。</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第七条　</w:t>
      </w:r>
      <w:r>
        <w:rPr>
          <w:rFonts w:ascii="Times New Roman" w:hAnsi="Times New Roman" w:eastAsia="仿宋_GB2312" w:cs="Times New Roman"/>
          <w:sz w:val="32"/>
          <w:szCs w:val="32"/>
        </w:rPr>
        <w:t>娱乐场所不得设在下列地点：</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(一)居民楼、博物馆、图书馆和被核定为文物保护单位的建筑物内；</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(二)居民住宅区和学校、医院、机关周围；</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(三)车站、机场等人群密集的场所；</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(四)建筑物地下一层以下；</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(五)与危险化学品仓库毗连的区域。</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娱乐场所的边界噪声，应当符合国家规定的环境噪声标准。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第八条　</w:t>
      </w:r>
      <w:r>
        <w:rPr>
          <w:rFonts w:ascii="Times New Roman" w:hAnsi="Times New Roman" w:eastAsia="仿宋_GB2312" w:cs="Times New Roman"/>
          <w:sz w:val="32"/>
          <w:szCs w:val="32"/>
        </w:rPr>
        <w:t>娱乐场所的使用面积，不得低于国务院文化主管部门规定的最低标准；设立含有电子游戏机的游艺娱乐场所，应当符合国务院文化主管部门关于总量和布局的要求。</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第九条　</w:t>
      </w:r>
      <w:r>
        <w:rPr>
          <w:rFonts w:ascii="Times New Roman" w:hAnsi="Times New Roman" w:eastAsia="仿宋_GB2312" w:cs="Times New Roman"/>
          <w:sz w:val="32"/>
          <w:szCs w:val="32"/>
        </w:rPr>
        <w:t>娱乐场所申请从事娱乐场所经营活动，应当向所在地县级人民政府文化主管部门提出申请；</w:t>
      </w:r>
      <w:r>
        <w:rPr>
          <w:rFonts w:hint="eastAsia" w:ascii="Times New Roman" w:hAnsi="Times New Roman" w:eastAsia="仿宋_GB2312" w:cs="Times New Roman"/>
          <w:sz w:val="32"/>
          <w:szCs w:val="32"/>
        </w:rPr>
        <w:t>外商投资</w:t>
      </w:r>
      <w:r>
        <w:rPr>
          <w:rFonts w:ascii="Times New Roman" w:hAnsi="Times New Roman" w:eastAsia="仿宋_GB2312" w:cs="Times New Roman"/>
          <w:sz w:val="32"/>
          <w:szCs w:val="32"/>
        </w:rPr>
        <w:t>的娱乐场所申请从事娱乐场所经营活动，应当向所在地省、自治区、直辖市人民政府文化主管部门提出申请。</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娱乐场所申请从事娱乐场所经营活动，应当提交投资人员、拟任的法定代表人和其他负责人没有本条例第五条规定情形的书面声明。申请人应当对书面声明内容的真实性负责。</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受理申请的文化主管部门应当就书面声明向公安部门或者其他有关单位核查，公安部门或者其他有关单位应当予以配合；经核查属实的，文化主管部门应当依据本条例第七条、第八条的规定进行实地检查，作出决定。予以批准的，颁发娱乐经营许可证，并根据国务院文化主管部门的规定核定娱乐场所容纳的消费者数量；不予批准的，应当书面通知申请人并说明理由。</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有关法律、行政法规规定需要办理消防、卫生、环境保护等审批手续的，从其规定。</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第十条　</w:t>
      </w:r>
      <w:r>
        <w:rPr>
          <w:rFonts w:ascii="Times New Roman" w:hAnsi="Times New Roman" w:eastAsia="仿宋_GB2312" w:cs="Times New Roman"/>
          <w:sz w:val="32"/>
          <w:szCs w:val="32"/>
        </w:rPr>
        <w:t>文化主管部门审批娱乐场所应当举行听证。有关听证的程序，依照《中华人民共和国行政许可法》的规定执行。</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第十一条　</w:t>
      </w:r>
      <w:r>
        <w:rPr>
          <w:rFonts w:ascii="Times New Roman" w:hAnsi="Times New Roman" w:eastAsia="仿宋_GB2312" w:cs="Times New Roman"/>
          <w:sz w:val="32"/>
          <w:szCs w:val="32"/>
        </w:rPr>
        <w:t>娱</w:t>
      </w:r>
      <w:r>
        <w:rPr>
          <w:rFonts w:hint="eastAsia" w:ascii="仿宋_GB2312" w:hAnsi="仿宋_GB2312" w:eastAsia="仿宋_GB2312" w:cs="仿宋_GB2312"/>
          <w:sz w:val="32"/>
          <w:szCs w:val="32"/>
        </w:rPr>
        <w:t>乐场所依法取得营业执照和相关批准文件、许可证后，应当在15日内向所在地县级公</w:t>
      </w:r>
      <w:r>
        <w:rPr>
          <w:rFonts w:ascii="Times New Roman" w:hAnsi="Times New Roman" w:eastAsia="仿宋_GB2312" w:cs="Times New Roman"/>
          <w:sz w:val="32"/>
          <w:szCs w:val="32"/>
        </w:rPr>
        <w:t>安部门备案。</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第十二条　</w:t>
      </w:r>
      <w:r>
        <w:rPr>
          <w:rFonts w:ascii="Times New Roman" w:hAnsi="Times New Roman" w:eastAsia="仿宋_GB2312" w:cs="Times New Roman"/>
          <w:sz w:val="32"/>
          <w:szCs w:val="32"/>
        </w:rPr>
        <w:t>娱乐场所改建、扩建营业场所或者变更场地、主要设施设备、投资人员，或者变更娱乐经营许可证载明的事项的，应当向原发证机关申请重新核发娱乐经营许可证，并向公安部门备案；需要办理变更登记的，应当依法向工商行政管理部门办理变更登记。</w:t>
      </w:r>
    </w:p>
    <w:p>
      <w:pPr>
        <w:pStyle w:val="5"/>
        <w:spacing w:line="560" w:lineRule="exact"/>
      </w:pPr>
      <w:r>
        <w:t>第三章　经营</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第十三条　</w:t>
      </w:r>
      <w:r>
        <w:rPr>
          <w:rFonts w:ascii="Times New Roman" w:hAnsi="Times New Roman" w:eastAsia="仿宋_GB2312" w:cs="Times New Roman"/>
          <w:sz w:val="32"/>
          <w:szCs w:val="32"/>
        </w:rPr>
        <w:t>国家倡导弘扬民族优秀文化，禁止娱乐场所内的娱乐活动含有下列</w:t>
      </w:r>
      <w:r>
        <w:rPr>
          <w:rFonts w:hint="eastAsia" w:ascii="仿宋_GB2312" w:hAnsi="仿宋_GB2312" w:eastAsia="仿宋_GB2312" w:cs="仿宋_GB2312"/>
          <w:sz w:val="32"/>
          <w:szCs w:val="32"/>
        </w:rPr>
        <w:t>内容：</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(一)违反宪法确定的基本原则的；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(二)危害国家统一、主权或者领土完整的；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(三)危害国家安全，或者损害国家荣誉、利益的；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(四)煽动民族仇恨、民族歧视，伤害民族感情或者侵害民族风俗、习惯，破坏民族团结的；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(五)违反国家宗教政策，宣扬邪教、迷信的；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(六)宣扬淫秽、赌博、暴力以及与毒品有关的违法犯罪活动，或者教唆犯罪的；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(七)违背社会公德或者民族优秀文化传统的；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(八)侮辱、诽谤他人，侵害他人合法权益的；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(九)法律、行政法规禁止的其他内容。</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第十四条　</w:t>
      </w:r>
      <w:r>
        <w:rPr>
          <w:rFonts w:ascii="Times New Roman" w:hAnsi="Times New Roman" w:eastAsia="仿宋_GB2312" w:cs="Times New Roman"/>
          <w:sz w:val="32"/>
          <w:szCs w:val="32"/>
        </w:rPr>
        <w:t>娱乐场所及其从业人员不得实施下列行为，不得为</w:t>
      </w:r>
      <w:r>
        <w:rPr>
          <w:rFonts w:hint="eastAsia" w:ascii="仿宋_GB2312" w:hAnsi="仿宋_GB2312" w:eastAsia="仿宋_GB2312" w:cs="仿宋_GB2312"/>
          <w:sz w:val="32"/>
          <w:szCs w:val="32"/>
        </w:rPr>
        <w:t>进入娱乐场所的人员实施下列行为提供条件：</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(一)贩卖、提供毒品，或者组织、强迫、教唆、引诱、欺骗、容留他人吸食、注射毒品；</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(二)组织、强迫、引诱、容留、介绍他人卖淫、嫖娼；</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(三)制作、贩卖、传播淫秽物品；</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(四)提供或者从事以营利为目的的陪侍；</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(五)赌博；</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(六)从事邪教、迷信活动；</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(七)其他违法犯罪行为。</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娱乐场所的从业人员不得吸食、注射毒品，不得卖淫、嫖娼；娱乐场所及其从业人员不得为进入娱乐场所的人员实施上述行为提供条件。</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第十五条　</w:t>
      </w:r>
      <w:r>
        <w:rPr>
          <w:rFonts w:ascii="Times New Roman" w:hAnsi="Times New Roman" w:eastAsia="仿宋_GB2312" w:cs="Times New Roman"/>
          <w:sz w:val="32"/>
          <w:szCs w:val="32"/>
        </w:rPr>
        <w:t>歌舞娱乐场所应当按照国务院公安部门的规定在营业场所的出入口、主要通道</w:t>
      </w:r>
      <w:r>
        <w:rPr>
          <w:rFonts w:hint="eastAsia" w:ascii="仿宋_GB2312" w:hAnsi="仿宋_GB2312" w:eastAsia="仿宋_GB2312" w:cs="仿宋_GB2312"/>
          <w:sz w:val="32"/>
          <w:szCs w:val="32"/>
        </w:rPr>
        <w:t>安装闭路电视监控设备，并应当保证闭路电视监控设备在营业期间正常运行，不得中断。</w:t>
      </w:r>
    </w:p>
    <w:p>
      <w:pPr>
        <w:pStyle w:val="11"/>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歌舞娱乐场所应当将闭路电视监控录像资料留存30日备</w:t>
      </w:r>
      <w:r>
        <w:rPr>
          <w:rFonts w:ascii="Times New Roman" w:hAnsi="Times New Roman" w:eastAsia="仿宋_GB2312" w:cs="Times New Roman"/>
          <w:sz w:val="32"/>
          <w:szCs w:val="32"/>
        </w:rPr>
        <w:t>查，不得删改或者挪作他用。</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第十六条　</w:t>
      </w:r>
      <w:r>
        <w:rPr>
          <w:rFonts w:ascii="Times New Roman" w:hAnsi="Times New Roman" w:eastAsia="仿宋_GB2312" w:cs="Times New Roman"/>
          <w:sz w:val="32"/>
          <w:szCs w:val="32"/>
        </w:rPr>
        <w:t>歌舞娱乐场所的包厢、包间内不得设置隔断，并应当安装展现室内整体环境的透明门窗。包厢、包间的门不得有内锁装置。</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第十七条　</w:t>
      </w:r>
      <w:r>
        <w:rPr>
          <w:rFonts w:ascii="Times New Roman" w:hAnsi="Times New Roman" w:eastAsia="仿宋_GB2312" w:cs="Times New Roman"/>
          <w:sz w:val="32"/>
          <w:szCs w:val="32"/>
        </w:rPr>
        <w:t>营业期间，歌舞娱乐场所内亮度不得低于国家规定的标准。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第十八条　</w:t>
      </w:r>
      <w:r>
        <w:rPr>
          <w:rFonts w:ascii="Times New Roman" w:hAnsi="Times New Roman" w:eastAsia="仿宋_GB2312" w:cs="Times New Roman"/>
          <w:sz w:val="32"/>
          <w:szCs w:val="32"/>
        </w:rPr>
        <w:t>娱乐场所使用的音像制品或者电子游戏应当是依法出版、生产或者进口的产品。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歌舞娱乐场所播放的曲目和屏幕画面以及游艺娱乐场所的电子游戏机内的游戏项目，不得含有本条例第十三条禁止的内容；歌舞娱乐场所使用的歌曲点播系统不得与境外的曲库联接。</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第十九条　</w:t>
      </w:r>
      <w:r>
        <w:rPr>
          <w:rFonts w:ascii="Times New Roman" w:hAnsi="Times New Roman" w:eastAsia="仿宋_GB2312" w:cs="Times New Roman"/>
          <w:sz w:val="32"/>
          <w:szCs w:val="32"/>
        </w:rPr>
        <w:t>游艺娱乐场所不得设置具有赌博功能的电子游戏机机型、机种、电路板等游戏设施设备，不得以现金或者有价证券作为奖品，不得回购奖品。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第二十条　</w:t>
      </w:r>
      <w:r>
        <w:rPr>
          <w:rFonts w:ascii="Times New Roman" w:hAnsi="Times New Roman" w:eastAsia="仿宋_GB2312" w:cs="Times New Roman"/>
          <w:sz w:val="32"/>
          <w:szCs w:val="32"/>
        </w:rPr>
        <w:t>娱乐场所的法定代表人或者主要负责人应当对娱乐场所的消防安全和其他安全负责。</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娱乐场所应当确保其建筑、设施符合国家安全标准和消防技术规范，定期检查消防设施状况，并及时维护、更新。</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娱乐场所应当制定安全工作方案和应急疏散预案。</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第二十一条　</w:t>
      </w:r>
      <w:r>
        <w:rPr>
          <w:rFonts w:ascii="Times New Roman" w:hAnsi="Times New Roman" w:eastAsia="仿宋_GB2312" w:cs="Times New Roman"/>
          <w:sz w:val="32"/>
          <w:szCs w:val="32"/>
        </w:rPr>
        <w:t>营业期间，娱乐场所应当保证疏散通道和安全出口畅通，不得封堵、锁闭疏散通道和安全出口，不得在疏散通道和安全出口设置栅栏等影响疏散的障碍物。</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娱乐场所应当在疏散通道和安全出口设置明显指示标志，不得遮挡、覆盖指示标志。</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第二十二条　</w:t>
      </w:r>
      <w:r>
        <w:rPr>
          <w:rFonts w:ascii="Times New Roman" w:hAnsi="Times New Roman" w:eastAsia="仿宋_GB2312" w:cs="Times New Roman"/>
          <w:sz w:val="32"/>
          <w:szCs w:val="32"/>
        </w:rPr>
        <w:t>任何人不得非法携带枪支、弹药、管制器具或者携带爆炸性、易燃性、毒害性、放射性、腐蚀性等危险物品和传染病病原体进入娱乐场所。</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迪斯科舞厅应当配备安全检查设备，对进入营业场所的人员进行安全检查。</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第二十三条　</w:t>
      </w:r>
      <w:r>
        <w:rPr>
          <w:rFonts w:ascii="Times New Roman" w:hAnsi="Times New Roman" w:eastAsia="仿宋_GB2312" w:cs="Times New Roman"/>
          <w:sz w:val="32"/>
          <w:szCs w:val="32"/>
        </w:rPr>
        <w:t>歌舞娱乐场所不得接纳未成年人。除国家法定节假日外，游艺娱乐场所设置的电子游戏机不得向未成年人提供。</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第二十四条　</w:t>
      </w:r>
      <w:r>
        <w:rPr>
          <w:rFonts w:ascii="Times New Roman" w:hAnsi="Times New Roman" w:eastAsia="仿宋_GB2312" w:cs="Times New Roman"/>
          <w:sz w:val="32"/>
          <w:szCs w:val="32"/>
        </w:rPr>
        <w:t>娱乐场所不得招用未成年人；招用外国人的，应当按照国家有关规定为其办理外国人就业许可证。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第二十五条　</w:t>
      </w:r>
      <w:r>
        <w:rPr>
          <w:rFonts w:ascii="Times New Roman" w:hAnsi="Times New Roman" w:eastAsia="仿宋_GB2312" w:cs="Times New Roman"/>
          <w:sz w:val="32"/>
          <w:szCs w:val="32"/>
        </w:rPr>
        <w:t>娱乐场所应当与从业人员签订文明服务责任书，并建立从业人员名簿；从业人员名簿应当包括从业人员的真实姓名、居民身份证复印件、外国人就业许可证复印件等内容。</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仿宋_GB2312" w:cs="Times New Roman"/>
          <w:sz w:val="32"/>
          <w:szCs w:val="32"/>
        </w:rPr>
        <w:t>娱乐场所应当建</w:t>
      </w:r>
      <w:r>
        <w:rPr>
          <w:rFonts w:hint="eastAsia" w:ascii="仿宋_GB2312" w:hAnsi="仿宋_GB2312" w:eastAsia="仿宋_GB2312" w:cs="仿宋_GB2312"/>
          <w:sz w:val="32"/>
          <w:szCs w:val="32"/>
        </w:rPr>
        <w:t>立营业日志，记载营业期间从业人员的工作职责、工作时间、工作地点；营业日志不得删改，并应当留存60日备查。</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第二十六条　</w:t>
      </w:r>
      <w:r>
        <w:rPr>
          <w:rFonts w:ascii="Times New Roman" w:hAnsi="Times New Roman" w:eastAsia="仿宋_GB2312" w:cs="Times New Roman"/>
          <w:sz w:val="32"/>
          <w:szCs w:val="32"/>
        </w:rPr>
        <w:t>娱乐场所应当与保安服务企业签订保安服务合同，配备专业保安人员；不得聘用其他人员从事保安工作。</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第二十七条　</w:t>
      </w:r>
      <w:r>
        <w:rPr>
          <w:rFonts w:ascii="Times New Roman" w:hAnsi="Times New Roman" w:eastAsia="仿宋_GB2312" w:cs="Times New Roman"/>
          <w:sz w:val="32"/>
          <w:szCs w:val="32"/>
        </w:rPr>
        <w:t>营业期间，娱乐场所的从业人员应当统一着工作服，佩带工作标志并携带居民身份证或者外国人就业许可证。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从业人员应当遵守职业道德和卫生规范，诚实守信，礼貌待人，不得侵害消费者的人身和财产权利。</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第二十八条　</w:t>
      </w:r>
      <w:r>
        <w:rPr>
          <w:rFonts w:ascii="Times New Roman" w:hAnsi="Times New Roman" w:eastAsia="仿宋_GB2312" w:cs="Times New Roman"/>
          <w:sz w:val="32"/>
          <w:szCs w:val="32"/>
        </w:rPr>
        <w:t>每日</w:t>
      </w:r>
      <w:r>
        <w:rPr>
          <w:rFonts w:hint="eastAsia" w:ascii="仿宋_GB2312" w:hAnsi="仿宋_GB2312" w:eastAsia="仿宋_GB2312" w:cs="仿宋_GB2312"/>
          <w:sz w:val="32"/>
          <w:szCs w:val="32"/>
        </w:rPr>
        <w:t>凌晨2时至上午8时，娱乐场所</w:t>
      </w:r>
      <w:r>
        <w:rPr>
          <w:rFonts w:ascii="Times New Roman" w:hAnsi="Times New Roman" w:eastAsia="仿宋_GB2312" w:cs="Times New Roman"/>
          <w:sz w:val="32"/>
          <w:szCs w:val="32"/>
        </w:rPr>
        <w:t>不得营业。</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第二十九条　</w:t>
      </w:r>
      <w:r>
        <w:rPr>
          <w:rFonts w:ascii="Times New Roman" w:hAnsi="Times New Roman" w:eastAsia="仿宋_GB2312" w:cs="Times New Roman"/>
          <w:sz w:val="32"/>
          <w:szCs w:val="32"/>
        </w:rPr>
        <w:t>娱乐场所提供娱乐服务项目和出售商品，应当明码标价，并向消费者出示价目表；不得强迫、欺骗消费者接受服务、购买商品。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第三十条　</w:t>
      </w:r>
      <w:r>
        <w:rPr>
          <w:rFonts w:ascii="Times New Roman" w:hAnsi="Times New Roman" w:eastAsia="仿宋_GB2312" w:cs="Times New Roman"/>
          <w:sz w:val="32"/>
          <w:szCs w:val="32"/>
        </w:rPr>
        <w:t>娱乐场所应当在营业场所的大厅、包厢、包间内的显著位置悬挂含有禁毒、禁赌、禁止卖淫嫖娼等内容的警示标志、未成年人禁入或者限入标志。标志应当注明公安部门、文化主管部门的举报电话。</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第三十一条　</w:t>
      </w:r>
      <w:r>
        <w:rPr>
          <w:rFonts w:ascii="Times New Roman" w:hAnsi="Times New Roman" w:eastAsia="仿宋_GB2312" w:cs="Times New Roman"/>
          <w:sz w:val="32"/>
          <w:szCs w:val="32"/>
        </w:rPr>
        <w:t>娱乐场所应当建立巡查制度，发现娱乐场所内有违法犯罪活动的，应当立即向所在地县级公安部门、县级人民政府文化主管部门报告。</w:t>
      </w:r>
    </w:p>
    <w:p>
      <w:pPr>
        <w:pStyle w:val="5"/>
        <w:spacing w:line="560" w:lineRule="exact"/>
      </w:pPr>
      <w:r>
        <w:t>第四章　监督管理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第三十二条　</w:t>
      </w:r>
      <w:r>
        <w:rPr>
          <w:rFonts w:ascii="Times New Roman" w:hAnsi="Times New Roman" w:eastAsia="仿宋_GB2312" w:cs="Times New Roman"/>
          <w:sz w:val="32"/>
          <w:szCs w:val="32"/>
        </w:rPr>
        <w:t>文化主管部门、公安部门和其他有关部门的工作人员依法履行监督检查职责时，有权进入娱乐场所。娱乐场所应当予以配合，不得拒绝、阻挠。</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文化主管部门、公安部门和其他有关部门的工作人员依法履行监督检查职责时，需要查阅闭路电视监控录像资料、从业人员名簿、营业日志等资料的，娱乐场所应当及时提供。</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第三十三条　</w:t>
      </w:r>
      <w:r>
        <w:rPr>
          <w:rFonts w:ascii="Times New Roman" w:hAnsi="Times New Roman" w:eastAsia="仿宋_GB2312" w:cs="Times New Roman"/>
          <w:sz w:val="32"/>
          <w:szCs w:val="32"/>
        </w:rPr>
        <w:t>文化主管部门、公安部门和其他有关部门应当记录监督检查的情况和处理结果。监督检查记录由监督检查人员签字归档。公众有权查阅监督检查记录。</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第三十四条　</w:t>
      </w:r>
      <w:r>
        <w:rPr>
          <w:rFonts w:ascii="Times New Roman" w:hAnsi="Times New Roman" w:eastAsia="仿宋_GB2312" w:cs="Times New Roman"/>
          <w:sz w:val="32"/>
          <w:szCs w:val="32"/>
        </w:rPr>
        <w:t>文化主管部门、公安部门和其他有关部门应当建立娱乐场所违法行为警示记录系统；对列入警示记录的娱乐场所，应当及时向社会公布，并加大监督检查力度。</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第三十五条　</w:t>
      </w:r>
      <w:r>
        <w:rPr>
          <w:rFonts w:ascii="Times New Roman" w:hAnsi="Times New Roman" w:eastAsia="仿宋_GB2312" w:cs="Times New Roman"/>
          <w:sz w:val="32"/>
          <w:szCs w:val="32"/>
        </w:rPr>
        <w:t>文化主管部门应当建立娱乐场所的经营活动信用监管制度，建立健全信用约束机制，并及时公布行政处罚信息。</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第三十六条　</w:t>
      </w:r>
      <w:r>
        <w:rPr>
          <w:rFonts w:ascii="Times New Roman" w:hAnsi="Times New Roman" w:eastAsia="仿宋_GB2312" w:cs="Times New Roman"/>
          <w:sz w:val="32"/>
          <w:szCs w:val="32"/>
        </w:rPr>
        <w:t>文化主管部门、公安部门和其他有关部门应当建立相互间的信息通报制度，及时通报监督检查情况和处理结果。</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第三十七条　</w:t>
      </w:r>
      <w:r>
        <w:rPr>
          <w:rFonts w:ascii="Times New Roman" w:hAnsi="Times New Roman" w:eastAsia="仿宋_GB2312" w:cs="Times New Roman"/>
          <w:sz w:val="32"/>
          <w:szCs w:val="32"/>
        </w:rPr>
        <w:t>任何单位或者个人发现娱乐场所内有违反本条例行为的，有权向文化主管部门、公安部门等有关部门举报。</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文化主管部门、公安部门等有关部门接到举报，应当记录，并及时依法调查、处理；对不属于本部门职责范围的，应当及时移送有关部门。</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第三十八条　</w:t>
      </w:r>
      <w:r>
        <w:rPr>
          <w:rFonts w:ascii="Times New Roman" w:hAnsi="Times New Roman" w:eastAsia="仿宋_GB2312" w:cs="Times New Roman"/>
          <w:sz w:val="32"/>
          <w:szCs w:val="32"/>
        </w:rPr>
        <w:t>上级人民政府文化主管部门、公安部门在必要时，可以依照本条例的规定调查、处理由下级人民政府文化主管部门、公安部门调查、处理的案件。</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下级人民政府文化主管部门、公安部门认为案件重大、复杂的，可以请求移送上级人民政府文化主管部门、公安部门调查、处理。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第三十九条　</w:t>
      </w:r>
      <w:r>
        <w:rPr>
          <w:rFonts w:ascii="Times New Roman" w:hAnsi="Times New Roman" w:eastAsia="仿宋_GB2312" w:cs="Times New Roman"/>
          <w:sz w:val="32"/>
          <w:szCs w:val="32"/>
        </w:rPr>
        <w:t>文化主管部门、公安部门和其他有关部门及其工作人员违反本条例规定的，任何单位或者个人可以向依法有权处理的本级或者上一级机关举报。接到举报的机关应当依法及时调查、处理。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第四十条　</w:t>
      </w:r>
      <w:r>
        <w:rPr>
          <w:rFonts w:ascii="Times New Roman" w:hAnsi="Times New Roman" w:eastAsia="仿宋_GB2312" w:cs="Times New Roman"/>
          <w:sz w:val="32"/>
          <w:szCs w:val="32"/>
        </w:rPr>
        <w:t>娱乐场所行业协会应当依照章程的规定，制定行业自律规范，加强对会员经营活动的指导、监督。</w:t>
      </w:r>
    </w:p>
    <w:p>
      <w:pPr>
        <w:pStyle w:val="5"/>
        <w:spacing w:line="560" w:lineRule="exact"/>
      </w:pPr>
      <w:r>
        <w:t>第五章　法律责任</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第四十一条　</w:t>
      </w:r>
      <w:r>
        <w:rPr>
          <w:rFonts w:ascii="Times New Roman" w:hAnsi="Times New Roman" w:eastAsia="仿宋_GB2312" w:cs="Times New Roman"/>
          <w:sz w:val="32"/>
          <w:szCs w:val="32"/>
        </w:rPr>
        <w:t>违反本条例规定，擅自从事娱乐场所经营活动的，由文化主管部门依法予以取缔；公安部门在查处治安、刑事案件时，发现擅自从事娱乐场所经营活动的，应当依法予以取缔。</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第四十二条　</w:t>
      </w:r>
      <w:r>
        <w:rPr>
          <w:rFonts w:ascii="Times New Roman" w:hAnsi="Times New Roman" w:eastAsia="仿宋_GB2312" w:cs="Times New Roman"/>
          <w:sz w:val="32"/>
          <w:szCs w:val="32"/>
        </w:rPr>
        <w:t>违反本条例规定，以欺骗等不正当手段取得娱乐经营许可证的，由原发证机关撤销娱乐经营许可证。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第四十三条　</w:t>
      </w:r>
      <w:r>
        <w:rPr>
          <w:rFonts w:ascii="Times New Roman" w:hAnsi="Times New Roman" w:eastAsia="仿宋_GB2312" w:cs="Times New Roman"/>
          <w:sz w:val="32"/>
          <w:szCs w:val="32"/>
        </w:rPr>
        <w:t>娱乐场所实施本</w:t>
      </w:r>
      <w:r>
        <w:rPr>
          <w:rFonts w:hint="eastAsia" w:ascii="仿宋_GB2312" w:hAnsi="仿宋_GB2312" w:eastAsia="仿宋_GB2312" w:cs="仿宋_GB2312"/>
          <w:sz w:val="32"/>
          <w:szCs w:val="32"/>
        </w:rPr>
        <w:t>条例第十四条禁止行为的，由县级公安部门没收违法所得和非法财物，责令停业整顿3个月至6个月；情节严重的，由原发证机关吊销娱乐经营许可证，对直接负责的主管人员和其他直接责任人员处1万元以上2万元以</w:t>
      </w:r>
      <w:r>
        <w:rPr>
          <w:rFonts w:ascii="Times New Roman" w:hAnsi="Times New Roman" w:eastAsia="仿宋_GB2312" w:cs="Times New Roman"/>
          <w:sz w:val="32"/>
          <w:szCs w:val="32"/>
        </w:rPr>
        <w:t>下的罚款。</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第四十四条　</w:t>
      </w:r>
      <w:r>
        <w:rPr>
          <w:rFonts w:ascii="Times New Roman" w:hAnsi="Times New Roman" w:eastAsia="仿宋_GB2312" w:cs="Times New Roman"/>
          <w:sz w:val="32"/>
          <w:szCs w:val="32"/>
        </w:rPr>
        <w:t>娱乐场所违</w:t>
      </w:r>
      <w:r>
        <w:rPr>
          <w:rFonts w:hint="eastAsia" w:ascii="仿宋_GB2312" w:hAnsi="仿宋_GB2312" w:eastAsia="仿宋_GB2312" w:cs="仿宋_GB2312"/>
          <w:sz w:val="32"/>
          <w:szCs w:val="32"/>
        </w:rPr>
        <w:t>反本条例规定，有下列情形之一的，由县级公安部门责令改正，给予警告；情节严重的，责令停业整顿1个月至3个月：</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(一)照明设施、包厢、包间的设置以及门窗的使用不符合本条例规定的；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(二)未按照本条例规定安装闭路电视监控设备或者中断使用的；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(三)未按照本条例规定留存监控录像资料或者删改监控录像资料的；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(四)未按照本条例规定配备安全检查设备或者未对进入营业场所的人员进行安全检查的；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(五)未按照本条例规定配备保安人员的。</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第四十五条　</w:t>
      </w:r>
      <w:r>
        <w:rPr>
          <w:rFonts w:ascii="Times New Roman" w:hAnsi="Times New Roman" w:eastAsia="仿宋_GB2312" w:cs="Times New Roman"/>
          <w:sz w:val="32"/>
          <w:szCs w:val="32"/>
        </w:rPr>
        <w:t>娱乐场所违反</w:t>
      </w:r>
      <w:r>
        <w:rPr>
          <w:rFonts w:hint="eastAsia" w:ascii="仿宋_GB2312" w:hAnsi="仿宋_GB2312" w:eastAsia="仿宋_GB2312" w:cs="仿宋_GB2312"/>
          <w:sz w:val="32"/>
          <w:szCs w:val="32"/>
        </w:rPr>
        <w:t>本条例规定，有下列情形之一的，由县级公安部门没收违法所得和非法财物，并处违法所得2倍以上5倍以下的罚款；没有违法所得或者违法所得不足1万元的，并处2万元以上5万元以下的罚款；情节严重的，责令停业整顿1个月至3个月：</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(一)设置具有赌博功能的电子游戏机机型、机种、电路板等游戏设施设备的；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(二)以现金、有价证券作为奖品，或者回购奖品的。</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第四十六条　</w:t>
      </w:r>
      <w:r>
        <w:rPr>
          <w:rFonts w:ascii="Times New Roman" w:hAnsi="Times New Roman" w:eastAsia="仿宋_GB2312" w:cs="Times New Roman"/>
          <w:sz w:val="32"/>
          <w:szCs w:val="32"/>
        </w:rPr>
        <w:t>娱乐场所</w:t>
      </w:r>
      <w:r>
        <w:rPr>
          <w:rFonts w:hint="eastAsia" w:ascii="仿宋_GB2312" w:hAnsi="仿宋_GB2312" w:eastAsia="仿宋_GB2312" w:cs="仿宋_GB2312"/>
          <w:sz w:val="32"/>
          <w:szCs w:val="32"/>
        </w:rPr>
        <w:t>指使、纵容从业人员侵害消费者人身权利的，应当依法承担民事责任，并由县级公安部门责令停业整顿1个月至3个月；造成严重后果的，由原发证机关吊销娱乐经营许可证。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第四十七条　</w:t>
      </w:r>
      <w:r>
        <w:rPr>
          <w:rFonts w:ascii="Times New Roman" w:hAnsi="Times New Roman" w:eastAsia="仿宋_GB2312" w:cs="Times New Roman"/>
          <w:sz w:val="32"/>
          <w:szCs w:val="32"/>
        </w:rPr>
        <w:t>娱乐场所取得营业执照后，未按照本条例规定向公安部门备案的，由县级公安部门责令改正，给予警告。</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第四十八条　</w:t>
      </w:r>
      <w:r>
        <w:rPr>
          <w:rFonts w:ascii="Times New Roman" w:hAnsi="Times New Roman" w:eastAsia="仿宋_GB2312" w:cs="Times New Roman"/>
          <w:sz w:val="32"/>
          <w:szCs w:val="32"/>
        </w:rPr>
        <w:t>违反本条例规定，有</w:t>
      </w:r>
      <w:r>
        <w:rPr>
          <w:rFonts w:hint="eastAsia" w:ascii="仿宋_GB2312" w:hAnsi="仿宋_GB2312" w:eastAsia="仿宋_GB2312" w:cs="仿宋_GB2312"/>
          <w:sz w:val="32"/>
          <w:szCs w:val="32"/>
        </w:rPr>
        <w:t>下列情形之一的，由县级人民政府文化主管部门没收违法所得和非法财物，并处违法所得1倍以上3倍以下的罚款；没有违法所得或者违法所得不足1万元的，并处1万元以上3万元以下的罚款；情节严重的，责令停业整顿1个月至6个月：</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(一)歌舞娱乐场所的歌曲点播系统与境外的曲库联接的；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(二)歌舞娱乐场所播放的曲目、屏幕画面或者游艺娱乐场所电子游戏机内的游戏项目含有本条例第十三条禁止内容的；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(三)歌舞娱乐场所接纳未成年人的；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(四)游艺娱乐场所设置的电子游戏机在国家法定节假日外向未成年人提供的；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(五)娱乐场所容纳的消费者超过核定人数的。</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第四十九条　</w:t>
      </w:r>
      <w:r>
        <w:rPr>
          <w:rFonts w:ascii="Times New Roman" w:hAnsi="Times New Roman" w:eastAsia="仿宋_GB2312" w:cs="Times New Roman"/>
          <w:sz w:val="32"/>
          <w:szCs w:val="32"/>
        </w:rPr>
        <w:t>娱</w:t>
      </w:r>
      <w:r>
        <w:rPr>
          <w:rFonts w:hint="eastAsia" w:ascii="仿宋_GB2312" w:hAnsi="仿宋_GB2312" w:eastAsia="仿宋_GB2312" w:cs="仿宋_GB2312"/>
          <w:sz w:val="32"/>
          <w:szCs w:val="32"/>
        </w:rPr>
        <w:t>乐场所违反本条例规定，有下列情形之一的，由县级人民政府文化主管部门责令改正，给予警告；情节严重的，责令停业整顿1个月至3个月：</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(一)变更有关事项，未按照本条例规定申请重新核发娱乐经营许可证的；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(二)在本条例规定的禁止营业时间内营业的；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(三)从业人员在营业期间未统一着装并佩带工作标志的。</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第五十条　</w:t>
      </w:r>
      <w:r>
        <w:rPr>
          <w:rFonts w:ascii="Times New Roman" w:hAnsi="Times New Roman" w:eastAsia="仿宋_GB2312" w:cs="Times New Roman"/>
          <w:sz w:val="32"/>
          <w:szCs w:val="32"/>
        </w:rPr>
        <w:t>娱乐场所未按照本条例规定建立从业人员名簿、营业日志，或者发现违法犯罪行为未按照本条例规定报告的，由县级人民政府文化主管部门、县</w:t>
      </w:r>
      <w:r>
        <w:rPr>
          <w:rFonts w:hint="eastAsia" w:ascii="仿宋_GB2312" w:hAnsi="仿宋_GB2312" w:eastAsia="仿宋_GB2312" w:cs="仿宋_GB2312"/>
          <w:sz w:val="32"/>
          <w:szCs w:val="32"/>
        </w:rPr>
        <w:t>级公安部门依据法定职权责令改正，给予警告；情节严重的，责令停业整顿1个月至3个月。</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第五十一条　</w:t>
      </w:r>
      <w:r>
        <w:rPr>
          <w:rFonts w:ascii="Times New Roman" w:hAnsi="Times New Roman" w:eastAsia="仿宋_GB2312" w:cs="Times New Roman"/>
          <w:sz w:val="32"/>
          <w:szCs w:val="32"/>
        </w:rPr>
        <w:t>娱乐场所未按照本条例规定悬挂警示标志、未成年人禁入或者限入标志的，由县级人民政府文化主管部门、县级公安部门依据法定职权责令改正，给予警告。</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第五十二条　</w:t>
      </w:r>
      <w:r>
        <w:rPr>
          <w:rFonts w:ascii="Times New Roman" w:hAnsi="Times New Roman" w:eastAsia="仿宋_GB2312" w:cs="Times New Roman"/>
          <w:sz w:val="32"/>
          <w:szCs w:val="32"/>
        </w:rPr>
        <w:t>娱乐场所招用未</w:t>
      </w:r>
      <w:r>
        <w:rPr>
          <w:rFonts w:hint="eastAsia" w:ascii="仿宋_GB2312" w:hAnsi="仿宋_GB2312" w:eastAsia="仿宋_GB2312" w:cs="仿宋_GB2312"/>
          <w:sz w:val="32"/>
          <w:szCs w:val="32"/>
        </w:rPr>
        <w:t>成年人的，由劳动保障行政部门责令改正，并按照每招用一名未成年人每月处5000元罚款</w:t>
      </w:r>
      <w:r>
        <w:rPr>
          <w:rFonts w:ascii="Times New Roman" w:hAnsi="Times New Roman" w:eastAsia="仿宋_GB2312" w:cs="Times New Roman"/>
          <w:sz w:val="32"/>
          <w:szCs w:val="32"/>
        </w:rPr>
        <w:t>的标准给予处罚。</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第五十三条　</w:t>
      </w:r>
      <w:r>
        <w:rPr>
          <w:rFonts w:ascii="Times New Roman" w:hAnsi="Times New Roman" w:eastAsia="仿宋_GB2312" w:cs="Times New Roman"/>
          <w:sz w:val="32"/>
          <w:szCs w:val="32"/>
        </w:rPr>
        <w:t>因擅自从事娱乐场所经营活动被依法取缔的，其投资人员和负责人终身不得投资开办娱乐场所或者担任娱乐场所的法定代表人、负责人。</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仿宋_GB2312" w:cs="Times New Roman"/>
          <w:sz w:val="32"/>
          <w:szCs w:val="32"/>
        </w:rPr>
        <w:t>娱乐场所因违反本条例规定，被吊销或者撤销娱乐经营许可证的，自被吊销或者撤销之日起</w:t>
      </w:r>
      <w:r>
        <w:rPr>
          <w:rFonts w:hint="eastAsia" w:ascii="仿宋_GB2312" w:hAnsi="仿宋_GB2312" w:eastAsia="仿宋_GB2312" w:cs="仿宋_GB2312"/>
          <w:sz w:val="32"/>
          <w:szCs w:val="32"/>
        </w:rPr>
        <w:t>，其法定代表人、负责人5年内不得担任娱乐场所的法定代表人、负责人。</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娱乐场所因违反本条例规定，2年内被处以3次警告或者罚款又有违反本条例的行为应受行政处罚的，由县级人民政府文化主管部门、县级公安部门依据法定职权责令停业整顿3个月至6个月；2年内被2次责令停业整顿又有违反本条例的行为应受行政处罚的，由原发证机关吊销娱乐经营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第五十四条　</w:t>
      </w:r>
      <w:r>
        <w:rPr>
          <w:rFonts w:ascii="Times New Roman" w:hAnsi="Times New Roman" w:eastAsia="仿宋_GB2312" w:cs="Times New Roman"/>
          <w:sz w:val="32"/>
          <w:szCs w:val="32"/>
        </w:rPr>
        <w:t>娱乐场所违反有关治安管理或者消防管理法律、行政法规规定的，由公安部门依法予以处罚；构成犯罪的，依法追究刑事责任。</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娱乐场所违反有关卫生、环境保护、价格、劳动等法律、行政法规规定的，由有关部门依法予以处罚；构成犯罪的，依法追究刑事责任。</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娱乐场所及其从业人员与消费者发生争议的，应当依照消费者权益保护的法律规定解决；造成消费者人身、财产损害的，由娱乐场所依法予以赔偿。</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第五十五条　</w:t>
      </w:r>
      <w:r>
        <w:rPr>
          <w:rFonts w:ascii="Times New Roman" w:hAnsi="Times New Roman" w:eastAsia="仿宋_GB2312" w:cs="Times New Roman"/>
          <w:sz w:val="32"/>
          <w:szCs w:val="32"/>
        </w:rPr>
        <w:t>国家机关及其工作人员开办娱乐场所，参与或者变相参与娱乐场所经营活动的，对直接负责的主管人员和其他直接责任人员依法给予撤职或者开除的行政处分。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文化主管部门、公安部门的工作人员明知其亲属开办娱乐场所或者发现其亲属参与、变相参与娱乐场所的经营活动，不予制止或者制止不力的，依法给予行政处分；情节严重的，依法给予撤职或者开除的行政处分。</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第五十六条　</w:t>
      </w:r>
      <w:r>
        <w:rPr>
          <w:rFonts w:ascii="Times New Roman" w:hAnsi="Times New Roman" w:eastAsia="仿宋_GB2312" w:cs="Times New Roman"/>
          <w:sz w:val="32"/>
          <w:szCs w:val="32"/>
        </w:rPr>
        <w:t>文化主管部门、公安部门、工商行政管理部门和其他有关部门的工作人员有下列行为之一的，对直接负责的主管人员和其他直接责任人员</w:t>
      </w:r>
      <w:r>
        <w:rPr>
          <w:rFonts w:hint="eastAsia" w:ascii="仿宋_GB2312" w:hAnsi="仿宋_GB2312" w:eastAsia="仿宋_GB2312" w:cs="仿宋_GB2312"/>
          <w:sz w:val="32"/>
          <w:szCs w:val="32"/>
        </w:rPr>
        <w:t>依法给予行政处分；构成犯罪的，依法追究刑事责任：</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(一)向不符合法定设立条件的单位颁发许可证、批准文件、营业执照的；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(二)不履行监督管理职责，或者发现擅自从事娱乐场所经营活动不依法取缔，或者发现违法行为不依法查处的；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(三)接到对违法行为的举报、通报后不依法查处的；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(四)利用职务之便，索取、收受他人财物或者谋取其他利益的；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(五)利用职务之便，参与、包庇违法行为，或者向有关单位、个人通风报信的；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(六)有其他滥用职权、玩忽职守、徇私舞弊行为的。</w:t>
      </w:r>
    </w:p>
    <w:p>
      <w:pPr>
        <w:pStyle w:val="5"/>
        <w:spacing w:line="560" w:lineRule="exact"/>
      </w:pPr>
      <w:r>
        <w:t>第六章　附则</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第五十七条　</w:t>
      </w:r>
      <w:r>
        <w:rPr>
          <w:rFonts w:ascii="Times New Roman" w:hAnsi="Times New Roman" w:eastAsia="仿宋_GB2312" w:cs="Times New Roman"/>
          <w:sz w:val="32"/>
          <w:szCs w:val="32"/>
        </w:rPr>
        <w:t>本条例所称从业人员，包括娱乐场所的管理人员、服务人员、保安人员和在娱乐场所工作的其他人员。</w:t>
      </w:r>
    </w:p>
    <w:p>
      <w:pPr>
        <w:pStyle w:val="11"/>
        <w:spacing w:line="560" w:lineRule="exact"/>
        <w:ind w:firstLine="640" w:firstLineChars="200"/>
        <w:rPr>
          <w:rFonts w:hint="eastAsia" w:ascii="仿宋_GB2312" w:hAnsi="仿宋_GB2312" w:eastAsia="仿宋_GB2312" w:cs="仿宋_GB2312"/>
          <w:sz w:val="32"/>
          <w:szCs w:val="32"/>
          <w:lang w:eastAsia="zh-CN"/>
        </w:rPr>
      </w:pPr>
      <w:r>
        <w:rPr>
          <w:rFonts w:ascii="Times New Roman" w:hAnsi="Times New Roman" w:eastAsia="黑体" w:cs="Times New Roman"/>
          <w:sz w:val="32"/>
          <w:szCs w:val="32"/>
        </w:rPr>
        <w:t>第五十八条　</w:t>
      </w:r>
      <w:r>
        <w:rPr>
          <w:rFonts w:ascii="Times New Roman" w:hAnsi="Times New Roman" w:eastAsia="仿宋_GB2312" w:cs="Times New Roman"/>
          <w:sz w:val="32"/>
          <w:szCs w:val="32"/>
        </w:rPr>
        <w:t>本条例</w:t>
      </w:r>
      <w:r>
        <w:rPr>
          <w:rFonts w:hint="eastAsia" w:ascii="仿宋_GB2312" w:hAnsi="仿宋_GB2312" w:eastAsia="仿宋_GB2312" w:cs="仿宋_GB2312"/>
          <w:sz w:val="32"/>
          <w:szCs w:val="32"/>
        </w:rPr>
        <w:t>自2006年3月1日起施行。1999年3月26日国务院发布的《娱乐场所管理条例》同时废止。</w:t>
      </w:r>
    </w:p>
    <w:p>
      <w:pPr>
        <w:pStyle w:val="4"/>
        <w:ind w:firstLine="640"/>
        <w:rPr>
          <w:rFonts w:hint="eastAsia"/>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方正小标宋简体" w:cs="方正小标宋简体"/>
          <w:color w:val="000000"/>
          <w:sz w:val="32"/>
          <w:szCs w:val="32"/>
        </w:rPr>
      </w:pPr>
      <w:r>
        <w:rPr>
          <w:rFonts w:hint="eastAsia" w:ascii="宋体" w:hAnsi="宋体" w:eastAsia="方正小标宋简体" w:cs="方正小标宋简体"/>
          <w:color w:val="000000"/>
          <w:sz w:val="32"/>
          <w:szCs w:val="32"/>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61" w:name="_Toc14077"/>
      <w:r>
        <w:rPr>
          <w:rFonts w:hint="eastAsia" w:ascii="宋体" w:hAnsi="宋体" w:eastAsia="宋体" w:cs="Arial"/>
          <w:bCs/>
          <w:sz w:val="44"/>
          <w:szCs w:val="44"/>
        </w:rPr>
        <w:t>最高人民法院</w:t>
      </w:r>
      <w:r>
        <w:rPr>
          <w:rFonts w:hint="eastAsia" w:ascii="宋体" w:hAnsi="宋体" w:eastAsia="宋体" w:cs="Arial"/>
          <w:bCs/>
          <w:sz w:val="44"/>
          <w:szCs w:val="44"/>
          <w:lang w:val="en-US" w:eastAsia="zh-CN"/>
        </w:rPr>
        <w:t xml:space="preserve"> </w:t>
      </w:r>
      <w:r>
        <w:rPr>
          <w:rFonts w:hint="eastAsia" w:ascii="宋体" w:hAnsi="宋体" w:eastAsia="宋体" w:cs="Arial"/>
          <w:bCs/>
          <w:sz w:val="44"/>
          <w:szCs w:val="44"/>
        </w:rPr>
        <w:t>最高人民检察院</w:t>
      </w:r>
      <w:bookmarkEnd w:id="261"/>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62" w:name="_Toc23335"/>
      <w:r>
        <w:rPr>
          <w:rFonts w:hint="eastAsia" w:ascii="宋体" w:hAnsi="宋体" w:eastAsia="宋体" w:cs="Arial"/>
          <w:bCs/>
          <w:sz w:val="44"/>
          <w:szCs w:val="44"/>
        </w:rPr>
        <w:t>关于办理妨害预防、控制突发传染病疫情等</w:t>
      </w:r>
      <w:bookmarkEnd w:id="262"/>
    </w:p>
    <w:p>
      <w:pPr>
        <w:widowControl w:val="0"/>
        <w:wordWrap/>
        <w:adjustRightInd/>
        <w:snapToGrid/>
        <w:spacing w:after="0" w:line="560" w:lineRule="exact"/>
        <w:ind w:left="0" w:leftChars="0" w:right="0"/>
        <w:jc w:val="center"/>
        <w:textAlignment w:val="auto"/>
        <w:outlineLvl w:val="0"/>
        <w:rPr>
          <w:rFonts w:hint="eastAsia" w:ascii="楷体" w:hAnsi="楷体" w:eastAsia="楷体" w:cs="楷体"/>
          <w:color w:val="000000"/>
          <w:sz w:val="32"/>
          <w:szCs w:val="32"/>
        </w:rPr>
      </w:pPr>
      <w:bookmarkStart w:id="263" w:name="_Toc30652"/>
      <w:r>
        <w:rPr>
          <w:rFonts w:hint="eastAsia" w:ascii="宋体" w:hAnsi="宋体" w:eastAsia="宋体" w:cs="Arial"/>
          <w:bCs/>
          <w:sz w:val="44"/>
          <w:szCs w:val="44"/>
        </w:rPr>
        <w:t>灾害的刑事案件具体应用法律若干问题的解释</w:t>
      </w:r>
      <w:r>
        <w:rPr>
          <w:rFonts w:hint="eastAsia" w:ascii="宋体" w:hAnsi="宋体" w:eastAsia="宋体" w:cs="宋体"/>
          <w:color w:val="000000"/>
          <w:sz w:val="44"/>
          <w:szCs w:val="44"/>
        </w:rPr>
        <w:br w:type="textWrapping"/>
      </w:r>
      <w:bookmarkEnd w:id="263"/>
    </w:p>
    <w:p>
      <w:pPr>
        <w:widowControl w:val="0"/>
        <w:wordWrap/>
        <w:overflowPunct w:val="0"/>
        <w:adjustRightInd w:val="0"/>
        <w:snapToGrid/>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color w:val="000000"/>
          <w:sz w:val="32"/>
          <w:szCs w:val="32"/>
        </w:rPr>
      </w:pPr>
      <w:r>
        <w:rPr>
          <w:rFonts w:hint="eastAsia" w:ascii="楷体" w:hAnsi="楷体" w:eastAsia="楷体" w:cs="楷体"/>
          <w:color w:val="000000"/>
          <w:sz w:val="32"/>
          <w:szCs w:val="32"/>
        </w:rPr>
        <w:t>（2003年5月13日最高人民法院审判委员会第1269次会议　2003年5月13日最高人民检察院第十届检察委员会第3次会议通过</w:t>
      </w:r>
      <w:r>
        <w:rPr>
          <w:rFonts w:hint="eastAsia" w:ascii="楷体" w:hAnsi="楷体" w:eastAsia="楷体" w:cs="楷体"/>
          <w:color w:val="000000"/>
          <w:sz w:val="32"/>
          <w:szCs w:val="32"/>
          <w:lang w:val="en-US" w:eastAsia="zh-CN"/>
        </w:rPr>
        <w:t xml:space="preserve">   </w:t>
      </w:r>
      <w:r>
        <w:rPr>
          <w:rFonts w:hint="eastAsia" w:ascii="楷体" w:hAnsi="楷体" w:eastAsia="楷体" w:cs="楷体"/>
          <w:color w:val="000000"/>
          <w:sz w:val="32"/>
          <w:szCs w:val="32"/>
        </w:rPr>
        <w:t>自2003年5月15日起施行）</w:t>
      </w:r>
    </w:p>
    <w:p>
      <w:pPr>
        <w:widowControl w:val="0"/>
        <w:wordWrap/>
        <w:overflowPunct w:val="0"/>
        <w:adjustRightInd/>
        <w:snapToGrid/>
        <w:spacing w:beforeAutospacing="0" w:afterAutospacing="0" w:line="560" w:lineRule="exact"/>
        <w:ind w:left="0" w:leftChars="0" w:right="0" w:firstLine="0" w:firstLineChars="0"/>
        <w:jc w:val="left"/>
        <w:textAlignment w:val="auto"/>
        <w:outlineLvl w:val="9"/>
        <w:rPr>
          <w:rFonts w:hint="eastAsia" w:ascii="宋体" w:hAnsi="宋体" w:eastAsia="仿宋_GB2312" w:cs="仿宋_GB2312"/>
          <w:sz w:val="32"/>
          <w:szCs w:val="32"/>
        </w:rPr>
      </w:pP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为依法惩治妨害预防、控制突发传染病疫情等灾害的犯罪活动，保障预防、控制突发传染病疫情等灾害工作的顺利进行，切实维护人民群众的身体健康和生命安全，根据《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》等有关法律规定，现就办理相关刑事案件具体应用法律的若干问题解释如下：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第一条</w:t>
      </w:r>
      <w:r>
        <w:rPr>
          <w:rFonts w:hint="eastAsia" w:ascii="宋体" w:hAnsi="宋体" w:eastAsia="仿宋_GB2312" w:cs="仿宋_GB2312"/>
          <w:color w:val="000000"/>
          <w:sz w:val="32"/>
          <w:szCs w:val="32"/>
        </w:rPr>
        <w:t>　故意传播突发传染病病原体，危害公共安全的，依照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"javascript:SLC(17010,114)"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一百一十四条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"javascript:SLC(17010,115)"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一百一十五条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第一款的规定，按照以危险方法危害公共安全罪定罪处罚。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患有突发传染病或者疑似突发传染病而拒绝接受检疫、强制隔离或者治疗，过失造成传染病传播，情节严重，危害公共安全的，依照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"javascript:SLC(17010,115)"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一百一十五条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第二款的规定，按照过失以危险方法危害公共安全罪定罪处罚。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第二条</w:t>
      </w:r>
      <w:r>
        <w:rPr>
          <w:rFonts w:hint="eastAsia" w:ascii="宋体" w:hAnsi="宋体" w:eastAsia="仿宋_GB2312" w:cs="仿宋_GB2312"/>
          <w:color w:val="000000"/>
          <w:sz w:val="32"/>
          <w:szCs w:val="32"/>
        </w:rPr>
        <w:t>　在预防、控制突发传染病疫情等灾害期间，生产、销售伪劣的防治、防护产品、物资，或者生产、销售用于防治传染病的假药、劣药，构成犯罪的，分别依照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"javascript:SLC(17010,140)"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一百四十条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"javascript:SLC(17010,141)"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一百四十一条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"javascript:SLC(17010,142)"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一百四十二条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的规定，以生产、销售伪劣产品罪，生产、销售假药罪或者生产、销售劣药罪定罪，依法从重处罚。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第三条　</w:t>
      </w:r>
      <w:r>
        <w:rPr>
          <w:rFonts w:hint="eastAsia" w:ascii="宋体" w:hAnsi="宋体" w:eastAsia="仿宋_GB2312" w:cs="仿宋_GB2312"/>
          <w:color w:val="000000"/>
          <w:sz w:val="32"/>
          <w:szCs w:val="32"/>
        </w:rPr>
        <w:t>在预防、控制突发传染病疫情等灾害期间，生产用于防治传染病的不符合保障人体健康的国家标准、行业标准的医疗器械、医用卫生材料，或者销售明知是用于防治传染病的不符合保障人体健康的国家标准、行业标准的医疗器械、医用卫生材料，不具有防护、救治功能，足以严重危害人体健康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"javascript:SLC(17010,145)"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一百四十五条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的规定，以生产、销售不符合标准的医用器材罪定罪，依法从重处罚。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医疗机构或者个人，知道或者应当知道系前款规定的不符合保障人体健康的国家标准、行业标准的医疗器械、医用卫生材料而购买并有偿使用的，以销售不符合标准的医用器材罪定罪，依法从重处罚。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第四条</w:t>
      </w:r>
      <w:r>
        <w:rPr>
          <w:rFonts w:hint="eastAsia" w:ascii="宋体" w:hAnsi="宋体" w:eastAsia="仿宋_GB2312" w:cs="仿宋_GB2312"/>
          <w:color w:val="000000"/>
          <w:sz w:val="32"/>
          <w:szCs w:val="32"/>
        </w:rPr>
        <w:t>　国有公司、企业、事业单位的工作人员，在预防、控制突发传染病疫情等灾害的工作中，由于严重不负责任或者滥用职权，造成国有公司、企业破产或者严重损失，致使国家利益遭受重大损失的，依照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"javascript:SLC(17010,168)"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一百六十八条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的规定，以国有公司、企业、事业单位人员失职罪或者国有公司、企业、事业单位人员滥用职权罪定罪处罚。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第五条　</w:t>
      </w:r>
      <w:r>
        <w:rPr>
          <w:rFonts w:hint="eastAsia" w:ascii="宋体" w:hAnsi="宋体" w:eastAsia="仿宋_GB2312" w:cs="仿宋_GB2312"/>
          <w:color w:val="000000"/>
          <w:sz w:val="32"/>
          <w:szCs w:val="32"/>
        </w:rPr>
        <w:t>广告主、广告经营者、广告发布者违反国家规定，假借预防、控制突发传染病疫情等灾害的名义，利用广告对所推销的商品或者服务作虚假宣传，致使多人上当受骗，违法所得数额较大或者有其他严重情节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"javascript:SLC(17010,222)"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二百二十二条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的规定，以虚假广告罪定罪处罚。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第六条</w:t>
      </w:r>
      <w:r>
        <w:rPr>
          <w:rFonts w:hint="eastAsia" w:ascii="宋体" w:hAnsi="宋体" w:eastAsia="仿宋_GB2312" w:cs="仿宋_GB2312"/>
          <w:color w:val="000000"/>
          <w:sz w:val="32"/>
          <w:szCs w:val="32"/>
        </w:rPr>
        <w:t>　违反国家在预防、控制突发传染病疫情等灾害期间有关市场经营、价格管理等规定，哄抬物价、牟取暴利，严重扰乱市场秩序，违法所得数额较大或者有其他严重情节的，依照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"javascript:SLC(17010,225)"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二百二十五条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第（四）项的规定，以非法经营罪定罪，依法从重处罚。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第七条</w:t>
      </w:r>
      <w:r>
        <w:rPr>
          <w:rFonts w:hint="eastAsia" w:ascii="宋体" w:hAnsi="宋体" w:eastAsia="仿宋_GB2312" w:cs="仿宋_GB2312"/>
          <w:color w:val="000000"/>
          <w:sz w:val="32"/>
          <w:szCs w:val="32"/>
        </w:rPr>
        <w:t>　在预防、控制突发传染病疫情等灾害期间，假借研制、生产或者销售用于预防、控制突发传染病疫情等灾害用品的名义，诈骗公私财物数额较大的，依照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有关诈骗罪的规定定罪，依法从重处罚。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第八条</w:t>
      </w:r>
      <w:r>
        <w:rPr>
          <w:rFonts w:hint="eastAsia" w:ascii="宋体" w:hAnsi="宋体" w:eastAsia="仿宋_GB2312" w:cs="仿宋_GB2312"/>
          <w:color w:val="000000"/>
          <w:sz w:val="32"/>
          <w:szCs w:val="32"/>
        </w:rPr>
        <w:t>　以暴力、威胁方法阻碍国家机关工作人员、红十字会工作人员依法履行为防治突发传染病疫情等灾害而采取的防疫、检疫、强制隔离、隔离治疗等预防、控制措施的，依照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"javascript:SLC(17010,277)"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二百七十七条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第一款、第三款的规定，以妨害公务罪定罪处罚。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第九条</w:t>
      </w:r>
      <w:r>
        <w:rPr>
          <w:rFonts w:hint="eastAsia" w:ascii="宋体" w:hAnsi="宋体" w:eastAsia="仿宋_GB2312" w:cs="仿宋_GB2312"/>
          <w:color w:val="000000"/>
          <w:sz w:val="32"/>
          <w:szCs w:val="32"/>
        </w:rPr>
        <w:t>　在预防、控制突发传染病疫情等灾害期间，聚众“打砸抢”，致人伤残、死亡的，依照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"javascript:SLC(17010,289)"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二百八十九条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"javascript:SLC(17010,234)"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二百三十四条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"javascript:SLC(17010,232)"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二百三十二条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的规定，以故意伤害罪或者故意杀人罪定罪，依法从重处罚。对毁坏或者抢走公私财物的首要分子，依照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"javascript:SLC(17010,289)"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二百八十九条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"javascript:SLC(17010,263)"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二百六十三条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的规定，以抢劫罪定罪，依法从重处罚。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第十条　</w:t>
      </w:r>
      <w:r>
        <w:rPr>
          <w:rFonts w:hint="eastAsia" w:ascii="宋体" w:hAnsi="宋体" w:eastAsia="仿宋_GB2312" w:cs="仿宋_GB2312"/>
          <w:color w:val="000000"/>
          <w:sz w:val="32"/>
          <w:szCs w:val="32"/>
        </w:rPr>
        <w:t>编造与突发传染病疫情等灾害有关的恐怖信息，或者明知是编造的此类恐怖信息而故意传播，严重扰乱社会秩序的，依照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"javascript:SLC(17010,291)"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二百九十一条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之一的规定，以编造、故意传播虚假恐怖信息罪定罪处罚。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利用突发传染病疫情等灾害，制造、传播谣言，煽动分裂国家、破坏国家统一，或者煽动颠覆国家政权、推翻社会主义制度的，依照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"javascript:SLC(17010,103)"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一百零三条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第二款、第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"javascript:SLC(17010,105)"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一百零五条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第二款的规定，以煽动分裂国家罪或者煽动颠覆国家政权罪定罪处罚。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第十一条</w:t>
      </w:r>
      <w:r>
        <w:rPr>
          <w:rFonts w:hint="eastAsia" w:ascii="宋体" w:hAnsi="宋体" w:eastAsia="仿宋_GB2312" w:cs="仿宋_GB2312"/>
          <w:color w:val="000000"/>
          <w:sz w:val="32"/>
          <w:szCs w:val="32"/>
        </w:rPr>
        <w:t>　在预防、控制突发传染病疫情等灾害期间，强拿硬要或者任意损毁、占用公私财物情节严重，或者在公共场所起哄闹事，造成公共场所秩序严重混乱的，依照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"javascript:SLC(17010,293)"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二百九十三条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的规定，以寻衅滋事罪定罪，依法从重处罚。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第十二条</w:t>
      </w:r>
      <w:r>
        <w:rPr>
          <w:rFonts w:hint="eastAsia" w:ascii="宋体" w:hAnsi="宋体" w:eastAsia="仿宋_GB2312" w:cs="仿宋_GB2312"/>
          <w:color w:val="000000"/>
          <w:sz w:val="32"/>
          <w:szCs w:val="32"/>
        </w:rPr>
        <w:t>　未取得医师执业资格非法行医，具有造成突发传染病病人、病原携带者、疑似突发传染病病人贻误诊治或者造成交叉感染等严重情节的，依照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"javascript:SLC(17010,336)"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三百三十六条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第一款的规定，以非法行医罪定罪，依法从重处罚。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第十三条</w:t>
      </w:r>
      <w:r>
        <w:rPr>
          <w:rFonts w:hint="eastAsia" w:ascii="宋体" w:hAnsi="宋体" w:eastAsia="仿宋_GB2312" w:cs="仿宋_GB2312"/>
          <w:color w:val="000000"/>
          <w:sz w:val="32"/>
          <w:szCs w:val="32"/>
        </w:rPr>
        <w:t>　违反</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"javascript:SLC(4217,0)"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等国家有关规定，向土地、水体、大气排放、倾倒或者处置含传染病病原体的废物、有毒物质或者其他危险废物，造成突发传染病传播等重大环境污染事故，致使公私财产遭受重大损失或者人身伤亡的严重后果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"javascript:SLC(17010,338)"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三百三十八条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的规定，以重大环境污染事故罪定罪处罚。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第十四条</w:t>
      </w:r>
      <w:r>
        <w:rPr>
          <w:rFonts w:hint="eastAsia" w:ascii="宋体" w:hAnsi="宋体" w:eastAsia="仿宋_GB2312" w:cs="仿宋_GB2312"/>
          <w:color w:val="000000"/>
          <w:sz w:val="32"/>
          <w:szCs w:val="32"/>
        </w:rPr>
        <w:t>　贪污、侵占用于预防、控制突发传染病疫情等灾害的款物或者挪用归个人使用，构成犯罪的，分别依照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"javascript:SLC(17010,382)"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三百八十二条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"javascript:SLC(17010,383)"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三百八十三条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"javascript:SLC(17010,271)"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二百七十一条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"javascript:SLC(17010,384)"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三百八十四条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"javascript:SLC(17010,272)"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二百七十二条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的规定，以贪污罪、职务侵占罪、挪用公款罪、挪用资金罪定罪，依法从重处罚。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挪用用于预防、控制突发传染病疫情等灾害的救灾、优抚、救济等款物，构成犯罪的，对直接责任人员，依照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"javascript:SLC(17010,273)"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二百七十三条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的规定，以挪用特定款物罪定罪处罚。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第十五条</w:t>
      </w:r>
      <w:r>
        <w:rPr>
          <w:rFonts w:hint="eastAsia" w:ascii="宋体" w:hAnsi="宋体" w:eastAsia="仿宋_GB2312" w:cs="仿宋_GB2312"/>
          <w:color w:val="000000"/>
          <w:sz w:val="32"/>
          <w:szCs w:val="32"/>
        </w:rPr>
        <w:t>　在预防、控制突发传染病疫情等灾害的工作中，负有组织、协调、指挥、灾害调查、控制、医疗救治、信息传递、交通运输、物资保障等职责的国家机关工作人员，滥用职权或者玩忽职守，致使公共财产、国家和人民利益遭受重大损失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"javascript:SLC(17010,397)"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三百九十七条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的规定，以滥用职权罪或者玩忽职守罪定罪处罚。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第十六条　</w:t>
      </w:r>
      <w:r>
        <w:rPr>
          <w:rFonts w:hint="eastAsia" w:ascii="宋体" w:hAnsi="宋体" w:eastAsia="仿宋_GB2312" w:cs="仿宋_GB2312"/>
          <w:color w:val="000000"/>
          <w:sz w:val="32"/>
          <w:szCs w:val="32"/>
        </w:rPr>
        <w:t>在预防、控制突发传染病疫情等灾害期间，从事传染病防治的政府卫生行政部门的工作人员，或者在受政府卫生行政部门委托代表政府卫生行政部门行使职权的组织中从事公务的人员，或者虽未列入政府卫生行政部门人员编制但在政府卫生行政部门从事公务的人员，在代表政府卫生行政部门行使职权时，严重不负责任，导致传染病传播或者流行，情节严重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"javascript:SLC(17010,409)"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四百零九条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的规定，以传染病防治失职罪定罪处罚。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在国家对突发传染病疫情等灾害采取预防、控制措施后，具有下列情形之一的，属于</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"javascript:SLC(17010,409)"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四百零九条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规定的“情节严重”：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对发生突发传染病疫情等灾害的地区或者突发传染病病人、病原携带者、疑似突发传染病病人，未按照预防、控制突发传染病疫情等灾害工作规范的要求做好防疫、检疫、隔离、防护、救治等工作，或者采取的预防、控制措施不当，造成传染范围扩大或者疫情、灾情加重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（二）隐瞒、缓报、谎报或者授意、指使、强令他人隐瞒、缓报、谎报疫情、灾情，造成传染范围扩大或者疫情、灾情加重的；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（三）拒不执行突发传染病疫情等灾害应急处理指挥机构的决定、命令，造成传染范围扩大或者疫情、灾情加重的；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（四）具有其他严重情节的。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第十七条</w:t>
      </w:r>
      <w:r>
        <w:rPr>
          <w:rFonts w:hint="eastAsia" w:ascii="宋体" w:hAnsi="宋体" w:eastAsia="仿宋_GB2312" w:cs="仿宋_GB2312"/>
          <w:color w:val="000000"/>
          <w:sz w:val="32"/>
          <w:szCs w:val="32"/>
        </w:rPr>
        <w:t xml:space="preserve">　人民法院、人民检察院办理有关妨害预防、控制突发传染病疫情等灾害的刑事案件，对于有自首、立功等悔罪表现的，依法从轻、减轻、免除处罚或者依法作出不起诉决定。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第十八条</w:t>
      </w:r>
      <w:r>
        <w:rPr>
          <w:rFonts w:hint="eastAsia" w:ascii="宋体" w:hAnsi="宋体" w:eastAsia="仿宋_GB2312" w:cs="仿宋_GB2312"/>
          <w:color w:val="000000"/>
          <w:sz w:val="32"/>
          <w:szCs w:val="32"/>
        </w:rPr>
        <w:t>　本解释所称“突发传染病疫情等灾害”，是指突然发生，造成或者可能造成社会公众健康严重损害的重大传染病疫情、群体性不明原因疾病以及其他严重影响公众健康的灾害。</w:t>
      </w:r>
      <w:r>
        <w:rPr>
          <w:rFonts w:hint="eastAsia" w:ascii="宋体" w:hAnsi="宋体" w:eastAsia="仿宋_GB2312" w:cs="仿宋_GB2312"/>
          <w:color w:val="000000"/>
          <w:sz w:val="32"/>
          <w:szCs w:val="32"/>
        </w:rPr>
        <w:br w:type="textWrapping"/>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宋体" w:cs="宋体"/>
          <w:b w:val="0"/>
          <w:bCs/>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val="0"/>
          <w:bCs/>
          <w:sz w:val="32"/>
          <w:szCs w:val="32"/>
        </w:rPr>
      </w:pPr>
      <w:r>
        <w:rPr>
          <w:rFonts w:hint="eastAsia" w:ascii="宋体" w:hAnsi="宋体" w:eastAsia="宋体" w:cs="宋体"/>
          <w:b w:val="0"/>
          <w:bCs/>
          <w:sz w:val="32"/>
          <w:szCs w:val="32"/>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zh-CN"/>
        </w:rPr>
      </w:pPr>
      <w:bookmarkStart w:id="264" w:name="_Toc18165"/>
      <w:r>
        <w:rPr>
          <w:rFonts w:hint="eastAsia" w:ascii="宋体" w:hAnsi="宋体" w:eastAsia="宋体" w:cs="Arial"/>
          <w:bCs/>
          <w:sz w:val="44"/>
          <w:szCs w:val="44"/>
          <w:lang w:val="zh-CN"/>
        </w:rPr>
        <w:t>最高人民法院关于审理破坏野生动物资源</w:t>
      </w:r>
      <w:bookmarkEnd w:id="264"/>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zh-CN"/>
        </w:rPr>
      </w:pPr>
      <w:bookmarkStart w:id="265" w:name="_Toc27086"/>
      <w:r>
        <w:rPr>
          <w:rFonts w:hint="eastAsia" w:ascii="宋体" w:hAnsi="宋体" w:eastAsia="宋体" w:cs="Arial"/>
          <w:bCs/>
          <w:sz w:val="44"/>
          <w:szCs w:val="44"/>
          <w:lang w:val="zh-CN"/>
        </w:rPr>
        <w:t>刑事案件具体应用法律若干问题的解释</w:t>
      </w:r>
      <w:bookmarkEnd w:id="265"/>
    </w:p>
    <w:p>
      <w:pPr>
        <w:widowControl w:val="0"/>
        <w:suppressLineNumbers/>
        <w:wordWrap/>
        <w:overflowPunct w:val="0"/>
        <w:adjustRightInd w:val="0"/>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color w:val="000000"/>
          <w:sz w:val="32"/>
          <w:szCs w:val="32"/>
          <w:lang w:val="zh-CN"/>
        </w:rPr>
      </w:pPr>
      <w:r>
        <w:rPr>
          <w:rFonts w:hint="eastAsia" w:ascii="楷体" w:hAnsi="楷体" w:eastAsia="楷体" w:cs="楷体"/>
          <w:color w:val="000000"/>
          <w:sz w:val="32"/>
          <w:szCs w:val="32"/>
          <w:lang w:val="zh-CN"/>
        </w:rPr>
        <w:br w:type="textWrapping"/>
      </w:r>
      <w:r>
        <w:rPr>
          <w:rFonts w:hint="eastAsia" w:ascii="楷体" w:hAnsi="楷体" w:eastAsia="楷体" w:cs="楷体"/>
          <w:color w:val="000000"/>
          <w:sz w:val="32"/>
          <w:szCs w:val="32"/>
          <w:lang w:val="zh-CN"/>
        </w:rPr>
        <w:t>（</w:t>
      </w:r>
      <w:r>
        <w:rPr>
          <w:rFonts w:hint="eastAsia" w:ascii="楷体" w:hAnsi="楷体" w:eastAsia="楷体" w:cs="楷体"/>
          <w:color w:val="000000"/>
          <w:sz w:val="32"/>
          <w:szCs w:val="32"/>
          <w:lang w:val="en-US" w:eastAsia="zh-CN"/>
        </w:rPr>
        <w:t>2000年11月17日最高人民法院审判委员会第1141次会议通过</w:t>
      </w:r>
      <w:r>
        <w:rPr>
          <w:rFonts w:hint="eastAsia" w:ascii="楷体" w:hAnsi="楷体" w:eastAsia="楷体" w:cs="楷体"/>
          <w:color w:val="000000"/>
          <w:sz w:val="32"/>
          <w:szCs w:val="32"/>
          <w:lang w:val="zh-CN"/>
        </w:rPr>
        <w:t>　法释</w:t>
      </w:r>
      <w:r>
        <w:rPr>
          <w:rFonts w:hint="eastAsia" w:ascii="楷体" w:hAnsi="楷体" w:eastAsia="楷体" w:cs="楷体"/>
          <w:color w:val="000000"/>
          <w:sz w:val="32"/>
          <w:szCs w:val="32"/>
          <w:lang w:val="en-US" w:eastAsia="zh-CN"/>
        </w:rPr>
        <w:t>［2000］37号）</w:t>
      </w:r>
      <w:r>
        <w:rPr>
          <w:rFonts w:hint="eastAsia" w:ascii="楷体" w:hAnsi="楷体" w:eastAsia="楷体" w:cs="楷体"/>
          <w:color w:val="000000"/>
          <w:sz w:val="32"/>
          <w:szCs w:val="32"/>
          <w:lang w:val="zh-CN"/>
        </w:rPr>
        <w:br w:type="textWrapping"/>
      </w:r>
    </w:p>
    <w:p>
      <w:pPr>
        <w:widowControl w:val="0"/>
        <w:suppressLineNumbers/>
        <w:wordWrap/>
        <w:overflowPunct w:val="0"/>
        <w:adjustRightInd/>
        <w:snapToGrid/>
        <w:spacing w:beforeAutospacing="0" w:afterAutospacing="0" w:line="560" w:lineRule="exact"/>
        <w:ind w:left="0" w:leftChars="0" w:right="0" w:firstLine="0" w:firstLineChars="0"/>
        <w:jc w:val="left"/>
        <w:textAlignment w:val="auto"/>
        <w:outlineLvl w:val="9"/>
        <w:rPr>
          <w:rFonts w:hint="eastAsia" w:ascii="宋体" w:hAnsi="宋体" w:eastAsia="仿宋_GB2312" w:cs="仿宋_GB2312"/>
          <w:color w:val="auto"/>
          <w:sz w:val="32"/>
          <w:szCs w:val="32"/>
          <w:lang w:val="zh-CN"/>
        </w:rPr>
      </w:pPr>
      <w:r>
        <w:rPr>
          <w:rFonts w:hint="eastAsia" w:ascii="宋体" w:hAnsi="宋体" w:eastAsia="仿宋_GB2312" w:cs="仿宋_GB2312"/>
          <w:color w:val="000000"/>
          <w:sz w:val="32"/>
          <w:szCs w:val="32"/>
          <w:lang w:val="zh-CN"/>
        </w:rPr>
        <w:t>　　为依法惩处破坏野生动物资源的犯罪活动，根据刑法的有关规定，现就审理这类案件具体应用法律的若干问题解释如下：</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　第一条</w:t>
      </w:r>
      <w:r>
        <w:rPr>
          <w:rFonts w:hint="eastAsia" w:ascii="宋体" w:hAnsi="宋体" w:eastAsia="仿宋_GB2312" w:cs="仿宋_GB2312"/>
          <w:color w:val="000000"/>
          <w:sz w:val="32"/>
          <w:szCs w:val="32"/>
          <w:lang w:val="zh-CN"/>
        </w:rPr>
        <w:t>　刑法第三百四十一条第一款规定的“珍贵、濒危野生动物”，包括列入国家重点保护野生动物名录的国家一、二级保护野生动物、列入《濒危野生动植物种国际贸易公约》附录一、附录二的野生动物以及驯养繁殖的上述物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第二条　</w:t>
      </w:r>
      <w:r>
        <w:rPr>
          <w:rFonts w:hint="eastAsia" w:ascii="宋体" w:hAnsi="宋体" w:eastAsia="仿宋_GB2312" w:cs="仿宋_GB2312"/>
          <w:color w:val="000000"/>
          <w:sz w:val="32"/>
          <w:szCs w:val="32"/>
          <w:lang w:val="zh-CN"/>
        </w:rPr>
        <w:t>刑法第三百四十一条第一款规定的“收购”，包括以营利、自用等为目的的购买行为；“运输”，包括采用携带、邮寄、利用他人、使用交通工具等方法进行运送的行为；“出售”，包括出卖和以营利为目的的加工利用行为。</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第三条　</w:t>
      </w:r>
      <w:r>
        <w:rPr>
          <w:rFonts w:hint="eastAsia" w:ascii="宋体" w:hAnsi="宋体" w:eastAsia="仿宋_GB2312" w:cs="仿宋_GB2312"/>
          <w:color w:val="000000"/>
          <w:sz w:val="32"/>
          <w:szCs w:val="32"/>
          <w:lang w:val="zh-CN"/>
        </w:rPr>
        <w:t>非法猎捕、杀害、收购、运输、出售珍贵、濒危野生动物具有下列情形之一的，属于“情节严重”：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（一）达到本解释附表所列相应数量标准的；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（二）非法猎捕、杀害、收购、运输、出售不同种类的珍贵、濒危野生动物，其中两种以上分别达到附表所列“情节严重”数量标准一半以上的。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非法猎捕、杀害、收购、运输、出售珍贵、濒危野生动物具有下列情形之一的，属于“情节特别严重”：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（一）达到本解释附表所列相应数量标准的；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（二）非法猎捕、杀害、收购、运输、出售不同种类的珍贵、濒危野生动物，其中两种以上分别达到附表所列“情节特别严重”数量标准一半以上的。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第四条　</w:t>
      </w:r>
      <w:r>
        <w:rPr>
          <w:rFonts w:hint="eastAsia" w:ascii="宋体" w:hAnsi="宋体" w:eastAsia="仿宋_GB2312" w:cs="仿宋_GB2312"/>
          <w:color w:val="000000"/>
          <w:sz w:val="32"/>
          <w:szCs w:val="32"/>
          <w:lang w:val="zh-CN"/>
        </w:rPr>
        <w:t>非法猎捕、杀害、收购、运输、出售珍贵、濒危野生动物构成犯罪，具有下列情形之一的，可以认定为“情节严重”；非法猎捕、杀害、收购、运输、出售珍贵、濒危野生动物符合本解释第三条第一款的规定，并具有下列情形之一的，可以认定为“情节特别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（一）犯罪集团的首要分子；</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（二）严重影响对野生动物的科研、养殖等工作顺利进行的；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（三）以武装掩护方法实施犯罪的；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（四）使用特种车、军用车等交通工具实施犯罪的；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（五）造成其他重大损失的。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第五条</w:t>
      </w:r>
      <w:r>
        <w:rPr>
          <w:rFonts w:hint="eastAsia" w:ascii="宋体" w:hAnsi="宋体" w:eastAsia="仿宋_GB2312" w:cs="仿宋_GB2312"/>
          <w:color w:val="000000"/>
          <w:sz w:val="32"/>
          <w:szCs w:val="32"/>
          <w:lang w:val="zh-CN"/>
        </w:rPr>
        <w:t>　非法收购、运输、出售珍贵、濒危野生动物制品具有下列情形之一的，属于“情节严重”：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（一）价值在十万元以上的；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（二）非法获利五万元以上的；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（三）具有其他严重情节的。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非法收购、运输、出售珍贵、濒危野生动物制品具有下列情形之一的，属于“情节特别严重”：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（一）价值在二十万元以上的；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（二）非法获利十万元以上的；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（三）具有其他特别严重情节的。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第六条</w:t>
      </w:r>
      <w:r>
        <w:rPr>
          <w:rFonts w:hint="eastAsia" w:ascii="宋体" w:hAnsi="宋体" w:eastAsia="仿宋_GB2312" w:cs="仿宋_GB2312"/>
          <w:color w:val="000000"/>
          <w:sz w:val="32"/>
          <w:szCs w:val="32"/>
          <w:lang w:val="zh-CN"/>
        </w:rPr>
        <w:t>　违反狩猎法规，在禁猎区、禁猎期或者使用禁用的工具、方法狩猎，具有下列情形之一的，属于非法狩猎“情节严重”：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（一）非法狩猎野生动物二十只以上的；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（二）违反狩猎法规，在禁猎区或者禁猎期使用禁用的工具、方法狩猎的；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（三）具有其他严重情节的。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第七条</w:t>
      </w:r>
      <w:r>
        <w:rPr>
          <w:rFonts w:hint="eastAsia" w:ascii="宋体" w:hAnsi="宋体" w:eastAsia="仿宋_GB2312" w:cs="仿宋_GB2312"/>
          <w:color w:val="000000"/>
          <w:sz w:val="32"/>
          <w:szCs w:val="32"/>
          <w:lang w:val="zh-CN"/>
        </w:rPr>
        <w:t>　使用爆炸、投毒、设置电网等危险方法破坏野生动物资源，构成非法猎捕、杀害珍贵、濒危野生动物罪或者非法狩猎罪，同时构成刑法第一百一十四条或者第一百一十五条规定之罪的，依照处罚较重的规定定罪处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第八条</w:t>
      </w:r>
      <w:r>
        <w:rPr>
          <w:rFonts w:hint="eastAsia" w:ascii="宋体" w:hAnsi="宋体" w:eastAsia="仿宋_GB2312" w:cs="仿宋_GB2312"/>
          <w:color w:val="000000"/>
          <w:sz w:val="32"/>
          <w:szCs w:val="32"/>
          <w:lang w:val="zh-CN"/>
        </w:rPr>
        <w:t>　实施刑法第三百四十一条规定的犯罪，又以暴力、威胁方法抗拒查处，构成其他犯罪的，依照数罪并罚的规定处罚。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　第九条　</w:t>
      </w:r>
      <w:r>
        <w:rPr>
          <w:rFonts w:hint="eastAsia" w:ascii="宋体" w:hAnsi="宋体" w:eastAsia="仿宋_GB2312" w:cs="仿宋_GB2312"/>
          <w:color w:val="000000"/>
          <w:sz w:val="32"/>
          <w:szCs w:val="32"/>
          <w:lang w:val="zh-CN"/>
        </w:rPr>
        <w:t>伪造、变造、买卖国家机关颁发的野生动物允许进出口证明书、特许猎捕证、狩猎证、驯养繁殖许可证等公文、证件构成犯罪的，依照刑法第二百八十条第一款的规定以伪造、变造、买卖国家机关公文、证件罪定罪处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实施上述行为构成犯罪，同时构成刑法第二百二十五条第二项规定的非法经营罪的，依照处罚较重的规定定罪处罚。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第十条</w:t>
      </w:r>
      <w:r>
        <w:rPr>
          <w:rFonts w:hint="eastAsia" w:ascii="宋体" w:hAnsi="宋体" w:eastAsia="仿宋_GB2312" w:cs="仿宋_GB2312"/>
          <w:color w:val="000000"/>
          <w:sz w:val="32"/>
          <w:szCs w:val="32"/>
          <w:lang w:val="zh-CN"/>
        </w:rPr>
        <w:t>　非法猎捕、杀害、收购、运输、出售《濒危野生动植物种国际贸易公约》附录一、附录二所列的非原产于我国的野生动物“情节严重”、“情节特别严重”的认定标准，参照本解释第三条、第四条以及附表所列与其同属的国家一、二级保护野生动物的认定标准执行；没有与其同属的国家一、二级保护野生动物的，参照与其同科的国家一、二级保护野生动物的认定标准执行。</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第十一条</w:t>
      </w:r>
      <w:r>
        <w:rPr>
          <w:rFonts w:hint="eastAsia" w:ascii="宋体" w:hAnsi="宋体" w:eastAsia="仿宋_GB2312" w:cs="仿宋_GB2312"/>
          <w:color w:val="000000"/>
          <w:sz w:val="32"/>
          <w:szCs w:val="32"/>
          <w:lang w:val="zh-CN"/>
        </w:rPr>
        <w:t>　珍贵、濒危野生动物制品的价值，依照国家野生动物保护主管部门的规定核定；核定价值低于实际交易价格的，以实际交易价格认定。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第十二条</w:t>
      </w:r>
      <w:r>
        <w:rPr>
          <w:rFonts w:hint="eastAsia" w:ascii="宋体" w:hAnsi="宋体" w:eastAsia="仿宋_GB2312" w:cs="仿宋_GB2312"/>
          <w:color w:val="000000"/>
          <w:sz w:val="32"/>
          <w:szCs w:val="32"/>
          <w:lang w:val="zh-CN"/>
        </w:rPr>
        <w:t>　单位犯刑法第三百四十一条规定之罪，定罪量刑标准依照本解释的有关规定执行。</w:t>
      </w: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lang w:bidi="ar-SA"/>
        </w:rPr>
      </w:pPr>
    </w:p>
    <w:p>
      <w:pPr>
        <w:pStyle w:val="4"/>
        <w:widowControl w:val="0"/>
        <w:wordWrap/>
        <w:adjustRightInd/>
        <w:snapToGrid/>
        <w:spacing w:before="0" w:after="0" w:line="560" w:lineRule="exact"/>
        <w:jc w:val="center"/>
        <w:textAlignment w:val="auto"/>
        <w:outlineLvl w:val="0"/>
        <w:rPr>
          <w:rFonts w:hint="eastAsia" w:ascii="宋体" w:hAnsi="宋体" w:eastAsia="宋体" w:cs="Arial"/>
          <w:b w:val="0"/>
          <w:bCs/>
          <w:kern w:val="2"/>
          <w:sz w:val="44"/>
          <w:szCs w:val="44"/>
          <w:lang w:val="en-US" w:eastAsia="zh-CN" w:bidi="ar-SA"/>
        </w:rPr>
      </w:pPr>
      <w:r>
        <w:rPr>
          <w:rFonts w:hint="eastAsia" w:ascii="宋体" w:hAnsi="宋体" w:eastAsia="宋体" w:cs="Arial"/>
          <w:bCs/>
          <w:sz w:val="44"/>
          <w:szCs w:val="44"/>
        </w:rPr>
        <w:br w:type="page"/>
      </w:r>
      <w:bookmarkStart w:id="266" w:name="_Toc4452"/>
      <w:bookmarkStart w:id="267" w:name="_Toc3389"/>
      <w:bookmarkStart w:id="268" w:name="_Toc31051"/>
      <w:bookmarkStart w:id="269" w:name="_Toc16051"/>
      <w:bookmarkStart w:id="270" w:name="_Toc27860"/>
      <w:bookmarkStart w:id="271" w:name="_Toc6741"/>
      <w:bookmarkStart w:id="272" w:name="_Toc27046"/>
      <w:bookmarkStart w:id="273" w:name="_Toc17528"/>
      <w:bookmarkStart w:id="274" w:name="_Toc11364"/>
      <w:bookmarkStart w:id="275" w:name="_Toc29533"/>
      <w:r>
        <w:rPr>
          <w:rFonts w:hint="eastAsia" w:ascii="宋体" w:hAnsi="宋体" w:eastAsia="宋体" w:cs="Arial"/>
          <w:b w:val="0"/>
          <w:bCs/>
          <w:kern w:val="2"/>
          <w:sz w:val="44"/>
          <w:szCs w:val="44"/>
          <w:lang w:val="en-US" w:eastAsia="zh-CN" w:bidi="ar-SA"/>
        </w:rPr>
        <w:t>最高人民法院 最高人民检察院</w:t>
      </w:r>
      <w:bookmarkEnd w:id="266"/>
    </w:p>
    <w:p>
      <w:pPr>
        <w:pStyle w:val="4"/>
        <w:widowControl w:val="0"/>
        <w:wordWrap/>
        <w:adjustRightInd/>
        <w:snapToGrid/>
        <w:spacing w:before="0" w:after="0" w:line="560" w:lineRule="exact"/>
        <w:jc w:val="center"/>
        <w:textAlignment w:val="auto"/>
        <w:outlineLvl w:val="0"/>
        <w:rPr>
          <w:rFonts w:hint="eastAsia" w:ascii="宋体" w:hAnsi="宋体" w:eastAsia="宋体" w:cs="Arial"/>
          <w:b w:val="0"/>
          <w:bCs/>
          <w:kern w:val="2"/>
          <w:sz w:val="44"/>
          <w:szCs w:val="44"/>
          <w:lang w:val="en-US" w:eastAsia="zh-CN" w:bidi="ar-SA"/>
        </w:rPr>
      </w:pPr>
      <w:bookmarkStart w:id="276" w:name="_Toc25900"/>
      <w:r>
        <w:rPr>
          <w:rFonts w:hint="eastAsia" w:ascii="宋体" w:hAnsi="宋体" w:eastAsia="宋体" w:cs="Arial"/>
          <w:b w:val="0"/>
          <w:bCs/>
          <w:kern w:val="2"/>
          <w:sz w:val="44"/>
          <w:szCs w:val="44"/>
          <w:lang w:val="en-US" w:eastAsia="zh-CN" w:bidi="ar-SA"/>
        </w:rPr>
        <w:t>关于办理生产、销售伪劣商品刑事案件</w:t>
      </w:r>
      <w:bookmarkEnd w:id="276"/>
    </w:p>
    <w:p>
      <w:pPr>
        <w:pStyle w:val="4"/>
        <w:widowControl w:val="0"/>
        <w:wordWrap/>
        <w:adjustRightInd/>
        <w:snapToGrid/>
        <w:spacing w:before="0" w:after="0" w:line="560" w:lineRule="exact"/>
        <w:jc w:val="center"/>
        <w:textAlignment w:val="auto"/>
        <w:outlineLvl w:val="0"/>
        <w:rPr>
          <w:rFonts w:hint="eastAsia" w:ascii="宋体" w:hAnsi="宋体" w:eastAsia="宋体" w:cs="Arial"/>
          <w:b w:val="0"/>
          <w:bCs/>
          <w:kern w:val="2"/>
          <w:sz w:val="44"/>
          <w:szCs w:val="44"/>
          <w:lang w:val="en-US" w:eastAsia="zh-CN" w:bidi="ar-SA"/>
        </w:rPr>
      </w:pPr>
      <w:bookmarkStart w:id="277" w:name="_Toc22887"/>
      <w:r>
        <w:rPr>
          <w:rFonts w:hint="eastAsia" w:ascii="宋体" w:hAnsi="宋体" w:eastAsia="宋体" w:cs="Arial"/>
          <w:b w:val="0"/>
          <w:bCs/>
          <w:kern w:val="2"/>
          <w:sz w:val="44"/>
          <w:szCs w:val="44"/>
          <w:lang w:val="en-US" w:eastAsia="zh-CN" w:bidi="ar-SA"/>
        </w:rPr>
        <w:t>具体应用法律若干问题的解释</w:t>
      </w:r>
      <w:bookmarkEnd w:id="267"/>
      <w:bookmarkEnd w:id="268"/>
      <w:bookmarkEnd w:id="269"/>
      <w:bookmarkEnd w:id="270"/>
      <w:bookmarkEnd w:id="271"/>
      <w:bookmarkEnd w:id="272"/>
      <w:bookmarkEnd w:id="273"/>
      <w:bookmarkEnd w:id="274"/>
      <w:bookmarkEnd w:id="275"/>
      <w:bookmarkEnd w:id="277"/>
    </w:p>
    <w:p>
      <w:pPr>
        <w:widowControl w:val="0"/>
        <w:wordWrap/>
        <w:adjustRightInd/>
        <w:snapToGrid/>
        <w:spacing w:line="560" w:lineRule="exact"/>
        <w:ind w:right="0"/>
        <w:jc w:val="center"/>
        <w:textAlignment w:val="auto"/>
        <w:rPr>
          <w:rFonts w:hint="eastAsia" w:ascii="楷体" w:hAnsi="楷体" w:eastAsia="楷体" w:cs="楷体"/>
          <w:color w:val="auto"/>
          <w:sz w:val="32"/>
          <w:szCs w:val="32"/>
          <w:shd w:val="clear" w:color="auto" w:fill="FFFFFF"/>
          <w:lang w:val="en-US" w:eastAsia="zh-CN"/>
        </w:rPr>
      </w:pPr>
    </w:p>
    <w:p>
      <w:pPr>
        <w:widowControl w:val="0"/>
        <w:wordWrap/>
        <w:adjustRightInd/>
        <w:snapToGrid/>
        <w:spacing w:line="560" w:lineRule="exact"/>
        <w:ind w:left="640" w:leftChars="200" w:right="525" w:rightChars="164" w:firstLine="0" w:firstLineChars="0"/>
        <w:jc w:val="left"/>
        <w:textAlignment w:val="auto"/>
        <w:rPr>
          <w:rFonts w:hint="eastAsia" w:ascii="楷体" w:hAnsi="楷体" w:eastAsia="楷体" w:cs="楷体"/>
          <w:color w:val="auto"/>
          <w:sz w:val="32"/>
          <w:szCs w:val="32"/>
          <w:shd w:val="clear" w:color="auto" w:fill="FFFFFF"/>
          <w:lang w:val="en-US" w:eastAsia="zh-CN"/>
        </w:rPr>
      </w:pPr>
      <w:r>
        <w:rPr>
          <w:rFonts w:hint="eastAsia" w:ascii="楷体" w:hAnsi="楷体" w:eastAsia="楷体" w:cs="楷体"/>
          <w:color w:val="auto"/>
          <w:sz w:val="32"/>
          <w:szCs w:val="32"/>
          <w:shd w:val="clear" w:color="auto" w:fill="FFFFFF"/>
          <w:lang w:val="en-US" w:eastAsia="zh-CN"/>
        </w:rPr>
        <w:t>（2001年4月5日最高人民法院审判委员会第1168次会议、2001年3月30日最高人民检察院第九届检察委员会第84次会议通过 法释〔2001〕10号）</w:t>
      </w:r>
    </w:p>
    <w:p>
      <w:pPr>
        <w:widowControl w:val="0"/>
        <w:wordWrap/>
        <w:adjustRightInd/>
        <w:snapToGrid/>
        <w:spacing w:line="560" w:lineRule="exact"/>
        <w:textAlignment w:val="auto"/>
        <w:rPr>
          <w:rFonts w:hint="eastAsia" w:ascii="宋体" w:hAnsi="宋体" w:eastAsia="宋体" w:cs="Arial"/>
          <w:bCs/>
          <w:sz w:val="32"/>
          <w:szCs w:val="32"/>
        </w:rPr>
      </w:pPr>
    </w:p>
    <w:p>
      <w:pPr>
        <w:widowControl w:val="0"/>
        <w:wordWrap/>
        <w:adjustRightInd/>
        <w:snapToGrid/>
        <w:spacing w:after="0" w:line="560" w:lineRule="exact"/>
        <w:ind w:firstLine="640" w:firstLineChars="200"/>
        <w:jc w:val="left"/>
        <w:textAlignment w:val="auto"/>
        <w:rPr>
          <w:rFonts w:ascii="宋体" w:hAnsi="宋体" w:eastAsia="宋体" w:cs="宋体"/>
          <w:b w:val="0"/>
          <w:color w:val="000000"/>
          <w:sz w:val="32"/>
          <w:szCs w:val="32"/>
          <w:u w:val="none" w:color="218FC4"/>
        </w:rPr>
      </w:pPr>
      <w:r>
        <w:rPr>
          <w:rFonts w:hint="eastAsia" w:ascii="仿宋" w:hAnsi="仿宋" w:eastAsia="仿宋" w:cs="仿宋"/>
          <w:b w:val="0"/>
          <w:color w:val="000000"/>
          <w:sz w:val="32"/>
          <w:szCs w:val="32"/>
          <w:u w:val="none" w:color="218FC4"/>
        </w:rPr>
        <w:t>为依法惩治生产、销售伪劣商品犯罪活动，根据刑法有关规定，现就办理这类案件具体应用法律的若干问题解释如下：</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第一条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刑法第一百四十条规定的“在产品中掺杂、掺假”，是指在产品中掺入杂质或者异物，致使产品质量不符合国家法律、法规或者产品明示质量标准规定的质量要求，降低、失去应有使用性能的行为。</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刑法第一百四十条规定的“以假充真”，是指以不具有某种使用性能的产品冒充具有该种使用性能的产品的行为。</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刑法第一百四十条规定的“以次充好”，是指以低等级、低档次产品冒充高等级、高档次产品，或者以残次、废旧零配件组合、拼装后冒充正品或者新产品的行为。</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刑法第一百四十条规定的“不合格产品”，是指不符合《中华人民共和国产品质量法》第二十六条第二款规定的质量要求的产品。</w:t>
      </w:r>
    </w:p>
    <w:p>
      <w:pPr>
        <w:widowControl w:val="0"/>
        <w:wordWrap/>
        <w:adjustRightInd/>
        <w:snapToGrid/>
        <w:spacing w:after="0" w:line="560" w:lineRule="exact"/>
        <w:ind w:firstLine="640" w:firstLineChars="200"/>
        <w:jc w:val="left"/>
        <w:textAlignment w:val="auto"/>
        <w:rPr>
          <w:rFonts w:ascii="宋体" w:hAnsi="宋体" w:eastAsia="宋体" w:cs="宋体"/>
          <w:b w:val="0"/>
          <w:color w:val="000000"/>
          <w:sz w:val="32"/>
          <w:szCs w:val="32"/>
          <w:u w:val="none" w:color="218FC4"/>
        </w:rPr>
      </w:pPr>
      <w:r>
        <w:rPr>
          <w:rFonts w:hint="eastAsia" w:ascii="仿宋" w:hAnsi="仿宋" w:eastAsia="仿宋" w:cs="仿宋"/>
          <w:b w:val="0"/>
          <w:color w:val="000000"/>
          <w:sz w:val="32"/>
          <w:szCs w:val="32"/>
          <w:u w:val="none" w:color="218FC4"/>
        </w:rPr>
        <w:t>对本条规定的上述行为难以确定的，应当委托法律、行政法规规定的产品质量检验机构进行鉴定。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第二条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刑法第一百四十条、第一百四十九条规定的“销售金额”，是指生产者、销售者出售伪劣产品后所得和应得的全部违法收入。</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伪劣产品尚未销售，货值金额达到刑法第一百四十条规定的销售金额三倍以上的，以生产、销售伪劣产品罪（未遂）定罪处罚。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货值金额以违法生产、销售的伪劣产品的标价计算；没有标价的，按照同类合格产品的市场中间价格计算。货值金额难以确定的，按照国家计划委员会、最高人民法院、最高人民检察院、公安部１９９７年４月２２日联合发布的《扣押、追缴、没收物品估价管理办法》的规定，委托指定的估价机构确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多次实施生产、销售伪劣产品行为，未经处理的，伪劣产品的销售金额或者货值金额累计计算。</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 xml:space="preserve">第三条 </w:t>
      </w:r>
      <w:r>
        <w:rPr>
          <w:rFonts w:hint="eastAsia" w:ascii="仿宋" w:hAnsi="仿宋" w:eastAsia="仿宋" w:cs="仿宋"/>
          <w:b w:val="0"/>
          <w:color w:val="000000"/>
          <w:sz w:val="32"/>
          <w:szCs w:val="32"/>
          <w:u w:val="none" w:color="218FC4"/>
        </w:rPr>
        <w:t>经省级以上药品监督管理部门设置或者确定的药品检验机构鉴定，生产、销售的假药具有下列情形之一的，应认定为刑法第一百四十一条规定的“足以严重危害人体健康”：</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（一）含有超标准的有毒有害物质的；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（二）不含所标明的有效成份，可能贻误诊治的；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（三）所标明的适应症或者功能主治超出规定范围，可能造成贻误诊治的；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（四）缺乏所标明的急救必需的有效成份的。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生产、销售的假药被使用后，造成轻伤、重伤或者其他严重后果的，应认定为“对人体健康造成严重危害”。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生产、销售的假药被使用后，致人严重残疾，三人以上重伤、十人以上轻伤或者造成其他特别严重后果的，应认定为“对人体健康造成特别严重危害”。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第四条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经省级以上卫生行政部门确定的机构鉴定，食品中含有可能导致严重食物中毒事故或者其他严重食源性疾患的超标准的有害细菌或者其他污染物的，应认定为刑法第一百四十三条规定的“足以造成严重食物中毒事故或者其他严重食源性疾患”。</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生产、销售不符合卫生标准的食品被食用后，造成轻伤、重伤或者其他严重后果的，应认定为“对人体健康造成严重危害”。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生产、销售不符合卫生标准的食品被食用后，致人死亡、严重残疾、三人以上重伤，十人以上轻伤或者造成其他特别严重后果的。应认定为“后果特别严重”。</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第五条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生产、销售的有毒、有害食品被食用后，造成轻伤、重伤或者其他严重后果的，应认定为刑法第一百四十四条规定的“对人体健康造成严重危害”。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生产、销售的有毒、有害食品被食用后，致人严重残疾、三人以上重伤、十人以上轻伤或者造成其他特别严重后果的，应认定为“对人体健康造成特别严重危害”。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 xml:space="preserve">第六条 </w:t>
      </w:r>
      <w:r>
        <w:rPr>
          <w:rFonts w:hint="eastAsia" w:ascii="仿宋" w:hAnsi="仿宋" w:eastAsia="仿宋" w:cs="仿宋"/>
          <w:b w:val="0"/>
          <w:color w:val="000000"/>
          <w:sz w:val="32"/>
          <w:szCs w:val="32"/>
          <w:u w:val="none" w:color="218FC4"/>
        </w:rPr>
        <w:t>生产、销售不符合标准的医疗器械、医用卫生材料，致人轻伤或者其他严重后果的，应认定为刑法第一百四十五条规定的“对人体健康造成严重危害”。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生产、销售不符合标准的医疗器械、医用卫生材料，造成感染病毒性肝炎等难以治愈的疾病、一人以上重伤、三人以上轻伤或者其他严重后果的，应认定为“后果特别严重”。</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生产、销售不符合标准的医疗器械、医用卫生材料，致人死亡、严重残疾、感染艾滋病、三人以上重伤、十人以上轻伤或者造成其他特别严重后果的，应认定为“情节特别恶劣”。</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医疗机构或者个人，知道或者应当知道是不符合保障人体健康的国家标准、行业标准的医疗器械、医用卫生材料而购买、使用，对人体健康造成严重危害的，以销售不符合标准的医用器材罪定罪处罚。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没有国家标准、行业标准的医疗器械，注册产品标准可视为“保障人体健康的行业标准”。</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第七条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刑法第一百四十七条规定的生产、销售伪劣农药、兽药、化肥、种子罪中“使生产遭受较大损失”，一般以二万元为起点；“重大损失”，一般以十万元为起点；“特别重大损失”，一般以五十万元为起点。</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第八条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国家机关工作人员徇私舞弊，对生产、销售伪劣商品犯罪不履行法律规定的查处职责，具有下列情形之一的，属于刑法第四百一十四条规定的“情节严重”：</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（一）放纵生产、销售假药或者有毒、有害食品犯罪行为的；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（二）放纵依法可能判处二年有期徒刑以上刑罚的生产、销售、伪劣商品犯罪行为的；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（三）对三个以上有生产、销售伪劣商品犯罪行为的单位或者个人不履行追究职责的；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（四）致使国家和人民利益遭受重大损失或者造成恶劣影响的。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第九条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知道或者应当知道他人实施生产、销售伪劣商品犯罪，而为其提供贷款、资金、账号、发票、证明、许可证件，或者提供生产、经营场所或者运输、仓储、保管、邮寄等便利条件，或者提供制假生产技术的，以生产、销售伪劣商品犯罪的共犯论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第十条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实施生产、销售伪劣商品犯罪，同时构成侵犯知识产权、非法经营等其他犯罪的，依照处罚较重的规定定罪处罚。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第十一条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实施刑法第一百四十条至第一百四十八条规定的犯罪，又以暴力、威胁方法抗拒查处，构成其他犯罪的，依照数罪并罚的规定处罚。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第十二条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国家机关工作人员参与生产、销售伪劣商品犯罪的，从重处罚。</w:t>
      </w:r>
    </w:p>
    <w:p>
      <w:pPr>
        <w:pStyle w:val="3"/>
        <w:wordWrap/>
        <w:spacing w:line="560" w:lineRule="exact"/>
        <w:textAlignment w:val="auto"/>
        <w:rPr>
          <w:rFonts w:hint="eastAsia"/>
          <w:sz w:val="32"/>
          <w:szCs w:val="32"/>
        </w:rPr>
      </w:pPr>
    </w:p>
    <w:p>
      <w:pPr>
        <w:widowControl w:val="0"/>
        <w:wordWrap/>
        <w:adjustRightInd/>
        <w:snapToGrid/>
        <w:spacing w:line="560" w:lineRule="exact"/>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firstLine="0"/>
        <w:jc w:val="center"/>
        <w:textAlignment w:val="auto"/>
        <w:outlineLvl w:val="0"/>
        <w:rPr>
          <w:rFonts w:hint="eastAsia" w:ascii="宋体" w:hAnsi="宋体" w:eastAsia="宋体" w:cs="宋体"/>
          <w:b w:val="0"/>
          <w:color w:val="000000"/>
          <w:sz w:val="44"/>
          <w:szCs w:val="44"/>
          <w:u w:val="none" w:color="218FC4"/>
        </w:rPr>
      </w:pPr>
      <w:bookmarkStart w:id="278" w:name="_Toc113"/>
      <w:r>
        <w:rPr>
          <w:rFonts w:hint="eastAsia" w:ascii="宋体" w:hAnsi="宋体" w:eastAsia="宋体" w:cs="宋体"/>
          <w:b w:val="0"/>
          <w:color w:val="000000"/>
          <w:sz w:val="44"/>
          <w:szCs w:val="44"/>
          <w:u w:val="none" w:color="218FC4"/>
        </w:rPr>
        <w:t>最高人民法院</w:t>
      </w:r>
      <w:r>
        <w:rPr>
          <w:rFonts w:hint="eastAsia" w:ascii="宋体" w:hAnsi="宋体" w:eastAsia="宋体" w:cs="宋体"/>
          <w:b w:val="0"/>
          <w:color w:val="000000"/>
          <w:sz w:val="44"/>
          <w:szCs w:val="44"/>
          <w:u w:val="none" w:color="218FC4"/>
          <w:lang w:val="en-US" w:eastAsia="zh-CN"/>
        </w:rPr>
        <w:t xml:space="preserve"> </w:t>
      </w:r>
      <w:r>
        <w:rPr>
          <w:rFonts w:hint="eastAsia" w:ascii="宋体" w:hAnsi="宋体" w:eastAsia="宋体" w:cs="宋体"/>
          <w:b w:val="0"/>
          <w:color w:val="000000"/>
          <w:sz w:val="44"/>
          <w:szCs w:val="44"/>
          <w:u w:val="none" w:color="218FC4"/>
        </w:rPr>
        <w:t>最高人民检察院</w:t>
      </w:r>
      <w:bookmarkEnd w:id="278"/>
    </w:p>
    <w:p>
      <w:pPr>
        <w:widowControl w:val="0"/>
        <w:wordWrap/>
        <w:adjustRightInd/>
        <w:snapToGrid/>
        <w:spacing w:after="0" w:line="560" w:lineRule="exact"/>
        <w:ind w:firstLine="0"/>
        <w:jc w:val="center"/>
        <w:textAlignment w:val="auto"/>
        <w:outlineLvl w:val="0"/>
        <w:rPr>
          <w:rFonts w:hint="eastAsia" w:ascii="宋体" w:hAnsi="宋体" w:eastAsia="宋体" w:cs="宋体"/>
          <w:b w:val="0"/>
          <w:color w:val="000000"/>
          <w:sz w:val="44"/>
          <w:szCs w:val="44"/>
          <w:u w:val="none" w:color="218FC4"/>
        </w:rPr>
      </w:pPr>
      <w:bookmarkStart w:id="279" w:name="_Toc18645"/>
      <w:r>
        <w:rPr>
          <w:rFonts w:hint="eastAsia" w:ascii="宋体" w:hAnsi="宋体" w:eastAsia="宋体" w:cs="宋体"/>
          <w:b w:val="0"/>
          <w:color w:val="000000"/>
          <w:sz w:val="44"/>
          <w:szCs w:val="44"/>
          <w:u w:val="none" w:color="218FC4"/>
        </w:rPr>
        <w:t>关于办理利用信息网络实施诽谤等刑事案件</w:t>
      </w:r>
      <w:bookmarkEnd w:id="279"/>
    </w:p>
    <w:p>
      <w:pPr>
        <w:widowControl w:val="0"/>
        <w:wordWrap/>
        <w:adjustRightInd/>
        <w:snapToGrid/>
        <w:spacing w:after="0" w:line="560" w:lineRule="exact"/>
        <w:ind w:firstLine="0"/>
        <w:jc w:val="center"/>
        <w:textAlignment w:val="auto"/>
        <w:outlineLvl w:val="0"/>
        <w:rPr>
          <w:rFonts w:hint="eastAsia" w:ascii="宋体" w:hAnsi="宋体" w:eastAsia="宋体" w:cs="宋体"/>
          <w:b w:val="0"/>
          <w:color w:val="000000"/>
          <w:sz w:val="44"/>
          <w:szCs w:val="44"/>
          <w:u w:val="none" w:color="218FC4"/>
        </w:rPr>
      </w:pPr>
      <w:bookmarkStart w:id="280" w:name="_Toc7446"/>
      <w:r>
        <w:rPr>
          <w:rFonts w:hint="eastAsia" w:ascii="宋体" w:hAnsi="宋体" w:eastAsia="宋体" w:cs="宋体"/>
          <w:b w:val="0"/>
          <w:color w:val="000000"/>
          <w:sz w:val="44"/>
          <w:szCs w:val="44"/>
          <w:u w:val="none" w:color="218FC4"/>
        </w:rPr>
        <w:t>适用法律若干问题的解释</w:t>
      </w:r>
      <w:bookmarkEnd w:id="280"/>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p>
    <w:p>
      <w:pPr>
        <w:widowControl w:val="0"/>
        <w:wordWrap/>
        <w:adjustRightInd/>
        <w:snapToGrid/>
        <w:spacing w:after="0" w:line="560" w:lineRule="exact"/>
        <w:ind w:left="640" w:leftChars="200" w:right="525" w:rightChars="164" w:firstLine="0" w:firstLineChars="0"/>
        <w:jc w:val="both"/>
        <w:textAlignment w:val="auto"/>
        <w:rPr>
          <w:rFonts w:hint="eastAsia" w:ascii="仿宋" w:hAnsi="仿宋" w:eastAsia="仿宋" w:cs="仿宋"/>
          <w:b w:val="0"/>
          <w:color w:val="000000"/>
          <w:sz w:val="32"/>
          <w:szCs w:val="32"/>
          <w:u w:val="none" w:color="218FC4"/>
        </w:rPr>
      </w:pPr>
      <w:r>
        <w:rPr>
          <w:rFonts w:hint="eastAsia" w:ascii="楷体" w:hAnsi="楷体" w:eastAsia="楷体" w:cs="楷体"/>
          <w:b w:val="0"/>
          <w:color w:val="000000"/>
          <w:sz w:val="32"/>
          <w:szCs w:val="32"/>
          <w:u w:val="none" w:color="218FC4"/>
        </w:rPr>
        <w:t>（2013年9月5日最高人民法院审判委员会第1589次会议、2013年9月2日最高人民检察院第十二届检察委员会第9次会议通过</w:t>
      </w:r>
      <w:r>
        <w:rPr>
          <w:rFonts w:hint="eastAsia" w:ascii="楷体" w:hAnsi="楷体" w:eastAsia="楷体" w:cs="楷体"/>
          <w:b w:val="0"/>
          <w:color w:val="000000"/>
          <w:sz w:val="32"/>
          <w:szCs w:val="32"/>
          <w:u w:val="none" w:color="218FC4"/>
          <w:lang w:val="en-US" w:eastAsia="zh-CN"/>
        </w:rPr>
        <w:t xml:space="preserve"> </w:t>
      </w:r>
      <w:r>
        <w:rPr>
          <w:rFonts w:hint="eastAsia" w:ascii="楷体" w:hAnsi="楷体" w:eastAsia="楷体" w:cs="楷体"/>
          <w:b w:val="0"/>
          <w:color w:val="000000"/>
          <w:sz w:val="32"/>
          <w:szCs w:val="32"/>
          <w:u w:val="none" w:color="218FC4"/>
        </w:rPr>
        <w:t>法释〔2013〕21号）</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　　为保护公民、法人和其他组织的合法权益，维护社会秩序，根据《中华人民共和国刑法》《全国人民代表大会常务委员会关于维护互联网安全的决定》等规定，对办理利用信息网络实施诽谤、寻衅滋事、敲诈勒索、非法经营等刑事案件适用法律的若干问题解释如下：</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第一条</w:t>
      </w:r>
      <w:r>
        <w:rPr>
          <w:rFonts w:hint="eastAsia" w:ascii="仿宋" w:hAnsi="仿宋" w:eastAsia="仿宋" w:cs="仿宋"/>
          <w:b w:val="0"/>
          <w:color w:val="000000"/>
          <w:sz w:val="32"/>
          <w:szCs w:val="32"/>
          <w:u w:val="none" w:color="218FC4"/>
        </w:rPr>
        <w:t xml:space="preserve"> 具有下列情形之一的，应当认定为刑法第二百四十六条第一款规定的“捏造事实诽谤他人”：</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（一）捏造损害他人名誉的事实，在信息网络上散布，或者组织、指使人员在信息网络上散布的；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（二）将信息网络上涉及他人的原始信息内容篡改为损害他人名誉的事实，在信息网络上散布，或者组织、指使人员在信息网络上散布的；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明知是捏造的损害他人名誉的事实，在信息网络上散布，情节恶劣的，以“捏造事实诽谤他人”论。</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第二条</w:t>
      </w:r>
      <w:r>
        <w:rPr>
          <w:rFonts w:hint="eastAsia" w:ascii="仿宋" w:hAnsi="仿宋" w:eastAsia="仿宋" w:cs="仿宋"/>
          <w:b w:val="0"/>
          <w:color w:val="000000"/>
          <w:sz w:val="32"/>
          <w:szCs w:val="32"/>
          <w:u w:val="none" w:color="218FC4"/>
        </w:rPr>
        <w:t xml:space="preserve"> 利用信息网络诽谤他人，具有下列情形之一的，应当认定为刑法第二百四十六条第一款规定的“情节严重”：</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（一）同一诽谤信息实际被点击、浏览次数达到五千次以上，或者被转发次数达到五百次以上的；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（二）造成被害人或者其近亲属精神失常、自残、自杀等严重后果的；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（三）二年内曾因诽谤受过行政处罚，又诽谤他人的；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（四）其他情节严重的情形。</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第三条</w:t>
      </w:r>
      <w:r>
        <w:rPr>
          <w:rFonts w:hint="eastAsia" w:ascii="仿宋" w:hAnsi="仿宋" w:eastAsia="仿宋" w:cs="仿宋"/>
          <w:b w:val="0"/>
          <w:color w:val="000000"/>
          <w:sz w:val="32"/>
          <w:szCs w:val="32"/>
          <w:u w:val="none" w:color="218FC4"/>
        </w:rPr>
        <w:t xml:space="preserve"> 利用信息网络诽谤他人，具有下列情形之一的，应当认定为刑法第二百四十六条第二款规定的“严重危害社会秩序和国家利益”：</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（一）引发群体性事件的；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（二）引发公共秩序混乱的；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（三）引发民族、宗教冲突的；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（四）诽谤多人，造成恶劣社会影响的；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（五）损害国家形象，严重危害国家利益的；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（六）造成恶劣国际影响的；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（七）其他严重危害社会秩序和国家利益的情形。</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第四条</w:t>
      </w:r>
      <w:r>
        <w:rPr>
          <w:rFonts w:hint="eastAsia" w:ascii="仿宋" w:hAnsi="仿宋" w:eastAsia="仿宋" w:cs="仿宋"/>
          <w:b w:val="0"/>
          <w:color w:val="000000"/>
          <w:sz w:val="32"/>
          <w:szCs w:val="32"/>
          <w:u w:val="none" w:color="218FC4"/>
        </w:rPr>
        <w:t xml:space="preserve"> 一年内多次实施利用信息网络诽谤他人行为未经处理，诽谤信息实际被点击、浏览、转发次数累计计算构成犯罪的，应当依法定罪处罚。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第五条</w:t>
      </w:r>
      <w:r>
        <w:rPr>
          <w:rFonts w:hint="eastAsia" w:ascii="仿宋" w:hAnsi="仿宋" w:eastAsia="仿宋" w:cs="仿宋"/>
          <w:b w:val="0"/>
          <w:color w:val="000000"/>
          <w:sz w:val="32"/>
          <w:szCs w:val="32"/>
          <w:u w:val="none" w:color="218FC4"/>
        </w:rPr>
        <w:t xml:space="preserve"> 利用信息网络辱骂、恐吓他人，情节恶劣，破坏社会秩序的，依照刑法第二百九十三条第一款第（二）项的规定，以寻衅滋事罪定罪处罚。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编造虚假信息，或者明知是编造的虚假信息，在信息网络上散布，或者组织、指使人员在信息网络上散布，起哄闹事，造成公共秩序严重混乱的，依照刑法第二百九十三条第一款第（四）项的规定，以寻衅滋事罪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第六条</w:t>
      </w:r>
      <w:r>
        <w:rPr>
          <w:rFonts w:hint="eastAsia" w:ascii="仿宋" w:hAnsi="仿宋" w:eastAsia="仿宋" w:cs="仿宋"/>
          <w:b w:val="0"/>
          <w:color w:val="000000"/>
          <w:sz w:val="32"/>
          <w:szCs w:val="32"/>
          <w:u w:val="none" w:color="218FC4"/>
        </w:rPr>
        <w:t xml:space="preserve"> 以在信息网络上发布、删除等方式处理网络信息为由，威胁、要挟他人，索取公私财物，数额较大，或者多次实施上述行为的，依照刑法第二百七十四条的规定，以敲诈勒索罪定罪处罚。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第七条</w:t>
      </w:r>
      <w:r>
        <w:rPr>
          <w:rFonts w:hint="eastAsia" w:ascii="仿宋" w:hAnsi="仿宋" w:eastAsia="仿宋" w:cs="仿宋"/>
          <w:b w:val="0"/>
          <w:color w:val="000000"/>
          <w:sz w:val="32"/>
          <w:szCs w:val="32"/>
          <w:u w:val="none" w:color="218FC4"/>
        </w:rPr>
        <w:t xml:space="preserve"> 违反国家规定，以营利为目的，通过信息网络有偿提供删除信息服务，或者明知是虚假信息，通过信息网络有偿提供发布信息等服务，扰乱市场秩序，具有下列情形之一的，属于非法经营行为“情节严重”，依照刑法第二百二十五条第（四）项的规定，以非法经营罪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（一）个人非法经营数额在五万元以上，或者违法所得数额在二万元以上的；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（二）单位非法经营数额在十五万元以上，或者违法所得数额在五万元以上的。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实施前款规定的行为，数额达到前款规定的数额五倍以上的，应当认定为刑法第二百二十五条规定的“情节特别严重”。</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第八条</w:t>
      </w:r>
      <w:r>
        <w:rPr>
          <w:rFonts w:hint="eastAsia" w:ascii="仿宋" w:hAnsi="仿宋" w:eastAsia="仿宋" w:cs="仿宋"/>
          <w:b w:val="0"/>
          <w:color w:val="000000"/>
          <w:sz w:val="32"/>
          <w:szCs w:val="32"/>
          <w:u w:val="none" w:color="218FC4"/>
        </w:rPr>
        <w:t xml:space="preserve"> 明知他人利用信息网络实施诽谤、寻衅滋事、敲诈勒索、非法经营等犯罪，为其提供资金、场所、技术支持等帮助的，以共同犯罪论处。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第九条</w:t>
      </w:r>
      <w:r>
        <w:rPr>
          <w:rFonts w:hint="eastAsia" w:ascii="仿宋" w:hAnsi="仿宋" w:eastAsia="仿宋" w:cs="仿宋"/>
          <w:b w:val="0"/>
          <w:color w:val="000000"/>
          <w:sz w:val="32"/>
          <w:szCs w:val="32"/>
          <w:u w:val="none" w:color="218FC4"/>
        </w:rPr>
        <w:t xml:space="preserve"> 利用信息网络实施诽谤、寻衅滋事、敲诈勒索、非法经营犯罪，同时又构成刑法第二百二十一条规定的损害商业信誉、商品声誉罪，第二百七十八条规定的煽动暴力抗拒法律实施罪，第二百九十一条之一规定的编造、故意传播虚假恐怖信息罪等犯罪的，依照处罚较重的规定定罪处罚。</w:t>
      </w:r>
    </w:p>
    <w:p>
      <w:pPr>
        <w:widowControl w:val="0"/>
        <w:wordWrap/>
        <w:adjustRightInd/>
        <w:snapToGrid/>
        <w:spacing w:after="0" w:line="560" w:lineRule="exact"/>
        <w:ind w:firstLine="520"/>
        <w:jc w:val="left"/>
        <w:textAlignment w:val="auto"/>
        <w:rPr>
          <w:rFonts w:hint="eastAsia" w:ascii="宋体" w:hAnsi="宋体" w:eastAsia="宋体" w:cs="Arial"/>
          <w:bCs/>
          <w:sz w:val="44"/>
          <w:szCs w:val="44"/>
        </w:rPr>
      </w:pPr>
      <w:r>
        <w:rPr>
          <w:rFonts w:hint="eastAsia" w:ascii="黑体" w:hAnsi="黑体" w:eastAsia="黑体" w:cs="黑体"/>
          <w:b w:val="0"/>
          <w:color w:val="000000"/>
          <w:sz w:val="32"/>
          <w:szCs w:val="32"/>
          <w:u w:val="none" w:color="218FC4"/>
        </w:rPr>
        <w:t>第十条</w:t>
      </w:r>
      <w:r>
        <w:rPr>
          <w:rFonts w:hint="eastAsia" w:ascii="仿宋" w:hAnsi="仿宋" w:eastAsia="仿宋" w:cs="仿宋"/>
          <w:b w:val="0"/>
          <w:color w:val="000000"/>
          <w:sz w:val="32"/>
          <w:szCs w:val="32"/>
          <w:u w:val="none" w:color="218FC4"/>
        </w:rPr>
        <w:t xml:space="preserve"> 本解释所称信息网络，包括以计算机、电视机、固定电话机、移动电话机等电子设备为终端的计算机互联网、广播电视网、固定通信网、移动通信网等信息网络，以及向公众开放的局域网络。</w:t>
      </w: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b w:val="0"/>
          <w:color w:val="000000"/>
          <w:sz w:val="44"/>
          <w:szCs w:val="44"/>
          <w:u w:val="none" w:color="218FC4"/>
        </w:rPr>
      </w:pPr>
      <w:bookmarkStart w:id="281" w:name="_Toc9784"/>
      <w:r>
        <w:rPr>
          <w:rFonts w:hint="eastAsia" w:ascii="宋体" w:hAnsi="宋体" w:eastAsia="宋体" w:cs="宋体"/>
          <w:b w:val="0"/>
          <w:color w:val="000000"/>
          <w:sz w:val="44"/>
          <w:szCs w:val="44"/>
          <w:u w:val="none" w:color="218FC4"/>
        </w:rPr>
        <w:t>最高人民法院关于审理利用信息网络侵害人身权益民事纠纷案件适用法律若干问题的规定</w:t>
      </w:r>
      <w:bookmarkEnd w:id="281"/>
    </w:p>
    <w:p>
      <w:pPr>
        <w:widowControl w:val="0"/>
        <w:wordWrap/>
        <w:adjustRightInd/>
        <w:snapToGrid/>
        <w:spacing w:after="0" w:line="560" w:lineRule="exact"/>
        <w:ind w:left="640" w:leftChars="200" w:right="525" w:rightChars="164" w:firstLine="0" w:firstLineChars="0"/>
        <w:jc w:val="both"/>
        <w:textAlignment w:val="auto"/>
        <w:rPr>
          <w:rFonts w:hint="eastAsia" w:ascii="楷体" w:hAnsi="楷体" w:eastAsia="楷体" w:cs="楷体"/>
          <w:b w:val="0"/>
          <w:color w:val="000000"/>
          <w:sz w:val="32"/>
          <w:szCs w:val="32"/>
          <w:u w:val="none" w:color="218FC4"/>
        </w:rPr>
      </w:pPr>
    </w:p>
    <w:p>
      <w:pPr>
        <w:widowControl w:val="0"/>
        <w:wordWrap/>
        <w:adjustRightInd/>
        <w:snapToGrid/>
        <w:spacing w:after="0" w:line="560" w:lineRule="exact"/>
        <w:ind w:left="640" w:leftChars="200" w:right="525" w:rightChars="164" w:firstLine="0" w:firstLineChars="0"/>
        <w:jc w:val="both"/>
        <w:textAlignment w:val="auto"/>
        <w:rPr>
          <w:rFonts w:hint="eastAsia" w:ascii="楷体" w:hAnsi="楷体" w:eastAsia="楷体" w:cs="楷体"/>
          <w:b w:val="0"/>
          <w:color w:val="000000"/>
          <w:sz w:val="32"/>
          <w:szCs w:val="32"/>
          <w:u w:val="none" w:color="218FC4"/>
        </w:rPr>
      </w:pPr>
      <w:r>
        <w:rPr>
          <w:rFonts w:hint="eastAsia" w:ascii="楷体" w:hAnsi="楷体" w:eastAsia="楷体" w:cs="楷体"/>
          <w:b w:val="0"/>
          <w:color w:val="000000"/>
          <w:sz w:val="32"/>
          <w:szCs w:val="32"/>
          <w:u w:val="none" w:color="218FC4"/>
        </w:rPr>
        <w:t>（2014年6月23日最高人民法院审判委员会第1621次会议通过</w:t>
      </w:r>
      <w:r>
        <w:rPr>
          <w:rFonts w:hint="eastAsia" w:ascii="楷体" w:hAnsi="楷体" w:eastAsia="楷体" w:cs="楷体"/>
          <w:b w:val="0"/>
          <w:color w:val="000000"/>
          <w:sz w:val="32"/>
          <w:szCs w:val="32"/>
          <w:u w:val="none" w:color="218FC4"/>
          <w:lang w:val="en-US" w:eastAsia="zh-CN"/>
        </w:rPr>
        <w:t xml:space="preserve"> </w:t>
      </w:r>
      <w:r>
        <w:rPr>
          <w:rFonts w:hint="eastAsia" w:ascii="楷体" w:hAnsi="楷体" w:eastAsia="楷体" w:cs="楷体"/>
          <w:b w:val="0"/>
          <w:color w:val="000000"/>
          <w:sz w:val="32"/>
          <w:szCs w:val="32"/>
          <w:u w:val="none" w:color="218FC4"/>
        </w:rPr>
        <w:t>法释〔2014〕11号）</w:t>
      </w:r>
    </w:p>
    <w:p>
      <w:pPr>
        <w:widowControl w:val="0"/>
        <w:wordWrap/>
        <w:adjustRightInd/>
        <w:snapToGrid/>
        <w:spacing w:line="560" w:lineRule="exact"/>
        <w:textAlignment w:val="auto"/>
        <w:rPr>
          <w:rFonts w:hint="eastAsia" w:ascii="仿宋" w:hAnsi="仿宋" w:eastAsia="仿宋" w:cs="仿宋"/>
          <w:b w:val="0"/>
          <w:color w:val="000000"/>
          <w:sz w:val="32"/>
          <w:szCs w:val="32"/>
          <w:u w:val="none" w:color="218FC4"/>
        </w:rPr>
      </w:pPr>
    </w:p>
    <w:p>
      <w:pPr>
        <w:widowControl w:val="0"/>
        <w:wordWrap/>
        <w:adjustRightInd/>
        <w:snapToGrid/>
        <w:spacing w:line="560" w:lineRule="exac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　　为正确审理利用信息网络侵害人身权益民事纠纷案件，根据《中华人民共和国民法通则》《中华人民共和国侵权责任法》《全国人民代表大会常务委员会关于加强网络信息保护的决定》《中华人民共和国民事诉讼法》等法律的规定，结合审判实践，制定本规定。</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第一条</w:t>
      </w:r>
      <w:r>
        <w:rPr>
          <w:rFonts w:hint="eastAsia" w:ascii="仿宋" w:hAnsi="仿宋" w:eastAsia="仿宋" w:cs="仿宋"/>
          <w:b w:val="0"/>
          <w:color w:val="000000"/>
          <w:sz w:val="32"/>
          <w:szCs w:val="32"/>
          <w:u w:val="none" w:color="218FC4"/>
        </w:rPr>
        <w:t xml:space="preserve"> 本规定所称的利用信息网络侵害人身权益民事纠纷案件，是指利用信息网络侵害他人姓名权、名称权、名誉权、荣誉权、肖像权、隐私权等人身权益引起的纠纷案件。</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第二条</w:t>
      </w:r>
      <w:r>
        <w:rPr>
          <w:rFonts w:hint="eastAsia" w:ascii="仿宋" w:hAnsi="仿宋" w:eastAsia="仿宋" w:cs="仿宋"/>
          <w:b w:val="0"/>
          <w:color w:val="000000"/>
          <w:sz w:val="32"/>
          <w:szCs w:val="32"/>
          <w:u w:val="none" w:color="218FC4"/>
        </w:rPr>
        <w:t xml:space="preserve"> 利用信息网络侵害人身权益提起的诉讼，由侵权行为地或者被告住所地人民法院管辖。</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侵权行为实施地包括实施被诉侵权行为的计算机等终端设备所在地，侵权结果发生地包括被侵权人住所地。</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第三条</w:t>
      </w:r>
      <w:r>
        <w:rPr>
          <w:rFonts w:hint="eastAsia" w:ascii="仿宋" w:hAnsi="仿宋" w:eastAsia="仿宋" w:cs="仿宋"/>
          <w:b w:val="0"/>
          <w:color w:val="000000"/>
          <w:sz w:val="32"/>
          <w:szCs w:val="32"/>
          <w:u w:val="none" w:color="218FC4"/>
        </w:rPr>
        <w:t xml:space="preserve"> 原告依据侵权责任法第三十六条第二款、第三款的规定起诉网络用户或者网络服务提供者的，人民法院应予受理。</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原告仅起诉网络用户，网络用户请求追加涉嫌侵权的网络服务提供者为共同被告或者第三人的，人民法院应予准许。</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原告仅起诉网络服务提供者，网络服务提供者请求追加可以确定的网络用户为共同被告或者第三人的，人民法院应予准许。</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第四条</w:t>
      </w:r>
      <w:r>
        <w:rPr>
          <w:rFonts w:hint="eastAsia" w:ascii="仿宋" w:hAnsi="仿宋" w:eastAsia="仿宋" w:cs="仿宋"/>
          <w:b w:val="0"/>
          <w:color w:val="000000"/>
          <w:sz w:val="32"/>
          <w:szCs w:val="32"/>
          <w:u w:val="none" w:color="218FC4"/>
        </w:rPr>
        <w:t xml:space="preserve"> 原告起诉网络服务提供者，网络服务提供者以涉嫌侵权的信息系网络用户发布为由抗辩的，人民法院可以根据原告的请求及案件的具体情况，责令网络服务提供者向人民法院提供能够确定涉嫌侵权的网络用户的姓名（名称）、联系方式、网络地址等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网络服务提供者无正当理由拒不提供的，人民法院可以依据民事诉讼法第一百一十四条的规定对网络服务提供者采取处罚等措施。</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原告根据网络服务提供者提供的信息请求追加网络用户为被告的，人民法院应予准许。</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第五条</w:t>
      </w:r>
      <w:r>
        <w:rPr>
          <w:rFonts w:hint="eastAsia" w:ascii="仿宋" w:hAnsi="仿宋" w:eastAsia="仿宋" w:cs="仿宋"/>
          <w:b w:val="0"/>
          <w:color w:val="000000"/>
          <w:sz w:val="32"/>
          <w:szCs w:val="32"/>
          <w:u w:val="none" w:color="218FC4"/>
        </w:rPr>
        <w:t xml:space="preserve"> 依据侵权责任法第三十六条第二款的规定，被侵权人以书面形式或者网络服务提供者公示的方式向网络服务提供者发出的通知，包含下列内容的，人民法院应当认定有效：</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（一）通知人的姓名（名称）和联系方式；</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（二）要求采取必要措施的网络地址或者足以准确定位侵权内容的相关信息；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（三）通知人要求删除相关信息的理由。</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被侵权人发送的通知未满足上述条件，网络服务提供者主张免除责任的，人民法院应予支持。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第六条</w:t>
      </w:r>
      <w:r>
        <w:rPr>
          <w:rFonts w:hint="eastAsia" w:ascii="仿宋" w:hAnsi="仿宋" w:eastAsia="仿宋" w:cs="仿宋"/>
          <w:b w:val="0"/>
          <w:color w:val="000000"/>
          <w:sz w:val="32"/>
          <w:szCs w:val="32"/>
          <w:u w:val="none" w:color="218FC4"/>
        </w:rPr>
        <w:t xml:space="preserve"> 人民法院适用侵权责任法第三十六条第二款的规定，认定网络服务提供者采取的删除、屏蔽、断开链接等必要措施是否及时，应当根据网络服务的性质、有效通知的形式和准确程度，网络信息侵害权益的类型和程度等因素综合判断。</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第七条</w:t>
      </w:r>
      <w:r>
        <w:rPr>
          <w:rFonts w:hint="eastAsia" w:ascii="仿宋" w:hAnsi="仿宋" w:eastAsia="仿宋" w:cs="仿宋"/>
          <w:b w:val="0"/>
          <w:color w:val="000000"/>
          <w:sz w:val="32"/>
          <w:szCs w:val="32"/>
          <w:u w:val="none" w:color="218FC4"/>
        </w:rPr>
        <w:t xml:space="preserve"> 其发布的信息被采取删除、屏蔽、断开链接等措施的网络用户，主张网络服务提供者承担违约责任或者侵权责任，网络服务提供者以收到通知为由抗辩的，人民法院应予支持。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被采取删除、屏蔽、断开链接等措施的网络用户，请求网络服务提供者提供通知内容的，人民法院应予支持。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第八条</w:t>
      </w:r>
      <w:r>
        <w:rPr>
          <w:rFonts w:hint="eastAsia" w:ascii="仿宋" w:hAnsi="仿宋" w:eastAsia="仿宋" w:cs="仿宋"/>
          <w:b w:val="0"/>
          <w:color w:val="000000"/>
          <w:sz w:val="32"/>
          <w:szCs w:val="32"/>
          <w:u w:val="none" w:color="218FC4"/>
        </w:rPr>
        <w:t xml:space="preserve"> 因通知人的通知导致网络服务提供者错误采取删除、屏蔽、断开链接等措施，被采取措施的网络用户请求通知人承担侵权责任的，人民法院应予支持。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被错误采取措施的网络用户请求网络服务提供者采取相应恢复措施的，人民法院应予支持，但受技术条件限制无法恢复的除外。</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第九条</w:t>
      </w:r>
      <w:r>
        <w:rPr>
          <w:rFonts w:hint="eastAsia" w:ascii="仿宋" w:hAnsi="仿宋" w:eastAsia="仿宋" w:cs="仿宋"/>
          <w:b w:val="0"/>
          <w:color w:val="000000"/>
          <w:sz w:val="32"/>
          <w:szCs w:val="32"/>
          <w:u w:val="none" w:color="218FC4"/>
        </w:rPr>
        <w:t xml:space="preserve"> 人民法院依据侵权责任法第三十六条第三款认定网络服务提供者是否“知道”，应当综合考虑下列因素：</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（一）网络服务提供者是否以人工或者自动方式对侵权网络信息以推荐、排名、选择、编辑、整理、修改等方式作出处理；</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（二）网络服务提供者应当具备的管理信息的能力，以及所提供服务的性质、方式及其引发侵权的可能性大小；</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（三）该网络信息侵害人身权益的类型及明显程度；</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（四）该网络信息的社会影响程度或者一定时间内的浏览量；</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（五）网络服务提供者采取预防侵权措施的技术可能性及其是否采取了相应的合理措施；</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（六）网络服务提供者是否针对同一网络用户的重复侵权行为或者同一侵权信息采取了相应的合理措施；</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（七）与本案相关的其他因素。</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第十条</w:t>
      </w:r>
      <w:r>
        <w:rPr>
          <w:rFonts w:hint="eastAsia" w:ascii="仿宋" w:hAnsi="仿宋" w:eastAsia="仿宋" w:cs="仿宋"/>
          <w:b w:val="0"/>
          <w:color w:val="000000"/>
          <w:sz w:val="32"/>
          <w:szCs w:val="32"/>
          <w:u w:val="none" w:color="218FC4"/>
        </w:rPr>
        <w:t xml:space="preserve"> 人民法院认定网络用户或者网络服务提供者转载网络信息行为的过错及其程度，应当综合以下因素：</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（一）转载主体所承担的与其性质、影响范围相适应的注意义务；</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（二）所转载信息侵害他人人身权益的明显程度；</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（三）对所转载信息是否作出实质性修改，是否添加或者修改文章标题，导致其与内容严重不符以及误导公众的可能性。</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第十一条</w:t>
      </w:r>
      <w:r>
        <w:rPr>
          <w:rFonts w:hint="eastAsia" w:ascii="仿宋" w:hAnsi="仿宋" w:eastAsia="仿宋" w:cs="仿宋"/>
          <w:b w:val="0"/>
          <w:color w:val="000000"/>
          <w:sz w:val="32"/>
          <w:szCs w:val="32"/>
          <w:u w:val="none" w:color="218FC4"/>
        </w:rPr>
        <w:t xml:space="preserve"> 网络用户或者网络服务提供者采取诽谤、诋毁等手段，损害公众对经营主体的信赖，降低其产品或者服务的社会评价，经营主体请求网络用户或者网络服务提供者承担侵权责任的，人民法院应依法予以支持。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第十二条</w:t>
      </w:r>
      <w:r>
        <w:rPr>
          <w:rFonts w:hint="eastAsia" w:ascii="仿宋" w:hAnsi="仿宋" w:eastAsia="仿宋" w:cs="仿宋"/>
          <w:b w:val="0"/>
          <w:color w:val="000000"/>
          <w:sz w:val="32"/>
          <w:szCs w:val="32"/>
          <w:u w:val="none" w:color="218FC4"/>
        </w:rPr>
        <w:t xml:space="preserve"> 网络用户或者网络服务提供者利用网络公开自然人基因信息、病历资料、健康检查资料、犯罪记录、家庭住址、私人活动等个人隐私和其他个人信息，造成他人损害，被侵权人请求其承担侵权责任的，人民法院应予支持。但下列情形除外：</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（一）经自然人书面同意且在约定范围内公开；</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（二）为促进社会公共利益且在必要范围内；</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（三）学校、科研机构等基于公共利益为学术研究或者统计的目的，经自然人书面同意，且公开的方式不足以识别特定自然人；</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（四）自然人自行在网络上公开的信息或者其他已合法公开的个人信息；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（五）以合法渠道获取的个人信息；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（六）法律或者行政法规另有规定。</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网络用户或者网络服务提供者以违反社会公共利益、社会公德的方式公开前款第四项、第五项规定的个人信息，或者公开该信息侵害权利人值得保护的重大利益，权利人请求网络用户或者网络服务提供者承担侵权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国家机关行使职权公开个人信息的，不适用本条规定。</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第十三条</w:t>
      </w:r>
      <w:r>
        <w:rPr>
          <w:rFonts w:hint="eastAsia" w:ascii="仿宋" w:hAnsi="仿宋" w:eastAsia="仿宋" w:cs="仿宋"/>
          <w:b w:val="0"/>
          <w:color w:val="000000"/>
          <w:sz w:val="32"/>
          <w:szCs w:val="32"/>
          <w:u w:val="none" w:color="218FC4"/>
        </w:rPr>
        <w:t xml:space="preserve"> 网络用户或者网络服务提供者，根据国家机关依职权制作的文书和公开实施的职权行为等信息来源所发布的信息，有下列情形之一，侵害他人人身权益，被侵权人请求侵权人承担侵权责任的，人民法院应予支持：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（一）网络用户或者网络服务提供者发布的信息与前述信息来源内容不符；</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（二）网络用户或者网络服务提供者以添加侮辱性内容、诽谤性信息、不当标题或者通过增删信息、调整结构、改变顺序等方式致人误解；</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（三）前述信息来源已被公开更正，但网络用户拒绝更正或者网络服务提供者不予更正；</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（四）前述信息来源已被公开更正，网络用户或者网络服务提供者仍然发布更正之前的信息。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第十四条</w:t>
      </w:r>
      <w:r>
        <w:rPr>
          <w:rFonts w:hint="eastAsia" w:ascii="仿宋" w:hAnsi="仿宋" w:eastAsia="仿宋" w:cs="仿宋"/>
          <w:b w:val="0"/>
          <w:color w:val="000000"/>
          <w:sz w:val="32"/>
          <w:szCs w:val="32"/>
          <w:u w:val="none" w:color="218FC4"/>
        </w:rPr>
        <w:t xml:space="preserve"> 被侵权人与构成侵权的网络用户或者网络服务提供者达成一方支付报酬，另一方提供删除、屏蔽、断开链接等服务的协议，人民法院应认定为无效。</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擅自篡改、删除、屏蔽特定网络信息或者以断开链接的方式阻止他人获取网络信息，发布该信息的网络用户或者网络服务提供者请求侵权人承担侵权责任的，人民法院应予支持。接受他人委托实施该行为的，委托人与受托人承担连带责任。</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第十五条</w:t>
      </w:r>
      <w:r>
        <w:rPr>
          <w:rFonts w:hint="eastAsia" w:ascii="仿宋" w:hAnsi="仿宋" w:eastAsia="仿宋" w:cs="仿宋"/>
          <w:b w:val="0"/>
          <w:color w:val="000000"/>
          <w:sz w:val="32"/>
          <w:szCs w:val="32"/>
          <w:u w:val="none" w:color="218FC4"/>
        </w:rPr>
        <w:t xml:space="preserve"> 雇佣、组织、教唆或者帮助他人发布、转发网络信息侵害他人人身权益，被侵权人请求行为人承担连带责任的，人民法院应予支持。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第十六条</w:t>
      </w:r>
      <w:r>
        <w:rPr>
          <w:rFonts w:hint="eastAsia" w:ascii="仿宋" w:hAnsi="仿宋" w:eastAsia="仿宋" w:cs="仿宋"/>
          <w:b w:val="0"/>
          <w:color w:val="000000"/>
          <w:sz w:val="32"/>
          <w:szCs w:val="32"/>
          <w:u w:val="none" w:color="218FC4"/>
        </w:rPr>
        <w:t xml:space="preserve"> 人民法院判决侵权人承担赔礼道歉、消除影响或者恢复名誉等责任形式的，应当与侵权的具体方式和所造成的影响范围相当。侵权人拒不履行的，人民法院可以采取在网络上发布公告或者公布裁判文书等合理的方式执行，由此产生的费用由侵权人承担。</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第十七条</w:t>
      </w:r>
      <w:r>
        <w:rPr>
          <w:rFonts w:hint="eastAsia" w:ascii="仿宋" w:hAnsi="仿宋" w:eastAsia="仿宋" w:cs="仿宋"/>
          <w:b w:val="0"/>
          <w:color w:val="000000"/>
          <w:sz w:val="32"/>
          <w:szCs w:val="32"/>
          <w:u w:val="none" w:color="218FC4"/>
        </w:rPr>
        <w:t xml:space="preserve"> 网络用户或者网络服务提供者侵害他人人身权益，造成财产损失或者严重精神损害，被侵权人依据侵权责任法第二十条和第二十二条的规定请求其承担赔偿责任的，人民法院应予支持。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第十八条</w:t>
      </w:r>
      <w:r>
        <w:rPr>
          <w:rFonts w:hint="eastAsia" w:ascii="仿宋" w:hAnsi="仿宋" w:eastAsia="仿宋" w:cs="仿宋"/>
          <w:b w:val="0"/>
          <w:color w:val="000000"/>
          <w:sz w:val="32"/>
          <w:szCs w:val="32"/>
          <w:u w:val="none" w:color="218FC4"/>
        </w:rPr>
        <w:t xml:space="preserve"> 被侵权人为制止侵权行为所支付的合理开支，可以认定为侵权责任法第二十条规定的财产损失。合理开支包括被侵权人或者委托代理人对侵权行为进行调查、取证的合理费用。人民法院根据当事人的请求和具体案情，可以将符合国家有关部门规定的律师费用计算在赔偿范围内。</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被侵权人因人身权益受侵害造成的财产损失或者侵权人因此获得的利益无法确定的，人民法院可以根据具体案情在50万元以下的范围内确定赔偿数额。</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精神损害的赔偿数额，依据《最高人民法院关于确定民事侵权精神损害赔偿责任若干问题的解释》第十条的规定予以确定。</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第十九条</w:t>
      </w:r>
      <w:r>
        <w:rPr>
          <w:rFonts w:hint="eastAsia" w:ascii="仿宋" w:hAnsi="仿宋" w:eastAsia="仿宋" w:cs="仿宋"/>
          <w:b w:val="0"/>
          <w:color w:val="000000"/>
          <w:sz w:val="32"/>
          <w:szCs w:val="32"/>
          <w:u w:val="none" w:color="218FC4"/>
        </w:rPr>
        <w:t xml:space="preserve"> 本规定施行后人民法院正在审理的一审、二审案件适用本规定。</w:t>
      </w:r>
    </w:p>
    <w:p>
      <w:pPr>
        <w:widowControl w:val="0"/>
        <w:wordWrap/>
        <w:adjustRightInd/>
        <w:snapToGrid/>
        <w:spacing w:line="560" w:lineRule="exact"/>
        <w:ind w:firstLine="640" w:firstLineChars="200"/>
        <w:textAlignment w:val="auto"/>
        <w:rPr>
          <w:rFonts w:hint="eastAsia" w:ascii="宋体" w:hAnsi="宋体" w:eastAsia="宋体" w:cs="Arial"/>
          <w:bCs/>
          <w:sz w:val="44"/>
          <w:szCs w:val="44"/>
        </w:rPr>
      </w:pPr>
      <w:r>
        <w:rPr>
          <w:rFonts w:hint="eastAsia" w:ascii="仿宋" w:hAnsi="仿宋" w:eastAsia="仿宋" w:cs="仿宋"/>
          <w:b w:val="0"/>
          <w:color w:val="000000"/>
          <w:sz w:val="32"/>
          <w:szCs w:val="32"/>
          <w:u w:val="none" w:color="218FC4"/>
        </w:rPr>
        <w:t>本规定施行前已经终审，本规定施行后当事人申请再审或者按照审判监督程序决定再审的案件，不适用本规定。</w:t>
      </w:r>
      <w:r>
        <w:rPr>
          <w:rFonts w:hint="eastAsia" w:ascii="仿宋" w:hAnsi="仿宋" w:eastAsia="仿宋" w:cs="仿宋"/>
          <w:b w:val="0"/>
          <w:color w:val="000000"/>
          <w:sz w:val="32"/>
          <w:szCs w:val="32"/>
          <w:u w:val="none" w:color="218FC4"/>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i w:val="0"/>
          <w:caps w:val="0"/>
          <w:color w:val="2F2F2F"/>
          <w:spacing w:val="0"/>
          <w:sz w:val="44"/>
          <w:szCs w:val="44"/>
          <w:shd w:val="clear" w:color="080000" w:fill="FFFFFF"/>
        </w:rPr>
      </w:pPr>
      <w:bookmarkStart w:id="282" w:name="_Toc3727"/>
      <w:r>
        <w:rPr>
          <w:rStyle w:val="23"/>
          <w:rFonts w:hint="eastAsia" w:ascii="宋体" w:hAnsi="宋体" w:eastAsia="宋体" w:cs="宋体"/>
          <w:i w:val="0"/>
          <w:caps w:val="0"/>
          <w:color w:val="2F2F2F"/>
          <w:spacing w:val="0"/>
          <w:sz w:val="44"/>
          <w:szCs w:val="44"/>
          <w:shd w:val="clear" w:color="080000" w:fill="FFFFFF"/>
        </w:rPr>
        <w:t>最高人民法院 最高人民检察院 公安部 司法部关于依法惩治妨害新型冠状病毒感染肺炎</w:t>
      </w:r>
      <w:bookmarkEnd w:id="282"/>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i w:val="0"/>
          <w:caps w:val="0"/>
          <w:color w:val="2F2F2F"/>
          <w:spacing w:val="0"/>
          <w:sz w:val="44"/>
          <w:szCs w:val="44"/>
          <w:shd w:val="clear" w:color="080000" w:fill="FFFFFF"/>
        </w:rPr>
      </w:pPr>
      <w:bookmarkStart w:id="283" w:name="_Toc18948"/>
      <w:r>
        <w:rPr>
          <w:rStyle w:val="23"/>
          <w:rFonts w:hint="eastAsia" w:ascii="宋体" w:hAnsi="宋体" w:eastAsia="宋体" w:cs="宋体"/>
          <w:i w:val="0"/>
          <w:caps w:val="0"/>
          <w:color w:val="2F2F2F"/>
          <w:spacing w:val="0"/>
          <w:sz w:val="44"/>
          <w:szCs w:val="44"/>
          <w:shd w:val="clear" w:color="080000" w:fill="FFFFFF"/>
        </w:rPr>
        <w:t>疫情防控违法犯罪的意见</w:t>
      </w:r>
      <w:bookmarkEnd w:id="283"/>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i w:val="0"/>
          <w:caps w:val="0"/>
          <w:color w:val="2F2F2F"/>
          <w:spacing w:val="0"/>
          <w:sz w:val="32"/>
          <w:szCs w:val="32"/>
          <w:shd w:val="clear" w:color="080000" w:fill="FFFFFF"/>
        </w:rPr>
      </w:pP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Autospacing="0" w:line="560" w:lineRule="exact"/>
        <w:ind w:left="0" w:right="0" w:firstLine="0"/>
        <w:jc w:val="center"/>
        <w:textAlignment w:val="auto"/>
        <w:rPr>
          <w:rFonts w:hint="eastAsia" w:ascii="楷体" w:hAnsi="楷体" w:eastAsia="楷体" w:cs="楷体"/>
          <w:i w:val="0"/>
          <w:caps w:val="0"/>
          <w:color w:val="2F2F2F"/>
          <w:spacing w:val="0"/>
          <w:sz w:val="32"/>
          <w:szCs w:val="32"/>
        </w:rPr>
      </w:pPr>
      <w:r>
        <w:rPr>
          <w:rFonts w:hint="eastAsia" w:ascii="楷体" w:hAnsi="楷体" w:eastAsia="楷体" w:cs="楷体"/>
          <w:i w:val="0"/>
          <w:caps w:val="0"/>
          <w:color w:val="2F2F2F"/>
          <w:spacing w:val="0"/>
          <w:kern w:val="0"/>
          <w:sz w:val="32"/>
          <w:szCs w:val="32"/>
          <w:shd w:val="clear" w:color="080000" w:fill="FFFFFF"/>
          <w:lang w:val="en-US" w:eastAsia="zh-CN"/>
        </w:rPr>
        <w:t>法发〔2020〕7号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i w:val="0"/>
          <w:caps w:val="0"/>
          <w:color w:val="2F2F2F"/>
          <w:spacing w:val="0"/>
          <w:sz w:val="32"/>
          <w:szCs w:val="32"/>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为依法惩治妨害新型冠状病毒感染肺炎疫情防控违法犯罪行为，保障人民群众生命安全和身体健康，保障社会安定有序，保障疫情防控工作顺利开展，根据有关法律、司法解释的规定，制定本意见。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黑体" w:hAnsi="黑体" w:eastAsia="黑体" w:cs="黑体"/>
          <w:i w:val="0"/>
          <w:caps w:val="0"/>
          <w:color w:val="2F2F2F"/>
          <w:spacing w:val="0"/>
          <w:sz w:val="32"/>
          <w:szCs w:val="32"/>
        </w:rPr>
      </w:pPr>
      <w:r>
        <w:rPr>
          <w:rStyle w:val="23"/>
          <w:rFonts w:hint="eastAsia" w:ascii="黑体" w:hAnsi="黑体" w:eastAsia="黑体" w:cs="黑体"/>
          <w:i w:val="0"/>
          <w:caps w:val="0"/>
          <w:color w:val="2F2F2F"/>
          <w:spacing w:val="0"/>
          <w:sz w:val="32"/>
          <w:szCs w:val="32"/>
          <w:shd w:val="clear" w:color="080000" w:fill="FFFFFF"/>
        </w:rPr>
        <w:t>　　</w:t>
      </w:r>
      <w:r>
        <w:rPr>
          <w:rStyle w:val="23"/>
          <w:rFonts w:hint="eastAsia" w:ascii="黑体" w:hAnsi="黑体" w:eastAsia="黑体" w:cs="黑体"/>
          <w:b w:val="0"/>
          <w:bCs w:val="0"/>
          <w:i w:val="0"/>
          <w:caps w:val="0"/>
          <w:color w:val="2F2F2F"/>
          <w:spacing w:val="0"/>
          <w:sz w:val="32"/>
          <w:szCs w:val="32"/>
          <w:shd w:val="clear" w:color="0A0000" w:fill="FFFFFF"/>
        </w:rPr>
        <w:t>一、提高政治站位，充分认识疫情防控时期维护社会大局稳定的重大意义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各级人民法院、人民检察院、公安机关、司法行政机关要切实把思想和行动统一到习近平总书记关于新型冠状病毒感染肺炎疫情防控工作的系列重要指示精神上来，坚决贯彻落实党中央决策部署、中央应对新型冠状病毒感染肺炎疫情工作领导小组工作安排，按照中央政法委要求，增强“四个意识”、坚定“四个自信”、做到“两个维护”，始终将人民群众的生命安全和身体健康放在第一位，坚决把疫情防控作为当前压倒一切的头等大事来抓，用足用好法律规定，依法及时、从严惩治妨害疫情防控的各类违法犯罪，为坚决打赢疫情防控阻击战提供有力法治保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2F2F2F"/>
          <w:spacing w:val="0"/>
          <w:sz w:val="32"/>
          <w:szCs w:val="32"/>
          <w:shd w:val="clear" w:color="080000" w:fill="FFFFFF"/>
        </w:rPr>
      </w:pPr>
      <w:r>
        <w:rPr>
          <w:rStyle w:val="23"/>
          <w:rFonts w:hint="eastAsia" w:ascii="黑体" w:hAnsi="黑体" w:eastAsia="黑体" w:cs="黑体"/>
          <w:i w:val="0"/>
          <w:caps w:val="0"/>
          <w:color w:val="2F2F2F"/>
          <w:spacing w:val="0"/>
          <w:sz w:val="32"/>
          <w:szCs w:val="32"/>
          <w:shd w:val="clear" w:color="080000" w:fill="FFFFFF"/>
        </w:rPr>
        <w:t>　　</w:t>
      </w:r>
      <w:r>
        <w:rPr>
          <w:rStyle w:val="23"/>
          <w:rFonts w:hint="eastAsia" w:ascii="黑体" w:hAnsi="黑体" w:eastAsia="黑体" w:cs="黑体"/>
          <w:b w:val="0"/>
          <w:bCs w:val="0"/>
          <w:i w:val="0"/>
          <w:caps w:val="0"/>
          <w:color w:val="2F2F2F"/>
          <w:spacing w:val="0"/>
          <w:sz w:val="32"/>
          <w:szCs w:val="32"/>
          <w:shd w:val="clear" w:color="0A0000" w:fill="FFFFFF"/>
        </w:rPr>
        <w:t>二、准确适用法律，依法严惩妨害疫情防控的各类违法犯罪</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（一）依法严惩抗拒疫情防控措施犯罪。</w:t>
      </w:r>
      <w:r>
        <w:rPr>
          <w:rFonts w:hint="eastAsia" w:ascii="仿宋" w:hAnsi="仿宋" w:eastAsia="仿宋" w:cs="仿宋"/>
          <w:i w:val="0"/>
          <w:caps w:val="0"/>
          <w:color w:val="2F2F2F"/>
          <w:spacing w:val="0"/>
          <w:sz w:val="32"/>
          <w:szCs w:val="32"/>
          <w:shd w:val="clear" w:color="070000" w:fill="FFFFFF"/>
        </w:rPr>
        <w:t>故意传播新型冠状病毒感染肺炎病原体，具有下列情形之一，危害公共安全的，依照刑法第一百一十四条、第一百一十五条第一款的规定，以以危险方法危害公共安全罪定罪处罚：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1.已经确诊的新型冠状病毒感染肺炎病人、病原携带者，拒绝隔离治疗或者隔离期未满擅自脱离隔离治疗，并进入公共场所或者公共交通工具的；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2.新型冠状病毒感染肺炎疑似病人拒绝隔离治疗或者隔离期未满擅自脱离隔离治疗，并进入公共场所或者公共交通工具，造成新型冠状病毒传播的。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其他拒绝执行卫生防疫机构依照传染病防治法提出的防控措施，引起新型冠状病毒传播或者有传播严重危险的，依照刑法第三百三十条的规定，以妨害传染病防治罪定罪处罚。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以暴力、威胁方法阻碍国家机关工作人员（含在依照法律、法规规定行使国家有关疫情防控行政管理职权的组织中从事公务的人员，在受国家机关委托代表国家机关行使疫情防控职权的组织中从事公务的人员，虽未列入国家机关人员编制但在国家机关中从事疫情防控公务的人员）依法履行为防控疫情而采取的防疫、检疫、强制隔离、隔离治疗等措施的，依照刑法第二百七十七条第一款、第三款的规定，以妨害公务罪定罪处罚。暴力袭击正在依法执行职务的人民警察的，以妨害公务罪定罪，从重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（二）依法严惩暴力伤医犯罪。</w:t>
      </w:r>
      <w:r>
        <w:rPr>
          <w:rFonts w:hint="eastAsia" w:ascii="仿宋" w:hAnsi="仿宋" w:eastAsia="仿宋" w:cs="仿宋"/>
          <w:i w:val="0"/>
          <w:caps w:val="0"/>
          <w:color w:val="2F2F2F"/>
          <w:spacing w:val="0"/>
          <w:sz w:val="32"/>
          <w:szCs w:val="32"/>
          <w:shd w:val="clear" w:color="070000" w:fill="FFFFFF"/>
        </w:rPr>
        <w:t>在疫情防控期间，故意伤害医务人员造成轻伤以上的严重后果，或者对医务人员实施撕扯防护装备、吐口水等行为，致使医务人员感染新型冠状病毒的，依照刑法第二百三十四条的规定，以故意伤害罪定罪处罚。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随意殴打医务人员，情节恶劣的，依照刑法第二百九十三条的规定，以寻衅滋事罪定罪处罚。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采取暴力或者其他方法公然侮辱、恐吓医务人员，符合刑法第二百四十六条、第二百九十三条规定的，以侮辱罪或者寻衅滋事罪定罪处罚。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以不准离开工作场所等方式非法限制医务人员人身自由，符合刑法第二百三十八条规定的，以非法拘禁罪定罪处罚。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（三）依法严惩制假售假犯罪。</w:t>
      </w:r>
      <w:r>
        <w:rPr>
          <w:rFonts w:hint="eastAsia" w:ascii="仿宋" w:hAnsi="仿宋" w:eastAsia="仿宋" w:cs="仿宋"/>
          <w:i w:val="0"/>
          <w:caps w:val="0"/>
          <w:color w:val="2F2F2F"/>
          <w:spacing w:val="0"/>
          <w:sz w:val="32"/>
          <w:szCs w:val="32"/>
          <w:shd w:val="clear" w:color="070000" w:fill="FFFFFF"/>
        </w:rPr>
        <w:t>在疫情防控期间，生产、销售伪劣的防治、防护产品、物资，或者生产、销售用于防治新型冠状病毒感染肺炎的假药、劣药，符合刑法第一百四十条、第一百四十一条、第一百四十二条规定的，以生产、销售伪劣产品罪，生产、销售假药罪或者生产、销售劣药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在疫情防控期间，生产不符合保障人体健康的国家标准、行业标准的医用口罩、护目镜、防护服等医用器材，或者销售明知是不符合标准的医用器材，足以严重危害人体健康的，依照刑法第一百四十五条的规定，以生产、销售不符合标准的医用器材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（四）依法严惩哄抬物价犯罪。</w:t>
      </w:r>
      <w:r>
        <w:rPr>
          <w:rFonts w:hint="eastAsia" w:ascii="仿宋" w:hAnsi="仿宋" w:eastAsia="仿宋" w:cs="仿宋"/>
          <w:i w:val="0"/>
          <w:caps w:val="0"/>
          <w:color w:val="2F2F2F"/>
          <w:spacing w:val="0"/>
          <w:sz w:val="32"/>
          <w:szCs w:val="32"/>
          <w:shd w:val="clear" w:color="070000" w:fill="FFFFFF"/>
        </w:rPr>
        <w:t>在疫情防控期间，违反国家有关市场经营、价格管理等规定，囤积居奇，哄抬疫情防控急需的口罩、护目镜、防护服、消毒液等防护用品、药品或者其他涉及民生的物品价格，牟取暴利，违法所得数额较大或者有其他严重情节，严重扰乱市场秩序的，依照刑法第二百二十五条第四项的规定，以非法经营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（五）依法严惩诈骗、聚众哄抢犯罪。</w:t>
      </w:r>
      <w:r>
        <w:rPr>
          <w:rFonts w:hint="eastAsia" w:ascii="仿宋" w:hAnsi="仿宋" w:eastAsia="仿宋" w:cs="仿宋"/>
          <w:i w:val="0"/>
          <w:caps w:val="0"/>
          <w:color w:val="2F2F2F"/>
          <w:spacing w:val="0"/>
          <w:sz w:val="32"/>
          <w:szCs w:val="32"/>
          <w:shd w:val="clear" w:color="070000" w:fill="FFFFFF"/>
        </w:rPr>
        <w:t>在疫情防控期间，假借研制、生产或者销售用于疫情防控的物品的名义骗取公私财物，或者捏造事实骗取公众捐赠款物，数额较大的，依照刑法第二百六十六条的规定，以诈骗罪定罪处罚。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在疫情防控期间，违反国家规定，假借疫情防控的名义，利用广告对所推销的商品或者服务作虚假宣传，致使多人上当受骗，违法所得数额较大或者有其他严重情节的，依照刑法第二百二十二条的规定，以虚假广告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在疫情防控期间，聚众哄抢公私财物特别是疫情防控和保障物资，数额较大或者有其他严重情节的，对首要分子和积极参加者，依照刑法第二百六十八条的规定，以聚众哄抢罪定罪处罚。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（六）依法严惩造谣传谣犯罪。</w:t>
      </w:r>
      <w:r>
        <w:rPr>
          <w:rFonts w:hint="eastAsia" w:ascii="仿宋" w:hAnsi="仿宋" w:eastAsia="仿宋" w:cs="仿宋"/>
          <w:i w:val="0"/>
          <w:caps w:val="0"/>
          <w:color w:val="2F2F2F"/>
          <w:spacing w:val="0"/>
          <w:sz w:val="32"/>
          <w:szCs w:val="32"/>
          <w:shd w:val="clear" w:color="070000" w:fill="FFFFFF"/>
        </w:rPr>
        <w:t>编造虚假的疫情信息，在信息网络或者其他媒体上传播，或者明知是虚假疫情信息，故意在信息网络或者其他媒体上传播，严重扰乱社会秩序的，依照刑法第二百九十一条之一第二款的规定，以编造、故意传播虚假信息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编造虚假信息，或者明知是编造的虚假信息，在信息网络上散布，或者组织、指使人员在信息网络上散布，起哄闹事，造成公共秩序严重混乱的，依照刑法第二百九十三条第一款第四项的规定，以寻衅滋事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利用新型冠状病毒感染肺炎疫情，制造、传播谣言，煽动分裂国家、破坏国家统一，或者煽动颠覆国家政权、推翻社会主义制度的，依照刑法第一百零三条第二款、第一百零五条第二款的规定，以煽动分裂国家罪或者煽动颠覆国家政权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网络服务提供者不履行法律、行政法规规定的信息网络安全管理义务，经监管部门责令采取改正措施而拒不改正，致使虚假疫情信息或者其他违法信息大量传播的，依照刑法第二百八十六条之一的规定，以拒不履行信息网络安全管理义务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对虚假疫情信息案件，要依法、精准、恰当处置。对恶意编造虚假疫情信息，制造社会恐慌，挑动社会情绪，扰乱公共秩序，特别是恶意攻击党和政府，借机煽动颠覆国家政权、推翻社会主义制度的，要依法严惩。对于因轻信而传播虚假信息，危害不大的，不以犯罪论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（七）依法严惩疫情防控失职渎职、贪污挪用犯罪。</w:t>
      </w:r>
      <w:r>
        <w:rPr>
          <w:rFonts w:hint="eastAsia" w:ascii="仿宋" w:hAnsi="仿宋" w:eastAsia="仿宋" w:cs="仿宋"/>
          <w:i w:val="0"/>
          <w:caps w:val="0"/>
          <w:color w:val="2F2F2F"/>
          <w:spacing w:val="0"/>
          <w:sz w:val="32"/>
          <w:szCs w:val="32"/>
          <w:shd w:val="clear" w:color="070000" w:fill="FFFFFF"/>
        </w:rPr>
        <w:t>在疫情防控工作中，负有组织、协调、指挥、灾害调查、控制、医疗救治、信息传递、交通运输、物资保障等职责的国家机关工作人员，滥用职权或者玩忽职守，致使公共财产、国家和人民利益遭受重大损失的，依照刑法第三百九十七条的规定，以滥用职权罪或者玩忽职守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卫生行政部门的工作人员严重不负责任，不履行或者不认真履行防治监管职责，导致新型冠状病毒感染肺炎传播或者流行，情节严重的，依照刑法第四百零九条的规定，以传染病防治失职罪定罪处罚。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从事实验、保藏、携带、运输传染病菌种、毒种的人员，违反国务院卫生行政部门的有关规定，造成新型冠状病毒毒种扩散，后果严重的，依照刑法第三百三十一条的规定，以传染病毒种扩散罪定罪处罚。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国家工作人员，受委托管理国有财产的人员，公司、企业或者其他单位的人员，利用职务便利，侵吞、截留或者以其他手段非法占有用于防控新型冠状病毒感染肺炎的款物，或者挪用上述款物归个人使用，符合刑法第三百八十二条、第三百八十三条、第二百七十一条、第三百八十四条、第二百七十二条规定的，以贪污罪、职务侵占罪、挪用公款罪、挪用资金罪定罪处罚。挪用用于防控新型冠状病毒感染肺炎的救灾、优抚、救济等款物，符合刑法第二百七十三条规定的，对直接责任人员，以挪用特定款物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（八）依法严惩破坏交通设施犯罪。</w:t>
      </w:r>
      <w:r>
        <w:rPr>
          <w:rFonts w:hint="eastAsia" w:ascii="仿宋" w:hAnsi="仿宋" w:eastAsia="仿宋" w:cs="仿宋"/>
          <w:i w:val="0"/>
          <w:caps w:val="0"/>
          <w:color w:val="2F2F2F"/>
          <w:spacing w:val="0"/>
          <w:sz w:val="32"/>
          <w:szCs w:val="32"/>
          <w:shd w:val="clear" w:color="070000" w:fill="FFFFFF"/>
        </w:rPr>
        <w:t>在疫情防控期间，破坏轨道、桥梁、隧道、公路、机场、航道、灯塔、标志或者进行其他破坏活动，足以使火车、汽车、电车、船只、航空器发生倾覆、毁坏危险的，依照刑法第一百一十七条、第一百一十九条第一款的规定，以破坏交通设施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办理破坏交通设施案件，要区分具体情况，依法审慎处理。对于为了防止疫情蔓延，未经批准擅自封路阻碍交通，未造成严重后果的，一般不以犯罪论处，由主管部门予以纠正。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（九）依法严惩破坏野生动物资源犯罪。</w:t>
      </w:r>
      <w:r>
        <w:rPr>
          <w:rFonts w:hint="eastAsia" w:ascii="仿宋" w:hAnsi="仿宋" w:eastAsia="仿宋" w:cs="仿宋"/>
          <w:i w:val="0"/>
          <w:caps w:val="0"/>
          <w:color w:val="2F2F2F"/>
          <w:spacing w:val="0"/>
          <w:sz w:val="32"/>
          <w:szCs w:val="32"/>
          <w:shd w:val="clear" w:color="070000" w:fill="FFFFFF"/>
        </w:rPr>
        <w:t>非法猎捕、杀害国家重点保护的珍贵、濒危野生动物的，或者非法收购、运输、出售国家重点保护的珍贵、濒危野生动物及其制品的，依照刑法第三百四十一条第一款的规定，以非法猎捕、杀害珍贵、濒危野生动物罪或者非法收购、运输、出售珍贵、濒危野生动物、珍贵、濒危野生动物制品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违反狩猎法规，在禁猎区、禁猎期或者使用禁用的工具、方法进行狩猎，破坏野生动物资源，情节严重的，依照刑法第三百四十一条第二款的规定，以非法狩猎罪定罪处罚。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违反国家规定，非法经营非国家重点保护野生动物及其制品（包括开办交易场所、进行网络销售、加工食品出售等），扰乱市场秩序，情节严重的，依照刑法第二百二十五条第四项的规定，以非法经营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知道或者应当知道是国家重点保护的珍贵、濒危野生动物及其制品，为食用或者其他目的而非法购买，符合刑法第三百四十一条第一款规定的，以非法收购珍贵、濒危野生动物、珍贵、濒危野生动物制品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知道或者应当知道是非法狩猎的野生动物而购买，符合刑法第三百一十二条规定的，以掩饰、隐瞒犯罪所得罪定罪处罚。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（十）依法严惩妨害疫情防控的违法行为。</w:t>
      </w:r>
      <w:r>
        <w:rPr>
          <w:rFonts w:hint="eastAsia" w:ascii="仿宋" w:hAnsi="仿宋" w:eastAsia="仿宋" w:cs="仿宋"/>
          <w:i w:val="0"/>
          <w:caps w:val="0"/>
          <w:color w:val="2F2F2F"/>
          <w:spacing w:val="0"/>
          <w:sz w:val="32"/>
          <w:szCs w:val="32"/>
          <w:shd w:val="clear" w:color="070000" w:fill="FFFFFF"/>
        </w:rPr>
        <w:t>实施上述（一）至（九）规定的行为，不构成犯罪的，由公安机关根据治安管理处罚法有关虚构事实扰乱公共秩序，扰乱单位秩序、公共场所秩序、寻衅滋事，拒不执行紧急状态下的决定、命令，阻碍执行职务，冲闯警戒带、警戒区，殴打他人，故意伤害，侮辱他人，诈骗，在铁路沿线非法挖掘坑穴、采石取沙，盗窃、损毁路面公共设施，损毁铁路设施设备，故意损毁财物、哄抢公私财物等规定，予以治安管理处罚，或者由有关部门予以其他行政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对于在疫情防控期间实施有关违法犯罪的，要作为从重情节予以考量，依法体现从严的政策要求，有力惩治震慑违法犯罪，维护法律权威，维护社会秩序，维护人民群众生命安全和身体健康。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黑体" w:hAnsi="黑体" w:eastAsia="黑体" w:cs="黑体"/>
          <w:i w:val="0"/>
          <w:caps w:val="0"/>
          <w:color w:val="2F2F2F"/>
          <w:spacing w:val="0"/>
          <w:sz w:val="32"/>
          <w:szCs w:val="32"/>
          <w:shd w:val="clear" w:color="070000" w:fill="FFFFFF"/>
        </w:rPr>
      </w:pPr>
      <w:r>
        <w:rPr>
          <w:rStyle w:val="23"/>
          <w:rFonts w:hint="eastAsia" w:ascii="仿宋" w:hAnsi="仿宋" w:eastAsia="仿宋" w:cs="仿宋"/>
          <w:i w:val="0"/>
          <w:caps w:val="0"/>
          <w:color w:val="2F2F2F"/>
          <w:spacing w:val="0"/>
          <w:sz w:val="32"/>
          <w:szCs w:val="32"/>
          <w:shd w:val="clear" w:color="080000" w:fill="FFFFFF"/>
        </w:rPr>
        <w:t>　</w:t>
      </w:r>
      <w:r>
        <w:rPr>
          <w:rFonts w:hint="eastAsia" w:ascii="黑体" w:hAnsi="黑体" w:eastAsia="黑体" w:cs="黑体"/>
          <w:i w:val="0"/>
          <w:caps w:val="0"/>
          <w:color w:val="2F2F2F"/>
          <w:spacing w:val="0"/>
          <w:sz w:val="32"/>
          <w:szCs w:val="32"/>
          <w:shd w:val="clear" w:color="070000" w:fill="FFFFFF"/>
        </w:rPr>
        <w:t>　三、健全完善工作机制，保障办案效果和安全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（一）及时查处案件。</w:t>
      </w:r>
      <w:r>
        <w:rPr>
          <w:rFonts w:hint="eastAsia" w:ascii="仿宋" w:hAnsi="仿宋" w:eastAsia="仿宋" w:cs="仿宋"/>
          <w:i w:val="0"/>
          <w:caps w:val="0"/>
          <w:color w:val="2F2F2F"/>
          <w:spacing w:val="0"/>
          <w:sz w:val="32"/>
          <w:szCs w:val="32"/>
          <w:shd w:val="clear" w:color="070000" w:fill="FFFFFF"/>
        </w:rPr>
        <w:t>公安机关对于妨害新型冠状病毒感染肺炎疫情防控的案件，要依法及时立案查处，全面收集固定证据。对于拒绝隔离治疗或者隔离期未满擅自脱离隔离治疗的人员，公安机关要依法协助医疗机构和有关部门采取强制隔离治疗措施。要严格规范公正文明执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（二）强化沟通协调。</w:t>
      </w:r>
      <w:r>
        <w:rPr>
          <w:rFonts w:hint="eastAsia" w:ascii="仿宋" w:hAnsi="仿宋" w:eastAsia="仿宋" w:cs="仿宋"/>
          <w:i w:val="0"/>
          <w:caps w:val="0"/>
          <w:color w:val="2F2F2F"/>
          <w:spacing w:val="0"/>
          <w:sz w:val="32"/>
          <w:szCs w:val="32"/>
          <w:shd w:val="clear" w:color="070000" w:fill="FFFFFF"/>
        </w:rPr>
        <w:t>人民法院、人民检察院、公安机关、司法行政机关要加强沟通协调，确保案件顺利侦查、起诉、审判、交付执行。对重大、敏感、复杂案件，公安机关要及时听取人民检察院的意见建议。对社会影响大、舆论关注度高的重大案件，要加强组织领导，按照依法处置、舆论引导、社会面管控“三同步”要求，及时向社会通报案件进展情况，澄清事实真相，做好舆论引导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（三）保障诉讼权利。</w:t>
      </w:r>
      <w:r>
        <w:rPr>
          <w:rFonts w:hint="eastAsia" w:ascii="仿宋" w:hAnsi="仿宋" w:eastAsia="仿宋" w:cs="仿宋"/>
          <w:i w:val="0"/>
          <w:caps w:val="0"/>
          <w:color w:val="2F2F2F"/>
          <w:spacing w:val="0"/>
          <w:sz w:val="32"/>
          <w:szCs w:val="32"/>
          <w:shd w:val="clear" w:color="070000" w:fill="FFFFFF"/>
        </w:rPr>
        <w:t>要依法保障犯罪嫌疑人、被告人的各项诉讼权利特别是辩护权。要按照刑事案件律师辩护全覆盖的要求，积极组织律师为没有委托辩护人的被告人依法提供辩护或者法律帮助。各级司法行政机关要加强对律师辩护代理工作的指导监督，引导广大律师依法依规履行辩护代理职责，切实维护犯罪嫌疑人、被告人的合法权益，保障法律正确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（四）加强宣传教育。</w:t>
      </w:r>
      <w:r>
        <w:rPr>
          <w:rFonts w:hint="eastAsia" w:ascii="仿宋" w:hAnsi="仿宋" w:eastAsia="仿宋" w:cs="仿宋"/>
          <w:i w:val="0"/>
          <w:caps w:val="0"/>
          <w:color w:val="2F2F2F"/>
          <w:spacing w:val="0"/>
          <w:sz w:val="32"/>
          <w:szCs w:val="32"/>
          <w:shd w:val="clear" w:color="070000" w:fill="FFFFFF"/>
        </w:rPr>
        <w:t>人民法院、人民检察院、公安机关、司法行政机关要认真落实“谁执法谁普法”责任制，结合案件办理深入细致开展法治宣传教育工作。要选取典型案例，以案释法，加大警示教育，震慑违法犯罪分子，充分展示坚决依法严惩此类违法犯罪、维护人民群众生命安全和身体健康的决心。要引导广大群众遵纪守法，不信谣、不传谣，依法支持和配合疫情防控工作，为疫情防控工作的顺利开展营造良好的法治和社会环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（五）注重办案安全。</w:t>
      </w:r>
      <w:r>
        <w:rPr>
          <w:rFonts w:hint="eastAsia" w:ascii="仿宋" w:hAnsi="仿宋" w:eastAsia="仿宋" w:cs="仿宋"/>
          <w:i w:val="0"/>
          <w:caps w:val="0"/>
          <w:color w:val="2F2F2F"/>
          <w:spacing w:val="0"/>
          <w:sz w:val="32"/>
          <w:szCs w:val="32"/>
          <w:shd w:val="clear" w:color="070000" w:fill="FFFFFF"/>
        </w:rPr>
        <w:t>在疫情防控期间，办理妨害新型冠状病毒感染肺炎疫情防控案件，办案人员要注重自身安全，提升防范意识，增强在履行接处警、抓捕、羁押、讯问、审判、执行等职能时的自我保护能力和防范能力。除依法必须当面接触的情形外，可以尽量采取书面审查方式，必要时，可以采取视频等方式讯问犯罪嫌疑人、询问被害人、证人、听取辩护律师意见。人民法院在疫情防控期间审理相关案件的，在坚持依法公开审理的同时，要最大限度减少人员聚集，切实维护诉讼参与人、旁听群众、法院干警的安全和健康。</w:t>
      </w:r>
    </w:p>
    <w:p>
      <w:pPr>
        <w:wordWrap/>
        <w:adjustRightInd/>
        <w:snapToGrid/>
        <w:spacing w:line="560" w:lineRule="exact"/>
        <w:textAlignment w:val="auto"/>
        <w:rPr>
          <w:rFonts w:hint="eastAsia" w:ascii="仿宋" w:hAnsi="仿宋" w:eastAsia="仿宋" w:cs="仿宋"/>
          <w:sz w:val="32"/>
          <w:szCs w:val="32"/>
        </w:rPr>
      </w:pPr>
    </w:p>
    <w:p>
      <w:pPr>
        <w:wordWrap/>
        <w:adjustRightInd/>
        <w:snapToGrid/>
        <w:spacing w:line="560" w:lineRule="exact"/>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outlineLvl w:val="0"/>
        <w:rPr>
          <w:rStyle w:val="23"/>
          <w:rFonts w:hint="eastAsia" w:ascii="宋体" w:hAnsi="宋体" w:eastAsia="宋体" w:cs="宋体"/>
          <w:i w:val="0"/>
          <w:caps w:val="0"/>
          <w:color w:val="2F2F2F"/>
          <w:spacing w:val="0"/>
          <w:sz w:val="44"/>
          <w:szCs w:val="44"/>
          <w:shd w:val="clear" w:color="080000" w:fill="FFFFFF"/>
        </w:rPr>
      </w:pPr>
      <w:bookmarkStart w:id="284" w:name="_Toc31523"/>
      <w:r>
        <w:rPr>
          <w:rStyle w:val="23"/>
          <w:rFonts w:hint="eastAsia" w:ascii="宋体" w:hAnsi="宋体" w:eastAsia="宋体" w:cs="宋体"/>
          <w:i w:val="0"/>
          <w:caps w:val="0"/>
          <w:color w:val="2F2F2F"/>
          <w:spacing w:val="0"/>
          <w:sz w:val="44"/>
          <w:szCs w:val="44"/>
          <w:shd w:val="clear" w:color="080000" w:fill="FFFFFF"/>
        </w:rPr>
        <w:t>最高人民法院 最高人民检察院 公安部</w:t>
      </w:r>
      <w:r>
        <w:rPr>
          <w:rFonts w:hint="eastAsia" w:ascii="宋体" w:hAnsi="宋体" w:eastAsia="宋体" w:cs="宋体"/>
          <w:i w:val="0"/>
          <w:caps w:val="0"/>
          <w:color w:val="2F2F2F"/>
          <w:spacing w:val="0"/>
          <w:sz w:val="44"/>
          <w:szCs w:val="44"/>
          <w:shd w:val="clear" w:color="070000" w:fill="FFFFFF"/>
        </w:rPr>
        <w:br w:type="textWrapping"/>
      </w:r>
      <w:r>
        <w:rPr>
          <w:rStyle w:val="23"/>
          <w:rFonts w:hint="eastAsia" w:ascii="宋体" w:hAnsi="宋体" w:eastAsia="宋体" w:cs="宋体"/>
          <w:i w:val="0"/>
          <w:caps w:val="0"/>
          <w:color w:val="2F2F2F"/>
          <w:spacing w:val="0"/>
          <w:sz w:val="44"/>
          <w:szCs w:val="44"/>
          <w:shd w:val="clear" w:color="080000" w:fill="FFFFFF"/>
        </w:rPr>
        <w:t>司法部 海关总署关于进一步加强国境</w:t>
      </w:r>
      <w:r>
        <w:rPr>
          <w:rFonts w:hint="eastAsia" w:ascii="宋体" w:hAnsi="宋体" w:eastAsia="宋体" w:cs="宋体"/>
          <w:i w:val="0"/>
          <w:caps w:val="0"/>
          <w:color w:val="2F2F2F"/>
          <w:spacing w:val="0"/>
          <w:sz w:val="44"/>
          <w:szCs w:val="44"/>
          <w:shd w:val="clear" w:color="070000" w:fill="FFFFFF"/>
        </w:rPr>
        <w:br w:type="textWrapping"/>
      </w:r>
      <w:r>
        <w:rPr>
          <w:rStyle w:val="23"/>
          <w:rFonts w:hint="eastAsia" w:ascii="宋体" w:hAnsi="宋体" w:eastAsia="宋体" w:cs="宋体"/>
          <w:i w:val="0"/>
          <w:caps w:val="0"/>
          <w:color w:val="2F2F2F"/>
          <w:spacing w:val="0"/>
          <w:sz w:val="44"/>
          <w:szCs w:val="44"/>
          <w:shd w:val="clear" w:color="080000" w:fill="FFFFFF"/>
        </w:rPr>
        <w:t>卫生检疫工作 依法惩治妨害国境</w:t>
      </w:r>
      <w:r>
        <w:rPr>
          <w:rFonts w:hint="eastAsia" w:ascii="宋体" w:hAnsi="宋体" w:eastAsia="宋体" w:cs="宋体"/>
          <w:i w:val="0"/>
          <w:caps w:val="0"/>
          <w:color w:val="2F2F2F"/>
          <w:spacing w:val="0"/>
          <w:sz w:val="44"/>
          <w:szCs w:val="44"/>
          <w:shd w:val="clear" w:color="070000" w:fill="FFFFFF"/>
        </w:rPr>
        <w:br w:type="textWrapping"/>
      </w:r>
      <w:r>
        <w:rPr>
          <w:rStyle w:val="23"/>
          <w:rFonts w:hint="eastAsia" w:ascii="宋体" w:hAnsi="宋体" w:eastAsia="宋体" w:cs="宋体"/>
          <w:i w:val="0"/>
          <w:caps w:val="0"/>
          <w:color w:val="2F2F2F"/>
          <w:spacing w:val="0"/>
          <w:sz w:val="44"/>
          <w:szCs w:val="44"/>
          <w:shd w:val="clear" w:color="080000" w:fill="FFFFFF"/>
        </w:rPr>
        <w:t>卫生检疫违法犯罪的意见</w:t>
      </w:r>
      <w:bookmarkEnd w:id="284"/>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Style w:val="23"/>
          <w:rFonts w:hint="eastAsia" w:ascii="仿宋" w:hAnsi="仿宋" w:eastAsia="仿宋" w:cs="仿宋"/>
          <w:i w:val="0"/>
          <w:caps w:val="0"/>
          <w:color w:val="2F2F2F"/>
          <w:spacing w:val="0"/>
          <w:sz w:val="32"/>
          <w:szCs w:val="32"/>
          <w:shd w:val="clear" w:color="080000"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Fonts w:hint="eastAsia" w:ascii="楷体" w:hAnsi="楷体" w:eastAsia="楷体" w:cs="楷体"/>
          <w:sz w:val="32"/>
          <w:szCs w:val="32"/>
        </w:rPr>
      </w:pPr>
      <w:r>
        <w:rPr>
          <w:rFonts w:hint="eastAsia" w:ascii="楷体" w:hAnsi="楷体" w:eastAsia="楷体" w:cs="楷体"/>
          <w:i w:val="0"/>
          <w:caps w:val="0"/>
          <w:color w:val="2F2F2F"/>
          <w:spacing w:val="0"/>
          <w:sz w:val="32"/>
          <w:szCs w:val="32"/>
          <w:shd w:val="clear" w:color="070000" w:fill="FFFFFF"/>
        </w:rPr>
        <w:t>署法发〔2020〕50号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Style w:val="23"/>
          <w:rFonts w:hint="eastAsia" w:ascii="仿宋" w:hAnsi="仿宋" w:eastAsia="仿宋" w:cs="仿宋"/>
          <w:i w:val="0"/>
          <w:caps w:val="0"/>
          <w:color w:val="2F2F2F"/>
          <w:spacing w:val="0"/>
          <w:sz w:val="32"/>
          <w:szCs w:val="32"/>
          <w:shd w:val="clear" w:color="080000"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为进一步加强国境卫生检疫工作，依法惩治妨害国境卫生检疫违法犯罪行为，维护公共卫生安全，保障人民群众生命安全和身体健康，根据有关法律、司法解释的规定，制定本意见。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黑体" w:hAnsi="黑体" w:eastAsia="黑体" w:cs="黑体"/>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一、充分认识国境卫生检疫对于维护公共卫生安全的重要意义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国境卫生检疫对防止传染病传入传出国境，保障人民群众生命安全和身体健康，维护公共卫生安全和社会安定有序发挥着重要作用。党中央、国务院高度重视国境卫生检疫工作，特别是新冠肺炎疫情发生以来，习近平总书记对强化公共卫生法治保障、改革完善疾病预防控制体系、健全防治结合、联防联控、群防群治工作机制作出一系列重要指示批示。各级人民法院、人民检察院、公安机关、司法行政机关、海关要切实提高政治站位，把思想和行动统一到习近平总书记重要指示批示精神上来，坚决贯彻落实党中央决策部署，增强“四个意识”、坚定“四个自信”、做到“两个维护”；从贯彻落实总体国家安全观、推动构建人类命运共同体的高度，始终将人民群众的生命安全和身体健康放在第一位，切实提升国境卫生检疫行政执法和司法办案水平。特别是面对当前新冠肺炎疫情在境外呈现扩散态势、通过口岸向境内蔓延扩散风险加剧的严峻形势，要依法及时、从严惩治妨害国境卫生检疫的各类违法犯罪行为，切实筑牢国境卫生检疫防线，坚决遏制疫情通过口岸传播扩散，为维护公共卫生安全提供有力的法治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二、依法惩治妨害国境卫生检疫的违法犯罪行为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为加强国境卫生检疫工作，防止传染病传入传出国境，保护人民群众健康安全，刑法、国境卫生检疫法对妨害国境卫生检疫违法犯罪行为及其处罚作出规定。人民法院、人民检察院、公安机关、海关在办理妨害国境卫生检疫案件时，应当准确理解和严格适用刑法、国境卫生检疫法等有关规定，依法惩治相关违法犯罪行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（一）进一步加强国境卫生检疫行政执法。</w:t>
      </w:r>
      <w:r>
        <w:rPr>
          <w:rFonts w:hint="eastAsia" w:ascii="仿宋" w:hAnsi="仿宋" w:eastAsia="仿宋" w:cs="仿宋"/>
          <w:i w:val="0"/>
          <w:caps w:val="0"/>
          <w:color w:val="2F2F2F"/>
          <w:spacing w:val="0"/>
          <w:sz w:val="32"/>
          <w:szCs w:val="32"/>
          <w:shd w:val="clear" w:color="070000" w:fill="FFFFFF"/>
        </w:rPr>
        <w:t>海关要在各口岸加强国境卫生检疫工作宣传，引导出入境人员以及接受检疫监管的单位和人员严格遵守国境卫生检疫法等法律法规的规定，配合和接受海关国境卫生检疫。同时，要加大国境卫生检疫行政执法力度，对于违反国境卫生检疫法及其实施细则，尚不构成犯罪的行为，依法给予行政处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（二）依法惩治妨害国境卫生检疫犯罪。</w:t>
      </w:r>
      <w:r>
        <w:rPr>
          <w:rFonts w:hint="eastAsia" w:ascii="仿宋" w:hAnsi="仿宋" w:eastAsia="仿宋" w:cs="仿宋"/>
          <w:i w:val="0"/>
          <w:caps w:val="0"/>
          <w:color w:val="2F2F2F"/>
          <w:spacing w:val="0"/>
          <w:sz w:val="32"/>
          <w:szCs w:val="32"/>
          <w:shd w:val="clear" w:color="070000" w:fill="FFFFFF"/>
        </w:rPr>
        <w:t>根据刑法第三百三十二条规定，违反国境卫生检疫规定，实施下列行为之一的，属于妨害国境卫生检疫行为：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1. 检疫传染病染疫人或者染疫嫌疑人拒绝执行海关依照国境卫生检疫法等法律法规提出的健康申报、体温监测、医学巡查、流行病学调查、医学排查、采样等卫生检疫措施，或者隔离、留验、就地诊验、转诊等卫生处理措施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2. 检疫传染病染疫人或者染疫嫌疑人采取不如实填报健康申明卡等方式隐瞒疫情，或者伪造、涂改检疫单、证等方式伪造情节的；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3. 知道或者应当知道实施审批管理的微生物、人体组织、生物制品、血液及其制品等特殊物品可能造成检疫传染病传播，未经审批仍逃避检疫，携运、寄递出入境的；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4. 出入境交通工具上发现有检疫传染病染疫人或者染疫嫌疑人，交通工具负责人拒绝接受卫生检疫或者拒不接受卫生处理的；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5. 来自检疫传染病流行国家、地区的出入境交通工具上出现非意外伤害死亡且死因不明的人员，交通工具负责人故意隐瞒情况的；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6. 其他拒绝执行海关依照国境卫生检疫法等法律法规提出的检疫措施的。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实施上述行为，引起鼠疫、霍乱、黄热病以及新冠肺炎等国务院确定和公布的其他检疫传染病传播或者有传播严重危险的，依照刑法第三百三十二条的规定，以妨害国境卫生检疫罪定罪处罚。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对于单位实施妨害国境卫生检疫行为，引起鼠疫、霍乱、黄热病以及新冠肺炎等国务院确定和公布的其他检疫传染病传播或者有传播严重危险的，应当对单位判处罚金，并对其直接负责的主管人员和其他直接责任人员定罪处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三、健全完善工作机制，保障依法科学有序防控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（一）做好行刑衔接。</w:t>
      </w:r>
      <w:r>
        <w:rPr>
          <w:rFonts w:hint="eastAsia" w:ascii="仿宋" w:hAnsi="仿宋" w:eastAsia="仿宋" w:cs="仿宋"/>
          <w:i w:val="0"/>
          <w:caps w:val="0"/>
          <w:color w:val="2F2F2F"/>
          <w:spacing w:val="0"/>
          <w:sz w:val="32"/>
          <w:szCs w:val="32"/>
          <w:shd w:val="clear" w:color="070000" w:fill="FFFFFF"/>
        </w:rPr>
        <w:t>海关要严把口岸疫情防控第一关，严厉追究违反国境卫生检疫规定的行政法律责任，完善执法办案流程，坚持严格执法和依法办案。做好行政执法和刑事司法的衔接，对符合国境卫生检疫监管领域刑事案件立案追诉标准的案件，要依照有关规定，及时办理移送公安机关的相关手续，不得以行政处罚代替刑事处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（二）加快案件侦办。</w:t>
      </w:r>
      <w:r>
        <w:rPr>
          <w:rFonts w:hint="eastAsia" w:ascii="仿宋" w:hAnsi="仿宋" w:eastAsia="仿宋" w:cs="仿宋"/>
          <w:i w:val="0"/>
          <w:caps w:val="0"/>
          <w:color w:val="2F2F2F"/>
          <w:spacing w:val="0"/>
          <w:sz w:val="32"/>
          <w:szCs w:val="32"/>
          <w:shd w:val="clear" w:color="070000" w:fill="FFFFFF"/>
        </w:rPr>
        <w:t>公安机关对于妨害国境卫生检疫犯罪案件，要依法及时立案查处，全面收集固定证据。对新冠肺炎疫情防控期间发生的妨害国境卫生检疫犯罪，要快侦快破，并及时予以曝光，形成强大震慑。</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　（三）强化检察职能。</w:t>
      </w:r>
      <w:r>
        <w:rPr>
          <w:rFonts w:hint="eastAsia" w:ascii="仿宋" w:hAnsi="仿宋" w:eastAsia="仿宋" w:cs="仿宋"/>
          <w:i w:val="0"/>
          <w:caps w:val="0"/>
          <w:color w:val="2F2F2F"/>
          <w:spacing w:val="0"/>
          <w:sz w:val="32"/>
          <w:szCs w:val="32"/>
          <w:shd w:val="clear" w:color="070000" w:fill="FFFFFF"/>
        </w:rPr>
        <w:t>人民检察院要加强对妨害国境卫生检疫犯罪案件的立案监督，发现应当立案而不立案的，应当要求公安机关说明理由，认为理由不成立的，应当依法通知公安机关立案。对于妨害国境卫生检疫犯罪案件，人民检察院可以对案件性质、收集证据和适用法律等向公安机关提出意见建议。对于符合逮捕、起诉条件的涉嫌妨害国境卫生检疫罪的犯罪嫌疑人，应当及时批准逮捕、提起公诉。发挥检察建议的作用，促进疫情防控体系化治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（四）加强沟通协调。</w:t>
      </w:r>
      <w:r>
        <w:rPr>
          <w:rFonts w:hint="eastAsia" w:ascii="仿宋" w:hAnsi="仿宋" w:eastAsia="仿宋" w:cs="仿宋"/>
          <w:i w:val="0"/>
          <w:caps w:val="0"/>
          <w:color w:val="2F2F2F"/>
          <w:spacing w:val="0"/>
          <w:sz w:val="32"/>
          <w:szCs w:val="32"/>
          <w:shd w:val="clear" w:color="070000" w:fill="FFFFFF"/>
        </w:rPr>
        <w:t>人民法院、人民检察院、公安机关、司法行政机关、海关要加强沟通协调，畅通联系渠道，建立常态化合作机制。既要严格履行法定职责，各司其职，各负其责，又要相互配合，相互协作，实现资源共享和优势互补，形成依法惩治妨害国境卫生检疫违法犯罪的合力。对社会影响大、舆论关注度高的重大案件，要按照依法处置、舆论引导、社会面管控“三同步”要求，及时澄清事实真相，做好舆论引导和舆情应对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（五）坚持过罚相当。</w:t>
      </w:r>
      <w:r>
        <w:rPr>
          <w:rFonts w:hint="eastAsia" w:ascii="仿宋" w:hAnsi="仿宋" w:eastAsia="仿宋" w:cs="仿宋"/>
          <w:i w:val="0"/>
          <w:caps w:val="0"/>
          <w:color w:val="2F2F2F"/>
          <w:spacing w:val="0"/>
          <w:sz w:val="32"/>
          <w:szCs w:val="32"/>
          <w:shd w:val="clear" w:color="070000" w:fill="FFFFFF"/>
        </w:rPr>
        <w:t>进一步规范国境卫生检疫执法活动，切实做到严格规范公正文明执法。注重把握宽严相济政策：对于行政违法行为，要根据违法行为的危害程度和悔过态度，综合确定处罚种类和幅度。对于涉嫌犯罪的，要重点打击情节恶劣、后果严重的犯罪行为；对于情节轻微且真诚悔改的，依法予以从宽处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微软雅黑" w:hAnsi="微软雅黑" w:eastAsia="微软雅黑" w:cs="微软雅黑"/>
          <w:i w:val="0"/>
          <w:caps w:val="0"/>
          <w:color w:val="7A7A7A"/>
          <w:spacing w:val="0"/>
          <w:sz w:val="14"/>
          <w:szCs w:val="14"/>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（六）维护公平正义。</w:t>
      </w:r>
      <w:r>
        <w:rPr>
          <w:rFonts w:hint="eastAsia" w:ascii="仿宋" w:hAnsi="仿宋" w:eastAsia="仿宋" w:cs="仿宋"/>
          <w:i w:val="0"/>
          <w:caps w:val="0"/>
          <w:color w:val="2F2F2F"/>
          <w:spacing w:val="0"/>
          <w:sz w:val="32"/>
          <w:szCs w:val="32"/>
          <w:shd w:val="clear" w:color="070000" w:fill="FFFFFF"/>
        </w:rPr>
        <w:t>人民法院、人民检察院、公安机关要依法保障犯罪嫌疑人、被告人的各项诉讼权利特别是辩护权，切实维护当事人合法权益，维护法律正确实施。司法行政机关要加强对律师辩护代理工作的指导监督，促进律师依法依规执业。人民法院、人民检察院、公安机关、司法行政机关、海关要认真落实“谁执法谁普法”责任制，选取典型案例，开展以案释法，加大警示教育，震慑不法分子，释放正能量，为疫情防控营造良好的法治和社会环境。</w:t>
      </w:r>
    </w:p>
    <w:p/>
    <w:p>
      <w:pPr>
        <w:rPr>
          <w:rFonts w:hint="eastAsia" w:ascii="宋体" w:hAnsi="宋体" w:eastAsia="宋体" w:cs="Arial"/>
          <w:bCs/>
          <w:sz w:val="44"/>
          <w:szCs w:val="44"/>
        </w:rPr>
      </w:pPr>
      <w:r>
        <w:rPr>
          <w:rFonts w:hint="eastAsia" w:ascii="宋体" w:hAnsi="宋体" w:eastAsia="宋体" w:cs="Arial"/>
          <w:bCs/>
          <w:sz w:val="44"/>
          <w:szCs w:val="44"/>
        </w:rPr>
        <w:br w:type="page"/>
      </w:r>
    </w:p>
    <w:p>
      <w:pPr>
        <w:pStyle w:val="11"/>
        <w:spacing w:line="520" w:lineRule="exact"/>
        <w:rPr>
          <w:rFonts w:ascii="仿宋_GB2312" w:hAnsi="宋体" w:eastAsia="仿宋_GB2312" w:cs="宋体"/>
          <w:sz w:val="32"/>
          <w:szCs w:val="32"/>
        </w:rPr>
      </w:pPr>
      <w:bookmarkStart w:id="285" w:name="_Toc14973"/>
      <w:r>
        <w:rPr>
          <w:rFonts w:hint="eastAsia" w:ascii="仿宋_GB2312" w:hAnsi="宋体" w:eastAsia="仿宋_GB2312" w:cs="宋体"/>
          <w:sz w:val="32"/>
          <w:szCs w:val="32"/>
        </w:rPr>
        <w:t xml:space="preserve"> </w:t>
      </w:r>
    </w:p>
    <w:p>
      <w:pPr>
        <w:pStyle w:val="11"/>
        <w:jc w:val="center"/>
        <w:rPr>
          <w:rFonts w:hint="eastAsia" w:ascii="华文中宋" w:hAnsi="华文中宋" w:eastAsia="华文中宋" w:cs="宋体"/>
          <w:sz w:val="32"/>
          <w:szCs w:val="32"/>
        </w:rPr>
      </w:pPr>
    </w:p>
    <w:p>
      <w:pPr>
        <w:spacing w:line="560" w:lineRule="exact"/>
        <w:jc w:val="center"/>
        <w:rPr>
          <w:rFonts w:hint="eastAsia" w:ascii="宋体" w:hAnsi="宋体" w:cs="宋体"/>
          <w:sz w:val="44"/>
          <w:szCs w:val="44"/>
        </w:rPr>
      </w:pPr>
      <w:r>
        <w:rPr>
          <w:rFonts w:hint="eastAsia" w:ascii="宋体" w:hAnsi="宋体" w:cs="宋体"/>
          <w:sz w:val="44"/>
          <w:szCs w:val="44"/>
        </w:rPr>
        <w:t>最高人民法院</w:t>
      </w:r>
    </w:p>
    <w:p>
      <w:pPr>
        <w:spacing w:line="560" w:lineRule="exact"/>
        <w:jc w:val="center"/>
        <w:rPr>
          <w:rFonts w:hint="eastAsia" w:ascii="华文中宋" w:hAnsi="华文中宋" w:eastAsia="华文中宋" w:cs="宋体"/>
          <w:spacing w:val="-20"/>
          <w:sz w:val="32"/>
          <w:szCs w:val="32"/>
        </w:rPr>
      </w:pPr>
      <w:r>
        <w:rPr>
          <w:rFonts w:hint="eastAsia" w:ascii="宋体" w:hAnsi="宋体" w:cs="宋体"/>
          <w:sz w:val="44"/>
          <w:szCs w:val="44"/>
        </w:rPr>
        <w:t>关于适用《中华人民共和国民法典》</w:t>
      </w:r>
      <w:r>
        <w:rPr>
          <w:rFonts w:hint="eastAsia" w:ascii="宋体" w:hAnsi="宋体" w:cs="宋体"/>
          <w:sz w:val="44"/>
          <w:szCs w:val="44"/>
        </w:rPr>
        <w:br w:type="textWrapping"/>
      </w:r>
      <w:r>
        <w:rPr>
          <w:rFonts w:hint="eastAsia" w:ascii="宋体" w:hAnsi="宋体" w:cs="宋体"/>
          <w:sz w:val="44"/>
          <w:szCs w:val="44"/>
        </w:rPr>
        <w:t>时间效力的</w:t>
      </w:r>
      <w:r>
        <w:rPr>
          <w:rStyle w:val="51"/>
          <w:rFonts w:hint="eastAsia"/>
        </w:rPr>
        <w:t>若</w:t>
      </w:r>
      <w:r>
        <w:rPr>
          <w:rFonts w:hint="eastAsia" w:ascii="宋体" w:hAnsi="宋体" w:cs="宋体"/>
          <w:sz w:val="44"/>
          <w:szCs w:val="44"/>
        </w:rPr>
        <w:t>干规定</w:t>
      </w:r>
    </w:p>
    <w:p>
      <w:pPr>
        <w:pStyle w:val="11"/>
        <w:jc w:val="center"/>
        <w:rPr>
          <w:rFonts w:hint="eastAsia" w:ascii="华文中宋" w:hAnsi="华文中宋" w:eastAsia="华文中宋" w:cs="宋体"/>
          <w:spacing w:val="-20"/>
          <w:sz w:val="32"/>
          <w:szCs w:val="32"/>
        </w:rPr>
      </w:pPr>
    </w:p>
    <w:p>
      <w:pPr>
        <w:pStyle w:val="8"/>
        <w:rPr>
          <w:rFonts w:ascii="仿宋_GB2312" w:hAnsi="宋体" w:eastAsia="仿宋_GB2312" w:cs="宋体"/>
          <w:szCs w:val="32"/>
        </w:rPr>
      </w:pPr>
      <w:r>
        <w:rPr>
          <w:rFonts w:hint="eastAsia"/>
        </w:rPr>
        <w:t>法释〔2020〕15号</w:t>
      </w:r>
    </w:p>
    <w:p>
      <w:pPr>
        <w:pStyle w:val="11"/>
        <w:jc w:val="center"/>
        <w:rPr>
          <w:rFonts w:hint="eastAsia" w:ascii="华文中宋" w:hAnsi="华文中宋" w:eastAsia="华文中宋" w:cs="宋体"/>
          <w:spacing w:val="-20"/>
          <w:sz w:val="32"/>
          <w:szCs w:val="32"/>
        </w:rPr>
      </w:pPr>
    </w:p>
    <w:p>
      <w:pPr>
        <w:pStyle w:val="8"/>
      </w:pPr>
      <w:r>
        <w:rPr>
          <w:rFonts w:hint="eastAsia"/>
        </w:rPr>
        <w:t>（2020年12月14日最高人民法院审判委员会</w:t>
      </w:r>
    </w:p>
    <w:p>
      <w:pPr>
        <w:pStyle w:val="8"/>
      </w:pPr>
      <w:r>
        <w:rPr>
          <w:rFonts w:hint="eastAsia"/>
        </w:rPr>
        <w:t>第1821次会议通过，自2021年1月1日起施行）</w:t>
      </w:r>
    </w:p>
    <w:p>
      <w:pPr>
        <w:pStyle w:val="11"/>
        <w:spacing w:line="520" w:lineRule="exact"/>
        <w:rPr>
          <w:rFonts w:ascii="仿宋_GB2312" w:hAnsi="宋体" w:eastAsia="仿宋_GB2312" w:cs="宋体"/>
          <w:sz w:val="32"/>
          <w:szCs w:val="32"/>
        </w:rPr>
      </w:pP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xml:space="preserve">    根据《中华人民共和国立法法》《中华人民共和国民法典》等法律规定，就人民法院在审理民事纠纷案件中有关适用民法典时间效力问题作出如下规定。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xml:space="preserve">    </w:t>
      </w:r>
      <w:r>
        <w:rPr>
          <w:rFonts w:hint="eastAsia" w:ascii="黑体" w:hAnsi="黑体" w:eastAsia="黑体" w:cs="黑体"/>
          <w:sz w:val="32"/>
          <w:szCs w:val="32"/>
        </w:rPr>
        <w:t>一、一般规定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第一条　</w:t>
      </w:r>
      <w:r>
        <w:rPr>
          <w:rFonts w:hint="eastAsia" w:ascii="仿宋_GB2312" w:hAnsi="宋体" w:eastAsia="仿宋_GB2312" w:cs="宋体"/>
          <w:sz w:val="32"/>
          <w:szCs w:val="32"/>
        </w:rPr>
        <w:t>民法典施行后的法律事实引起的民事纠纷案件，适用民法典的规定。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民法典施行前的法律事实引起的民事纠纷案件，适用当时的法律、司法解释的规定，但是法律、司法解释另有规定的除外。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民法典施行前的法律事实持续至民法典施行后，该法律事实引起的民事纠纷案件，适用民法典的规定，但是法律、司法解释另有规定的除外。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第二条　</w:t>
      </w:r>
      <w:r>
        <w:rPr>
          <w:rFonts w:hint="eastAsia" w:ascii="仿宋_GB2312" w:hAnsi="宋体" w:eastAsia="仿宋_GB2312" w:cs="宋体"/>
          <w:sz w:val="32"/>
          <w:szCs w:val="32"/>
        </w:rPr>
        <w:t>民法典施行前的法律事实引起的民事纠纷案件，当时的法律、司法解释有规定，适用当时的法律、司法解释的规定，但是适用民法典的规定更有利于保护民事主体合法权益，更有利于维护社会和经济秩序，更有利于弘扬社会主义核心价值观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第三条　</w:t>
      </w:r>
      <w:r>
        <w:rPr>
          <w:rFonts w:hint="eastAsia" w:ascii="仿宋_GB2312" w:hAnsi="宋体" w:eastAsia="仿宋_GB2312" w:cs="宋体"/>
          <w:sz w:val="32"/>
          <w:szCs w:val="32"/>
        </w:rPr>
        <w:t>民法典施行前的法律事实引起的民事纠纷案件，当时的法律、司法解释没有规定而民法典有规定的，可以适用民法典的规定，但是明显减损当事人合法权益、增加当事人法定义务或者背离当事人合理预期的除外。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第四条　</w:t>
      </w:r>
      <w:r>
        <w:rPr>
          <w:rFonts w:hint="eastAsia" w:ascii="仿宋_GB2312" w:hAnsi="宋体" w:eastAsia="仿宋_GB2312" w:cs="宋体"/>
          <w:sz w:val="32"/>
          <w:szCs w:val="32"/>
        </w:rPr>
        <w:t>民法典施行前的法律事实引起的民事纠纷案件，当时的法律、司法解释仅有原则性规定而民法典有具体规定的，适用当时的法律、司法解释的规定，但是可以依据民法典具体规定进行裁判说理。</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第五条　</w:t>
      </w:r>
      <w:r>
        <w:rPr>
          <w:rFonts w:hint="eastAsia" w:ascii="仿宋_GB2312" w:hAnsi="宋体" w:eastAsia="仿宋_GB2312" w:cs="宋体"/>
          <w:sz w:val="32"/>
          <w:szCs w:val="32"/>
        </w:rPr>
        <w:t>民法典施行前已经终审的案件，当事人申请再审或者按照审判监督程序决定再审的，不适用民法典的规定。</w:t>
      </w:r>
    </w:p>
    <w:p>
      <w:pPr>
        <w:pStyle w:val="11"/>
        <w:spacing w:line="520" w:lineRule="exact"/>
        <w:rPr>
          <w:rFonts w:hint="eastAsia" w:ascii="黑体" w:hAnsi="黑体" w:eastAsia="黑体" w:cs="黑体"/>
          <w:sz w:val="32"/>
          <w:szCs w:val="32"/>
        </w:rPr>
      </w:pPr>
      <w:r>
        <w:rPr>
          <w:rFonts w:hint="eastAsia" w:ascii="黑体" w:hAnsi="黑体" w:eastAsia="黑体" w:cs="黑体"/>
          <w:sz w:val="32"/>
          <w:szCs w:val="32"/>
        </w:rPr>
        <w:t>二、溯及适用的具体规定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第六条　</w:t>
      </w:r>
      <w:r>
        <w:rPr>
          <w:rFonts w:hint="eastAsia" w:ascii="仿宋_GB2312" w:hAnsi="宋体" w:eastAsia="仿宋_GB2312" w:cs="宋体"/>
          <w:sz w:val="32"/>
          <w:szCs w:val="32"/>
        </w:rPr>
        <w:t>《中华人民共和国民法总则》施行前，侵害英雄烈士等的姓名、肖像、名誉、荣誉，损害社会公共利益引起的民事纠纷案件，适用民法典第一百八十五条的规定。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第七条　</w:t>
      </w:r>
      <w:r>
        <w:rPr>
          <w:rFonts w:hint="eastAsia" w:ascii="仿宋_GB2312" w:hAnsi="宋体" w:eastAsia="仿宋_GB2312" w:cs="宋体"/>
          <w:sz w:val="32"/>
          <w:szCs w:val="32"/>
        </w:rPr>
        <w:t>民法典施行前，当事人在债务履行期限届满前约定债务人不履行到期债务时抵押财产或者质押财产归债权人所有的，适用民法典第四百零一条和第四百二十八条的规定。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第八条　</w:t>
      </w:r>
      <w:r>
        <w:rPr>
          <w:rFonts w:hint="eastAsia" w:ascii="仿宋_GB2312" w:hAnsi="宋体" w:eastAsia="仿宋_GB2312" w:cs="宋体"/>
          <w:sz w:val="32"/>
          <w:szCs w:val="32"/>
        </w:rPr>
        <w:t>民法典施行前成立的合同，适用当时的法律、司法解释的规定合同无效而适用民法典的规定合同有效的，适用民法典的相关规定。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第九条　</w:t>
      </w:r>
      <w:r>
        <w:rPr>
          <w:rFonts w:hint="eastAsia" w:ascii="仿宋_GB2312" w:hAnsi="宋体" w:eastAsia="仿宋_GB2312" w:cs="宋体"/>
          <w:sz w:val="32"/>
          <w:szCs w:val="32"/>
        </w:rPr>
        <w:t>民法典施行前订立的合同，提供格式条款一方未履行提示或者说明义务，涉及格式条款效力认定的，适用民法典第四百九十六条的规定。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第十条　</w:t>
      </w:r>
      <w:r>
        <w:rPr>
          <w:rFonts w:hint="eastAsia" w:ascii="仿宋_GB2312" w:hAnsi="宋体" w:eastAsia="仿宋_GB2312" w:cs="宋体"/>
          <w:sz w:val="32"/>
          <w:szCs w:val="32"/>
        </w:rPr>
        <w:t>民法典施行前，当事人一方未通知对方而直接以提起诉讼方式依法主张解除合同的，适用民法典第五百六十五条第二款的规定。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第十一条　</w:t>
      </w:r>
      <w:r>
        <w:rPr>
          <w:rFonts w:hint="eastAsia" w:ascii="仿宋_GB2312" w:hAnsi="宋体" w:eastAsia="仿宋_GB2312" w:cs="宋体"/>
          <w:sz w:val="32"/>
          <w:szCs w:val="32"/>
        </w:rPr>
        <w:t>民法典施行前成立的合同，当事人一方不履行非金钱债务或者履行非金钱债务不符合约定，对方可以请求履行，但是有民法典第五百八十条第一款第一项、第二项、第三项除外情形之一，致使不能实现合同目的，当事人请求终止合同权利义务关系的，适用民法典第五百八十条第二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第十二条　</w:t>
      </w:r>
      <w:r>
        <w:rPr>
          <w:rFonts w:hint="eastAsia" w:ascii="仿宋_GB2312" w:hAnsi="宋体" w:eastAsia="仿宋_GB2312" w:cs="宋体"/>
          <w:sz w:val="32"/>
          <w:szCs w:val="32"/>
        </w:rPr>
        <w:t>民法典施行前订立的保理合同发生争议的，适用民法典第三编第十六章的规定。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第十三条　</w:t>
      </w:r>
      <w:r>
        <w:rPr>
          <w:rFonts w:hint="eastAsia" w:ascii="仿宋_GB2312" w:hAnsi="宋体" w:eastAsia="仿宋_GB2312" w:cs="宋体"/>
          <w:sz w:val="32"/>
          <w:szCs w:val="32"/>
        </w:rPr>
        <w:t>民法典施行前，继承人有民法典第一千一百二十五条第一款第四项和第五项规定行为之一，对该继承人是否丧失继承权发生争议的，适用民法典第一千一百二十五条第一款和第二款的规定。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民法典施行前，受遗赠人有民法典第一千一百二十五条第一款规定行为之一，对受遗赠人是否丧失受遗赠权发生争议的，适用民法典第一千一百二十五条第一款和第三款的规定。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第十四条　</w:t>
      </w:r>
      <w:r>
        <w:rPr>
          <w:rFonts w:hint="eastAsia" w:ascii="仿宋_GB2312" w:hAnsi="宋体" w:eastAsia="仿宋_GB2312" w:cs="宋体"/>
          <w:sz w:val="32"/>
          <w:szCs w:val="32"/>
        </w:rPr>
        <w:t>被继承人在民法典施行前死亡，遗产无人继承又无人受遗赠，其兄弟姐妹的子女请求代位继承的，适用民法典第一千一百二十八条第二款和第三款的规定，但是遗产已经在民法典施行前处理完毕的除外。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第十五条　</w:t>
      </w:r>
      <w:r>
        <w:rPr>
          <w:rFonts w:hint="eastAsia" w:ascii="仿宋_GB2312" w:hAnsi="宋体" w:eastAsia="仿宋_GB2312" w:cs="宋体"/>
          <w:sz w:val="32"/>
          <w:szCs w:val="32"/>
        </w:rPr>
        <w:t>民法典施行前，遗嘱人以打印方式立的遗嘱，当事人对该遗嘱效力发生争议的，适用民法典第一千一百三十六条的规定，但是遗产已经在民法典施行前处理完毕的除外。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第十六条　</w:t>
      </w:r>
      <w:r>
        <w:rPr>
          <w:rFonts w:hint="eastAsia" w:ascii="仿宋_GB2312" w:hAnsi="宋体" w:eastAsia="仿宋_GB2312" w:cs="宋体"/>
          <w:sz w:val="32"/>
          <w:szCs w:val="32"/>
        </w:rPr>
        <w:t>民法典施行前，受害人自愿参加具有一定风险的文体活动受到损害引起的民事纠纷案件，适用民法典第一千一百七十六条的规定。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第十七条　</w:t>
      </w:r>
      <w:r>
        <w:rPr>
          <w:rFonts w:hint="eastAsia" w:ascii="仿宋_GB2312" w:hAnsi="宋体" w:eastAsia="仿宋_GB2312" w:cs="宋体"/>
          <w:sz w:val="32"/>
          <w:szCs w:val="32"/>
        </w:rPr>
        <w:t>民法典施行前，受害人为保护自己合法权益采取扣留侵权人的财物等措施引起的民事纠纷案件，适用民法典第一千一百七十七条的规定。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第十八条　</w:t>
      </w:r>
      <w:r>
        <w:rPr>
          <w:rFonts w:hint="eastAsia" w:ascii="仿宋_GB2312" w:hAnsi="宋体" w:eastAsia="仿宋_GB2312" w:cs="宋体"/>
          <w:sz w:val="32"/>
          <w:szCs w:val="32"/>
        </w:rPr>
        <w:t>民法典施行前，因非营运机动车发生交通事故造成无偿搭乘人损害引起的民事纠纷案件，适用民法典第一千二百一十七条的规定。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第十九条　</w:t>
      </w:r>
      <w:r>
        <w:rPr>
          <w:rFonts w:hint="eastAsia" w:ascii="仿宋_GB2312" w:hAnsi="宋体" w:eastAsia="仿宋_GB2312" w:cs="宋体"/>
          <w:sz w:val="32"/>
          <w:szCs w:val="32"/>
        </w:rPr>
        <w:t>民法典施行前，从建筑物中抛掷物品或者从建筑物上坠落的物品造成他人损害引起的民事纠纷案件，适用民法典第一千二百五十四条的规定。</w:t>
      </w:r>
    </w:p>
    <w:p>
      <w:pPr>
        <w:pStyle w:val="11"/>
        <w:spacing w:line="520" w:lineRule="exact"/>
        <w:rPr>
          <w:rFonts w:ascii="仿宋_GB2312" w:hAnsi="宋体" w:eastAsia="仿宋_GB2312" w:cs="宋体"/>
          <w:sz w:val="32"/>
          <w:szCs w:val="32"/>
        </w:rPr>
      </w:pPr>
      <w:r>
        <w:rPr>
          <w:rFonts w:hint="eastAsia" w:ascii="黑体" w:hAnsi="黑体" w:eastAsia="黑体" w:cs="黑体"/>
          <w:sz w:val="32"/>
          <w:szCs w:val="32"/>
        </w:rPr>
        <w:t>三、衔接适用的具体规定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第二十条　</w:t>
      </w:r>
      <w:r>
        <w:rPr>
          <w:rFonts w:hint="eastAsia" w:ascii="仿宋_GB2312" w:hAnsi="宋体" w:eastAsia="仿宋_GB2312" w:cs="宋体"/>
          <w:sz w:val="32"/>
          <w:szCs w:val="32"/>
        </w:rPr>
        <w:t>民法典施行前成立的合同，依照法律规定或者当事人约定该合同的履行持续至民法典施行后，因民法典施行前履行合同发生争议的，适用当时的法律、司法解释的规定；因民法典施行后履行合同发生争议的，适用民法典第三编第四章和第五章的相关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第二十一条　</w:t>
      </w:r>
      <w:r>
        <w:rPr>
          <w:rFonts w:hint="eastAsia" w:ascii="仿宋_GB2312" w:hAnsi="宋体" w:eastAsia="仿宋_GB2312" w:cs="宋体"/>
          <w:sz w:val="32"/>
          <w:szCs w:val="32"/>
        </w:rPr>
        <w:t>民法典施行前租赁期限届满，当事人主张适用民法典第七百三十四条第二款规定的，人民法院不予支持；租赁期限在民法典施行后届满，当事人主张适用民法典第七百三十四条第二款规定的，人民法院依法予以支持。</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第二十二条　</w:t>
      </w:r>
      <w:r>
        <w:rPr>
          <w:rFonts w:hint="eastAsia" w:ascii="仿宋_GB2312" w:hAnsi="宋体" w:eastAsia="仿宋_GB2312" w:cs="宋体"/>
          <w:sz w:val="32"/>
          <w:szCs w:val="32"/>
        </w:rPr>
        <w:t>民法典施行前，经人民法院判决不准离婚后，双方又分居满一年，一方再次提起离婚诉讼的，适用民法典第一千零七十九条第五款的规定。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第二十三条　</w:t>
      </w:r>
      <w:r>
        <w:rPr>
          <w:rFonts w:hint="eastAsia" w:ascii="仿宋_GB2312" w:hAnsi="宋体" w:eastAsia="仿宋_GB2312" w:cs="宋体"/>
          <w:sz w:val="32"/>
          <w:szCs w:val="32"/>
        </w:rPr>
        <w:t>被继承人在民法典施行前立有公证遗嘱，民法典施行后又立有新遗嘱，其死亡后，因该数份遗嘱内容相抵触发生争议的，适用民法典第一千一百四十二条第三款的规定。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第二十四条　</w:t>
      </w:r>
      <w:r>
        <w:rPr>
          <w:rFonts w:hint="eastAsia" w:ascii="仿宋_GB2312" w:hAnsi="宋体" w:eastAsia="仿宋_GB2312" w:cs="宋体"/>
          <w:sz w:val="32"/>
          <w:szCs w:val="32"/>
        </w:rPr>
        <w:t>侵权行为发生在民法典施行前，但是损害后果出现在民法典施行后的民事纠纷案件，适用民法典的规定。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第二十五条　</w:t>
      </w:r>
      <w:r>
        <w:rPr>
          <w:rFonts w:hint="eastAsia" w:ascii="仿宋_GB2312" w:hAnsi="宋体" w:eastAsia="仿宋_GB2312" w:cs="宋体"/>
          <w:sz w:val="32"/>
          <w:szCs w:val="32"/>
        </w:rPr>
        <w:t>民法典施行前成立的合同，当时的法律、司法解释没有规定且当事人没有约定解除权行使期限，对方当事人也未催告的，解除权人在民法典施行前知道或者应当知道解除事由，自民法典施行之日起一年内不行使的，人民法院应当依法认定该解除权消灭；解除权人在民法典施行后知道或者应当知道解除事由的，适用民法典第五百六十四条第二款关于解除权行使期限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第二十六条　</w:t>
      </w:r>
      <w:r>
        <w:rPr>
          <w:rFonts w:hint="eastAsia" w:ascii="仿宋_GB2312" w:hAnsi="宋体" w:eastAsia="仿宋_GB2312" w:cs="宋体"/>
          <w:sz w:val="32"/>
          <w:szCs w:val="32"/>
        </w:rPr>
        <w:t>当事人以民法典施行前受胁迫结婚为由请求人民法院撤销婚姻的，撤销权的行使期限适用民法典第一千零五十二条第二款的规定。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xml:space="preserve">第二十七条　 </w:t>
      </w:r>
      <w:r>
        <w:rPr>
          <w:rFonts w:hint="eastAsia" w:ascii="仿宋_GB2312" w:hAnsi="宋体" w:eastAsia="仿宋_GB2312" w:cs="宋体"/>
          <w:sz w:val="32"/>
          <w:szCs w:val="32"/>
        </w:rPr>
        <w:t>民法典施行前成立的保证合同，当事人对保证期间约定不明确，主债务履行期限届满至民法典施行之日不满二年，当事人主张保证期间为主债务履行期限届满之日起二年的，人民法院依法予以支持；当事人对保证期间没有约定，主债务履行期限届满至民法典施行之日不满六个月，当事人主张保证期间为主债务履行期限届满之日起六个月的，人民法院依法予以支持。</w:t>
      </w:r>
    </w:p>
    <w:p>
      <w:pPr>
        <w:pStyle w:val="11"/>
        <w:spacing w:line="520" w:lineRule="exact"/>
        <w:rPr>
          <w:rFonts w:hint="eastAsia" w:ascii="黑体" w:hAnsi="黑体" w:eastAsia="黑体" w:cs="黑体"/>
          <w:sz w:val="32"/>
          <w:szCs w:val="32"/>
        </w:rPr>
      </w:pPr>
      <w:r>
        <w:rPr>
          <w:rFonts w:hint="eastAsia" w:ascii="黑体" w:hAnsi="黑体" w:eastAsia="黑体" w:cs="黑体"/>
          <w:sz w:val="32"/>
          <w:szCs w:val="32"/>
        </w:rPr>
        <w:t>四、附则</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第二十八条　</w:t>
      </w:r>
      <w:r>
        <w:rPr>
          <w:rFonts w:hint="eastAsia" w:ascii="仿宋_GB2312" w:hAnsi="宋体" w:eastAsia="仿宋_GB2312" w:cs="宋体"/>
          <w:sz w:val="32"/>
          <w:szCs w:val="32"/>
        </w:rPr>
        <w:t>本规定自2021年1月1日起施行。</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本规定施行后，人民法院尚未审结的一审、二审案件适用本规定。</w:t>
      </w:r>
    </w:p>
    <w:p>
      <w:pPr>
        <w:pStyle w:val="11"/>
        <w:spacing w:line="520" w:lineRule="exact"/>
        <w:rPr>
          <w:rFonts w:ascii="仿宋_GB2312" w:hAnsi="宋体" w:eastAsia="仿宋_GB2312" w:cs="宋体"/>
          <w:sz w:val="32"/>
          <w:szCs w:val="32"/>
        </w:rPr>
      </w:pPr>
    </w:p>
    <w:p/>
    <w:p>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both"/>
        <w:textAlignment w:val="auto"/>
        <w:outlineLvl w:val="0"/>
        <w:rPr>
          <w:rFonts w:hint="eastAsia" w:ascii="宋体" w:hAnsi="宋体" w:eastAsia="宋体" w:cs="Arial"/>
          <w:bCs/>
          <w:sz w:val="44"/>
          <w:szCs w:val="44"/>
        </w:rPr>
      </w:pP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r>
        <w:rPr>
          <w:rFonts w:hint="eastAsia" w:ascii="宋体" w:hAnsi="宋体" w:eastAsia="宋体" w:cs="Arial"/>
          <w:bCs/>
          <w:sz w:val="44"/>
          <w:szCs w:val="44"/>
        </w:rPr>
        <w:t>国境口岸突发公共卫生事件出入境检验</w:t>
      </w:r>
      <w:bookmarkEnd w:id="285"/>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86" w:name="_Toc19642"/>
      <w:r>
        <w:rPr>
          <w:rFonts w:hint="eastAsia" w:ascii="宋体" w:hAnsi="宋体" w:eastAsia="宋体" w:cs="Arial"/>
          <w:bCs/>
          <w:sz w:val="44"/>
          <w:szCs w:val="44"/>
        </w:rPr>
        <w:t>检疫应急处理规定</w:t>
      </w:r>
      <w:bookmarkEnd w:id="286"/>
    </w:p>
    <w:p>
      <w:pPr>
        <w:widowControl w:val="0"/>
        <w:wordWrap/>
        <w:overflowPunct w:val="0"/>
        <w:adjustRightInd w:val="0"/>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仿宋_GB2312" w:cs="仿宋_GB2312"/>
          <w:kern w:val="0"/>
          <w:sz w:val="32"/>
          <w:szCs w:val="32"/>
          <w:lang w:bidi="ar-SA"/>
        </w:rPr>
      </w:pPr>
      <w:r>
        <w:rPr>
          <w:rFonts w:hint="eastAsia" w:ascii="宋体" w:hAnsi="宋体" w:eastAsia="仿宋_GB2312" w:cs="仿宋_GB2312"/>
          <w:kern w:val="0"/>
          <w:sz w:val="32"/>
          <w:szCs w:val="32"/>
          <w:lang w:bidi="ar-SA"/>
        </w:rPr>
        <w:br w:type="textWrapping"/>
      </w:r>
      <w:r>
        <w:rPr>
          <w:rFonts w:hint="eastAsia" w:ascii="楷体" w:hAnsi="楷体" w:eastAsia="楷体" w:cs="楷体"/>
          <w:kern w:val="0"/>
          <w:sz w:val="32"/>
          <w:szCs w:val="32"/>
          <w:lang w:bidi="ar-SA"/>
        </w:rPr>
        <w:t>（2003年11月7日国家质量监督检验检疫总局令第57号公布　根据2018年4月28日海关总署令第238号《海关总署关于修改部分规章的决定》修正）</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黑体" w:cs="黑体"/>
          <w:kern w:val="0"/>
          <w:sz w:val="32"/>
          <w:szCs w:val="32"/>
          <w:lang w:bidi="ar-SA"/>
        </w:rPr>
      </w:pPr>
      <w:r>
        <w:rPr>
          <w:rFonts w:hint="eastAsia" w:ascii="宋体" w:hAnsi="宋体" w:eastAsia="黑体" w:cs="黑体"/>
          <w:kern w:val="0"/>
          <w:sz w:val="32"/>
          <w:szCs w:val="32"/>
          <w:lang w:eastAsia="zh-CN" w:bidi="ar-SA"/>
        </w:rPr>
        <w:t>第一章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总</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则</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第一条</w:t>
      </w:r>
      <w:r>
        <w:rPr>
          <w:rFonts w:hint="eastAsia" w:ascii="宋体" w:hAnsi="宋体" w:eastAsia="仿宋_GB2312" w:cs="仿宋_GB2312"/>
          <w:kern w:val="0"/>
          <w:sz w:val="32"/>
          <w:szCs w:val="32"/>
          <w:lang w:bidi="ar-SA"/>
        </w:rPr>
        <w:t>　为有效预防、及时缓解、控制和消除突发公共卫生事件的危害，保障出入境人员和国境口岸公众身体健康，维护国境口岸正常的社会秩序，依据《</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"javascript:SLC(167125,0)"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中华人民共和国国境卫生检疫法</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》及其实施细则和《</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"javascript:SLC(174915,0)"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突发公共卫生事件应急条例</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》，制定本规定。</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第二条</w:t>
      </w:r>
      <w:r>
        <w:rPr>
          <w:rFonts w:hint="eastAsia" w:ascii="宋体" w:hAnsi="宋体" w:eastAsia="仿宋_GB2312" w:cs="仿宋_GB2312"/>
          <w:kern w:val="0"/>
          <w:sz w:val="32"/>
          <w:szCs w:val="32"/>
          <w:lang w:bidi="ar-SA"/>
        </w:rPr>
        <w:t>　本规定所称突发公共卫生事件（以下简称突发事件）是指突然发生，造成或可能造成出入境人员和国境口岸公众健康严重损害的重大传染病疫情、群体性不明原因疾病、重大食物中毒以及其他严重影响公众健康的事件，包括：</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（一）发生鼠疫、霍乱、黄热病、肺炭疽、传染性非典型肺炎病例的；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（二）乙类、丙类传染病较大规模的暴发、流行或多人死亡的；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（三）发生罕见的或者国家已宣布消除的传染病等疫情的；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（四）传染病菌种、毒种丢失的；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（五）发生临床表现相似的但致病原因不明且有蔓延趋势或可能蔓延趋势的群体性疾病的；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（六）中毒人数10人以上或者中毒死亡的；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（七）国内外发生突发事件，可能危及国境口岸的。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第三条</w:t>
      </w:r>
      <w:r>
        <w:rPr>
          <w:rFonts w:hint="eastAsia" w:ascii="宋体" w:hAnsi="宋体" w:eastAsia="仿宋_GB2312" w:cs="仿宋_GB2312"/>
          <w:kern w:val="0"/>
          <w:sz w:val="32"/>
          <w:szCs w:val="32"/>
          <w:lang w:bidi="ar-SA"/>
        </w:rPr>
        <w:t>　本规定适用于在涉及国境口岸和出入境人员、交通工具、货物、集装箱、行李、邮包等范围内，对突发事件的应急处理。</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第四条</w:t>
      </w:r>
      <w:r>
        <w:rPr>
          <w:rFonts w:hint="eastAsia" w:ascii="宋体" w:hAnsi="宋体" w:eastAsia="仿宋_GB2312" w:cs="仿宋_GB2312"/>
          <w:kern w:val="0"/>
          <w:sz w:val="32"/>
          <w:szCs w:val="32"/>
          <w:lang w:bidi="ar-SA"/>
        </w:rPr>
        <w:t>　国境口岸突发事件出入境检验检疫应急处理，应当遵循预防为主、常备不懈的方针，贯彻统一领导、分级负责、反应及时、措施果断、依靠科学、加强合作的原则。</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第五条</w:t>
      </w:r>
      <w:r>
        <w:rPr>
          <w:rFonts w:hint="eastAsia" w:ascii="宋体" w:hAnsi="宋体" w:eastAsia="仿宋_GB2312" w:cs="仿宋_GB2312"/>
          <w:kern w:val="0"/>
          <w:sz w:val="32"/>
          <w:szCs w:val="32"/>
          <w:lang w:bidi="ar-SA"/>
        </w:rPr>
        <w:t>　海关对参加国境口岸突发事件出入境检验检疫应急处理做出贡献的人员应给予表彰和奖励。</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黑体" w:cs="黑体"/>
          <w:kern w:val="0"/>
          <w:sz w:val="32"/>
          <w:szCs w:val="32"/>
          <w:lang w:eastAsia="zh-CN" w:bidi="ar-SA"/>
        </w:rPr>
      </w:pPr>
      <w:r>
        <w:rPr>
          <w:rFonts w:hint="eastAsia" w:ascii="宋体" w:hAnsi="宋体" w:eastAsia="黑体" w:cs="黑体"/>
          <w:kern w:val="0"/>
          <w:sz w:val="32"/>
          <w:szCs w:val="32"/>
          <w:lang w:eastAsia="zh-CN" w:bidi="ar-SA"/>
        </w:rPr>
        <w:t>第二章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eastAsia="zh-CN" w:bidi="ar-SA"/>
        </w:rPr>
        <w:t>组织管理</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第六条</w:t>
      </w:r>
      <w:r>
        <w:rPr>
          <w:rFonts w:hint="eastAsia" w:ascii="宋体" w:hAnsi="宋体" w:eastAsia="仿宋_GB2312" w:cs="仿宋_GB2312"/>
          <w:kern w:val="0"/>
          <w:sz w:val="32"/>
          <w:szCs w:val="32"/>
          <w:lang w:bidi="ar-SA"/>
        </w:rPr>
        <w:t>　海关建立国境口岸突发事件出入境检验检疫应急指挥体系。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第七条</w:t>
      </w:r>
      <w:r>
        <w:rPr>
          <w:rFonts w:hint="eastAsia" w:ascii="宋体" w:hAnsi="宋体" w:eastAsia="仿宋_GB2312" w:cs="仿宋_GB2312"/>
          <w:kern w:val="0"/>
          <w:sz w:val="32"/>
          <w:szCs w:val="32"/>
          <w:lang w:bidi="ar-SA"/>
        </w:rPr>
        <w:t>　海关总署统一协调、管理国境口岸突发事件出入境检验检疫应急指挥体系，并履行下列职责：</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（一）研究制订国境口岸突发事件出入境检验检疫应急处理方案；</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（二）指挥和协调全国海关做好国境口岸突发事件出入境检验检疫应急处理工作，组织调动本系统的技术力量和相关资源；</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（三）检查督导全国海关有关应急工作的落实情况，督察各项应急处理措施落实到位；</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（四）协调与国家相关行政主管部门的关系，建立必要的应急协调联系机制；</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（五）收集、整理、分析和上报有关情报信息和事态变化情况，为国家决策提供处置意见和建议；向全国海关传达、部署上级机关有关各项命令；</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（六）鼓励、支持和统一协调开展国境口岸突发事件出入境检验检疫监测、预警、反应处理等相关技术的国际交流与合作。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海关总署成立国境口岸突发事件出入境检验检疫应急处理专家咨询小组，为应急处理提供专业咨询、技术指导，为应急决策提供建议和意见。</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第八条</w:t>
      </w:r>
      <w:r>
        <w:rPr>
          <w:rFonts w:hint="eastAsia" w:ascii="宋体" w:hAnsi="宋体" w:eastAsia="仿宋_GB2312" w:cs="仿宋_GB2312"/>
          <w:kern w:val="0"/>
          <w:sz w:val="32"/>
          <w:szCs w:val="32"/>
          <w:lang w:bidi="ar-SA"/>
        </w:rPr>
        <w:t>　直属海关负责所辖区域内的国境口岸突发事件出入境检验检疫应急处理工作，并履行下列职责：</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（一）在本辖区组织实施国境口岸突发事件出入境检验检疫应急处理预案；</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（二）调动所辖关区的力量和资源，开展应急处置工作；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（三）及时向海关总署报告应急工作情况、提出工作建议；</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（四）协调与当地人民政府及其卫生行政部门以及口岸管理部门、边检等相关部门的联系。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直属海关成立国境口岸突发事件出入境检验检疫应急处理专业技术机构，承担相应工作。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第九条</w:t>
      </w:r>
      <w:r>
        <w:rPr>
          <w:rFonts w:hint="eastAsia" w:ascii="宋体" w:hAnsi="宋体" w:eastAsia="仿宋_GB2312" w:cs="仿宋_GB2312"/>
          <w:kern w:val="0"/>
          <w:sz w:val="32"/>
          <w:szCs w:val="32"/>
          <w:lang w:bidi="ar-SA"/>
        </w:rPr>
        <w:t>　隶属海关应当履行下列职责：</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（一）组建突发事件出入境检验检疫应急现场指挥部，根据具体情况及时组织现场处置工作；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（二）与直属海关突发事件出入境检验检疫应急处理专业技术机构共同开展现场应急处置工作，并随时上报信息；</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（三）加强与当地人民政府及其相关部门的联系与协作。</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第三章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应急准备</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第十条</w:t>
      </w:r>
      <w:r>
        <w:rPr>
          <w:rFonts w:hint="eastAsia" w:ascii="宋体" w:hAnsi="宋体" w:eastAsia="仿宋_GB2312" w:cs="仿宋_GB2312"/>
          <w:kern w:val="0"/>
          <w:sz w:val="32"/>
          <w:szCs w:val="32"/>
          <w:lang w:bidi="ar-SA"/>
        </w:rPr>
        <w:t>　海关总署按照《</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"javascript:SLC(174915,0)"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突发公共卫生事件应急条例</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》的要求，制订全国国境口岸突发事件出入境检验检疫应急预案。</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主管海关根据全国国境口岸突发事件出入境检验检疫应急预案，结合本地口岸实际情况，制订本地国境口岸突发事件出入境检验检疫应急预案，并报上一级海关和当地政府备案。</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第十一条</w:t>
      </w:r>
      <w:r>
        <w:rPr>
          <w:rFonts w:hint="eastAsia" w:ascii="宋体" w:hAnsi="宋体" w:eastAsia="仿宋_GB2312" w:cs="仿宋_GB2312"/>
          <w:kern w:val="0"/>
          <w:sz w:val="32"/>
          <w:szCs w:val="32"/>
          <w:lang w:bidi="ar-SA"/>
        </w:rPr>
        <w:t>　海关应当定期开展突发事件出入境检验检疫应急处理相关技能的培训，组织突发事件出入境检验检疫应急演练，推广先进技术。</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第十二条</w:t>
      </w:r>
      <w:r>
        <w:rPr>
          <w:rFonts w:hint="eastAsia" w:ascii="宋体" w:hAnsi="宋体" w:eastAsia="仿宋_GB2312" w:cs="仿宋_GB2312"/>
          <w:kern w:val="0"/>
          <w:sz w:val="32"/>
          <w:szCs w:val="32"/>
          <w:lang w:bidi="ar-SA"/>
        </w:rPr>
        <w:t>　海关应当根据国境口岸突发事件出入境检验检疫应急预案的要求，保证应急处理人员、设施、设备、防治药品和器械等资源的配备、储备，提高应对突发事件的处理能力。</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第十三条</w:t>
      </w:r>
      <w:r>
        <w:rPr>
          <w:rFonts w:hint="eastAsia" w:ascii="宋体" w:hAnsi="宋体" w:eastAsia="仿宋_GB2312" w:cs="仿宋_GB2312"/>
          <w:kern w:val="0"/>
          <w:sz w:val="32"/>
          <w:szCs w:val="32"/>
          <w:lang w:bidi="ar-SA"/>
        </w:rPr>
        <w:t>　海关应当依照法律、行政法规、规章的规定，开展突发事件应急处理知识的宣传教育，增强对突发事件的防范意识和应对能力。</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黑体" w:cs="黑体"/>
          <w:kern w:val="0"/>
          <w:sz w:val="32"/>
          <w:szCs w:val="32"/>
          <w:lang w:bidi="ar-SA"/>
        </w:rPr>
      </w:pPr>
      <w:r>
        <w:rPr>
          <w:rFonts w:hint="eastAsia" w:ascii="宋体" w:hAnsi="宋体" w:eastAsia="黑体" w:cs="黑体"/>
          <w:kern w:val="0"/>
          <w:sz w:val="32"/>
          <w:szCs w:val="32"/>
          <w:lang w:eastAsia="zh-CN" w:bidi="ar-SA"/>
        </w:rPr>
        <w:t>第四章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报告与通报</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第十四条</w:t>
      </w:r>
      <w:r>
        <w:rPr>
          <w:rFonts w:hint="eastAsia" w:ascii="宋体" w:hAnsi="宋体" w:eastAsia="仿宋_GB2312" w:cs="仿宋_GB2312"/>
          <w:kern w:val="0"/>
          <w:sz w:val="32"/>
          <w:szCs w:val="32"/>
          <w:lang w:bidi="ar-SA"/>
        </w:rPr>
        <w:t>　海关总署建立国境口岸突发事件出入境检验检疫应急报告制度，建立重大、紧急疫情信息报告系统。</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有本规定第二条规定情形之一的，直属海关应当在接到报告1小时内向海关总署报告，并同时向当地政府报告。</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海关总署对可能造成重大社会影响的突发事件，应当及时向国务院报告。</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第十五条</w:t>
      </w:r>
      <w:r>
        <w:rPr>
          <w:rFonts w:hint="eastAsia" w:ascii="宋体" w:hAnsi="宋体" w:eastAsia="仿宋_GB2312" w:cs="仿宋_GB2312"/>
          <w:kern w:val="0"/>
          <w:sz w:val="32"/>
          <w:szCs w:val="32"/>
          <w:lang w:bidi="ar-SA"/>
        </w:rPr>
        <w:t>　隶属海关获悉有本规定第二条规定情形之一的，应当在1小时内向直属海关报告，并同时向当地政府报告。</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第十六条</w:t>
      </w:r>
      <w:r>
        <w:rPr>
          <w:rFonts w:hint="eastAsia" w:ascii="宋体" w:hAnsi="宋体" w:eastAsia="仿宋_GB2312" w:cs="仿宋_GB2312"/>
          <w:kern w:val="0"/>
          <w:sz w:val="32"/>
          <w:szCs w:val="32"/>
          <w:lang w:bidi="ar-SA"/>
        </w:rPr>
        <w:t>　海关总署和主管海关应当指定专人负责信息传递工作，并将人员名单及时向所辖系统内通报。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第十七条</w:t>
      </w:r>
      <w:r>
        <w:rPr>
          <w:rFonts w:hint="eastAsia" w:ascii="宋体" w:hAnsi="宋体" w:eastAsia="仿宋_GB2312" w:cs="仿宋_GB2312"/>
          <w:kern w:val="0"/>
          <w:sz w:val="32"/>
          <w:szCs w:val="32"/>
          <w:lang w:bidi="ar-SA"/>
        </w:rPr>
        <w:t>　国境口岸有关单位和个人发现有本规定第二条规定情形之一的，应当及时、如实地向所在口岸的海关报告，不得隐瞒、缓报、谎报或者授意他人隐瞒、缓报、谎报。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第十八条</w:t>
      </w:r>
      <w:r>
        <w:rPr>
          <w:rFonts w:hint="eastAsia" w:ascii="宋体" w:hAnsi="宋体" w:eastAsia="仿宋_GB2312" w:cs="仿宋_GB2312"/>
          <w:kern w:val="0"/>
          <w:sz w:val="32"/>
          <w:szCs w:val="32"/>
          <w:lang w:bidi="ar-SA"/>
        </w:rPr>
        <w:t>　接到报告的海关应当依照本规定立即组织力量对报告事项调查核实、确证，采取必要的控制措施，并及时报告调查情况。</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第十九条</w:t>
      </w:r>
      <w:r>
        <w:rPr>
          <w:rFonts w:hint="eastAsia" w:ascii="宋体" w:hAnsi="宋体" w:eastAsia="仿宋_GB2312" w:cs="仿宋_GB2312"/>
          <w:kern w:val="0"/>
          <w:sz w:val="32"/>
          <w:szCs w:val="32"/>
          <w:lang w:bidi="ar-SA"/>
        </w:rPr>
        <w:t>　海关总署应当将突发事件的进展情况，及时向国务院有关部门和直属海关通报。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接到通报的直属海关，应当及时通知本关区内的有关隶属海关。</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第二十条　</w:t>
      </w:r>
      <w:r>
        <w:rPr>
          <w:rFonts w:hint="eastAsia" w:ascii="宋体" w:hAnsi="宋体" w:eastAsia="仿宋_GB2312" w:cs="仿宋_GB2312"/>
          <w:kern w:val="0"/>
          <w:sz w:val="32"/>
          <w:szCs w:val="32"/>
          <w:lang w:bidi="ar-SA"/>
        </w:rPr>
        <w:t>海关总署建立突发事件出入境检验检疫风险预警快速反应信息网络系统。</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主管海关负责将发现的突发事件通过网络系统及时向上级报告，海关总署通过网络系统及时通报。</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第五章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应急处理</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第二十一条</w:t>
      </w:r>
      <w:r>
        <w:rPr>
          <w:rFonts w:hint="eastAsia" w:ascii="宋体" w:hAnsi="宋体" w:eastAsia="仿宋_GB2312" w:cs="仿宋_GB2312"/>
          <w:kern w:val="0"/>
          <w:sz w:val="32"/>
          <w:szCs w:val="32"/>
          <w:lang w:bidi="ar-SA"/>
        </w:rPr>
        <w:t>　突发事件发生后，发生地海关经上一级海关批准，应当对突发事件现场采取下列紧急控制措施：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（一）对现场进行临时控制，限制人员出入；对疑为人畜共患的重要疾病疫情，禁止病人或者疑似病人与易感动物接触；</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（二）对现场有关人员进行医学观察，临时隔离留验；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（三）对出入境交通工具、货物、集装箱、行李、邮包等采取限制措施，禁止移运；</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（四）封存可能导致突发事件发生或者蔓延的设备、材料、物品；</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（五）实施紧急卫生处理措施。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第二十二条</w:t>
      </w:r>
      <w:r>
        <w:rPr>
          <w:rFonts w:hint="eastAsia" w:ascii="宋体" w:hAnsi="宋体" w:eastAsia="仿宋_GB2312" w:cs="仿宋_GB2312"/>
          <w:kern w:val="0"/>
          <w:sz w:val="32"/>
          <w:szCs w:val="32"/>
          <w:lang w:bidi="ar-SA"/>
        </w:rPr>
        <w:t>　海关应当组织专家对突发事件进行流行病学调查、现场监测、现场勘验，确定危害程度，初步判断突发事件的类型，提出启动国境口岸突发事件出入境检验检疫应急预案的建议。</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第二十三条</w:t>
      </w:r>
      <w:r>
        <w:rPr>
          <w:rFonts w:hint="eastAsia" w:ascii="宋体" w:hAnsi="宋体" w:eastAsia="仿宋_GB2312" w:cs="仿宋_GB2312"/>
          <w:kern w:val="0"/>
          <w:sz w:val="32"/>
          <w:szCs w:val="32"/>
          <w:lang w:bidi="ar-SA"/>
        </w:rPr>
        <w:t>　海关总署国境口岸突发事件出入境检验检疫应急预案应当报国务院批准后实施；主管海关的国境口岸突发事件出入境检验检疫应急预案的启动，应当报上一级海关批准后实施，同时报告当地政府。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第二十四条</w:t>
      </w:r>
      <w:r>
        <w:rPr>
          <w:rFonts w:hint="eastAsia" w:ascii="宋体" w:hAnsi="宋体" w:eastAsia="仿宋_GB2312" w:cs="仿宋_GB2312"/>
          <w:kern w:val="0"/>
          <w:sz w:val="32"/>
          <w:szCs w:val="32"/>
          <w:lang w:bidi="ar-SA"/>
        </w:rPr>
        <w:t>　国境口岸突发事件出入境检验检疫技术调查、确证、处置、控制和评价工作由直属海关应急处理专业技术机构实施。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第二十五条</w:t>
      </w:r>
      <w:r>
        <w:rPr>
          <w:rFonts w:hint="eastAsia" w:ascii="宋体" w:hAnsi="宋体" w:eastAsia="仿宋_GB2312" w:cs="仿宋_GB2312"/>
          <w:kern w:val="0"/>
          <w:sz w:val="32"/>
          <w:szCs w:val="32"/>
          <w:lang w:bidi="ar-SA"/>
        </w:rPr>
        <w:t>　根据突发事件应急处理的需要，国境口岸突发事件出入境检验检疫应急处理指挥体系有权调集海关人员、储备物资、交通工具以及相关设施、设备；必要时，海关总署可以依照《</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"javascript:SLC(167125,0)"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中华人民共和国国境卫生检疫法</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》第</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"javascript:SLC(167125,6)"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六条</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的规定，提请国务院下令封锁有关的国境或者采取其他紧急措施。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第二十六条</w:t>
      </w:r>
      <w:r>
        <w:rPr>
          <w:rFonts w:hint="eastAsia" w:ascii="宋体" w:hAnsi="宋体" w:eastAsia="仿宋_GB2312" w:cs="仿宋_GB2312"/>
          <w:kern w:val="0"/>
          <w:sz w:val="32"/>
          <w:szCs w:val="32"/>
          <w:lang w:bidi="ar-SA"/>
        </w:rPr>
        <w:t>　参加国境口岸突发事件出入境检验检疫应急处理的工作人员，应当按照预案的规定，采取卫生检疫防护措施，并在专业人员的指导下进行工作。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第二十七条</w:t>
      </w:r>
      <w:r>
        <w:rPr>
          <w:rFonts w:hint="eastAsia" w:ascii="宋体" w:hAnsi="宋体" w:eastAsia="仿宋_GB2312" w:cs="仿宋_GB2312"/>
          <w:kern w:val="0"/>
          <w:sz w:val="32"/>
          <w:szCs w:val="32"/>
          <w:lang w:bidi="ar-SA"/>
        </w:rPr>
        <w:t>　出入境交通工具上发现传染病病人、疑似传染病病人，其负责人应当以最快的方式向当地口岸海关报告，海关接到报告后，应当立即组织有关人员采取相应的卫生检疫处置措施。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对出入境交通工具上的传染病病人密切接触者，应当依法予以留验和医学观察；或依照卫生检疫法律、行政法规的规定，采取控制措施。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　第二十八条</w:t>
      </w:r>
      <w:r>
        <w:rPr>
          <w:rFonts w:hint="eastAsia" w:ascii="宋体" w:hAnsi="宋体" w:eastAsia="仿宋_GB2312" w:cs="仿宋_GB2312"/>
          <w:kern w:val="0"/>
          <w:sz w:val="32"/>
          <w:szCs w:val="32"/>
          <w:lang w:bidi="ar-SA"/>
        </w:rPr>
        <w:t>　海关应当对临时留验、隔离人员进行必要的检查检验，并按规定作详细记录；对需要移送的病人，应当按照有关规定将病人及时移交给有关部门或机构进行处理。</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第二十九条</w:t>
      </w:r>
      <w:r>
        <w:rPr>
          <w:rFonts w:hint="eastAsia" w:ascii="宋体" w:hAnsi="宋体" w:eastAsia="仿宋_GB2312" w:cs="仿宋_GB2312"/>
          <w:kern w:val="0"/>
          <w:sz w:val="32"/>
          <w:szCs w:val="32"/>
          <w:lang w:bidi="ar-SA"/>
        </w:rPr>
        <w:t>　在突发事件中被实施留验、就地诊验、隔离处置、卫生检疫观察的病人、疑似病人和传染病病人密切接触者，在海关采取卫生检疫措施时，应当予以配合。</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黑体" w:cs="黑体"/>
          <w:kern w:val="0"/>
          <w:sz w:val="32"/>
          <w:szCs w:val="32"/>
          <w:lang w:bidi="ar-SA"/>
        </w:rPr>
      </w:pPr>
      <w:r>
        <w:rPr>
          <w:rFonts w:hint="eastAsia" w:ascii="宋体" w:hAnsi="宋体" w:eastAsia="黑体" w:cs="黑体"/>
          <w:kern w:val="0"/>
          <w:sz w:val="32"/>
          <w:szCs w:val="32"/>
          <w:lang w:eastAsia="zh-CN" w:bidi="ar-SA"/>
        </w:rPr>
        <w:t>第六章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法律责任</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第三十条</w:t>
      </w:r>
      <w:r>
        <w:rPr>
          <w:rFonts w:hint="eastAsia" w:ascii="宋体" w:hAnsi="宋体" w:eastAsia="仿宋_GB2312" w:cs="仿宋_GB2312"/>
          <w:kern w:val="0"/>
          <w:sz w:val="32"/>
          <w:szCs w:val="32"/>
          <w:lang w:bidi="ar-SA"/>
        </w:rPr>
        <w:t>　在国境口岸突发事件出入境检验检疫应急处理工作中，口岸有关单位和个人有下列情形之一的，依照有关法律法规的规定，予以警告或者罚款，构成犯罪的，依法追究刑事责任：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（一）向海关隐瞒、缓报或者谎报突发事件的；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（二）拒绝海关进入突发事件现场进行应急处理的；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（三）以暴力或其他方式妨碍海关应急处理工作人员执行公务的。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第三十一条</w:t>
      </w:r>
      <w:r>
        <w:rPr>
          <w:rFonts w:hint="eastAsia" w:ascii="宋体" w:hAnsi="宋体" w:eastAsia="仿宋_GB2312" w:cs="仿宋_GB2312"/>
          <w:kern w:val="0"/>
          <w:sz w:val="32"/>
          <w:szCs w:val="32"/>
          <w:lang w:bidi="ar-SA"/>
        </w:rPr>
        <w:t>　海关未依照本规定履行报告职责，对突发事件隐瞒、缓报、谎报或者授意他人隐瞒、缓报、谎报的，对主要负责人及其他直接责任人员予以行政处分；构成犯罪的，依法追究刑事责任。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第三十二条</w:t>
      </w:r>
      <w:r>
        <w:rPr>
          <w:rFonts w:hint="eastAsia" w:ascii="宋体" w:hAnsi="宋体" w:eastAsia="仿宋_GB2312" w:cs="仿宋_GB2312"/>
          <w:kern w:val="0"/>
          <w:sz w:val="32"/>
          <w:szCs w:val="32"/>
          <w:lang w:bidi="ar-SA"/>
        </w:rPr>
        <w:t>　突发事件发生后，海关拒不服从上级海关统一指挥，贻误采取应急控制措施时机或者违背应急预案要求拒绝上级海关对人员、物资的统一调配的，对单位予以通报批评；造成严重后果的，对主要负责人或直接责任人员予以行政处分，构成犯罪的，依法追究刑事责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第三十三条</w:t>
      </w:r>
      <w:r>
        <w:rPr>
          <w:rFonts w:hint="eastAsia" w:ascii="宋体" w:hAnsi="宋体" w:eastAsia="仿宋_GB2312" w:cs="仿宋_GB2312"/>
          <w:kern w:val="0"/>
          <w:sz w:val="32"/>
          <w:szCs w:val="32"/>
          <w:lang w:bidi="ar-SA"/>
        </w:rPr>
        <w:t>　突发事件发生后，海关拒不履行出入境检验检疫应急处理职责的，对上级海关的调查不予配合或者采取其他方式阻碍、干涉调查的，由上级海关责令改正，对主要负责人及其他直接责任人员予以行政处分；构成犯罪的，依法追究刑事责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第三十四条</w:t>
      </w:r>
      <w:r>
        <w:rPr>
          <w:rFonts w:hint="eastAsia" w:ascii="宋体" w:hAnsi="宋体" w:eastAsia="仿宋_GB2312" w:cs="仿宋_GB2312"/>
          <w:kern w:val="0"/>
          <w:sz w:val="32"/>
          <w:szCs w:val="32"/>
          <w:lang w:bidi="ar-SA"/>
        </w:rPr>
        <w:t>　海关工作人员在突发事件应急处理工作中滥用职权、玩忽职守、徇私舞弊的，对主要负责人及其他直接责任人员予以行政处分；构成犯罪的，依法追究刑事责任。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第七章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附则</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第三十五条</w:t>
      </w:r>
      <w:r>
        <w:rPr>
          <w:rFonts w:hint="eastAsia" w:ascii="宋体" w:hAnsi="宋体" w:eastAsia="仿宋_GB2312" w:cs="仿宋_GB2312"/>
          <w:kern w:val="0"/>
          <w:sz w:val="32"/>
          <w:szCs w:val="32"/>
          <w:lang w:bidi="ar-SA"/>
        </w:rPr>
        <w:t>　本规定由海关总署负责解释。</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第三十六条</w:t>
      </w:r>
      <w:r>
        <w:rPr>
          <w:rFonts w:hint="eastAsia" w:ascii="宋体" w:hAnsi="宋体" w:eastAsia="仿宋_GB2312" w:cs="仿宋_GB2312"/>
          <w:kern w:val="0"/>
          <w:sz w:val="32"/>
          <w:szCs w:val="32"/>
          <w:lang w:bidi="ar-SA"/>
        </w:rPr>
        <w:t>　本规定自发布之日起施行。</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仿宋_GB2312" w:cs="仿宋_GB2312"/>
          <w:kern w:val="0"/>
          <w:sz w:val="32"/>
          <w:szCs w:val="32"/>
          <w:lang w:bidi="ar-SA"/>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87" w:name="_Toc3031"/>
      <w:r>
        <w:rPr>
          <w:rFonts w:hint="eastAsia" w:ascii="宋体" w:hAnsi="宋体" w:eastAsia="宋体" w:cs="宋体"/>
          <w:sz w:val="44"/>
          <w:szCs w:val="44"/>
        </w:rPr>
        <w:t>动物检疫管理办法</w:t>
      </w:r>
      <w:bookmarkEnd w:id="287"/>
    </w:p>
    <w:p>
      <w:pPr>
        <w:pStyle w:val="7"/>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center"/>
        <w:textAlignment w:val="auto"/>
        <w:rPr>
          <w:rFonts w:hint="eastAsia" w:ascii="楷体" w:hAnsi="楷体" w:eastAsia="楷体" w:cs="楷体"/>
          <w:sz w:val="32"/>
          <w:szCs w:val="32"/>
        </w:rPr>
      </w:pPr>
      <w:r>
        <w:rPr>
          <w:rFonts w:hint="eastAsia" w:ascii="楷体" w:hAnsi="楷体" w:eastAsia="楷体" w:cs="楷体"/>
          <w:sz w:val="32"/>
          <w:szCs w:val="32"/>
        </w:rPr>
        <w:t>（2010年1月21日农业部令2010年第6号公布，2019年4月25日农业农村部令2019年第2号修正）</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第一条</w:t>
      </w:r>
      <w:r>
        <w:rPr>
          <w:rFonts w:hint="eastAsia" w:ascii="仿宋" w:hAnsi="仿宋" w:eastAsia="仿宋" w:cs="仿宋"/>
          <w:sz w:val="32"/>
          <w:szCs w:val="32"/>
        </w:rPr>
        <w:t xml:space="preserve"> 为加强动物检疫活动管理，预防、控制和扑灭动物疫病，保障动物及动物产品安全，保护人体健康，维护公共卫生安全，根据《中华人民共和国动物防疫法》（以下简称《动物防疫法》），制定本办法。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第二条</w:t>
      </w:r>
      <w:r>
        <w:rPr>
          <w:rFonts w:hint="eastAsia" w:ascii="仿宋" w:hAnsi="仿宋" w:eastAsia="仿宋" w:cs="仿宋"/>
          <w:sz w:val="32"/>
          <w:szCs w:val="32"/>
        </w:rPr>
        <w:t xml:space="preserve"> 本办法适用于中华人民共和国领域内的动物检疫活动。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第三条</w:t>
      </w:r>
      <w:r>
        <w:rPr>
          <w:rFonts w:hint="eastAsia" w:ascii="仿宋" w:hAnsi="仿宋" w:eastAsia="仿宋" w:cs="仿宋"/>
          <w:sz w:val="32"/>
          <w:szCs w:val="32"/>
        </w:rPr>
        <w:t xml:space="preserve"> 农业部主管全国动物检疫工作。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县级以上地方人民政府兽医主管部门主管本行政区域内的动物检疫工作。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县级以上地方人民政府设立的动物卫生监督机构负责本行政区域内动物、动物产品的检疫及其监督管理工作。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第四条</w:t>
      </w:r>
      <w:r>
        <w:rPr>
          <w:rFonts w:hint="eastAsia" w:ascii="仿宋" w:hAnsi="仿宋" w:eastAsia="仿宋" w:cs="仿宋"/>
          <w:sz w:val="32"/>
          <w:szCs w:val="32"/>
        </w:rPr>
        <w:t xml:space="preserve"> 动物检疫的范围、对象和规程由农业部制定、调整并公布。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第五条</w:t>
      </w:r>
      <w:r>
        <w:rPr>
          <w:rFonts w:hint="eastAsia" w:ascii="仿宋" w:hAnsi="仿宋" w:eastAsia="仿宋" w:cs="仿宋"/>
          <w:sz w:val="32"/>
          <w:szCs w:val="32"/>
        </w:rPr>
        <w:t xml:space="preserve"> 动物卫生监督机构指派官方兽医按照《动物防疫法》和本办法的规定对动物、动物产品实施检疫，出具检疫证明，加施检疫标志。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动物卫生监督机构可以根据检疫工作需要，指定兽医专业人员协助官方兽医实施动物检疫。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第六条</w:t>
      </w:r>
      <w:r>
        <w:rPr>
          <w:rFonts w:hint="eastAsia" w:ascii="仿宋" w:hAnsi="仿宋" w:eastAsia="仿宋" w:cs="仿宋"/>
          <w:sz w:val="32"/>
          <w:szCs w:val="32"/>
        </w:rPr>
        <w:t xml:space="preserve"> 动物检疫遵循过程监管、风险控制、区域化和可追溯管理相结合的原则。</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检疫申报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第七条</w:t>
      </w:r>
      <w:r>
        <w:rPr>
          <w:rFonts w:hint="eastAsia" w:ascii="仿宋" w:hAnsi="仿宋" w:eastAsia="仿宋" w:cs="仿宋"/>
          <w:sz w:val="32"/>
          <w:szCs w:val="32"/>
        </w:rPr>
        <w:t xml:space="preserve"> 国家实行动物检疫申报制度。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动物卫生监督机构应当根据检疫工作需要，合理设置动物检疫申报点，并向社会公布动物检疫申报点、检疫范围和检疫对象。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县级以上人民政府兽医主管部门应当加强动物检疫申报点的建设和管理。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第八条</w:t>
      </w:r>
      <w:r>
        <w:rPr>
          <w:rFonts w:hint="eastAsia" w:ascii="仿宋" w:hAnsi="仿宋" w:eastAsia="仿宋" w:cs="仿宋"/>
          <w:sz w:val="32"/>
          <w:szCs w:val="32"/>
        </w:rPr>
        <w:t xml:space="preserve"> 下列动物、动物产品在离开产地前，货主应当按规定时限向所在地动物卫生监督机构申报检疫：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（一）出售、运输动物产品和供屠宰、继续饲养的动物，应当提前3天申报检疫。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（二）出售、运输乳用动物、种用动物及其精液、卵、胚胎、种蛋，以及参加展览、演出和比赛的动物，应当提前15天申报检疫。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（三）向无规定动物疫病区输入相关易感动物、易感动物产品的，货主除按规定向输出地动物卫生监督机构申报检疫外，还应当在起运3天前向输入地省级动物卫生监督机构申报检疫。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第九条</w:t>
      </w:r>
      <w:r>
        <w:rPr>
          <w:rFonts w:hint="eastAsia" w:ascii="仿宋" w:hAnsi="仿宋" w:eastAsia="仿宋" w:cs="仿宋"/>
          <w:sz w:val="32"/>
          <w:szCs w:val="32"/>
        </w:rPr>
        <w:t xml:space="preserve"> 合法捕获野生动物的，应当在捕获后3天内向捕获地县级动物卫生监督机构申报检疫。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第十条</w:t>
      </w:r>
      <w:r>
        <w:rPr>
          <w:rFonts w:hint="eastAsia" w:ascii="仿宋" w:hAnsi="仿宋" w:eastAsia="仿宋" w:cs="仿宋"/>
          <w:sz w:val="32"/>
          <w:szCs w:val="32"/>
        </w:rPr>
        <w:t xml:space="preserve"> 屠宰动物的，应当提前6小时向所在地动物卫生监督机构申报检疫；急宰动物的，可以随时申报。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第十一条</w:t>
      </w:r>
      <w:r>
        <w:rPr>
          <w:rFonts w:hint="eastAsia" w:ascii="仿宋" w:hAnsi="仿宋" w:eastAsia="仿宋" w:cs="仿宋"/>
          <w:sz w:val="32"/>
          <w:szCs w:val="32"/>
        </w:rPr>
        <w:t xml:space="preserve"> 申报检疫的，应当提交检疫申报单；跨省、自治区、直辖市调运乳用动物、种用动物及其精液、胚胎、种蛋的，还应当同时提交输入地省、自治区、直辖市动物卫生监督机构批准的《跨省引进乳用种用动物检疫审批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申报检疫采取申报点填报、传真、电话等方式申报。采用电话申报的，需在现场补填检疫申报单。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第十二条</w:t>
      </w:r>
      <w:r>
        <w:rPr>
          <w:rFonts w:hint="eastAsia" w:ascii="仿宋" w:hAnsi="仿宋" w:eastAsia="仿宋" w:cs="仿宋"/>
          <w:sz w:val="32"/>
          <w:szCs w:val="32"/>
        </w:rPr>
        <w:t xml:space="preserve"> 动物卫生监督机构受理检疫申报后，应当派出官方兽医到现场或指定地点实施检疫；不予受理的，应当说明理由。</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产地检疫</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第十三条</w:t>
      </w:r>
      <w:r>
        <w:rPr>
          <w:rFonts w:hint="eastAsia" w:ascii="仿宋" w:hAnsi="仿宋" w:eastAsia="仿宋" w:cs="仿宋"/>
          <w:sz w:val="32"/>
          <w:szCs w:val="32"/>
        </w:rPr>
        <w:t xml:space="preserve"> 出售或者运输的动物、动物产品经所在地县级动物卫生监督机构的官方兽医检疫合格，并取得《动物检疫合格证明》后，方可离开产地。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第十四条</w:t>
      </w:r>
      <w:r>
        <w:rPr>
          <w:rFonts w:hint="eastAsia" w:ascii="仿宋" w:hAnsi="仿宋" w:eastAsia="仿宋" w:cs="仿宋"/>
          <w:sz w:val="32"/>
          <w:szCs w:val="32"/>
        </w:rPr>
        <w:t xml:space="preserve"> 出售或者运输的动物，经检疫符合下列条件，由官方兽医出具《动物检疫合格证明》：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（一）来自非封锁区或者未发生相关动物疫情的饲养场（户）；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（二）按照国家规定进行了强制免疫，并在有效保护期内；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（三）临床检查健康；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（五）养殖档案相关记录和畜禽标识符合农业部规定。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乳用、种用动物和宠物，还应当符合农业部规定的健康标准。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第十五条</w:t>
      </w:r>
      <w:r>
        <w:rPr>
          <w:rFonts w:hint="eastAsia" w:ascii="仿宋" w:hAnsi="仿宋" w:eastAsia="仿宋" w:cs="仿宋"/>
          <w:sz w:val="32"/>
          <w:szCs w:val="32"/>
        </w:rPr>
        <w:t xml:space="preserve"> 合法捕获的野生动物，经检疫符合下列条件，由官方兽医出具《动物检疫合格证明》后，方可饲养、经营和运输：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（一）来自非封锁区；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（二）临床检查健康；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第十六条</w:t>
      </w:r>
      <w:r>
        <w:rPr>
          <w:rFonts w:hint="eastAsia" w:ascii="仿宋" w:hAnsi="仿宋" w:eastAsia="仿宋" w:cs="仿宋"/>
          <w:sz w:val="32"/>
          <w:szCs w:val="32"/>
        </w:rPr>
        <w:t xml:space="preserve"> 出售、运输的种用动物精液、卵、胚胎、种蛋，经检疫符合下列条件，由官方兽医出具《动物检疫合格证明》：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（一）来自非封锁区，或者未发生相关动物疫情的种用动物饲养场；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（二）供体动物按照国家规定进行了强制免疫，并在有效保护期内；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（三）供体动物符合动物健康标准；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（五）供体动物的养殖档案相关记录和畜禽标识符合农业部规定。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第十七条</w:t>
      </w:r>
      <w:r>
        <w:rPr>
          <w:rFonts w:hint="eastAsia" w:ascii="仿宋" w:hAnsi="仿宋" w:eastAsia="仿宋" w:cs="仿宋"/>
          <w:sz w:val="32"/>
          <w:szCs w:val="32"/>
        </w:rPr>
        <w:t xml:space="preserve"> 出售、运输的骨、角、生皮、原毛、绒等产品，经检疫符合下列条件，由官方兽医出具《动物检疫合格证明》：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（一）来自非封锁区，或者未发生相关动物疫情的饲养场（户）；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（二）按有关规定消毒合格；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第十八条</w:t>
      </w:r>
      <w:r>
        <w:rPr>
          <w:rFonts w:hint="eastAsia" w:ascii="仿宋" w:hAnsi="仿宋" w:eastAsia="仿宋" w:cs="仿宋"/>
          <w:sz w:val="32"/>
          <w:szCs w:val="32"/>
        </w:rPr>
        <w:t xml:space="preserve"> 经检疫不合格的动物、动物产品，由官方兽医出具检疫处理通知单，并监督货主按照农业部规定的技术规范处理。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第十九条</w:t>
      </w:r>
      <w:r>
        <w:rPr>
          <w:rFonts w:hint="eastAsia" w:ascii="仿宋" w:hAnsi="仿宋" w:eastAsia="仿宋" w:cs="仿宋"/>
          <w:sz w:val="32"/>
          <w:szCs w:val="32"/>
        </w:rPr>
        <w:t xml:space="preserve"> 跨省、自治区、直辖市引进用于饲养的非乳用、非种用动物到达目的地后，货主或者承运人应当在24小时内向所在地县级动物卫生监督机构报告，并接受监督检查。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第二十条</w:t>
      </w:r>
      <w:r>
        <w:rPr>
          <w:rFonts w:hint="eastAsia" w:ascii="仿宋" w:hAnsi="仿宋" w:eastAsia="仿宋" w:cs="仿宋"/>
          <w:sz w:val="32"/>
          <w:szCs w:val="32"/>
        </w:rPr>
        <w:t xml:space="preserve"> 跨省、自治区、直辖市引进的乳用、种用动物到达输入地后，在所在地动物卫生监督机构的监督下，应当在隔离场或饲养场（养殖小区）内的隔离舍进行隔离观察，大中型动物隔离期为45天，小型动物隔离期为30天。经隔离观察合格的方可混群饲养；不合格的，按照有关规定进行处理。隔离观察合格后需继续在省内运输的，货主应当申请更换《动物检疫合格证明》。动物卫生监督机构更换《动物检疫合格证明》不得收费。</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屠宰检疫</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第二十一条</w:t>
      </w:r>
      <w:r>
        <w:rPr>
          <w:rFonts w:hint="eastAsia" w:ascii="仿宋" w:hAnsi="仿宋" w:eastAsia="仿宋" w:cs="仿宋"/>
          <w:sz w:val="32"/>
          <w:szCs w:val="32"/>
        </w:rPr>
        <w:t xml:space="preserve"> 县级动物卫生监督机构依法向屠宰场（厂、点）派驻（出）官方兽医实施检疫。屠宰场（厂、点）应当提供与屠宰规模相适应的官方兽医驻场检疫室和检疫操作台等设施。出场（厂、点）的动物产品应当经官方兽医检疫合格，加施检疫标志，并附有《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第二十二条</w:t>
      </w:r>
      <w:r>
        <w:rPr>
          <w:rFonts w:hint="eastAsia" w:ascii="仿宋" w:hAnsi="仿宋" w:eastAsia="仿宋" w:cs="仿宋"/>
          <w:sz w:val="32"/>
          <w:szCs w:val="32"/>
        </w:rPr>
        <w:t xml:space="preserve"> 进入屠宰场（厂、点）的动物应当附有《动物检疫合格证明》，并佩戴有农业部规定的畜禽标识。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官方兽医应当查验进场动物附具的《动物检疫合格证明》和佩戴的畜禽标识，检查待宰动物健康状况，对疑似染疫的动物进行隔离观察。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官方兽医应当按照农业部规定，在动物屠宰过程中实施全流程同步检疫和必要的实验室疫病检测。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第二十三条</w:t>
      </w:r>
      <w:r>
        <w:rPr>
          <w:rFonts w:hint="eastAsia" w:ascii="仿宋" w:hAnsi="仿宋" w:eastAsia="仿宋" w:cs="仿宋"/>
          <w:sz w:val="32"/>
          <w:szCs w:val="32"/>
        </w:rPr>
        <w:t xml:space="preserve"> 经检疫符合下列条件的，由官方兽医出具《动物检疫合格证明》，对胴体及分割、包装的动物产品加盖检疫验讫印章或者加施其他检疫标志：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（一）无规定的传染病和寄生虫病；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（二）符合农业部规定的相关屠宰检疫规程要求；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骨、角、生皮、原毛、绒的检疫还应当符合本办法第十七条有关规定。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第二十四条</w:t>
      </w:r>
      <w:r>
        <w:rPr>
          <w:rFonts w:hint="eastAsia" w:ascii="仿宋" w:hAnsi="仿宋" w:eastAsia="仿宋" w:cs="仿宋"/>
          <w:sz w:val="32"/>
          <w:szCs w:val="32"/>
        </w:rPr>
        <w:t xml:space="preserve"> 经检疫不合格的动物、动物产品，由官方兽医出具检疫处理通知单，并监督屠宰场（厂、点）或者货主按照农业部规定的技术规范处理。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第二十五条</w:t>
      </w:r>
      <w:r>
        <w:rPr>
          <w:rFonts w:hint="eastAsia" w:ascii="仿宋" w:hAnsi="仿宋" w:eastAsia="仿宋" w:cs="仿宋"/>
          <w:sz w:val="32"/>
          <w:szCs w:val="32"/>
        </w:rPr>
        <w:t xml:space="preserve"> 官方兽医应当回收进入屠宰场（厂、点）动物附具的《动物检疫合格证明》，填写屠宰检疫记录。回收的《动物检疫合格证明》应当保存十二个月以上。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第二十六条</w:t>
      </w:r>
      <w:r>
        <w:rPr>
          <w:rFonts w:hint="eastAsia" w:ascii="仿宋" w:hAnsi="仿宋" w:eastAsia="仿宋" w:cs="仿宋"/>
          <w:sz w:val="32"/>
          <w:szCs w:val="32"/>
        </w:rPr>
        <w:t xml:space="preserve"> 经检疫合格的动物产品到达目的地后，需要直接在当地分销的，货主可以向输入地动物卫生监督机构申请换证，换证不得收费。换证应当符合下列条件：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（一）提供原始有效《动物检疫合格证明》，检疫标志完整，且证物相符；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（二）在有关国家标准规定的保质期内，且无腐败变质。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第二十七条</w:t>
      </w:r>
      <w:r>
        <w:rPr>
          <w:rFonts w:hint="eastAsia" w:ascii="仿宋" w:hAnsi="仿宋" w:eastAsia="仿宋" w:cs="仿宋"/>
          <w:sz w:val="32"/>
          <w:szCs w:val="32"/>
        </w:rPr>
        <w:t xml:space="preserve"> 经检疫合格的动物产品到达目的地，贮藏后需继续调运或者分销的，货主可以向输入地动物卫生监督机构重新申报检疫。输入地县级以上动物卫生监督机构对符合下列条件的动物产品，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（一）提供原始有效《动物检疫合格证明》，检疫标志完整，且证物相符；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（二）在有关国家标准规定的保质期内，无腐败变质；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（三）有健全的出入库登记记录；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（四）农业部规定进行必要的实验室疫病检测的，检测结果符合要求。</w:t>
      </w:r>
    </w:p>
    <w:p>
      <w:pPr>
        <w:pStyle w:val="7"/>
        <w:rPr>
          <w:rFonts w:hint="eastAsi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水产苗种产地检疫</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第二十八条</w:t>
      </w:r>
      <w:r>
        <w:rPr>
          <w:rFonts w:hint="eastAsia" w:ascii="仿宋" w:hAnsi="仿宋" w:eastAsia="仿宋" w:cs="仿宋"/>
          <w:sz w:val="32"/>
          <w:szCs w:val="32"/>
        </w:rPr>
        <w:t xml:space="preserve"> 出售或者运输水生动物的亲本、稚体、幼体、受精卵、发眼卵及其他遗传育种材料等水产苗种的，货主应当提前20天向所在地县级动物卫生监督机构申报检疫；经检疫合格，并取得《动物检疫合格证明》后，方可离开产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第二十九条</w:t>
      </w:r>
      <w:r>
        <w:rPr>
          <w:rFonts w:hint="eastAsia" w:ascii="仿宋" w:hAnsi="仿宋" w:eastAsia="仿宋" w:cs="仿宋"/>
          <w:sz w:val="32"/>
          <w:szCs w:val="32"/>
        </w:rPr>
        <w:t xml:space="preserve"> 养殖、出售或者运输合法捕获的野生水产苗种的，货主应当在捕获野生水产苗种后2天内向所在地县级动物卫生监督机构申报检疫；经检疫合格，并取得《动物检疫合格证明》后，方可投放养殖场所、出售或者运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合法捕获的野生水产苗种实施检疫前，货主应当将其隔离在符合下列条件的临时检疫场地：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（一）与其他养殖场所有物理隔离设施；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（二）具有独立的进排水和废水无害化处理设施以及专用渔具；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（三）农业部规定的其他防疫条件。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第三十条</w:t>
      </w:r>
      <w:r>
        <w:rPr>
          <w:rFonts w:hint="eastAsia" w:ascii="仿宋" w:hAnsi="仿宋" w:eastAsia="仿宋" w:cs="仿宋"/>
          <w:sz w:val="32"/>
          <w:szCs w:val="32"/>
        </w:rPr>
        <w:t xml:space="preserve"> 水产苗种经检疫符合下列条件的，由官方兽医出具《动物检疫合格证明》：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（一）该苗种生产场近期未发生相关水生动物疫情；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（二）临床健康检查合格；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（三）农业部规定需要经水生动物疫病诊断实验室检验的，检验结果符合要求。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检疫不合格的，动物卫生监督机构应当监督货主按照农业部规定的技术规范处理。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第三十一条</w:t>
      </w:r>
      <w:r>
        <w:rPr>
          <w:rFonts w:hint="eastAsia" w:ascii="仿宋" w:hAnsi="仿宋" w:eastAsia="仿宋" w:cs="仿宋"/>
          <w:sz w:val="32"/>
          <w:szCs w:val="32"/>
        </w:rPr>
        <w:t xml:space="preserve"> 跨省、自治区、直辖市引进水产苗种到达目的地后，货主或承运人应当在24小时内按照有关规定报告，并接受当地动物卫生监督机构的监督检查。</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无规定动物疫病区动物检疫</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第三十二条</w:t>
      </w:r>
      <w:r>
        <w:rPr>
          <w:rFonts w:hint="eastAsia" w:ascii="仿宋" w:hAnsi="仿宋" w:eastAsia="仿宋" w:cs="仿宋"/>
          <w:sz w:val="32"/>
          <w:szCs w:val="32"/>
        </w:rPr>
        <w:t xml:space="preserve"> 向无规定动物疫病区运输相关易感动物、动物产品的，除附有输出地动物卫生监督机构出具的《动物检疫合格证明》外，还应当向输入地省、自治区、直辖市动物卫生监督机构申报检疫，并按照本办法第三十三条、第三十四条规定取得输入地《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第三十三条</w:t>
      </w:r>
      <w:r>
        <w:rPr>
          <w:rFonts w:hint="eastAsia" w:ascii="仿宋" w:hAnsi="仿宋" w:eastAsia="仿宋" w:cs="仿宋"/>
          <w:sz w:val="32"/>
          <w:szCs w:val="32"/>
        </w:rPr>
        <w:t xml:space="preserve"> 输入到无规定动物疫病区的相关易感动物，应当在输入地省、自治区、直辖市动物卫生监督机构指定的隔离场所，按照农业部规定的无规定动物疫病区有关检疫要求隔离检疫。大中型动物隔离检疫期为45天，小型动物隔离检疫期为30天。隔离检疫合格的，由输入地省、自治区、直辖市动物卫生监督机构的官方兽医出具《动物检疫合格证明》；不合格的，不准进入，并依法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第三十四条</w:t>
      </w:r>
      <w:r>
        <w:rPr>
          <w:rFonts w:hint="eastAsia" w:ascii="仿宋" w:hAnsi="仿宋" w:eastAsia="仿宋" w:cs="仿宋"/>
          <w:sz w:val="32"/>
          <w:szCs w:val="32"/>
        </w:rPr>
        <w:t xml:space="preserve"> 输入到无规定动物疫病区的相关易感动物产品，应当在输入地省、自治区、直辖市动物卫生监督机构指定的地点，按照农业部规定的无规定动物疫病区有关检疫要求进行检疫。检疫合格的，由输入地省、自治区、直辖市动物卫生监督机构的官方兽医出具《动物检疫合格证明》；不合格的，不准进入，并依法处理。</w:t>
      </w:r>
    </w:p>
    <w:p>
      <w:pPr>
        <w:pStyle w:val="7"/>
        <w:rPr>
          <w:rFonts w:hint="eastAsi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乳用种用动物检疫审批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第三十五条</w:t>
      </w:r>
      <w:r>
        <w:rPr>
          <w:rFonts w:hint="eastAsia" w:ascii="仿宋" w:hAnsi="仿宋" w:eastAsia="仿宋" w:cs="仿宋"/>
          <w:sz w:val="32"/>
          <w:szCs w:val="32"/>
        </w:rPr>
        <w:t xml:space="preserve"> 跨省、自治区、直辖市引进乳用动物、种用动物及其精液、胚胎、种蛋的，货主应当填写《跨省引进乳用种用动物检疫审批表》，向输入地省、自治区、直辖市动物卫生监督机构申请办理审批手续。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第三十六条</w:t>
      </w:r>
      <w:r>
        <w:rPr>
          <w:rFonts w:hint="eastAsia" w:ascii="仿宋" w:hAnsi="仿宋" w:eastAsia="仿宋" w:cs="仿宋"/>
          <w:sz w:val="32"/>
          <w:szCs w:val="32"/>
        </w:rPr>
        <w:t xml:space="preserve"> 输入地省、自治区、直辖市动物卫生监督机构应当自受理申请之日起10个工作日内，做出是否同意引进的决定。符合下列条件的，签发《跨省引进乳用种用动物检疫审批表》；不符合下列条件的，书面告知申请人，并说明理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（一）输出和输入饲养场、养殖小区取得《动物防疫条件合格证》；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（二）输入饲养场、养殖小区存栏的动物符合动物健康标准；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（三）输出的乳用、种用动物养殖档案相关记录符合农业部规定；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（四）输出的精液、胚胎、种蛋的供体符合动物健康标准。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第三十七条</w:t>
      </w:r>
      <w:r>
        <w:rPr>
          <w:rFonts w:hint="eastAsia" w:ascii="仿宋" w:hAnsi="仿宋" w:eastAsia="仿宋" w:cs="仿宋"/>
          <w:sz w:val="32"/>
          <w:szCs w:val="32"/>
        </w:rPr>
        <w:t xml:space="preserve"> 货主凭输入地省、自治区、直辖市动物卫生监督机构签发的《跨省引进乳用种用动物检疫审批表》，按照本办法规定向输出地县级动物卫生监督机构申报检疫。输出地县级动物卫生监督机构应当按照本办法的规定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第三十八条</w:t>
      </w:r>
      <w:r>
        <w:rPr>
          <w:rFonts w:hint="eastAsia" w:ascii="仿宋" w:hAnsi="仿宋" w:eastAsia="仿宋" w:cs="仿宋"/>
          <w:sz w:val="32"/>
          <w:szCs w:val="32"/>
        </w:rPr>
        <w:t xml:space="preserve"> 跨省引进乳用种用动物应当在《跨省引进乳用种用动物检疫审批表》有效期内运输。逾期引进的，货主应当重新办理审批手续。</w:t>
      </w:r>
    </w:p>
    <w:p>
      <w:pPr>
        <w:pStyle w:val="7"/>
        <w:rPr>
          <w:rFonts w:hint="eastAsi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检疫监督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第三十九条</w:t>
      </w:r>
      <w:r>
        <w:rPr>
          <w:rFonts w:hint="eastAsia" w:ascii="仿宋" w:hAnsi="仿宋" w:eastAsia="仿宋" w:cs="仿宋"/>
          <w:sz w:val="32"/>
          <w:szCs w:val="32"/>
        </w:rPr>
        <w:t xml:space="preserve"> 屠宰、经营、运输以及参加展览、演出和比赛的动物，应当附有《动物检疫合格证明》；经营、运输的动物产品应当附有《动物检疫合格证明》和检疫标志。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对符合前款规定的动物、动物产品，动物卫生监督机构可以查验检疫证明、检疫标志，对动物、动物产品进行采样、留验、抽检，但不得重复检疫收费。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第四十条</w:t>
      </w:r>
      <w:r>
        <w:rPr>
          <w:rFonts w:hint="eastAsia" w:ascii="仿宋" w:hAnsi="仿宋" w:eastAsia="仿宋" w:cs="仿宋"/>
          <w:sz w:val="32"/>
          <w:szCs w:val="32"/>
        </w:rPr>
        <w:t xml:space="preserve"> 依法应当检疫而未经检疫的动物，由动物卫生监督机构依照本条第二款规定补检，并依照《动物防疫法》处理处罚。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符合下列条件的，由动物卫生监督机构出具《动物检疫合格证明》；不符合的，按照农业部有关规定进行处理。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（一）畜禽标识符合农业部规定；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（二）临床检查健康；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第四十一条</w:t>
      </w:r>
      <w:r>
        <w:rPr>
          <w:rFonts w:hint="eastAsia" w:ascii="仿宋" w:hAnsi="仿宋" w:eastAsia="仿宋" w:cs="仿宋"/>
          <w:sz w:val="32"/>
          <w:szCs w:val="32"/>
        </w:rPr>
        <w:t xml:space="preserve"> 依法应当检疫而未经检疫的骨、角、生皮、原毛、绒等产品，符合下列条件的，由动物卫生监督机构出具《动物检疫合格证明》；不符合的，予以没收销毁。同时，依照《动物防疫法》处理处罚。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（一）经外观检查无腐烂变质；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（二）按有关规定重新消毒；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第四十二条</w:t>
      </w:r>
      <w:r>
        <w:rPr>
          <w:rFonts w:hint="eastAsia" w:ascii="仿宋" w:hAnsi="仿宋" w:eastAsia="仿宋" w:cs="仿宋"/>
          <w:sz w:val="32"/>
          <w:szCs w:val="32"/>
        </w:rPr>
        <w:t xml:space="preserve"> 依法应当检疫而未经检疫的精液、胚胎、种蛋等，符合下列条件的，由动物卫生监督机构出具《动物检疫合格证明》；不符合的，予以没收销毁。同时，依照《动物防疫法》处理处罚。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（一）货主在5天内提供输出地动物卫生监督机构出具的来自非封锁区的证明和供体动物符合健康标准的证明；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（二）在规定的保质期内，并经外观检查无腐败变质；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第四十三条</w:t>
      </w:r>
      <w:r>
        <w:rPr>
          <w:rFonts w:hint="eastAsia" w:ascii="仿宋" w:hAnsi="仿宋" w:eastAsia="仿宋" w:cs="仿宋"/>
          <w:sz w:val="32"/>
          <w:szCs w:val="32"/>
        </w:rPr>
        <w:t xml:space="preserve"> 依法应当检疫而未经检疫的肉、脏器、脂、头、蹄、血液、筋等，符合下列条件的，由动物卫生监督机构出具《动物检疫合格证明》，并依照《动物防疫法》第七十八条的规定进行处罚；不符合下列条件的，予以没收销毁，并依照《动物防疫法》第七十六条的规定进行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（一）货主在5天内提供输出地动物卫生监督机构出具的来自非封锁区的证明；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（二）经外观检查无病变、无腐败变质；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第四十四条</w:t>
      </w:r>
      <w:r>
        <w:rPr>
          <w:rFonts w:hint="eastAsia" w:ascii="仿宋" w:hAnsi="仿宋" w:eastAsia="仿宋" w:cs="仿宋"/>
          <w:sz w:val="32"/>
          <w:szCs w:val="32"/>
        </w:rPr>
        <w:t xml:space="preserve"> 经铁路、公路、水路、航空运输依法应当检疫的动物、动物产品的，托运人托运时应当提供《动物检疫合格证明》。没有《动物检疫合格证明》的，承运人不得承运。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第四十五条</w:t>
      </w:r>
      <w:r>
        <w:rPr>
          <w:rFonts w:hint="eastAsia" w:ascii="仿宋" w:hAnsi="仿宋" w:eastAsia="仿宋" w:cs="仿宋"/>
          <w:sz w:val="32"/>
          <w:szCs w:val="32"/>
        </w:rPr>
        <w:t xml:space="preserve"> 货主或者承运人应当在装载前和卸载后，对动物、动物产品的运载工具以及饲养用具、装载用具等，按照农业部规定的技术规范进行消毒，并对清除的垫料、粪便、污物等进行无害化处理。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第四十六条</w:t>
      </w:r>
      <w:r>
        <w:rPr>
          <w:rFonts w:hint="eastAsia" w:ascii="仿宋" w:hAnsi="仿宋" w:eastAsia="仿宋" w:cs="仿宋"/>
          <w:sz w:val="32"/>
          <w:szCs w:val="32"/>
        </w:rPr>
        <w:t xml:space="preserve"> 封锁区内的商品蛋、生鲜奶的运输监管按照《重大动物疫情应急条例》实施。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第四十七条</w:t>
      </w:r>
      <w:r>
        <w:rPr>
          <w:rFonts w:hint="eastAsia" w:ascii="仿宋" w:hAnsi="仿宋" w:eastAsia="仿宋" w:cs="仿宋"/>
          <w:sz w:val="32"/>
          <w:szCs w:val="32"/>
        </w:rPr>
        <w:t xml:space="preserve"> 经检疫合格的动物、动物产品应当在规定时间内到达目的地。经检疫合格的动物在运输途中发生疫情，应按有关规定报告并处置。</w:t>
      </w:r>
    </w:p>
    <w:p>
      <w:pPr>
        <w:pStyle w:val="7"/>
        <w:rPr>
          <w:rFonts w:hint="eastAsi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第九章　罚则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第四十八条</w:t>
      </w:r>
      <w:r>
        <w:rPr>
          <w:rFonts w:hint="eastAsia" w:ascii="仿宋" w:hAnsi="仿宋" w:eastAsia="仿宋" w:cs="仿宋"/>
          <w:sz w:val="32"/>
          <w:szCs w:val="32"/>
        </w:rPr>
        <w:t xml:space="preserve"> 违反本办法第十九条、第三十一条规定，跨省、自治区、直辖市引进用于饲养的非乳用、非种用动物和水产苗种到达目的地后，未向所在地动物卫生监督机构报告的，由动物卫生监督机构处五百元以上二千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第四十九条</w:t>
      </w:r>
      <w:r>
        <w:rPr>
          <w:rFonts w:hint="eastAsia" w:ascii="仿宋" w:hAnsi="仿宋" w:eastAsia="仿宋" w:cs="仿宋"/>
          <w:sz w:val="32"/>
          <w:szCs w:val="32"/>
        </w:rPr>
        <w:t xml:space="preserve"> 违反本办法第二十条规定，跨省、自治区、直辖市引进的乳用、种用动物到达输入地后，未按规定进行隔离观察的，由动物卫生监督机构责令改正，处二千元以上一万元以下罚款。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第五十条</w:t>
      </w:r>
      <w:r>
        <w:rPr>
          <w:rFonts w:hint="eastAsia" w:ascii="仿宋" w:hAnsi="仿宋" w:eastAsia="仿宋" w:cs="仿宋"/>
          <w:sz w:val="32"/>
          <w:szCs w:val="32"/>
        </w:rPr>
        <w:t xml:space="preserve"> 其他违反本办法规定的行为，依照《动物防疫法》有关规定予以处罚。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第十章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第五十一条</w:t>
      </w:r>
      <w:r>
        <w:rPr>
          <w:rFonts w:hint="eastAsia" w:ascii="仿宋" w:hAnsi="仿宋" w:eastAsia="仿宋" w:cs="仿宋"/>
          <w:sz w:val="32"/>
          <w:szCs w:val="32"/>
        </w:rPr>
        <w:t xml:space="preserve"> 动物卫生监督证章标志格式或样式由农业部统一制定。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第五十二条</w:t>
      </w:r>
      <w:r>
        <w:rPr>
          <w:rFonts w:hint="eastAsia" w:ascii="仿宋" w:hAnsi="仿宋" w:eastAsia="仿宋" w:cs="仿宋"/>
          <w:sz w:val="32"/>
          <w:szCs w:val="32"/>
        </w:rPr>
        <w:t xml:space="preserve"> 水产苗种产地检疫，由地方动物卫生监督机构委托同级渔业主管部门实施。水产苗种以外的其他水生动物及其产品不实施检疫。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第五十三条</w:t>
      </w:r>
      <w:r>
        <w:rPr>
          <w:rFonts w:hint="eastAsia" w:ascii="仿宋" w:hAnsi="仿宋" w:eastAsia="仿宋" w:cs="仿宋"/>
          <w:sz w:val="32"/>
          <w:szCs w:val="32"/>
        </w:rPr>
        <w:t xml:space="preserve"> 本办法自2010年3月1日起施行。农业部2002年5月24日发布的《动物检疫管理办法》（农业部令第14号）自本办法施行之日起废止。</w:t>
      </w:r>
    </w:p>
    <w:p>
      <w:pPr>
        <w:widowControl w:val="0"/>
        <w:wordWrap/>
        <w:adjustRightInd/>
        <w:snapToGrid/>
        <w:spacing w:line="560" w:lineRule="exact"/>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br w:type="page"/>
      </w:r>
    </w:p>
    <w:p>
      <w:pPr>
        <w:widowControl w:val="0"/>
        <w:wordWrap/>
        <w:adjustRightInd/>
        <w:snapToGrid/>
        <w:spacing w:line="560" w:lineRule="exact"/>
        <w:ind w:firstLine="0" w:firstLineChars="0"/>
        <w:jc w:val="center"/>
        <w:textAlignment w:val="auto"/>
        <w:outlineLvl w:val="0"/>
        <w:rPr>
          <w:rFonts w:hint="eastAsia" w:ascii="宋体" w:hAnsi="宋体" w:eastAsia="宋体" w:cs="宋体"/>
          <w:sz w:val="44"/>
          <w:szCs w:val="44"/>
        </w:rPr>
      </w:pPr>
      <w:bookmarkStart w:id="288" w:name="_Toc30969"/>
      <w:r>
        <w:rPr>
          <w:rFonts w:hint="eastAsia" w:ascii="宋体" w:hAnsi="宋体" w:eastAsia="宋体" w:cs="宋体"/>
          <w:sz w:val="44"/>
          <w:szCs w:val="44"/>
        </w:rPr>
        <w:t>出入境邮轮检疫管理办法</w:t>
      </w:r>
      <w:bookmarkEnd w:id="288"/>
    </w:p>
    <w:p>
      <w:pPr>
        <w:widowControl w:val="0"/>
        <w:wordWrap/>
        <w:adjustRightInd/>
        <w:snapToGrid/>
        <w:spacing w:line="560" w:lineRule="exact"/>
        <w:ind w:firstLine="0" w:firstLineChars="0"/>
        <w:jc w:val="center"/>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firstLine="0" w:firstLineChars="0"/>
        <w:jc w:val="both"/>
        <w:textAlignment w:val="auto"/>
        <w:rPr>
          <w:rFonts w:hint="eastAsia" w:ascii="楷体" w:hAnsi="楷体" w:eastAsia="楷体" w:cs="楷体"/>
          <w:sz w:val="32"/>
          <w:szCs w:val="32"/>
        </w:rPr>
      </w:pPr>
      <w:r>
        <w:rPr>
          <w:rFonts w:hint="eastAsia" w:ascii="楷体" w:hAnsi="楷体" w:eastAsia="楷体" w:cs="楷体"/>
          <w:sz w:val="32"/>
          <w:szCs w:val="32"/>
        </w:rPr>
        <w:t>（2016年10月25日国家质量监督检验检疫总局令第185号公布　根据2018年4月28日海关总署令第238号《海关总署关于修改部分规章的决定》第一次修正　根据2018年5月29日海关总署第240号令《海关总署关于修改部分规章的决定》第二次修正）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第一条</w:t>
      </w:r>
      <w:r>
        <w:rPr>
          <w:rFonts w:hint="eastAsia" w:ascii="仿宋" w:hAnsi="仿宋" w:eastAsia="仿宋" w:cs="仿宋"/>
          <w:sz w:val="32"/>
          <w:szCs w:val="32"/>
        </w:rPr>
        <w:t xml:space="preserve"> 为了规范出入境邮轮检疫监管工作，防止疫病疫情传播，促进邮轮经济发展，根据《中华人民共和国国境卫生检疫法》及其实施细则、《中华人民共和国动植物检疫法》及其实施条例、《中华人民共和国食品安全法》及其实施条例、《中华人民共和国传染病防治法》及其实施办法、《突发公共卫生事件应急条例》《国际航行船舶进出中华人民共和国口岸检查办法》等法律法规的规定，制定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第二条</w:t>
      </w:r>
      <w:r>
        <w:rPr>
          <w:rFonts w:hint="eastAsia" w:ascii="仿宋" w:hAnsi="仿宋" w:eastAsia="仿宋" w:cs="仿宋"/>
          <w:sz w:val="32"/>
          <w:szCs w:val="32"/>
        </w:rPr>
        <w:t xml:space="preserve"> 本办法适用于对进出中华人民共和国国境口岸的外国籍邮轮和航行国际航线的中华人民共和国</w:t>
      </w:r>
      <w:r>
        <w:rPr>
          <w:rFonts w:hint="eastAsia" w:ascii="仿宋" w:hAnsi="仿宋" w:eastAsia="仿宋" w:cs="仿宋"/>
          <w:sz w:val="32"/>
          <w:szCs w:val="32"/>
          <w:lang w:eastAsia="zh-CN"/>
        </w:rPr>
        <w:t>国</w:t>
      </w:r>
      <w:bookmarkStart w:id="993" w:name="_GoBack"/>
      <w:bookmarkEnd w:id="993"/>
      <w:r>
        <w:rPr>
          <w:rFonts w:hint="eastAsia" w:ascii="仿宋" w:hAnsi="仿宋" w:eastAsia="仿宋" w:cs="仿宋"/>
          <w:sz w:val="32"/>
          <w:szCs w:val="32"/>
        </w:rPr>
        <w:t>籍邮轮及相关经营、服务单位的检疫监督管理。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第三条</w:t>
      </w:r>
      <w:r>
        <w:rPr>
          <w:rFonts w:hint="eastAsia" w:ascii="仿宋" w:hAnsi="仿宋" w:eastAsia="仿宋" w:cs="仿宋"/>
          <w:sz w:val="32"/>
          <w:szCs w:val="32"/>
        </w:rPr>
        <w:t xml:space="preserve"> 海关总署统一管理全国出入境邮轮检疫监管工作。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主管海关负责所辖口岸的出入境邮轮检疫监管工作。</w:t>
      </w:r>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风险管理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第四条</w:t>
      </w:r>
      <w:r>
        <w:rPr>
          <w:rFonts w:hint="eastAsia" w:ascii="仿宋" w:hAnsi="仿宋" w:eastAsia="仿宋" w:cs="仿宋"/>
          <w:sz w:val="32"/>
          <w:szCs w:val="32"/>
        </w:rPr>
        <w:t xml:space="preserve"> 海关对出入境邮轮实施风险管理。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第五条</w:t>
      </w:r>
      <w:r>
        <w:rPr>
          <w:rFonts w:hint="eastAsia" w:ascii="仿宋" w:hAnsi="仿宋" w:eastAsia="仿宋" w:cs="仿宋"/>
          <w:sz w:val="32"/>
          <w:szCs w:val="32"/>
        </w:rPr>
        <w:t xml:space="preserve"> 海关总署根据邮轮卫生状况、运营方及其代理人检疫风险控制能力、信用等级、现场监管情况及其他相关因素，制定邮轮检疫风险评估技术方案，确定邮轮检疫风险等级划分标准。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第六条</w:t>
      </w:r>
      <w:r>
        <w:rPr>
          <w:rFonts w:hint="eastAsia" w:ascii="仿宋" w:hAnsi="仿宋" w:eastAsia="仿宋" w:cs="仿宋"/>
          <w:sz w:val="32"/>
          <w:szCs w:val="32"/>
        </w:rPr>
        <w:t xml:space="preserve"> 邮轮运营方负责建立并运行邮轮公共卫生安全体系，包括：</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（一）食品安全控制计划；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（二）饮用水安全控制计划；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（三）娱乐用水安全控制计划；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（四）医学媒介生物监测计划；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（五）邮轮公共场所卫生制度；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（六）废弃物管理制度；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（七）胃肠道疾病的监测与控制体系；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（八）突发公共卫生事件应对工作机制。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第七条</w:t>
      </w:r>
      <w:r>
        <w:rPr>
          <w:rFonts w:hint="eastAsia" w:ascii="仿宋" w:hAnsi="仿宋" w:eastAsia="仿宋" w:cs="仿宋"/>
          <w:sz w:val="32"/>
          <w:szCs w:val="32"/>
        </w:rPr>
        <w:t xml:space="preserve"> 邮轮运营方负责建立邮轮有害生物综合管理措施（IPM）计划，开展相关监测、防治和报告工作，控制有害生物扩散。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第八条</w:t>
      </w:r>
      <w:r>
        <w:rPr>
          <w:rFonts w:hint="eastAsia" w:ascii="仿宋" w:hAnsi="仿宋" w:eastAsia="仿宋" w:cs="仿宋"/>
          <w:sz w:val="32"/>
          <w:szCs w:val="32"/>
        </w:rPr>
        <w:t xml:space="preserve"> 邮轮运营方或者其代理人按照自愿原则，可以向母港所在地海关提出风险评估申请，申请时应当提交以下资料：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（一）邮轮检疫风险评估申请书；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（二）邮轮的通风系统、生活用水供应系统、饮用水净化系统、污水处理系统的结构图。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第九条</w:t>
      </w:r>
      <w:r>
        <w:rPr>
          <w:rFonts w:hint="eastAsia" w:ascii="仿宋" w:hAnsi="仿宋" w:eastAsia="仿宋" w:cs="仿宋"/>
          <w:sz w:val="32"/>
          <w:szCs w:val="32"/>
        </w:rPr>
        <w:t xml:space="preserve"> 海关总署负责组织邮轮风险评估工作，确定邮轮检疫风险等级，并对外公布。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主管海关根据风险等级确定邮轮检疫方式、卫生监督内容及频次并实施动态分类管理。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入境检疫查验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 xml:space="preserve">第十条 </w:t>
      </w:r>
      <w:r>
        <w:rPr>
          <w:rFonts w:hint="eastAsia" w:ascii="仿宋" w:hAnsi="仿宋" w:eastAsia="仿宋" w:cs="仿宋"/>
          <w:sz w:val="32"/>
          <w:szCs w:val="32"/>
        </w:rPr>
        <w:t>在邮轮入境前24小时或者离开上一港口后，邮轮负责人或者其代理人应当向入境口岸海关申报，提交沿途寄港、靠泊计划、人员健康情况、《船舶免予卫生控制措施/卫生控制措施证书》等信息。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如申报内容有变化，邮轮负责人或者其代理人应当及时向海关更正。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 xml:space="preserve">第十一条 </w:t>
      </w:r>
      <w:r>
        <w:rPr>
          <w:rFonts w:hint="eastAsia" w:ascii="仿宋" w:hAnsi="仿宋" w:eastAsia="仿宋" w:cs="仿宋"/>
          <w:sz w:val="32"/>
          <w:szCs w:val="32"/>
        </w:rPr>
        <w:t>入境邮轮应当依法接受检疫查验。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邮轮负责人或者其代理人应当向最先到达的入境口岸海关申请办理入境检疫手续，经海关准许，方可入境。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接受入境检疫的邮轮，在检疫完成以前，未经海关许可，不准上下人员，不准装卸货物、行李、邮包等物品。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第十二条</w:t>
      </w:r>
      <w:r>
        <w:rPr>
          <w:rFonts w:hint="eastAsia" w:ascii="仿宋" w:hAnsi="仿宋" w:eastAsia="仿宋" w:cs="仿宋"/>
          <w:sz w:val="32"/>
          <w:szCs w:val="32"/>
        </w:rPr>
        <w:t xml:space="preserve"> 入境邮轮应当按照规定悬挂检疫信号，在指定地点等候检疫。在海关签发入境检疫证书或者通知检疫完毕之前，不得解除检疫信号。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检验检疫人员登轮检疫时，邮轮负责人或者其代理人应当配合开展工作。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第十三条</w:t>
      </w:r>
      <w:r>
        <w:rPr>
          <w:rFonts w:hint="eastAsia" w:ascii="仿宋" w:hAnsi="仿宋" w:eastAsia="仿宋" w:cs="仿宋"/>
          <w:sz w:val="32"/>
          <w:szCs w:val="32"/>
        </w:rPr>
        <w:t xml:space="preserve"> 海关根据入境邮轮申报信息及邮轮检疫风险等级确定检疫方式，及时通知邮轮负责人或者其代理人，检疫方式有：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（一）靠泊检疫；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（二）随船检疫；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（三）锚地检疫；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（四）电讯检疫。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第十四条</w:t>
      </w:r>
      <w:r>
        <w:rPr>
          <w:rFonts w:hint="eastAsia" w:ascii="仿宋" w:hAnsi="仿宋" w:eastAsia="仿宋" w:cs="仿宋"/>
          <w:sz w:val="32"/>
          <w:szCs w:val="32"/>
        </w:rPr>
        <w:t xml:space="preserve"> 有下列情形之一的，海关可以对入境邮轮实施随船检疫：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（一）首次入境，且入境前4周内停靠过海关总署公告、警示通报列明的发生疫情国家或者地区；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（二）首次入境，且公共卫生体系风险不明的；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（三）为便利通关需要，邮轮负责人或者其代理人申请，海关认为有必要的。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参加随船检疫人员应当为邮轮检疫在岗人员，且具有医学专业背景或者接受过系统性船舶卫生检疫业务培训的。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第十五条</w:t>
      </w:r>
      <w:r>
        <w:rPr>
          <w:rFonts w:hint="eastAsia" w:ascii="仿宋" w:hAnsi="仿宋" w:eastAsia="仿宋" w:cs="仿宋"/>
          <w:sz w:val="32"/>
          <w:szCs w:val="32"/>
        </w:rPr>
        <w:t xml:space="preserve"> 有下列情形之一的，海关应当对入境邮轮实施锚地检疫：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（一）来自检疫传染病受染地区，邮轮上报告有疑似检疫传染病病例，且根据要求需对密切接触者采取集中隔离观察的；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（二）海关总署公告、警示通报有明确要求的；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（三）海关总署评定检疫风险较高的；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（四）有本办法第十四条第一款第（一）（二）项规定的情形而未实施随船检疫的；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（五）邮轮负责人或者其代理人申请，海关认为有必要的。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第十六条</w:t>
      </w:r>
      <w:r>
        <w:rPr>
          <w:rFonts w:hint="eastAsia" w:ascii="仿宋" w:hAnsi="仿宋" w:eastAsia="仿宋" w:cs="仿宋"/>
          <w:sz w:val="32"/>
          <w:szCs w:val="32"/>
        </w:rPr>
        <w:t xml:space="preserve"> 邮轮经风险评估，检疫风险较低的，经邮轮负责人或者其代理人申请，海关可以实施电讯检疫。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第十七条</w:t>
      </w:r>
      <w:r>
        <w:rPr>
          <w:rFonts w:hint="eastAsia" w:ascii="仿宋" w:hAnsi="仿宋" w:eastAsia="仿宋" w:cs="仿宋"/>
          <w:sz w:val="32"/>
          <w:szCs w:val="32"/>
        </w:rPr>
        <w:t xml:space="preserve"> 有本办法第十四条、第十五条、第十六条规定以外的其他情形或者在紧急情况下，海关对邮轮实施靠泊检疫。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第十八条</w:t>
      </w:r>
      <w:r>
        <w:rPr>
          <w:rFonts w:hint="eastAsia" w:ascii="仿宋" w:hAnsi="仿宋" w:eastAsia="仿宋" w:cs="仿宋"/>
          <w:sz w:val="32"/>
          <w:szCs w:val="32"/>
        </w:rPr>
        <w:t xml:space="preserve"> 海关工作人员对入境邮轮实施的检疫查验内容包括：</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（一）在登轮前，检查邮轮是否悬挂检疫信号；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（二）核查《船舶免于卫生控制措施证书/船舶卫生控制措施证书》、食品从业人员健康证明、来自黄热病疫区交通工具上船员和旅客的预防接种证书；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（三）检查邮轮医疗设施、航海日志、医疗日志，询问船员、旅客的健康监测情况，可以要求邮轮运营方或者其代理人签字确认；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（四）检查食品饮用水安全、医学媒介生物控制、废弃物处置和卫生状况；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（五）检查公共卫生安全体系其他相关内容。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第十九条</w:t>
      </w:r>
      <w:r>
        <w:rPr>
          <w:rFonts w:hint="eastAsia" w:ascii="仿宋" w:hAnsi="仿宋" w:eastAsia="仿宋" w:cs="仿宋"/>
          <w:sz w:val="32"/>
          <w:szCs w:val="32"/>
        </w:rPr>
        <w:t xml:space="preserve"> 完成入境检疫后，对未发现染疫的邮轮，检验检疫人员应当立即签发《船舶入境卫生检疫证》；对需要实施检疫处理措施的邮轮，经检疫处理合格后，予以签发《船舶入境检疫证》。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邮轮负责人收到《船舶入境卫生检疫证》或者《船舶入境检疫证》，方可解除入境邮轮检疫信号，准予人员上下、货物装卸等。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第二十条</w:t>
      </w:r>
      <w:r>
        <w:rPr>
          <w:rFonts w:hint="eastAsia" w:ascii="仿宋" w:hAnsi="仿宋" w:eastAsia="仿宋" w:cs="仿宋"/>
          <w:sz w:val="32"/>
          <w:szCs w:val="32"/>
        </w:rPr>
        <w:t xml:space="preserve"> 入境旅客、邮轮员工及其他人员应当接受检疫。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入境邮轮在中国境内停留期间，旅客、邮轮员工及其他人员不得将动植物、动植物产品和其他检疫物带离邮轮；需要带离时，应当向口岸海关申报。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出境检疫查验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第二十一条</w:t>
      </w:r>
      <w:r>
        <w:rPr>
          <w:rFonts w:hint="eastAsia" w:ascii="仿宋" w:hAnsi="仿宋" w:eastAsia="仿宋" w:cs="仿宋"/>
          <w:sz w:val="32"/>
          <w:szCs w:val="32"/>
        </w:rPr>
        <w:t xml:space="preserve"> 出境邮轮在离港前4个小时，邮轮负责人或者其代理人应当向出境口岸海关申报邮轮出境检疫信息。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第二十二条</w:t>
      </w:r>
      <w:r>
        <w:rPr>
          <w:rFonts w:hint="eastAsia" w:ascii="仿宋" w:hAnsi="仿宋" w:eastAsia="仿宋" w:cs="仿宋"/>
          <w:sz w:val="32"/>
          <w:szCs w:val="32"/>
        </w:rPr>
        <w:t xml:space="preserve"> 海关对出境邮轮实施检疫，未完成检疫事项的邮轮不得出境。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出境检疫完毕后，海关工作人员对出境邮轮应当签发《交通工具出境卫生检疫证书》。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海关可以根据风险评估情况确定是否实施登轮检疫。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第二十三条</w:t>
      </w:r>
      <w:r>
        <w:rPr>
          <w:rFonts w:hint="eastAsia" w:ascii="仿宋" w:hAnsi="仿宋" w:eastAsia="仿宋" w:cs="仿宋"/>
          <w:sz w:val="32"/>
          <w:szCs w:val="32"/>
        </w:rPr>
        <w:t xml:space="preserve"> 对邮轮实施出境检疫完毕后，除引航员和经海关许可的人员外，其他人员不得上下邮轮，不准装卸行李、邮包、货物等物品。违反上述规定，该邮轮必须重新实施出境检疫。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出境检疫完毕后超过24小时仍未开航的出境邮轮，应当重新实施出境检疫。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检疫处理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第二十四条</w:t>
      </w:r>
      <w:r>
        <w:rPr>
          <w:rFonts w:hint="eastAsia" w:ascii="仿宋" w:hAnsi="仿宋" w:eastAsia="仿宋" w:cs="仿宋"/>
          <w:sz w:val="32"/>
          <w:szCs w:val="32"/>
        </w:rPr>
        <w:t xml:space="preserve"> 有下列情形之一的，邮轮运营方应当按照海关要求，组织实施检疫处理：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（一）海关总署发布公告或者警示通报等有明确要求的；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（二）发现存在与人类健康有关的医学媒介生物或者有毒有害物质的；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（三）发现有《中华人民共和国进出境动植物检疫法》第十八条规定的名录中所列病虫害的；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（四）法律、法规规定的其他应当实施检疫处理的情形。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邮轮上泔水、动植物性废弃物及其存放场所、容器应当实施检疫处理。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检疫处理工作应当由获得许可的检疫处理单位实施并接受海关监督。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第二十五条</w:t>
      </w:r>
      <w:r>
        <w:rPr>
          <w:rFonts w:hint="eastAsia" w:ascii="仿宋" w:hAnsi="仿宋" w:eastAsia="仿宋" w:cs="仿宋"/>
          <w:sz w:val="32"/>
          <w:szCs w:val="32"/>
        </w:rPr>
        <w:t xml:space="preserve"> 邮轮上有禁止进境的动植物、动植物产品和其他检疫物的，在中国境内停留期间，不得卸离或者带离邮轮。发现有害生物扩散风险或者潜在风险的，邮轮运营方应当主动采取防范措施，并及时向海关报告。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第二十六条</w:t>
      </w:r>
      <w:r>
        <w:rPr>
          <w:rFonts w:hint="eastAsia" w:ascii="仿宋" w:hAnsi="仿宋" w:eastAsia="仿宋" w:cs="仿宋"/>
          <w:sz w:val="32"/>
          <w:szCs w:val="32"/>
        </w:rPr>
        <w:t xml:space="preserve"> 经检疫处理合格的，且需下一港跟踪的邮轮，出发港海关应当及时将有关信息报送至下一港海关。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突发公共卫生事件处置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第二十七条</w:t>
      </w:r>
      <w:r>
        <w:rPr>
          <w:rFonts w:hint="eastAsia" w:ascii="仿宋" w:hAnsi="仿宋" w:eastAsia="仿宋" w:cs="仿宋"/>
          <w:sz w:val="32"/>
          <w:szCs w:val="32"/>
        </w:rPr>
        <w:t xml:space="preserve"> 发生下列情形之一，邮轮负责人或者其代理人应当及时采取有效的应急处置措施，立即向口岸海关进行突发公共卫生事件报告：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（一）航行途中有人员发生疑似传染病死亡或者不明原因死亡的；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（二）发现传染病受染人或者疑似受染人，且可能构成公共卫生风险的；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（三）航行过程中6小时内出现6例及以上的消化道疾病病例，或者邮轮上有1%及以上的船员或者旅客患消化道疾病的；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（四）邮轮航行途中24小时内出现2‰以上的船员或者旅客患呼吸道传染病的；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（五）发生群体性不明原因疾病的；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（六）邮轮负责人或者其代理人认为应当报告的其他情形。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第二十八条</w:t>
      </w:r>
      <w:r>
        <w:rPr>
          <w:rFonts w:hint="eastAsia" w:ascii="仿宋" w:hAnsi="仿宋" w:eastAsia="仿宋" w:cs="仿宋"/>
          <w:sz w:val="32"/>
          <w:szCs w:val="32"/>
        </w:rPr>
        <w:t xml:space="preserve"> 突发公共卫生事件报告内容应当包括：</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（一）事件的基本情况，包括启运港、靠泊港和沿途寄港、停靠日期、病名或者主要症状、总人数、患病人数、死亡人数等；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（二）患病人员的监测日志、医疗记录和调查记录等；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（三）邮轮上所采取的应急处置措施及所取得的效果；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（四）法律法规要求的其他信息和资料。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第二十九条</w:t>
      </w:r>
      <w:r>
        <w:rPr>
          <w:rFonts w:hint="eastAsia" w:ascii="仿宋" w:hAnsi="仿宋" w:eastAsia="仿宋" w:cs="仿宋"/>
          <w:sz w:val="32"/>
          <w:szCs w:val="32"/>
        </w:rPr>
        <w:t xml:space="preserve"> 邮轮发生突发公共卫生事件时，应当遵循统一指挥、职责明确、科学高效、反应及时、优先救治的原则。海关应当对人员医疗救治工作给予检疫便利。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第三十条</w:t>
      </w:r>
      <w:r>
        <w:rPr>
          <w:rFonts w:hint="eastAsia" w:ascii="仿宋" w:hAnsi="仿宋" w:eastAsia="仿宋" w:cs="仿宋"/>
          <w:sz w:val="32"/>
          <w:szCs w:val="32"/>
        </w:rPr>
        <w:t xml:space="preserve"> 邮轮运营方应当建立完善的突发公共卫生事件处置能力，包括配备具有处置突发事件能力的专业人员、建立应急处置预案、定期开展培训和演练等。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发生突发公共卫生事件时，邮轮运营方及其代理人应当配合海关做好应急处置工作。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第三十一条</w:t>
      </w:r>
      <w:r>
        <w:rPr>
          <w:rFonts w:hint="eastAsia" w:ascii="仿宋" w:hAnsi="仿宋" w:eastAsia="仿宋" w:cs="仿宋"/>
          <w:sz w:val="32"/>
          <w:szCs w:val="32"/>
        </w:rPr>
        <w:t xml:space="preserve"> 海关应当建立突发公共卫生事件的应急处置机制，做好联防联控工作，定期开展培训和演练，指导、协调邮轮运营方做好邮轮突发公共卫生事件的现场处置工作。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第三十二条</w:t>
      </w:r>
      <w:r>
        <w:rPr>
          <w:rFonts w:hint="eastAsia" w:ascii="仿宋" w:hAnsi="仿宋" w:eastAsia="仿宋" w:cs="仿宋"/>
          <w:sz w:val="32"/>
          <w:szCs w:val="32"/>
        </w:rPr>
        <w:t xml:space="preserve"> 邮轮发生突发公共卫生事件时，应当依法对受染人员实施隔离，隔离期限根据医学检查结果确定；对疑似受染人员依法实施就地诊验或者留验，就地诊验或者留验期限自该人员离开感染环境的时候算起，不超过该传染病的最长潜伏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邮轮上发生突发公共卫生事件时，邮轮运营方可以提出申请，经海关同意，在邮轮上实施隔离留验；对不具备隔离留验条件的，应当转送至指定医疗机构。</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第三十三条</w:t>
      </w:r>
      <w:r>
        <w:rPr>
          <w:rFonts w:hint="eastAsia" w:ascii="仿宋" w:hAnsi="仿宋" w:eastAsia="仿宋" w:cs="仿宋"/>
          <w:sz w:val="32"/>
          <w:szCs w:val="32"/>
        </w:rPr>
        <w:t xml:space="preserve"> 海关总署可以根据邮轮检疫风险等级确定监督管理的重点、方式和频次。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海关可以以抽查、专项检查、全项目检查等方式进行监管。必要时，可以实施采样检测。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第三十四条</w:t>
      </w:r>
      <w:r>
        <w:rPr>
          <w:rFonts w:hint="eastAsia" w:ascii="仿宋" w:hAnsi="仿宋" w:eastAsia="仿宋" w:cs="仿宋"/>
          <w:sz w:val="32"/>
          <w:szCs w:val="32"/>
        </w:rPr>
        <w:t xml:space="preserve"> 检验检疫人员按照下列要求对出入境邮轮实施卫生监督：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（一）公共卫生安全管理制度是否完善；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（二）食品饮用水安全；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（三）客舱、甲板、餐厅、酒吧、影剧院、游泳池、浴池等公共场卫生状况是否保持良好；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（四）是否保持无感染源或者污染源，包括无医学媒介生物和宿主，并确保医学媒介生物控制措施的有效运行；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（五）保持废弃物密闭储存，或者具备无害化处理能力；</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（六）保留完整规范的医疗记录、药品消耗及补充记录；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（七）是否建立完善的压舱水排放报告机制。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第三十五条</w:t>
      </w:r>
      <w:r>
        <w:rPr>
          <w:rFonts w:hint="eastAsia" w:ascii="仿宋" w:hAnsi="仿宋" w:eastAsia="仿宋" w:cs="仿宋"/>
          <w:sz w:val="32"/>
          <w:szCs w:val="32"/>
        </w:rPr>
        <w:t xml:space="preserve"> 中国籍邮轮上的食品生产经营单位、公共场所应当取得海关颁发的国境口岸卫生许可证后方可从事生产经营活动。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第三十六条</w:t>
      </w:r>
      <w:r>
        <w:rPr>
          <w:rFonts w:hint="eastAsia" w:ascii="仿宋" w:hAnsi="仿宋" w:eastAsia="仿宋" w:cs="仿宋"/>
          <w:sz w:val="32"/>
          <w:szCs w:val="32"/>
        </w:rPr>
        <w:t xml:space="preserve"> 检验检疫人员按照下列要求对出入境邮轮食品安全实施监督管理：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（一）邮轮上的食品从业人员应当持有有效的健康证明，并经过职业培训，能够按照食品安全控制要求进行操作；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（二）邮轮运营方应当向持有有效国境口岸卫生许可证的食品生产经营单位采购食品或者餐饮服务；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（三）应当建立食品进货查验制度，并保存相关档案。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第三十七条</w:t>
      </w:r>
      <w:r>
        <w:rPr>
          <w:rFonts w:hint="eastAsia" w:ascii="仿宋" w:hAnsi="仿宋" w:eastAsia="仿宋" w:cs="仿宋"/>
          <w:sz w:val="32"/>
          <w:szCs w:val="32"/>
        </w:rPr>
        <w:t xml:space="preserve"> 海关对境外直供邮轮的进境食品，可以参照过境检疫模式进行监管：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（一）境外直供邮轮的动植物源性食品和水果的入境口岸、运输路线、出境口岸等相关事项，应当向配送地直属海关备案；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（二）境外直供邮轮的动植物源性食品和水果应当使用集装箱装载，按照规定的路线运输，集装箱在配送邮轮前不得开箱；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（三）境外直供邮轮食品在配送时应当接受开箱检疫。开箱时，应当由检验检疫人员现场监督，经查验铅封、核对货物种类和数量、实施检疫后方可配送邮轮。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境外直供邮轮食品不得用于其他用途。</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第三十八条</w:t>
      </w:r>
      <w:r>
        <w:rPr>
          <w:rFonts w:hint="eastAsia" w:ascii="仿宋" w:hAnsi="仿宋" w:eastAsia="仿宋" w:cs="仿宋"/>
          <w:sz w:val="32"/>
          <w:szCs w:val="32"/>
        </w:rPr>
        <w:t xml:space="preserve"> 对经监督管理不合格的邮轮，海关应当通知邮轮负责人或者其代理人进行整改，整改符合要求后，邮轮方可出入境。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第三十九条</w:t>
      </w:r>
      <w:r>
        <w:rPr>
          <w:rFonts w:hint="eastAsia" w:ascii="仿宋" w:hAnsi="仿宋" w:eastAsia="仿宋" w:cs="仿宋"/>
          <w:sz w:val="32"/>
          <w:szCs w:val="32"/>
        </w:rPr>
        <w:t xml:space="preserve"> 根据《中华人民共和国国境卫生检疫法》及其实施细则所规定的应当受行政处罚的行为是指：</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（一）应当接受入境检疫的船舶，不悬挂检疫信号的；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（二）入境、出境的交通工具，在入境检疫之前或者在出境检疫之后，擅自上下人员，装卸行李、货物、邮包等物品的；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（三）拒绝接受检疫或者抵制卫生监督，拒不接受卫生处理的；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（四）伪造或者涂改检疫单、证、不如实申报疫情的；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（五）未经检疫的入境、出境交通工具，擅自离开检疫地点，逃避查验的；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（六）隐瞒疫情或者伪造情节的；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（七）未经检疫处理，擅自排放压舱水，移下垃圾、污物等控制的物品的；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（八）未经检疫处理，擅自移运尸体、骸骨的；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（九）未经海关检查，从交通工具上移下传染病病人造成传染病传播危险的。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具有第（一）至第（四）项行为的，由海关处以警告或者100元以上5000元以下的罚款。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具有第（五）至第（八）项行为的，处以1000元以上1万以下的罚款。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具有第（九）项行为的，处以5000元以上3万元以下的罚款。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第四十条</w:t>
      </w:r>
      <w:r>
        <w:rPr>
          <w:rFonts w:hint="eastAsia" w:ascii="仿宋" w:hAnsi="仿宋" w:eastAsia="仿宋" w:cs="仿宋"/>
          <w:sz w:val="32"/>
          <w:szCs w:val="32"/>
        </w:rPr>
        <w:t xml:space="preserve"> 违反本办法，有下列情况之一的，由海关视情节轻重给予警告，或者处以3万元以下罚款。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（一）邮轮负责人或者其代理人未按照本办法第十条、第二十一条规定履行申报义务；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（二）邮轮运营方或者邮轮上食品生产经营单位向未持有有效国境口岸卫生许可证的食品生产经营单位采购食品的；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（三）中国籍邮轮上食品生产经营单位、公共场所未取得有效国境口岸卫生许可证，从事生产经营活动的；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（四）食品、饮用水及公共场所不符合相关法律法规及卫生标准要求，邮轮运营方拒不整改的；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（五）发生突发公共卫生事件时，邮轮运营方或者其代理人未按照海关要求及时报告或者未按照本办法第二十九条、第三十条规定实施卫生处理、除害处理、封存或者销毁处理的；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（六）邮轮运营方或者其代理人、邮轮上的食品从业人员违反本办法第二十七条、第二十八条规定的。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第四十一条</w:t>
      </w:r>
      <w:r>
        <w:rPr>
          <w:rFonts w:hint="eastAsia" w:ascii="仿宋" w:hAnsi="仿宋" w:eastAsia="仿宋" w:cs="仿宋"/>
          <w:sz w:val="32"/>
          <w:szCs w:val="32"/>
        </w:rPr>
        <w:t xml:space="preserve"> 违反国境卫生检疫规定，引起检疫传染病传播或者有引起检疫传染病传播严重危险，构成犯罪的，依法追究刑事责任；尚不构成犯罪或者犯罪情节显著轻微依法不需要判处刑罚的，由海关处5000元以上3万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第四十二条</w:t>
      </w:r>
      <w:r>
        <w:rPr>
          <w:rFonts w:hint="eastAsia" w:ascii="仿宋" w:hAnsi="仿宋" w:eastAsia="仿宋" w:cs="仿宋"/>
          <w:sz w:val="32"/>
          <w:szCs w:val="32"/>
        </w:rPr>
        <w:t xml:space="preserve"> 有下列违法行为之一的，依法追究刑事责任；尚不构成犯罪或者犯罪情节显著轻微依法不需要判处刑罚的，由海关处2万元以上5万元以下的罚款：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（一）引起重大动植物疫情的；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（二）伪造、变造动植物检疫单证、印章、标志、封识的。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引起重大动植物疫情危险，情节严重的依法追究刑事责任。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第九章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第四十三条</w:t>
      </w:r>
      <w:r>
        <w:rPr>
          <w:rFonts w:hint="eastAsia" w:ascii="仿宋" w:hAnsi="仿宋" w:eastAsia="仿宋" w:cs="仿宋"/>
          <w:sz w:val="32"/>
          <w:szCs w:val="32"/>
        </w:rPr>
        <w:t xml:space="preserve"> 定班客轮可以参照本办法实施管理。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第四十四条</w:t>
      </w:r>
      <w:r>
        <w:rPr>
          <w:rFonts w:hint="eastAsia" w:ascii="仿宋" w:hAnsi="仿宋" w:eastAsia="仿宋" w:cs="仿宋"/>
          <w:sz w:val="32"/>
          <w:szCs w:val="32"/>
        </w:rPr>
        <w:t xml:space="preserve"> 本办法由海关总署负责解释。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第四十五条</w:t>
      </w:r>
      <w:r>
        <w:rPr>
          <w:rFonts w:hint="eastAsia" w:ascii="仿宋" w:hAnsi="仿宋" w:eastAsia="仿宋" w:cs="仿宋"/>
          <w:sz w:val="32"/>
          <w:szCs w:val="32"/>
        </w:rPr>
        <w:t xml:space="preserve"> 本办法自2017年1月1日起施行。</w:t>
      </w:r>
    </w:p>
    <w:p>
      <w:pPr>
        <w:rPr>
          <w:rFonts w:hint="eastAsia" w:ascii="宋体" w:hAnsi="宋体" w:eastAsia="宋体" w:cs="Arial"/>
          <w:bCs/>
          <w:sz w:val="44"/>
          <w:szCs w:val="44"/>
          <w:lang w:val="en-US" w:eastAsia="zh-CN"/>
        </w:rPr>
      </w:pPr>
      <w:r>
        <w:rPr>
          <w:rFonts w:hint="eastAsia" w:ascii="宋体" w:hAnsi="宋体" w:eastAsia="宋体" w:cs="Arial"/>
          <w:bCs/>
          <w:sz w:val="44"/>
          <w:szCs w:val="44"/>
          <w:lang w:val="en-US" w:eastAsia="zh-CN"/>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89" w:name="_Toc20053"/>
      <w:r>
        <w:rPr>
          <w:rFonts w:hint="eastAsia" w:ascii="宋体" w:hAnsi="宋体" w:eastAsia="宋体" w:cs="Arial"/>
          <w:bCs/>
          <w:sz w:val="44"/>
          <w:szCs w:val="44"/>
          <w:lang w:val="en-US" w:eastAsia="zh-CN"/>
        </w:rPr>
        <w:t>企业职工带薪年休假实施办法</w:t>
      </w:r>
      <w:bookmarkEnd w:id="289"/>
    </w:p>
    <w:p>
      <w:pPr>
        <w:widowControl w:val="0"/>
        <w:wordWrap/>
        <w:overflowPunct w:val="0"/>
        <w:spacing w:beforeAutospacing="0" w:afterAutospacing="0" w:line="560" w:lineRule="exact"/>
        <w:ind w:firstLine="643" w:firstLineChars="200"/>
        <w:textAlignment w:val="auto"/>
        <w:rPr>
          <w:rFonts w:hint="eastAsia" w:ascii="宋体" w:hAnsi="宋体" w:eastAsia="仿宋_GB2312" w:cs="仿宋_GB2312"/>
          <w:b/>
          <w:bCs/>
          <w:kern w:val="0"/>
          <w:sz w:val="32"/>
          <w:szCs w:val="32"/>
          <w:lang w:val="en-US" w:eastAsia="zh-CN" w:bidi="ar-SA"/>
        </w:rPr>
      </w:pPr>
    </w:p>
    <w:p>
      <w:pPr>
        <w:widowControl w:val="0"/>
        <w:wordWrap/>
        <w:overflowPunct w:val="0"/>
        <w:spacing w:beforeAutospacing="0" w:afterAutospacing="0" w:line="560" w:lineRule="exact"/>
        <w:ind w:left="640" w:leftChars="200" w:right="525" w:rightChars="164" w:firstLine="3" w:firstLineChars="0"/>
        <w:textAlignment w:val="auto"/>
        <w:rPr>
          <w:rFonts w:hint="eastAsia" w:ascii="楷体" w:hAnsi="楷体" w:eastAsia="楷体" w:cs="楷体"/>
          <w:b w:val="0"/>
          <w:bCs w:val="0"/>
          <w:kern w:val="0"/>
          <w:sz w:val="32"/>
          <w:szCs w:val="32"/>
          <w:lang w:val="en-US" w:eastAsia="zh-CN" w:bidi="ar-SA"/>
        </w:rPr>
      </w:pPr>
      <w:r>
        <w:rPr>
          <w:rFonts w:hint="eastAsia" w:ascii="楷体" w:hAnsi="楷体" w:eastAsia="楷体" w:cs="楷体"/>
          <w:b w:val="0"/>
          <w:bCs w:val="0"/>
          <w:kern w:val="0"/>
          <w:sz w:val="32"/>
          <w:szCs w:val="32"/>
          <w:lang w:val="en-US" w:eastAsia="zh-CN" w:bidi="ar-SA"/>
        </w:rPr>
        <w:t>（2008年7月17日人力资源和社会保障部第六次部务会议通过，2008年9月18日中华人民共和国人力资源和社会保障部令第1号公布，自公布之日起施行）</w:t>
      </w:r>
    </w:p>
    <w:p>
      <w:pPr>
        <w:pStyle w:val="33"/>
        <w:wordWrap/>
        <w:spacing w:line="560" w:lineRule="exact"/>
        <w:textAlignment w:val="auto"/>
        <w:rPr>
          <w:rFonts w:hint="eastAsia"/>
          <w:lang w:val="en-US" w:eastAsia="zh-CN"/>
        </w:rPr>
      </w:pPr>
    </w:p>
    <w:p>
      <w:pPr>
        <w:widowControl w:val="0"/>
        <w:numPr>
          <w:ilvl w:val="0"/>
          <w:numId w:val="0"/>
        </w:numPr>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第一条</w:t>
      </w:r>
      <w:r>
        <w:rPr>
          <w:rFonts w:hint="eastAsia" w:ascii="宋体" w:hAnsi="宋体" w:eastAsia="仿宋_GB2312" w:cs="仿宋_GB2312"/>
          <w:kern w:val="0"/>
          <w:sz w:val="32"/>
          <w:szCs w:val="32"/>
          <w:lang w:bidi="ar-SA"/>
        </w:rPr>
        <w:t>　为了实施《</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"javascript:SLC(100312,0)"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职工带薪年休假条例</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》（以下简称条例），制定本实施办法。</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第二条</w:t>
      </w:r>
      <w:r>
        <w:rPr>
          <w:rFonts w:hint="eastAsia" w:ascii="宋体" w:hAnsi="宋体" w:eastAsia="仿宋_GB2312" w:cs="仿宋_GB2312"/>
          <w:kern w:val="0"/>
          <w:sz w:val="32"/>
          <w:szCs w:val="32"/>
          <w:lang w:bidi="ar-SA"/>
        </w:rPr>
        <w:t>　中华人民共和国境内的企业、民办非企业单位、有雇工的个体工商户等单位（以下称用人单位）和与其建立劳动关系的职工，适用本办法。</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第三条</w:t>
      </w:r>
      <w:r>
        <w:rPr>
          <w:rFonts w:hint="eastAsia" w:ascii="宋体" w:hAnsi="宋体" w:eastAsia="仿宋_GB2312" w:cs="仿宋_GB2312"/>
          <w:kern w:val="0"/>
          <w:sz w:val="32"/>
          <w:szCs w:val="32"/>
          <w:lang w:bidi="ar-SA"/>
        </w:rPr>
        <w:t>　职工连续工作满12个月以上的，享受带薪年休假（以下简称年休假）。</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第四条</w:t>
      </w:r>
      <w:r>
        <w:rPr>
          <w:rFonts w:hint="eastAsia" w:ascii="宋体" w:hAnsi="宋体" w:eastAsia="仿宋_GB2312" w:cs="仿宋_GB2312"/>
          <w:kern w:val="0"/>
          <w:sz w:val="32"/>
          <w:szCs w:val="32"/>
          <w:lang w:bidi="ar-SA"/>
        </w:rPr>
        <w:t>　年休假天数根据职工累计工作时间确定。职工在同一或者不同用人单位工作期间，以及依照法律、行政法规或者国务院规定视同工作期间，应当计为累计工作时间。</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第五条</w:t>
      </w:r>
      <w:r>
        <w:rPr>
          <w:rFonts w:hint="eastAsia" w:ascii="宋体" w:hAnsi="宋体" w:eastAsia="仿宋_GB2312" w:cs="仿宋_GB2312"/>
          <w:kern w:val="0"/>
          <w:sz w:val="32"/>
          <w:szCs w:val="32"/>
          <w:lang w:bidi="ar-SA"/>
        </w:rPr>
        <w:t>　职工新进用人单位且符合本办法第三条规定的，当年度年休假天数，按照在本单位剩余日历天数折算确定，折算后不足1整天的部分不享受年休假。</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前款规定的折算方法为： （当年度在本单位剩余日历天数÷365天）×职工本人全年应当享受的年休假天数。</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第六条</w:t>
      </w:r>
      <w:r>
        <w:rPr>
          <w:rFonts w:hint="eastAsia" w:ascii="宋体" w:hAnsi="宋体" w:eastAsia="仿宋_GB2312" w:cs="仿宋_GB2312"/>
          <w:kern w:val="0"/>
          <w:sz w:val="32"/>
          <w:szCs w:val="32"/>
          <w:lang w:bidi="ar-SA"/>
        </w:rPr>
        <w:t>　职工依法享受的探亲假、婚丧假、产假等国家规定的假期以及因工伤停工留薪期间不计入年休假假期。</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第七条</w:t>
      </w:r>
      <w:r>
        <w:rPr>
          <w:rFonts w:hint="eastAsia" w:ascii="宋体" w:hAnsi="宋体" w:eastAsia="仿宋_GB2312" w:cs="仿宋_GB2312"/>
          <w:kern w:val="0"/>
          <w:sz w:val="32"/>
          <w:szCs w:val="32"/>
          <w:lang w:bidi="ar-SA"/>
        </w:rPr>
        <w:t>　职工享受寒暑假天数多于其年休假天数的，不享受当年的年休假。确因工作需要，职工享受的寒暑假天数少于其年休假天数的，用人单位应当安排补足年休假天数。</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第八条</w:t>
      </w:r>
      <w:r>
        <w:rPr>
          <w:rFonts w:hint="eastAsia" w:ascii="宋体" w:hAnsi="宋体" w:eastAsia="仿宋_GB2312" w:cs="仿宋_GB2312"/>
          <w:kern w:val="0"/>
          <w:sz w:val="32"/>
          <w:szCs w:val="32"/>
          <w:lang w:bidi="ar-SA"/>
        </w:rPr>
        <w:t>　职工已享受当年的年休假，年度内又出现条例第四条第（二）、（三）、（四）、（五）项规定情形之一的，不享受下一年度的年休假。</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第九条</w:t>
      </w:r>
      <w:r>
        <w:rPr>
          <w:rFonts w:hint="eastAsia" w:ascii="宋体" w:hAnsi="宋体" w:eastAsia="仿宋_GB2312" w:cs="仿宋_GB2312"/>
          <w:kern w:val="0"/>
          <w:sz w:val="32"/>
          <w:szCs w:val="32"/>
          <w:lang w:bidi="ar-SA"/>
        </w:rPr>
        <w:t>　用人单位根据生产、工作的具体情况，并考虑职工本人意愿，统筹安排年休假。用人单位确因工作需要不能安排职工年休假或者跨1个年度安排年休假的，应征得职工本人同意。</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第十条</w:t>
      </w:r>
      <w:r>
        <w:rPr>
          <w:rFonts w:hint="eastAsia" w:ascii="宋体" w:hAnsi="宋体" w:eastAsia="仿宋_GB2312" w:cs="仿宋_GB2312"/>
          <w:kern w:val="0"/>
          <w:sz w:val="32"/>
          <w:szCs w:val="32"/>
          <w:lang w:bidi="ar-SA"/>
        </w:rPr>
        <w:t>　用人单位经职工同意不安排年休假或者安排职工年休假天数少于应休年休假天数，应当在本年度内对职工应休未休年休假天数，按照其日工资收入的300%支付未休年休假工资报酬，其中包含用人单位支付职工正常工作期间的工资收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用人单位安排职工休年休假，但是职工因本人原因且书面提出不休年休假的，用人单位可以只支付其正常工作期间的工资收入。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第十一条</w:t>
      </w:r>
      <w:r>
        <w:rPr>
          <w:rFonts w:hint="eastAsia" w:ascii="宋体" w:hAnsi="宋体" w:eastAsia="仿宋_GB2312" w:cs="仿宋_GB2312"/>
          <w:kern w:val="0"/>
          <w:sz w:val="32"/>
          <w:szCs w:val="32"/>
          <w:lang w:bidi="ar-SA"/>
        </w:rPr>
        <w:t>　计算未休年休假工资报酬的日工资收入按照职工本人的月工资除以月计薪天数（21.75天）进行折算。</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前款所称月工资是指职工在用人单位支付其未休年休假工资报酬前12个月剔除加班工资后的月平均工资。在本用人单位工作时间不满12个月的，按实际月份计算月平均工资。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职工在年休假期间享受与正常工作期间相同的工资收入。实行计件工资、提成工资或者其他绩效工资制的职工，日工资收入的计发办法按照本条第一款、第二款的规定执行。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第十二条</w:t>
      </w:r>
      <w:r>
        <w:rPr>
          <w:rFonts w:hint="eastAsia" w:ascii="宋体" w:hAnsi="宋体" w:eastAsia="仿宋_GB2312" w:cs="仿宋_GB2312"/>
          <w:kern w:val="0"/>
          <w:sz w:val="32"/>
          <w:szCs w:val="32"/>
          <w:lang w:bidi="ar-SA"/>
        </w:rPr>
        <w:t>　用人单位与职工解除或者终止劳动合同时，当年度未安排职工休满应休年休假的，应当按照职工当年已工作时间折算应休未休年休假天数并支付未休年休假工资报酬，但折算后不足1整天的部分不支付未休年休假工资报酬。</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前款规定的折算方法为： （当年度在本单位已过日历天数÷365天）×职工本人全年应当享受的年休假天数-当年度已安排年休假天数。</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用人单位当年已安排职工年休假的，多于折算应休年休假的天数不再扣回。</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第十三条</w:t>
      </w:r>
      <w:r>
        <w:rPr>
          <w:rFonts w:hint="eastAsia" w:ascii="宋体" w:hAnsi="宋体" w:eastAsia="仿宋_GB2312" w:cs="仿宋_GB2312"/>
          <w:kern w:val="0"/>
          <w:sz w:val="32"/>
          <w:szCs w:val="32"/>
          <w:lang w:bidi="ar-SA"/>
        </w:rPr>
        <w:t>　劳动合同、集体合同约定的或者用人单位规章制度规定的年休假天数、未休年休假工资报酬高于法定标准的，用人单位应当按照有关约定或者规定执行。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第十四条</w:t>
      </w:r>
      <w:r>
        <w:rPr>
          <w:rFonts w:hint="eastAsia" w:ascii="宋体" w:hAnsi="宋体" w:eastAsia="仿宋_GB2312" w:cs="仿宋_GB2312"/>
          <w:kern w:val="0"/>
          <w:sz w:val="32"/>
          <w:szCs w:val="32"/>
          <w:lang w:bidi="ar-SA"/>
        </w:rPr>
        <w:t>　劳务派遣单位的职工符合本办法第三条规定条件的，享受年休假。</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被派遣职工在劳动合同期限内无工作期间由劳务派遣单位依法支付劳动报酬的天数多于其全年应当享受的年休假天数的，不享受当年的年休假；少于其全年应当享受的年休假天数的，劳务派遣单位、用工单位应当协商安排补足被派遣职工年休假天数。</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第十五条</w:t>
      </w:r>
      <w:r>
        <w:rPr>
          <w:rFonts w:hint="eastAsia" w:ascii="宋体" w:hAnsi="宋体" w:eastAsia="仿宋_GB2312" w:cs="仿宋_GB2312"/>
          <w:kern w:val="0"/>
          <w:sz w:val="32"/>
          <w:szCs w:val="32"/>
          <w:lang w:bidi="ar-SA"/>
        </w:rPr>
        <w:t>　县级以上地方人民政府劳动行政部门应当依法监督检查用人单位执行条例及本办法的情况。</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用人单位不安排职工休年休假又不依照条例及本办法规定支付未休年休假工资报酬的，由县级以上地方人民政府劳动行政部门依据职权责令限期改正；对逾期不改正的，除责令该用人单位支付未休年休假工资报酬外，用人单位还应当按照未休年休假工资报酬的数额向职工加付赔偿金；对拒不执行支付未休年休假工资报酬、赔偿金行政处理决定的，由劳动行政部门申请人民法院强制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第十六条</w:t>
      </w:r>
      <w:r>
        <w:rPr>
          <w:rFonts w:hint="eastAsia" w:ascii="宋体" w:hAnsi="宋体" w:eastAsia="仿宋_GB2312" w:cs="仿宋_GB2312"/>
          <w:kern w:val="0"/>
          <w:sz w:val="32"/>
          <w:szCs w:val="32"/>
          <w:lang w:bidi="ar-SA"/>
        </w:rPr>
        <w:t>　职工与用人单位因年休假发生劳动争议的，依照劳动争议处理的规定处理。</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第十七条</w:t>
      </w:r>
      <w:r>
        <w:rPr>
          <w:rFonts w:hint="eastAsia" w:ascii="宋体" w:hAnsi="宋体" w:eastAsia="仿宋_GB2312" w:cs="仿宋_GB2312"/>
          <w:kern w:val="0"/>
          <w:sz w:val="32"/>
          <w:szCs w:val="32"/>
          <w:lang w:bidi="ar-SA"/>
        </w:rPr>
        <w:t>　除法律、行政法规或者国务院另有规定外，机关、事业单位、社会团体和与其建立劳动关系的职工，依照本办法执行。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船员的年休假按 《</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"javascript:SLC(90756,0)"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中华人民共和国船员条例</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第十八条</w:t>
      </w:r>
      <w:r>
        <w:rPr>
          <w:rFonts w:hint="eastAsia" w:ascii="宋体" w:hAnsi="宋体" w:eastAsia="仿宋_GB2312" w:cs="仿宋_GB2312"/>
          <w:kern w:val="0"/>
          <w:sz w:val="32"/>
          <w:szCs w:val="32"/>
          <w:lang w:bidi="ar-SA"/>
        </w:rPr>
        <w:t>　本办法中的“年度”是指公历年度。</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第十九条</w:t>
      </w:r>
      <w:r>
        <w:rPr>
          <w:rFonts w:hint="eastAsia" w:ascii="宋体" w:hAnsi="宋体" w:eastAsia="仿宋_GB2312" w:cs="仿宋_GB2312"/>
          <w:kern w:val="0"/>
          <w:sz w:val="32"/>
          <w:szCs w:val="32"/>
          <w:lang w:bidi="ar-SA"/>
        </w:rPr>
        <w:t>　本办法自发布之日起施行。</w:t>
      </w: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kern w:val="0"/>
          <w:sz w:val="32"/>
          <w:szCs w:val="32"/>
          <w:lang w:bidi="ar-SA"/>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kern w:val="0"/>
          <w:sz w:val="32"/>
          <w:szCs w:val="32"/>
          <w:lang w:bidi="ar-SA"/>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kern w:val="0"/>
          <w:sz w:val="32"/>
          <w:szCs w:val="32"/>
          <w:lang w:bidi="ar-SA"/>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kern w:val="0"/>
          <w:sz w:val="32"/>
          <w:szCs w:val="32"/>
          <w:lang w:bidi="ar-SA"/>
        </w:rPr>
      </w:pPr>
    </w:p>
    <w:p>
      <w:pPr>
        <w:pStyle w:val="37"/>
        <w:widowControl w:val="0"/>
        <w:wordWrap/>
        <w:overflowPunct w:val="0"/>
        <w:adjustRightInd/>
        <w:snapToGrid/>
        <w:spacing w:before="0" w:beforeAutospacing="0" w:after="0" w:afterAutospacing="0" w:line="560" w:lineRule="exact"/>
        <w:ind w:left="0" w:leftChars="0" w:right="0" w:firstLine="0" w:firstLineChars="0"/>
        <w:jc w:val="center"/>
        <w:textAlignment w:val="auto"/>
        <w:outlineLvl w:val="9"/>
        <w:rPr>
          <w:rFonts w:hint="eastAsia" w:ascii="宋体" w:hAnsi="宋体" w:eastAsia="宋体" w:cs="宋体"/>
          <w:bCs/>
          <w:kern w:val="2"/>
          <w:sz w:val="44"/>
          <w:szCs w:val="44"/>
          <w:lang w:val="en-US" w:eastAsia="zh-CN" w:bidi="ar-SA"/>
        </w:rPr>
      </w:pPr>
      <w:r>
        <w:rPr>
          <w:rFonts w:hint="eastAsia" w:ascii="宋体" w:hAnsi="宋体" w:eastAsia="宋体" w:cs="宋体"/>
          <w:bCs/>
          <w:kern w:val="2"/>
          <w:sz w:val="44"/>
          <w:szCs w:val="44"/>
          <w:lang w:val="en-US" w:eastAsia="zh-CN" w:bidi="ar-SA"/>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90" w:name="_Toc25445"/>
      <w:r>
        <w:rPr>
          <w:rFonts w:hint="eastAsia" w:ascii="宋体" w:hAnsi="宋体" w:eastAsia="宋体" w:cs="Arial"/>
          <w:bCs/>
          <w:sz w:val="44"/>
          <w:szCs w:val="44"/>
          <w:lang w:val="en-US" w:eastAsia="zh-CN"/>
        </w:rPr>
        <w:t>突发公共卫生事件与传染病疫情监测</w:t>
      </w:r>
      <w:bookmarkEnd w:id="290"/>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91" w:name="_Toc25209"/>
      <w:r>
        <w:rPr>
          <w:rFonts w:hint="eastAsia" w:ascii="宋体" w:hAnsi="宋体" w:eastAsia="宋体" w:cs="Arial"/>
          <w:bCs/>
          <w:sz w:val="44"/>
          <w:szCs w:val="44"/>
          <w:lang w:val="en-US" w:eastAsia="zh-CN"/>
        </w:rPr>
        <w:t>信息报告管理办法</w:t>
      </w:r>
      <w:bookmarkEnd w:id="291"/>
    </w:p>
    <w:p>
      <w:pPr>
        <w:pStyle w:val="37"/>
        <w:widowControl w:val="0"/>
        <w:wordWrap/>
        <w:overflowPunct w:val="0"/>
        <w:adjustRightInd w:val="0"/>
        <w:snapToGrid/>
        <w:spacing w:before="0" w:beforeAutospacing="0" w:after="0" w:afterAutospacing="0" w:line="560" w:lineRule="exact"/>
        <w:ind w:left="640" w:leftChars="200" w:right="640" w:rightChars="200" w:firstLine="0" w:firstLineChars="0"/>
        <w:jc w:val="both"/>
        <w:textAlignment w:val="auto"/>
        <w:outlineLvl w:val="9"/>
        <w:rPr>
          <w:rFonts w:hint="eastAsia" w:ascii="宋体" w:hAnsi="宋体" w:eastAsia="楷体_GB2312" w:cs="楷体_GB2312"/>
          <w:sz w:val="32"/>
          <w:szCs w:val="32"/>
        </w:rPr>
      </w:pPr>
      <w:r>
        <w:rPr>
          <w:rFonts w:hint="eastAsia" w:ascii="宋体" w:hAnsi="宋体" w:eastAsia="仿宋_GB2312" w:cs="仿宋_GB2312"/>
          <w:bCs/>
          <w:kern w:val="2"/>
          <w:sz w:val="32"/>
          <w:szCs w:val="32"/>
          <w:lang w:val="en-US" w:eastAsia="zh-CN" w:bidi="ar-SA"/>
        </w:rPr>
        <w:br w:type="textWrapping"/>
      </w:r>
      <w:r>
        <w:rPr>
          <w:rFonts w:hint="eastAsia" w:ascii="楷体" w:hAnsi="楷体" w:eastAsia="楷体" w:cs="楷体"/>
          <w:color w:val="000000"/>
          <w:sz w:val="32"/>
          <w:szCs w:val="32"/>
        </w:rPr>
        <w:t>（2003年11月7日卫生部令第37号发布　根据2006年8月22日卫疾控发[2006]332号《卫生部关于修改＜突发公共卫生事件与传染病疫情监测信息报告管理办法＞（卫生部第37号令）的通知》修改）</w:t>
      </w: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r>
        <w:rPr>
          <w:rFonts w:hint="eastAsia" w:ascii="宋体" w:hAnsi="宋体" w:eastAsia="黑体" w:cs="黑体"/>
          <w:color w:val="000000"/>
          <w:kern w:val="0"/>
          <w:sz w:val="32"/>
          <w:szCs w:val="32"/>
          <w:lang w:val="en-US" w:eastAsia="zh-CN"/>
        </w:rPr>
        <w:t>第一章　总 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　</w:t>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第一条</w:t>
      </w:r>
      <w:r>
        <w:rPr>
          <w:rFonts w:hint="eastAsia" w:ascii="宋体" w:hAnsi="宋体" w:eastAsia="仿宋_GB2312" w:cs="仿宋_GB2312"/>
          <w:color w:val="000000"/>
          <w:sz w:val="32"/>
          <w:szCs w:val="32"/>
        </w:rPr>
        <w:t>　为加强突发公共卫生事件与传染病疫情监测信息报告管理工作，提供及时、科学的防治决策信息，有效预防、及时控制和消除突发公共卫生事件和传染病的危害，保障公众身体健康与生命安全，根据《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》(以下简称</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)和《</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"javascript:SLC(45727,0)"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突发公共卫生事件应急条例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》（以下简称应急条例）等法律法规的规定，制定本办法。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第二条</w:t>
      </w:r>
      <w:r>
        <w:rPr>
          <w:rFonts w:hint="eastAsia" w:ascii="宋体" w:hAnsi="宋体" w:eastAsia="仿宋_GB2312" w:cs="仿宋_GB2312"/>
          <w:color w:val="000000"/>
          <w:kern w:val="0"/>
          <w:sz w:val="32"/>
          <w:szCs w:val="32"/>
          <w:lang w:val="en-US" w:eastAsia="zh-CN"/>
        </w:rPr>
        <w:t>　</w:t>
      </w:r>
      <w:r>
        <w:rPr>
          <w:rFonts w:hint="eastAsia" w:ascii="宋体" w:hAnsi="宋体" w:eastAsia="仿宋_GB2312" w:cs="仿宋_GB2312"/>
          <w:color w:val="000000"/>
          <w:sz w:val="32"/>
          <w:szCs w:val="32"/>
        </w:rPr>
        <w:t>本办法适用于</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、应急条例和国家有关法律法规中规定的突发公共卫生事件与传染病疫情监测信息报告管理工作。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第三条</w:t>
      </w:r>
      <w:r>
        <w:rPr>
          <w:rFonts w:hint="eastAsia" w:ascii="宋体" w:hAnsi="宋体" w:eastAsia="仿宋_GB2312" w:cs="仿宋_GB2312"/>
          <w:color w:val="000000"/>
          <w:sz w:val="32"/>
          <w:szCs w:val="32"/>
        </w:rPr>
        <w:t>　突发公共卫生事件与传染病疫情监测信息报告，坚持依法管理，分级负责，快速准确，安全高效的原则。</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第四条</w:t>
      </w:r>
      <w:r>
        <w:rPr>
          <w:rFonts w:hint="eastAsia" w:ascii="宋体" w:hAnsi="宋体" w:eastAsia="仿宋_GB2312" w:cs="仿宋_GB2312"/>
          <w:color w:val="000000"/>
          <w:sz w:val="32"/>
          <w:szCs w:val="32"/>
        </w:rPr>
        <w:t>　国务院卫生行政部门对全国突发公共卫生事件与传染病疫情监测信息报告实施统一监督管理。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县级以上地方卫生行政部门对本行政区域突发公共卫生事件与传染病疫情监测信息报告实施监督管理。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第五条</w:t>
      </w:r>
      <w:r>
        <w:rPr>
          <w:rFonts w:hint="eastAsia" w:ascii="宋体" w:hAnsi="宋体" w:eastAsia="仿宋_GB2312" w:cs="仿宋_GB2312"/>
          <w:color w:val="000000"/>
          <w:sz w:val="32"/>
          <w:szCs w:val="32"/>
        </w:rPr>
        <w:t>　国务院卫生行政部门及省、自治区、直辖市卫生行政部门鼓励、支持开展突发公共卫生事件与传染病疫情监测信息报告管理的科学技术研究和国际交流合作。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第六条</w:t>
      </w:r>
      <w:r>
        <w:rPr>
          <w:rFonts w:hint="eastAsia" w:ascii="宋体" w:hAnsi="宋体" w:eastAsia="仿宋_GB2312" w:cs="仿宋_GB2312"/>
          <w:color w:val="000000"/>
          <w:sz w:val="32"/>
          <w:szCs w:val="32"/>
        </w:rPr>
        <w:t>　县级以上各级人民政府及其卫生行政部门，应当对在突发公共卫生事件与传染病疫情监测信息报告管理工作中做出贡献的人员，给予表彰和奖励。</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第七条　</w:t>
      </w:r>
      <w:r>
        <w:rPr>
          <w:rFonts w:hint="eastAsia" w:ascii="宋体" w:hAnsi="宋体" w:eastAsia="仿宋_GB2312" w:cs="仿宋_GB2312"/>
          <w:color w:val="000000"/>
          <w:sz w:val="32"/>
          <w:szCs w:val="32"/>
        </w:rPr>
        <w:t>任何单位和个人必须按照规定及时如实报告突发公共卫生事件与传染病疫情信息，不得瞒报、缓报、谎报或者授意他人瞒报、缓报、谎报。</w:t>
      </w:r>
    </w:p>
    <w:p>
      <w:pPr>
        <w:pStyle w:val="33"/>
        <w:wordWrap/>
        <w:spacing w:line="560" w:lineRule="exact"/>
        <w:textAlignment w:val="auto"/>
        <w:rPr>
          <w:rFonts w:hint="eastAsi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r>
        <w:rPr>
          <w:rFonts w:hint="eastAsia" w:ascii="宋体" w:hAnsi="宋体" w:eastAsia="黑体" w:cs="黑体"/>
          <w:color w:val="000000"/>
          <w:kern w:val="0"/>
          <w:sz w:val="32"/>
          <w:szCs w:val="32"/>
          <w:lang w:val="en-US" w:eastAsia="zh-CN"/>
        </w:rPr>
        <w:t>第二章　组织管理</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第八条</w:t>
      </w:r>
      <w:r>
        <w:rPr>
          <w:rFonts w:hint="eastAsia" w:ascii="宋体" w:hAnsi="宋体" w:eastAsia="仿宋_GB2312" w:cs="仿宋_GB2312"/>
          <w:color w:val="000000"/>
          <w:sz w:val="32"/>
          <w:szCs w:val="32"/>
        </w:rPr>
        <w:t>　各级疾病预防控制机构按照专业分工，承担责任范围内突发公共卫生事件和传染病疫情监测、信息报告与管理工作，具体职责为：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按照属地化管理原则，当地疾病预防控制机构负责，对行政辖区内的突发公共卫生事件和传染病疫情进行监测、信息报告与管理；负责收集、核实辖区内突发公共卫生事件、疫情信息和其他信息资料；设置专门的举报、咨询热线电话，接受突发公共卫生事件和疫情的报告、咨询和监督；设置专门工作人员搜集各种来源的突发公共卫生事件和疫情信息。</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（二）建立流行病学调查队伍和实验室，负责开展现场流行病学调查与处理，搜索密切接触者、追踪传染源，必要时进行隔离观察；进行疫点消毒及其技术指导；标本的实验室检测检验及报告。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（三）负责公共卫生信息网络维护和管理，疫情资料的报告、分析、利用与反馈；建立监测信息数据库，开展技术指导。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（四）对重点涉外机构或单位发生的疫情，由省级以上疾病预防控制机构进行报告管理和检查指导。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（五）负责人员培训与指导，对下级疾病预防控制机构工作人员进行业务培训；对辖区内医院和下级疾病预防控制机构疫情报告和信息网络管理工作进行技术指导。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第九条</w:t>
      </w:r>
      <w:r>
        <w:rPr>
          <w:rFonts w:hint="eastAsia" w:ascii="宋体" w:hAnsi="宋体" w:eastAsia="仿宋_GB2312" w:cs="仿宋_GB2312"/>
          <w:color w:val="000000"/>
          <w:sz w:val="32"/>
          <w:szCs w:val="32"/>
        </w:rPr>
        <w:t>　国家建立公共卫生信息监测体系，构建覆盖国家、省、市（地）、县（区）疾病预防控制机构、医疗卫生机构和卫生行政部门的信息网络系统，并向乡（镇）、村和城市社区延伸。</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国家建立公共卫生信息管理平台、基础卫生资源数据库和管理应用软件，适应突发公共卫生事件、法定传染病、公共卫生和专病监测的信息采集、汇总、分析、报告等工作的需要。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　第十条</w:t>
      </w:r>
      <w:r>
        <w:rPr>
          <w:rFonts w:hint="eastAsia" w:ascii="宋体" w:hAnsi="宋体" w:eastAsia="仿宋_GB2312" w:cs="仿宋_GB2312"/>
          <w:color w:val="000000"/>
          <w:sz w:val="32"/>
          <w:szCs w:val="32"/>
        </w:rPr>
        <w:t>　各级各类医疗机构承担责任范围内突发公共卫生事件和传染病疫情监测信息报告任务，具体职责为：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（一）建立突发公共卫生事件和传染病疫情信息监测报告制度，包括报告卡和总登记簿、疫情收报、核对、自查、奖惩。</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（二）执行首诊负责制，严格门诊工作日志制度以及突发公共卫生事件和疫情报告制度，负责突发公共卫生事件和疫情监测信息报告工作。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（三）建立或指定专门的部门和人员，配备必要的设备，保证突发公共卫生事件和疫情监测信息的网络直接报告。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门诊部、诊所、卫生所（室）等应按照规定时限，以最快通讯方式向发病地疾病预防控制机构进行报告，并同时报出传染病报告卡。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报告卡片邮寄信封应当印有明显的“突发公共卫生事件或疫情”标志及写明XX疾病预防控制机构收的字样。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（四）对医生和实习生进行有关突发公共卫生事件和传染病疫情监测信息报告工作的培训。</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（五）配合疾病预防控制机构开展流行病学调查和标本采样。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第十一条</w:t>
      </w:r>
      <w:r>
        <w:rPr>
          <w:rFonts w:hint="eastAsia" w:ascii="宋体" w:hAnsi="宋体" w:eastAsia="仿宋_GB2312" w:cs="仿宋_GB2312"/>
          <w:color w:val="000000"/>
          <w:sz w:val="32"/>
          <w:szCs w:val="32"/>
        </w:rPr>
        <w:t>　流动人员中发生的突发公共卫生事件和传染病病人、病原携带者和疑似传染病病人的报告、处理、疫情登记、统计，由诊治地负责。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第十二条　</w:t>
      </w:r>
      <w:r>
        <w:rPr>
          <w:rFonts w:hint="eastAsia" w:ascii="宋体" w:hAnsi="宋体" w:eastAsia="仿宋_GB2312" w:cs="仿宋_GB2312"/>
          <w:color w:val="000000"/>
          <w:sz w:val="32"/>
          <w:szCs w:val="32"/>
        </w:rPr>
        <w:t>铁路、交通、民航、厂（场）矿所属的医疗卫生机构发现突发公共卫生事件和传染病疫情，应按属地管理原则向所在地县级疾病预防控制机构报告。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第十三条</w:t>
      </w:r>
      <w:r>
        <w:rPr>
          <w:rFonts w:hint="eastAsia" w:ascii="宋体" w:hAnsi="宋体" w:eastAsia="仿宋_GB2312" w:cs="仿宋_GB2312"/>
          <w:color w:val="000000"/>
          <w:sz w:val="32"/>
          <w:szCs w:val="32"/>
        </w:rPr>
        <w:t>　军队内的突发公共卫生事件和军人中的传染病疫情监测信息，由中国人民解放军卫生主管部门根据有关规定向国务院卫生行政部门直接报告。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军队所属医疗卫生机构发现地方就诊的传染病病人、病原携带者、疑似传染病病人时，应按属地管理原则向所在地疾病预防控制</w:t>
      </w:r>
      <w:r>
        <w:rPr>
          <w:rFonts w:hint="eastAsia" w:ascii="宋体" w:hAnsi="宋体" w:eastAsia="仿宋_GB2312" w:cs="仿宋_GB2312"/>
          <w:color w:val="000000"/>
          <w:sz w:val="32"/>
          <w:szCs w:val="32"/>
          <w:lang w:val="en-US" w:eastAsia="zh-CN"/>
        </w:rPr>
        <w:t>机构报告。</w:t>
      </w:r>
      <w:r>
        <w:rPr>
          <w:rFonts w:hint="eastAsia" w:ascii="宋体" w:hAnsi="宋体" w:eastAsia="仿宋_GB2312" w:cs="仿宋_GB2312"/>
          <w:color w:val="000000"/>
          <w:sz w:val="32"/>
          <w:szCs w:val="32"/>
          <w:lang w:val="en-US" w:eastAsia="zh-CN"/>
        </w:rPr>
        <w:br w:type="textWrapping"/>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第十四条</w:t>
      </w:r>
      <w:r>
        <w:rPr>
          <w:rFonts w:hint="eastAsia" w:ascii="宋体" w:hAnsi="宋体" w:eastAsia="仿宋_GB2312" w:cs="仿宋_GB2312"/>
          <w:color w:val="000000"/>
          <w:sz w:val="32"/>
          <w:szCs w:val="32"/>
        </w:rPr>
        <w:t>　医疗卫生人员未经当事人同意，不得将传染病病人及其家属的姓名、住址和个人病史以任何形式向社会公开。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第十五条</w:t>
      </w:r>
      <w:r>
        <w:rPr>
          <w:rFonts w:hint="eastAsia" w:ascii="宋体" w:hAnsi="宋体" w:eastAsia="仿宋_GB2312" w:cs="仿宋_GB2312"/>
          <w:color w:val="000000"/>
          <w:sz w:val="32"/>
          <w:szCs w:val="32"/>
        </w:rPr>
        <w:t>　各级政府卫生行政部门对辖区内各级医疗卫生机构负责的突发公共卫生事件和传染病疫情监测信息报告情况，定期进行监督、检查和指导。</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r>
        <w:rPr>
          <w:rFonts w:hint="eastAsia" w:ascii="宋体" w:hAnsi="宋体" w:eastAsia="黑体" w:cs="黑体"/>
          <w:color w:val="000000"/>
          <w:kern w:val="0"/>
          <w:sz w:val="32"/>
          <w:szCs w:val="32"/>
          <w:lang w:val="en-US" w:eastAsia="zh-CN"/>
        </w:rPr>
        <w:t>第三章　报告</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第十六条</w:t>
      </w:r>
      <w:r>
        <w:rPr>
          <w:rFonts w:hint="eastAsia" w:ascii="宋体" w:hAnsi="宋体" w:eastAsia="仿宋_GB2312" w:cs="仿宋_GB2312"/>
          <w:color w:val="000000"/>
          <w:sz w:val="32"/>
          <w:szCs w:val="32"/>
        </w:rPr>
        <w:t>　各级各类医疗机构、疾病预防控制机构、采供血机构均为责任报告单位；其执行职务的人员和乡村医生、个体开业医生均为责任疫情报告人，必须按照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的规定进行疫情报告，履行法律规定的义务。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第十七条</w:t>
      </w:r>
      <w:r>
        <w:rPr>
          <w:rFonts w:hint="eastAsia" w:ascii="宋体" w:hAnsi="宋体" w:eastAsia="仿宋_GB2312" w:cs="仿宋_GB2312"/>
          <w:color w:val="000000"/>
          <w:sz w:val="32"/>
          <w:szCs w:val="32"/>
        </w:rPr>
        <w:t>　责任报告人在首次诊断传染病病人后，应立即填写传染病报告卡。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传染病报告卡由录卡单位保留三年。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第十八条</w:t>
      </w:r>
      <w:r>
        <w:rPr>
          <w:rFonts w:hint="eastAsia" w:ascii="宋体" w:hAnsi="宋体" w:eastAsia="仿宋_GB2312" w:cs="仿宋_GB2312"/>
          <w:color w:val="000000"/>
          <w:sz w:val="32"/>
          <w:szCs w:val="32"/>
        </w:rPr>
        <w:t>　责任报告单位和责任疫情报告人发现甲类传染病和乙类传染病中的肺炭疽、传染性非典型肺炎、脊髓灰质炎、人感染高致病性禽流感病人或疑似病人时，或发现其他传染病和不明原因疾病暴发时，应于2小时内将传染病报告卡通过网络报告；未实行网络直报的责任报告单位应于2小时内以最快的通讯方式（电话、传真）向当地县级疾病预防控制机构报告，并于2小时内寄送出传染病报告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对其他乙、丙类传染病病人、疑似病人和规定报告的传染病病原携带者在诊断后，实行网络直报的责任报告单位应于24小时内进行网络报告；未实行网络直报的责任报告单位应于24小时内寄送出传染病报告卡。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县级疾病预防控制机构收到无网络直报条件责任报告单位报送的传染</w:t>
      </w:r>
      <w:r>
        <w:rPr>
          <w:rFonts w:hint="eastAsia" w:ascii="宋体" w:hAnsi="宋体" w:eastAsia="仿宋_GB2312" w:cs="仿宋_GB2312"/>
          <w:color w:val="000000"/>
          <w:sz w:val="32"/>
          <w:szCs w:val="32"/>
          <w:lang w:val="en-US" w:eastAsia="zh-CN"/>
        </w:rPr>
        <w:t>病报告卡后，应于2小时内通过网络进行直报。</w:t>
      </w:r>
      <w:r>
        <w:rPr>
          <w:rFonts w:hint="eastAsia" w:ascii="宋体" w:hAnsi="宋体" w:eastAsia="仿宋_GB2312" w:cs="仿宋_GB2312"/>
          <w:color w:val="000000"/>
          <w:sz w:val="32"/>
          <w:szCs w:val="32"/>
          <w:lang w:val="en-US" w:eastAsia="zh-CN"/>
        </w:rPr>
        <w:br w:type="textWrapping"/>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第十九条</w:t>
      </w:r>
      <w:r>
        <w:rPr>
          <w:rFonts w:hint="eastAsia" w:ascii="宋体" w:hAnsi="宋体" w:eastAsia="仿宋_GB2312" w:cs="仿宋_GB2312"/>
          <w:color w:val="000000"/>
          <w:sz w:val="32"/>
          <w:szCs w:val="32"/>
        </w:rPr>
        <w:t>　获得突发公共卫生事件相关信息的责任报告单位和责任报告人，应当在２小时内以电话或传真等方式向属地卫生行政部门指定的专业机构报告，具备网络直报条件的要同时进行网络直报，直报的信息由指定的专业机构审核后进入国家数据库。不具备网络直报条件的责任报告单位和责任报告人，应采用最快的通讯方式将《突发公共卫生事件相关信息报告卡》报送属地卫生行政部门指定的专业机构，接到《突发公共卫生事件相关信息报告卡》的专业机构，应对信息进行审核，确定真实性，2小时内进行网络直报，同时以电话或传真等方式报告同级卫生行政部门。</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接到突发公共卫生事件相关信息报告的卫生行政部门应当尽快组织有关专家进行现场调查，如确认为实际发生突发公共卫生事件，应根据不同的级别，及时组织采取相应的措施，并在２小时内向本级人民政府报告，同时向上一级人民政府卫生行政部门报告。如尚未达到突发公共卫生事件标准的，由专业防治机构密切跟踪事态发展，随时报告事态变化情况。</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第二十条</w:t>
      </w:r>
      <w:r>
        <w:rPr>
          <w:rFonts w:hint="eastAsia" w:ascii="宋体" w:hAnsi="宋体" w:eastAsia="仿宋_GB2312" w:cs="仿宋_GB2312"/>
          <w:color w:val="000000"/>
          <w:sz w:val="32"/>
          <w:szCs w:val="32"/>
        </w:rPr>
        <w:t>　突发公共卫生事件及传染病信息报告的其它事项按照《突发公共卫生事件相关信息报告管理工作规范（试行）》及《</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"javascript:SLC(76844,0)"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传染病信息报告管理规范</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》有关规定执行。</w:t>
      </w:r>
    </w:p>
    <w:p>
      <w:pPr>
        <w:pStyle w:val="37"/>
        <w:widowControl w:val="0"/>
        <w:wordWrap/>
        <w:overflowPunct w:val="0"/>
        <w:adjustRightInd/>
        <w:snapToGrid/>
        <w:spacing w:before="0" w:beforeAutospacing="0" w:after="0" w:afterAutospacing="0" w:line="560" w:lineRule="exact"/>
        <w:ind w:left="0" w:leftChars="0" w:right="0"/>
        <w:jc w:val="center"/>
        <w:textAlignment w:val="auto"/>
        <w:outlineLvl w:val="9"/>
        <w:rPr>
          <w:rFonts w:hint="eastAsia" w:ascii="宋体" w:hAnsi="宋体" w:eastAsia="黑体" w:cs="黑体"/>
          <w:color w:val="000000"/>
          <w:sz w:val="32"/>
          <w:szCs w:val="32"/>
          <w:lang w:val="en-US" w:eastAsia="zh-CN"/>
        </w:rPr>
      </w:pPr>
    </w:p>
    <w:p>
      <w:pPr>
        <w:pStyle w:val="37"/>
        <w:widowControl w:val="0"/>
        <w:wordWrap/>
        <w:overflowPunct w:val="0"/>
        <w:adjustRightInd/>
        <w:snapToGrid/>
        <w:spacing w:before="0" w:beforeAutospacing="0" w:after="0" w:afterAutospacing="0" w:line="560" w:lineRule="exact"/>
        <w:ind w:left="0" w:leftChars="0" w:right="0"/>
        <w:jc w:val="center"/>
        <w:textAlignment w:val="auto"/>
        <w:outlineLvl w:val="9"/>
        <w:rPr>
          <w:rFonts w:hint="eastAsia" w:ascii="宋体" w:hAnsi="宋体" w:eastAsia="黑体" w:cs="黑体"/>
          <w:color w:val="000000"/>
          <w:sz w:val="32"/>
          <w:szCs w:val="32"/>
          <w:lang w:val="en-US" w:eastAsia="zh-CN"/>
        </w:rPr>
      </w:pPr>
      <w:r>
        <w:rPr>
          <w:rFonts w:hint="eastAsia" w:ascii="宋体" w:hAnsi="宋体" w:eastAsia="黑体" w:cs="黑体"/>
          <w:color w:val="000000"/>
          <w:sz w:val="32"/>
          <w:szCs w:val="32"/>
          <w:lang w:val="en-US" w:eastAsia="zh-CN"/>
        </w:rPr>
        <w:t>第四章　调查</w:t>
      </w:r>
    </w:p>
    <w:p>
      <w:pPr>
        <w:pStyle w:val="37"/>
        <w:widowControl w:val="0"/>
        <w:wordWrap/>
        <w:overflowPunct w:val="0"/>
        <w:adjustRightInd/>
        <w:snapToGrid/>
        <w:spacing w:before="0" w:beforeAutospacing="0" w:after="0" w:afterAutospacing="0" w:line="560" w:lineRule="exact"/>
        <w:ind w:left="0" w:leftChars="0" w:right="0"/>
        <w:jc w:val="center"/>
        <w:textAlignment w:val="auto"/>
        <w:outlineLvl w:val="9"/>
        <w:rPr>
          <w:rFonts w:hint="eastAsia" w:ascii="宋体" w:hAnsi="宋体" w:eastAsia="黑体" w:cs="黑体"/>
          <w:color w:val="000000"/>
          <w:sz w:val="32"/>
          <w:szCs w:val="32"/>
          <w:lang w:val="en-US" w:eastAsia="zh-CN"/>
        </w:rPr>
      </w:pPr>
    </w:p>
    <w:p>
      <w:pPr>
        <w:pStyle w:val="37"/>
        <w:widowControl w:val="0"/>
        <w:wordWrap/>
        <w:overflowPunct w:val="0"/>
        <w:adjustRightInd/>
        <w:snapToGrid/>
        <w:spacing w:before="0" w:beforeAutospacing="0" w:after="0" w:afterAutospacing="0" w:line="560" w:lineRule="exact"/>
        <w:ind w:left="0" w:leftChars="0" w:right="0"/>
        <w:jc w:val="left"/>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lang w:val="en-US" w:eastAsia="zh-CN"/>
        </w:rPr>
        <w:t xml:space="preserve">  </w:t>
      </w:r>
      <w:r>
        <w:rPr>
          <w:rFonts w:hint="eastAsia" w:ascii="宋体" w:hAnsi="宋体" w:eastAsia="黑体" w:cs="黑体"/>
          <w:color w:val="000000"/>
          <w:sz w:val="32"/>
          <w:szCs w:val="32"/>
          <w:lang w:val="en-US" w:eastAsia="zh-CN"/>
        </w:rPr>
        <w:t xml:space="preserve"> </w:t>
      </w:r>
      <w:r>
        <w:rPr>
          <w:rFonts w:hint="eastAsia" w:ascii="宋体" w:hAnsi="宋体" w:eastAsia="黑体" w:cs="黑体"/>
          <w:color w:val="000000"/>
          <w:sz w:val="32"/>
          <w:szCs w:val="32"/>
        </w:rPr>
        <w:t>第二十一条</w:t>
      </w:r>
      <w:r>
        <w:rPr>
          <w:rFonts w:hint="eastAsia" w:ascii="宋体" w:hAnsi="宋体" w:eastAsia="仿宋_GB2312" w:cs="仿宋_GB2312"/>
          <w:color w:val="000000"/>
          <w:sz w:val="32"/>
          <w:szCs w:val="32"/>
        </w:rPr>
        <w:t>　接到突发公共卫生事件报告的地方卫生行政部门，应当立即组织力量对报告事项调查核实、判定性质采取必要的控制措施，并及时报告调查情况。</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不同类别的突发公共卫生事件的调查应当按照《全国突发公共卫生事件应急预案》规定要求执行。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第二十二条</w:t>
      </w:r>
      <w:r>
        <w:rPr>
          <w:rFonts w:hint="eastAsia" w:ascii="宋体" w:hAnsi="宋体" w:eastAsia="仿宋_GB2312" w:cs="仿宋_GB2312"/>
          <w:color w:val="000000"/>
          <w:sz w:val="32"/>
          <w:szCs w:val="32"/>
        </w:rPr>
        <w:t>　突发公共卫生事件与传染病疫情现场调查</w:t>
      </w:r>
    </w:p>
    <w:p>
      <w:pPr>
        <w:pStyle w:val="37"/>
        <w:widowControl w:val="0"/>
        <w:wordWrap/>
        <w:overflowPunct w:val="0"/>
        <w:adjustRightInd/>
        <w:snapToGrid/>
        <w:spacing w:before="0" w:beforeAutospacing="0" w:after="0" w:afterAutospacing="0" w:line="560" w:lineRule="exact"/>
        <w:ind w:left="0" w:leftChars="0" w:right="0"/>
        <w:jc w:val="both"/>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应包括以下工作内容：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（一）流行病学个案调查、密切接触者追踪调查和传染病发病原因、发病情况、疾病流行的可能因素等调查；</w:t>
      </w:r>
      <w:r>
        <w:rPr>
          <w:rFonts w:hint="eastAsia" w:ascii="宋体" w:hAnsi="宋体" w:eastAsia="仿宋_GB2312" w:cs="仿宋_GB2312"/>
          <w:color w:val="000000"/>
          <w:sz w:val="32"/>
          <w:szCs w:val="32"/>
        </w:rPr>
        <w:br w:type="textWrapping"/>
      </w:r>
      <w:r>
        <w:rPr>
          <w:rFonts w:hint="eastAsia" w:ascii="宋体" w:hAnsi="宋体" w:cs="仿宋_GB2312"/>
          <w:color w:val="000000"/>
          <w:sz w:val="32"/>
          <w:szCs w:val="32"/>
          <w:lang w:val="en-US" w:eastAsia="zh-CN"/>
        </w:rPr>
        <w:t xml:space="preserve">    </w:t>
      </w:r>
      <w:r>
        <w:rPr>
          <w:rFonts w:hint="eastAsia" w:ascii="宋体" w:hAnsi="宋体" w:eastAsia="仿宋_GB2312" w:cs="仿宋_GB2312"/>
          <w:color w:val="000000"/>
          <w:sz w:val="32"/>
          <w:szCs w:val="32"/>
        </w:rPr>
        <w:t>（二）相关标本或样品的采样、技术分析、检验；</w:t>
      </w:r>
    </w:p>
    <w:p>
      <w:pPr>
        <w:pStyle w:val="37"/>
        <w:widowControl w:val="0"/>
        <w:wordWrap/>
        <w:overflowPunct w:val="0"/>
        <w:adjustRightInd/>
        <w:snapToGrid/>
        <w:spacing w:before="0" w:beforeAutospacing="0" w:after="0" w:afterAutospacing="0" w:line="560" w:lineRule="exact"/>
        <w:ind w:left="0" w:leftChars="0" w:right="0" w:firstLine="640" w:firstLineChars="200"/>
        <w:jc w:val="both"/>
        <w:textAlignment w:val="auto"/>
        <w:outlineLvl w:val="9"/>
        <w:rPr>
          <w:rFonts w:hint="eastAsia" w:ascii="宋体" w:hAnsi="宋体" w:eastAsia="仿宋_GB2312" w:cs="仿宋_GB2312"/>
          <w:sz w:val="32"/>
          <w:szCs w:val="32"/>
        </w:rPr>
      </w:pPr>
      <w:r>
        <w:rPr>
          <w:rFonts w:hint="eastAsia" w:ascii="宋体" w:hAnsi="宋体" w:eastAsia="仿宋_GB2312" w:cs="仿宋_GB2312"/>
          <w:color w:val="000000"/>
          <w:sz w:val="32"/>
          <w:szCs w:val="32"/>
        </w:rPr>
        <w:t>（三）突发公共卫生事件的确证；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（四）卫生监测，包括生活资源受污染范围和严重程度，必要时应在突发事件发生地及相邻省市同时进行。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第二十三条</w:t>
      </w:r>
      <w:r>
        <w:rPr>
          <w:rFonts w:hint="eastAsia" w:ascii="宋体" w:hAnsi="宋体" w:eastAsia="仿宋_GB2312" w:cs="仿宋_GB2312"/>
          <w:color w:val="000000"/>
          <w:sz w:val="32"/>
          <w:szCs w:val="32"/>
        </w:rPr>
        <w:t>　各级卫生行政部门应当组织疾病预防控制机构等有关领域的专业人员，建立流行病学调查队伍，负责突发公共卫生事件与传染病疫情的流行病学调查工作。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第二十四条</w:t>
      </w:r>
      <w:r>
        <w:rPr>
          <w:rFonts w:hint="eastAsia" w:ascii="宋体" w:hAnsi="宋体" w:eastAsia="仿宋_GB2312" w:cs="仿宋_GB2312"/>
          <w:color w:val="000000"/>
          <w:sz w:val="32"/>
          <w:szCs w:val="32"/>
        </w:rPr>
        <w:t>　疾病预防控制机构发现传染病疫情或接到传染病疫情报告时，应当及时采取下列措施：</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对传染病疫情进行流行病学调查，根据调查情况提出划定疫点、疫区的建议，对被污染的场所进行卫生处理，对密切接触者，在指定场所进行医学观察和采取其他必要的预防措施，并向卫生行政部门提出疫情控制方案；</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（二）传染病暴发、流行时，对疫点、疫区进行卫生处理，向卫生行政部门提出疫情控制方案，并按照卫生行政部门的要求采取措施；</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（三）指导下级疾病预防控制机构实施传染病预防、控制措施，组织、指导有关单位对传染病疫情的处理。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第二十五条</w:t>
      </w:r>
      <w:r>
        <w:rPr>
          <w:rFonts w:hint="eastAsia" w:ascii="宋体" w:hAnsi="宋体" w:eastAsia="仿宋_GB2312" w:cs="仿宋_GB2312"/>
          <w:color w:val="000000"/>
          <w:sz w:val="32"/>
          <w:szCs w:val="32"/>
        </w:rPr>
        <w:t>　各级疾病预防控制机构负责管理国家突发公共卫生事件与传染病疫情监测报告信息系统，各级责任报告单位使用统一的信息系统进行报告。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第二十六条</w:t>
      </w:r>
      <w:r>
        <w:rPr>
          <w:rFonts w:hint="eastAsia" w:ascii="宋体" w:hAnsi="宋体" w:eastAsia="仿宋_GB2312" w:cs="仿宋_GB2312"/>
          <w:color w:val="000000"/>
          <w:sz w:val="32"/>
          <w:szCs w:val="32"/>
        </w:rPr>
        <w:t>　各级各类医疗机构应积极配合疾病预防控制机构专业人员进行突发公共卫生事件和传染病疫情调查、采样与处理。</w:t>
      </w:r>
    </w:p>
    <w:p>
      <w:pPr>
        <w:pStyle w:val="37"/>
        <w:widowControl w:val="0"/>
        <w:wordWrap/>
        <w:overflowPunct w:val="0"/>
        <w:adjustRightInd/>
        <w:snapToGrid/>
        <w:spacing w:before="0" w:beforeAutospacing="0" w:after="0" w:afterAutospacing="0" w:line="560" w:lineRule="exact"/>
        <w:ind w:left="0" w:leftChars="0" w:right="0" w:firstLine="640" w:firstLineChars="200"/>
        <w:jc w:val="center"/>
        <w:textAlignment w:val="auto"/>
        <w:outlineLvl w:val="9"/>
        <w:rPr>
          <w:rFonts w:hint="eastAsia" w:ascii="宋体" w:hAnsi="宋体" w:eastAsia="黑体" w:cs="黑体"/>
          <w:color w:val="000000"/>
          <w:kern w:val="2"/>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第五章　信息管理与通报</w:t>
      </w:r>
    </w:p>
    <w:p>
      <w:pPr>
        <w:pStyle w:val="37"/>
        <w:widowControl w:val="0"/>
        <w:wordWrap/>
        <w:overflowPunct w:val="0"/>
        <w:adjustRightInd/>
        <w:snapToGrid/>
        <w:spacing w:before="0" w:beforeAutospacing="0" w:after="0" w:afterAutospacing="0" w:line="560" w:lineRule="exact"/>
        <w:ind w:left="0" w:leftChars="0" w:right="0" w:firstLine="640" w:firstLineChars="200"/>
        <w:jc w:val="center"/>
        <w:textAlignment w:val="auto"/>
        <w:outlineLvl w:val="9"/>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第二十七条</w:t>
      </w:r>
      <w:r>
        <w:rPr>
          <w:rFonts w:hint="eastAsia" w:ascii="宋体" w:hAnsi="宋体" w:eastAsia="仿宋_GB2312" w:cs="仿宋_GB2312"/>
          <w:color w:val="000000"/>
          <w:sz w:val="32"/>
          <w:szCs w:val="32"/>
        </w:rPr>
        <w:t>　各级各类医疗机构所设与诊治传染病有关的科室应当建立门诊日志、住院登记簿和传染病疫情登记簿。</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第二十八条</w:t>
      </w:r>
      <w:r>
        <w:rPr>
          <w:rFonts w:hint="eastAsia" w:ascii="宋体" w:hAnsi="宋体" w:eastAsia="仿宋_GB2312" w:cs="仿宋_GB2312"/>
          <w:color w:val="000000"/>
          <w:sz w:val="32"/>
          <w:szCs w:val="32"/>
        </w:rPr>
        <w:t>　各级各类医疗机构指定的部门和人员，负责本单位突发公共卫生事件和传染病疫情报告卡的收发和核对，设立传染病报告登记簿，统一填报有关报表。</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第二十九条</w:t>
      </w:r>
      <w:r>
        <w:rPr>
          <w:rFonts w:hint="eastAsia" w:ascii="宋体" w:hAnsi="宋体" w:eastAsia="仿宋_GB2312" w:cs="仿宋_GB2312"/>
          <w:color w:val="000000"/>
          <w:sz w:val="32"/>
          <w:szCs w:val="32"/>
        </w:rPr>
        <w:t>　县级疾病预防控制机构负责本辖区内突发公共卫生事件和传染病疫情报告卡、报表的收发、核对、疫情的报告和管理工作。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疾病预防控制机构应当按照国家公共卫生监测体系网络系统平台的要求，充分利用报告的信息资料，建立突发公共卫生事件和传染病疫情定期分析通报制度，常规监测时每月不少于三次疫情分析与通报，紧急情况下需每日进行疫情分析与通报。</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w:t>
      </w:r>
      <w:r>
        <w:rPr>
          <w:rFonts w:hint="eastAsia" w:ascii="宋体" w:hAnsi="宋体" w:eastAsia="黑体" w:cs="黑体"/>
          <w:color w:val="000000"/>
          <w:kern w:val="2"/>
          <w:sz w:val="32"/>
          <w:szCs w:val="32"/>
          <w:lang w:val="en-US" w:eastAsia="zh-CN" w:bidi="ar-SA"/>
        </w:rPr>
        <w:t>三十</w:t>
      </w:r>
      <w:r>
        <w:rPr>
          <w:rFonts w:hint="eastAsia" w:ascii="宋体" w:hAnsi="宋体" w:eastAsia="黑体" w:cs="黑体"/>
          <w:color w:val="000000"/>
          <w:sz w:val="32"/>
          <w:szCs w:val="32"/>
        </w:rPr>
        <w:t>条</w:t>
      </w:r>
      <w:r>
        <w:rPr>
          <w:rFonts w:hint="eastAsia" w:ascii="宋体" w:hAnsi="宋体" w:eastAsia="仿宋_GB2312" w:cs="仿宋_GB2312"/>
          <w:color w:val="000000"/>
          <w:sz w:val="32"/>
          <w:szCs w:val="32"/>
        </w:rPr>
        <w:t>　国境口岸所在地卫生行政部门指定的疾病预防控制机构和港口、机场、铁路等疾病预防控制机构及国境卫生检疫机构，发现</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"javascript:SLC(3068,0)"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国境卫生检疫法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规定的检疫传染病时，应当互相通报疫情。</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第三十一条</w:t>
      </w:r>
      <w:r>
        <w:rPr>
          <w:rFonts w:hint="eastAsia" w:ascii="宋体" w:hAnsi="宋体" w:eastAsia="仿宋_GB2312" w:cs="仿宋_GB2312"/>
          <w:color w:val="000000"/>
          <w:sz w:val="32"/>
          <w:szCs w:val="32"/>
        </w:rPr>
        <w:t>　发现人畜共患传染病时，当地疾病预防控制机构和农、林部门应当互相通报疫情。</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第三十二条</w:t>
      </w:r>
      <w:r>
        <w:rPr>
          <w:rFonts w:hint="eastAsia" w:ascii="宋体" w:hAnsi="宋体" w:eastAsia="仿宋_GB2312" w:cs="仿宋_GB2312"/>
          <w:color w:val="000000"/>
          <w:sz w:val="32"/>
          <w:szCs w:val="32"/>
        </w:rPr>
        <w:t>　国务院卫生行政部门应当及时通报和公布突发公共卫生事件和传染病疫情，省（自治区、直辖市）人民政府卫生行政部门根据国务院卫生行政部门的授权，及时通报和公布本行政区域的突发公共卫生事件和传染病疫情。</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突发公共卫生事件和传染病疫情发布内容包括：</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（一）突发公共卫生事件和传染病疫情性质、原因；</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（二）突发公共卫生事件和传染病疫情发生地及范围；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（三）突发公共卫生事件和传染病疫情的发病、伤亡及涉及的人员范围；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（四）突发公共卫生事件和传染病疫情处理措施和控制情况；</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（五）突发公共卫生事件和传染病疫情发生地的解除。</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与港澳台地区及有关国家和世界卫生组织之间的交流与通报办法另行制订。</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第六章　监督管理</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第三十三条</w:t>
      </w:r>
      <w:r>
        <w:rPr>
          <w:rFonts w:hint="eastAsia" w:ascii="宋体" w:hAnsi="宋体" w:eastAsia="仿宋_GB2312" w:cs="仿宋_GB2312"/>
          <w:color w:val="000000"/>
          <w:sz w:val="32"/>
          <w:szCs w:val="32"/>
        </w:rPr>
        <w:t>　国务院卫生行政部门对全国突发公共卫生事件与传染病疫情监测信息报告管理工作进行监督、指导。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县级以上地方人民政府卫生行政部门对本行政区域的突发公共卫生事件与传染病疫情监测信息报告管理工作进行监督、指导。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第三十四条</w:t>
      </w:r>
      <w:r>
        <w:rPr>
          <w:rFonts w:hint="eastAsia" w:ascii="宋体" w:hAnsi="宋体" w:eastAsia="仿宋_GB2312" w:cs="仿宋_GB2312"/>
          <w:color w:val="000000"/>
          <w:sz w:val="32"/>
          <w:szCs w:val="32"/>
        </w:rPr>
        <w:t>　各级卫生监督机构在卫生行政部门的领导下，具体负责本行政区内的突发公共卫生事件与传染病疫情监测信息报告管理工作的监督检查。</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第三十五条</w:t>
      </w:r>
      <w:r>
        <w:rPr>
          <w:rFonts w:hint="eastAsia" w:ascii="宋体" w:hAnsi="宋体" w:eastAsia="仿宋_GB2312" w:cs="仿宋_GB2312"/>
          <w:color w:val="000000"/>
          <w:sz w:val="32"/>
          <w:szCs w:val="32"/>
        </w:rPr>
        <w:t>　各级疾病预防控制机构在卫生行政部门的领导下，具体负责对本行政区域内的突发公共卫生事件与传染病疫情监测信息报告管理工作的技术指导。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第三十六条</w:t>
      </w:r>
      <w:r>
        <w:rPr>
          <w:rFonts w:hint="eastAsia" w:ascii="宋体" w:hAnsi="宋体" w:eastAsia="仿宋_GB2312" w:cs="仿宋_GB2312"/>
          <w:color w:val="000000"/>
          <w:sz w:val="32"/>
          <w:szCs w:val="32"/>
        </w:rPr>
        <w:t>　各级各类医疗卫生机构在卫生行政部门的领导下，积极开展突发公共卫生事件与传染病疫情监测信息报告管理工作。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第三十七条</w:t>
      </w:r>
      <w:r>
        <w:rPr>
          <w:rFonts w:hint="eastAsia" w:ascii="宋体" w:hAnsi="宋体" w:eastAsia="仿宋_GB2312" w:cs="仿宋_GB2312"/>
          <w:color w:val="000000"/>
          <w:sz w:val="32"/>
          <w:szCs w:val="32"/>
        </w:rPr>
        <w:t>　任何单位和个人发现责任报告单位或责任疫情报告人有瞒报、缓报、谎报突发公共卫生事件和传染病疫情情况时，应向当地卫生行政部门报告。</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第七章　罚则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第三十八条</w:t>
      </w:r>
      <w:r>
        <w:rPr>
          <w:rFonts w:hint="eastAsia" w:ascii="宋体" w:hAnsi="宋体" w:eastAsia="仿宋_GB2312" w:cs="仿宋_GB2312"/>
          <w:color w:val="000000"/>
          <w:sz w:val="32"/>
          <w:szCs w:val="32"/>
        </w:rPr>
        <w:t>　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它严重危害后果，构成犯罪的，依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追究刑事责任：</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（一）未建立传染病疫情报告制度的；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（二）未指定相关部门和人员负责传染病疫情报告管理工作的；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（三）瞒报、缓报、谎报发现的传染病病人、病原携带者、疑似病人的。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第三十九条</w:t>
      </w:r>
      <w:r>
        <w:rPr>
          <w:rFonts w:hint="eastAsia" w:ascii="宋体" w:hAnsi="宋体" w:eastAsia="仿宋_GB2312" w:cs="仿宋_GB2312"/>
          <w:color w:val="000000"/>
          <w:sz w:val="32"/>
          <w:szCs w:val="32"/>
        </w:rPr>
        <w:t>　疾病预防控制机构有下列行为之一的，由县级以上地方卫生行政部门责令改正、通报批评、给予警告；对主要负责人、负有责任的主管人员和其他责任人员依法给予降级、撤职的行政处分；造成传染病传播、流行或者对社会公众健康造成其它严重危害后果，构成犯罪的，依法追究刑事责任：</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（一）瞒报、缓报、谎报发现的传染病病人、病原携带者、疑似病人的；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（二）未按规定建立专门的流行病学调查队伍，进行传染病疫情的流行病学调查工作；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（三）在接到传染病疫情报告后，未按规定派人进行现场调查的；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（四）未按规定上报疫情或报告突发公共卫生事件的。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第四十条</w:t>
      </w:r>
      <w:r>
        <w:rPr>
          <w:rFonts w:hint="eastAsia" w:ascii="宋体" w:hAnsi="宋体" w:eastAsia="仿宋_GB2312" w:cs="仿宋_GB2312"/>
          <w:color w:val="000000"/>
          <w:sz w:val="32"/>
          <w:szCs w:val="32"/>
        </w:rPr>
        <w:t>　执行职务的医疗卫生人员瞒报、缓报、谎报传染病疫情的，由县级以上卫生行政部门给予警告，情节严重的，责令暂停六个月以上一年以下执业活动，或者吊销其执业证书。</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责任报告单位和事件发生单位瞒报、缓报、谎报或授意他人不报告突发性公共卫生事件或传染病疫情的，对其主要领导、主管人员和直接责任人由其单位或上级主管机关给予行政处分，造成疫情播散或事态恶化等严重后果的，由司法机关追究其刑事责任。</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第四十一条</w:t>
      </w:r>
      <w:r>
        <w:rPr>
          <w:rFonts w:hint="eastAsia" w:ascii="宋体" w:hAnsi="宋体" w:eastAsia="仿宋_GB2312" w:cs="仿宋_GB2312"/>
          <w:color w:val="000000"/>
          <w:sz w:val="32"/>
          <w:szCs w:val="32"/>
        </w:rPr>
        <w:t>　个体或私营医疗保健机构瞒报、缓报、谎报传染病疫情或突发性公共卫生事件的，由县级以上卫生行政部门责令限期改正，可以处100元以上500元以下罚款；对造成突发性公共卫生事件和传染病传播流行的，责令停业整改，并可以处200元以上2000元以下罚款，触犯刑律的，对其经营者、主管人员和直接责任人移交司法机关追究刑事责任。</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第四十二条</w:t>
      </w:r>
      <w:r>
        <w:rPr>
          <w:rFonts w:hint="eastAsia" w:ascii="宋体" w:hAnsi="宋体" w:eastAsia="仿宋_GB2312" w:cs="仿宋_GB2312"/>
          <w:color w:val="000000"/>
          <w:sz w:val="32"/>
          <w:szCs w:val="32"/>
        </w:rPr>
        <w:t>　县级以上卫生行政部门未按照规定履行突发公共卫生事件和传染病疫情报告职责，瞒报、缓报、谎报或者授意他人瞒报、缓报、谎报的，对主要负责人依法给予降级或者撤职的行政处分；造成传染病传播、流行或者对社会公众造成其他严重危害后果的，给予开除处分；构成犯罪的，依法追究刑事责任。</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第八章　附 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r>
        <w:rPr>
          <w:rFonts w:hint="eastAsia" w:ascii="宋体" w:hAnsi="宋体" w:eastAsia="黑体" w:cs="黑体"/>
          <w:color w:val="000000"/>
          <w:kern w:val="0"/>
          <w:sz w:val="32"/>
          <w:szCs w:val="32"/>
          <w:lang w:val="en-US" w:eastAsia="zh-CN"/>
        </w:rPr>
        <w:t>第四十三条</w:t>
      </w:r>
      <w:r>
        <w:rPr>
          <w:rFonts w:hint="eastAsia" w:ascii="宋体" w:hAnsi="宋体" w:eastAsia="仿宋_GB2312" w:cs="仿宋_GB2312"/>
          <w:color w:val="000000"/>
          <w:sz w:val="32"/>
          <w:szCs w:val="32"/>
        </w:rPr>
        <w:t>　中国人民解放军、武装警察部队医疗卫生机构突发公共卫生事件与传染病疫情监测信息报告管理工作，参照本办法的规定和军队的相关规定执行。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第四十四条</w:t>
      </w:r>
      <w:r>
        <w:rPr>
          <w:rFonts w:hint="eastAsia" w:ascii="宋体" w:hAnsi="宋体" w:eastAsia="仿宋_GB2312" w:cs="仿宋_GB2312"/>
          <w:color w:val="000000"/>
          <w:sz w:val="32"/>
          <w:szCs w:val="32"/>
        </w:rPr>
        <w:t>　本办法自发布之日起实施。</w:t>
      </w: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92" w:name="_Toc29023"/>
      <w:r>
        <w:rPr>
          <w:rFonts w:hint="eastAsia" w:ascii="宋体" w:hAnsi="宋体" w:eastAsia="宋体" w:cs="Arial"/>
          <w:bCs/>
          <w:sz w:val="44"/>
          <w:szCs w:val="44"/>
          <w:lang w:val="en-US" w:eastAsia="zh-CN"/>
        </w:rPr>
        <w:t>医疗机构传染病预检分诊管理办法</w:t>
      </w:r>
      <w:bookmarkEnd w:id="292"/>
    </w:p>
    <w:p>
      <w:pPr>
        <w:pStyle w:val="37"/>
        <w:widowControl w:val="0"/>
        <w:tabs>
          <w:tab w:val="left" w:pos="0"/>
        </w:tabs>
        <w:wordWrap/>
        <w:overflowPunct w:val="0"/>
        <w:spacing w:before="0" w:beforeAutospacing="0" w:after="0" w:afterAutospacing="0" w:line="560" w:lineRule="exact"/>
        <w:ind w:left="640" w:leftChars="200" w:right="525" w:rightChars="164" w:firstLine="0" w:firstLineChars="0"/>
        <w:jc w:val="both"/>
        <w:textAlignment w:val="auto"/>
        <w:rPr>
          <w:rFonts w:hint="eastAsia" w:ascii="宋体" w:hAnsi="宋体" w:eastAsia="宋体" w:cs="宋体"/>
          <w:bCs/>
          <w:kern w:val="2"/>
          <w:sz w:val="44"/>
          <w:szCs w:val="44"/>
          <w:lang w:val="en-US" w:eastAsia="zh-CN" w:bidi="ar-SA"/>
        </w:rPr>
      </w:pPr>
      <w:r>
        <w:rPr>
          <w:rFonts w:hint="eastAsia" w:ascii="宋体" w:hAnsi="宋体" w:eastAsia="仿宋_GB2312" w:cs="仿宋_GB2312"/>
          <w:color w:val="000000"/>
          <w:sz w:val="32"/>
          <w:szCs w:val="32"/>
        </w:rPr>
        <w:br w:type="textWrapping"/>
      </w:r>
      <w:r>
        <w:rPr>
          <w:rFonts w:hint="eastAsia" w:ascii="楷体" w:hAnsi="楷体" w:eastAsia="楷体" w:cs="楷体"/>
          <w:color w:val="000000"/>
          <w:sz w:val="32"/>
          <w:szCs w:val="32"/>
          <w:lang w:eastAsia="zh-CN"/>
        </w:rPr>
        <w:t>（</w:t>
      </w:r>
      <w:r>
        <w:rPr>
          <w:rFonts w:hint="eastAsia" w:ascii="楷体" w:hAnsi="楷体" w:eastAsia="楷体" w:cs="楷体"/>
          <w:kern w:val="0"/>
          <w:sz w:val="32"/>
          <w:szCs w:val="32"/>
          <w:lang w:bidi="ar-SA"/>
        </w:rPr>
        <w:t>2004年12月16日卫生部部务会议讨论通过，2005年2月28日中华人民共和国卫生部令第41号发布，自发布之日起施行</w:t>
      </w:r>
      <w:r>
        <w:rPr>
          <w:rFonts w:hint="eastAsia" w:ascii="楷体" w:hAnsi="楷体" w:eastAsia="楷体" w:cs="楷体"/>
          <w:kern w:val="0"/>
          <w:sz w:val="32"/>
          <w:szCs w:val="32"/>
          <w:lang w:eastAsia="zh-CN" w:bidi="ar-SA"/>
        </w:rPr>
        <w:t>）</w:t>
      </w:r>
      <w:r>
        <w:rPr>
          <w:rFonts w:hint="eastAsia" w:ascii="宋体" w:hAnsi="宋体" w:eastAsia="仿宋_GB2312" w:cs="仿宋_GB2312"/>
          <w:kern w:val="0"/>
          <w:sz w:val="32"/>
          <w:szCs w:val="32"/>
          <w:lang w:bidi="ar-SA"/>
        </w:rPr>
        <w:br w:type="textWrapping"/>
      </w:r>
    </w:p>
    <w:p>
      <w:pPr>
        <w:widowControl w:val="0"/>
        <w:numPr>
          <w:ilvl w:val="0"/>
          <w:numId w:val="0"/>
        </w:numPr>
        <w:wordWrap/>
        <w:overflowPunct w:val="0"/>
        <w:spacing w:beforeAutospacing="0" w:afterAutospacing="0" w:line="560" w:lineRule="exact"/>
        <w:ind w:firstLine="640" w:firstLineChars="200"/>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lang w:eastAsia="zh-CN"/>
        </w:rPr>
        <w:t>第一条</w:t>
      </w:r>
      <w:r>
        <w:rPr>
          <w:rFonts w:hint="eastAsia" w:ascii="宋体" w:hAnsi="宋体" w:eastAsia="仿宋_GB2312" w:cs="仿宋_GB2312"/>
          <w:color w:val="000000"/>
          <w:sz w:val="32"/>
          <w:szCs w:val="32"/>
        </w:rPr>
        <w:t>　为规范医疗机构传染病预检、分诊工作，有效控制传染病疫情，防止医疗机构内交叉感染，保障人民群众身体健康和生命安全，根据《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"javascript:SLC(54998,52)"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五十二条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的规定，制定本办法。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第二条</w:t>
      </w:r>
      <w:r>
        <w:rPr>
          <w:rFonts w:hint="eastAsia" w:ascii="宋体" w:hAnsi="宋体" w:eastAsia="仿宋_GB2312" w:cs="仿宋_GB2312"/>
          <w:color w:val="000000"/>
          <w:sz w:val="32"/>
          <w:szCs w:val="32"/>
        </w:rPr>
        <w:t>　医疗机构应当建立传染病预检、分诊制度。</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二级以上综合医院应当设立感染性疾病科，具体负责本医疗机构传染病的分诊工作，并对本医疗机构的传染病预检、分诊工作进行组织管理。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没有设立感染性疾病科的医疗机构应当设立传染病分诊点。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感染性疾病科和分诊点应当标识明确，相对独立，通风良好，流程合理，具有消毒隔离条件和必要的防护用品。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医疗机构各科室的医师在接诊过程中，应当注意询问病人有关的流行病学史、职业史，结合病人的主诉、病史、症状和体征等对来诊的病人进行传染病的预检。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经预检为传染病病人或者疑似传染病病人的，应当将病人分诊至感染性疾病科或者分诊点就诊，同时对接诊处采取必要的消毒措施。</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医疗机构应当根据传染病的流行季节、周期和流行趋势做好特定传染病的预检、分诊工作。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医疗机构应当在接到卫生部和省、自治区、直辖市人民政府发布特定传染病预警信息后，或者按照当地卫生行政部门的要求，加强特定传染病的预检、分诊工作。必要时，设立相对独立的针对特定传染病的预检处，引导就诊病人首先到预检处检诊，初步排除特定传染病后，再到相应的普通科室就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w:t>
      </w:r>
      <w:r>
        <w:rPr>
          <w:rFonts w:hint="eastAsia" w:ascii="宋体" w:hAnsi="宋体" w:eastAsia="仿宋_GB2312" w:cs="仿宋_GB2312"/>
          <w:color w:val="000000"/>
          <w:sz w:val="32"/>
          <w:szCs w:val="32"/>
        </w:rPr>
        <w:t>　对呼吸道等特殊传染病病人或者疑似病人，医疗机构应当依法采取隔离或者控制传播措施，并按照规定对病人的陪同人员和其他密切接触人员采取医学观察和其他必要的预防措施。</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　</w:t>
      </w:r>
      <w:r>
        <w:rPr>
          <w:rFonts w:hint="eastAsia" w:ascii="宋体" w:hAnsi="宋体" w:eastAsia="仿宋_GB2312" w:cs="仿宋_GB2312"/>
          <w:color w:val="000000"/>
          <w:sz w:val="32"/>
          <w:szCs w:val="32"/>
        </w:rPr>
        <w:t>医疗机构不具备传染病救治能力时，应当及时将病人转诊到具备救治能力的医疗机构诊疗，并将病历资料复印件转至相应的医疗机构。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第七条</w:t>
      </w:r>
      <w:r>
        <w:rPr>
          <w:rFonts w:hint="eastAsia" w:ascii="宋体" w:hAnsi="宋体" w:eastAsia="仿宋_GB2312" w:cs="仿宋_GB2312"/>
          <w:color w:val="000000"/>
          <w:sz w:val="32"/>
          <w:szCs w:val="32"/>
        </w:rPr>
        <w:t>　转诊传染病病人或疑似传染病病人时，应当按照当地卫生行政部门的规定使用专用车辆。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w:t>
      </w:r>
      <w:r>
        <w:rPr>
          <w:rFonts w:hint="eastAsia" w:ascii="宋体" w:hAnsi="宋体" w:eastAsia="仿宋_GB2312" w:cs="仿宋_GB2312"/>
          <w:color w:val="000000"/>
          <w:sz w:val="32"/>
          <w:szCs w:val="32"/>
        </w:rPr>
        <w:t>　感染性疾病科和分诊点应当采取标准防护措施，按照规范严格消毒，并按照《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"javascript:SLC(47103,0)"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医疗废物管理条例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》的规定处理医疗废物。</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第九条</w:t>
      </w:r>
      <w:r>
        <w:rPr>
          <w:rFonts w:hint="eastAsia" w:ascii="宋体" w:hAnsi="宋体" w:eastAsia="仿宋_GB2312" w:cs="仿宋_GB2312"/>
          <w:color w:val="000000"/>
          <w:sz w:val="32"/>
          <w:szCs w:val="32"/>
        </w:rPr>
        <w:t>　医疗机构应当定期对医务人员进行传染病防治知识的培训，培训应当包括传染病防治的法律、法规以及传染病流行动态、诊断、治疗、预防、职业暴露的预防和处理等内容。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从事传染病预检、分诊的医务人员应当严格遵守卫生管理法律、法规和有关规定，认真执行临床技术操作规范、常规以及有关工作制度。</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第十条</w:t>
      </w:r>
      <w:r>
        <w:rPr>
          <w:rFonts w:hint="eastAsia" w:ascii="宋体" w:hAnsi="宋体" w:eastAsia="仿宋_GB2312" w:cs="仿宋_GB2312"/>
          <w:color w:val="000000"/>
          <w:sz w:val="32"/>
          <w:szCs w:val="32"/>
        </w:rPr>
        <w:t>　各级卫生行政部门应当加强对医疗机构预检分诊工作的监督管理，对违反《</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》等有关法律、法规和本办法的，应当依法查处。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　</w:t>
      </w:r>
      <w:r>
        <w:rPr>
          <w:rFonts w:hint="eastAsia" w:ascii="宋体" w:hAnsi="宋体" w:eastAsia="仿宋_GB2312" w:cs="仿宋_GB2312"/>
          <w:color w:val="000000"/>
          <w:sz w:val="32"/>
          <w:szCs w:val="32"/>
        </w:rPr>
        <w:t>本办法自发布之日起施行。</w:t>
      </w: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93" w:name="_Toc2938"/>
      <w:r>
        <w:rPr>
          <w:rFonts w:hint="eastAsia" w:ascii="宋体" w:hAnsi="宋体" w:eastAsia="宋体" w:cs="宋体"/>
          <w:sz w:val="44"/>
          <w:szCs w:val="44"/>
        </w:rPr>
        <w:t>医院感染管理办法</w:t>
      </w:r>
      <w:bookmarkEnd w:id="293"/>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both"/>
        <w:textAlignment w:val="auto"/>
        <w:rPr>
          <w:rFonts w:hint="eastAsia" w:ascii="楷体" w:hAnsi="楷体" w:eastAsia="楷体" w:cs="楷体"/>
          <w:sz w:val="32"/>
          <w:szCs w:val="32"/>
        </w:rPr>
      </w:pPr>
      <w:r>
        <w:rPr>
          <w:rFonts w:hint="eastAsia" w:ascii="楷体" w:hAnsi="楷体" w:eastAsia="楷体" w:cs="楷体"/>
          <w:sz w:val="32"/>
          <w:szCs w:val="32"/>
        </w:rPr>
        <w:t>（2006年6月15日中华人民共和国卫生部部务会议通过</w:t>
      </w:r>
      <w:r>
        <w:rPr>
          <w:rFonts w:hint="eastAsia" w:ascii="楷体" w:hAnsi="楷体" w:eastAsia="楷体" w:cs="楷体"/>
          <w:sz w:val="32"/>
          <w:szCs w:val="32"/>
          <w:lang w:val="en-US" w:eastAsia="zh-CN"/>
        </w:rPr>
        <w:t xml:space="preserve"> 2006年7月6日</w:t>
      </w:r>
      <w:r>
        <w:rPr>
          <w:rFonts w:hint="eastAsia" w:ascii="楷体" w:hAnsi="楷体" w:eastAsia="楷体" w:cs="楷体"/>
          <w:sz w:val="32"/>
          <w:szCs w:val="32"/>
        </w:rPr>
        <w:t>中华人民共和国卫生部令第48号</w:t>
      </w:r>
      <w:r>
        <w:rPr>
          <w:rFonts w:hint="eastAsia" w:ascii="楷体" w:hAnsi="楷体" w:eastAsia="楷体" w:cs="楷体"/>
          <w:sz w:val="32"/>
          <w:szCs w:val="32"/>
          <w:lang w:val="en-US" w:eastAsia="zh-CN"/>
        </w:rPr>
        <w:t xml:space="preserve">公布 </w:t>
      </w:r>
      <w:r>
        <w:rPr>
          <w:rFonts w:hint="eastAsia" w:ascii="楷体" w:hAnsi="楷体" w:eastAsia="楷体" w:cs="楷体"/>
          <w:sz w:val="32"/>
          <w:szCs w:val="32"/>
        </w:rPr>
        <w:t>自2006年9月1日起施行）</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为加强医院感染管理，有效预防和控制医院感染，提高医疗质量，保证医疗安全，根据《传染病防治法》、《医疗机构管理条例》和《突发公共卫生事件应急条例》等法律、行政法规的规定，制定本办法。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医院感染管理是各级卫生行政部门、医疗机构及医务人员针对诊疗活动中存在的医院感染、医源性感染及相关的危险因素进行的预防、诊断和控制活动。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各级各类医疗机构应当严格按照本办法的规定实施医院感染管理工作。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医务人员的职业卫生防护，按照《职业病防治法》及其配套规章和标准的有关规定执行。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卫生部负责全国医院感染管理的监督管理工作。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县级以上地方人民政府卫生行政部门负责本行政区域内医院感染管理的监督管理工作。</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组织管理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各级各类医疗机构应当建立医院感染管理责任制，制定并落实医院感染管理的规章制度和工作规范，严格执行有关技术操作规范和工作标准，有效预防和控制医院感染，防止传染病病原体、耐药菌、条件致病菌及其他病原微生物的传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住院床位总数在100张以上的医院应当设立医院感染管理委员会和独立的医院感染管理部门。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住院床位总数在100张以下的医院应当指定分管医院感染管理工作的部门。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其他医疗机构应当有医院感染管理专（兼）职人员。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第七条 </w:t>
      </w:r>
      <w:r>
        <w:rPr>
          <w:rFonts w:hint="eastAsia" w:ascii="仿宋" w:hAnsi="仿宋" w:eastAsia="仿宋" w:cs="仿宋"/>
          <w:sz w:val="32"/>
          <w:szCs w:val="32"/>
        </w:rPr>
        <w:t>医院感染管理委员会由医院感染管理部门、医务部门、护理部门、临床科室、消毒供应室、手术室、临床检验部门、药事管理部门、设备管理部门、后勤管理部门及其他有关部门的主要负责人组成，主任委员由医院院长或者主管医疗工作的副院长担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医院感染管理委员会的职责是：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（一）认真贯彻医院感染管理方面的法律法规及技术规范、标准，制定本医院预防和控制医院感染的规章制度、医院感染诊断标准并监督实施；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（二）根据预防医院感染和卫生学要求，对本医院的建筑设计、重点科室建设的基本标准、基本设施和工作流程进行审查并提出意见；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（三）研究并确定本医院的医院感染管理工作计划，并对计划的实施进行考核和评价；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（四）研究并确定本医院的医院感染重点部门、重点环节、重点流程、危险因素以及采取的干预措施，明确各有关部门、人员在预防和控制医院感染工作中的责任；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（五）研究并制定本医院发生医院感染暴发及出现不明原因传染性疾病或者特殊病原体感染病例等事件时的控制预案；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（六）建立会议制度，定期研究、协调和解决有关医院感染管理方面的问题；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（七）根据本医院病原体特点和耐药现状，配合药事管理委员会提出合理使用抗菌药物的指导意见；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（八）其他有关医院感染管理的重要事宜。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医院感染管理部门、分管部门及医院感染管理专（兼）职人员具体负责医院感染预防与控制方面的管理和业务工作。主要职责是：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（一）对有关预防和控制医院感染管理规章制度的落实情况进行检查和指导；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（二）对医院感染及其相关危险因素进行监测、分析和反馈，针对问题提出控制措施并指导实施；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（三）对医院感染发生状况进行调查、统计分析，并向医院感染管理委员会或者医疗机构负责人报告；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（四）对医院的清洁、消毒灭菌与隔离、无菌操作技术、医疗废物管理等工作提供指导；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（五）对传染病的医院感染控制工作提供指导；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（六）对医务人员有关预防医院感染的职业卫生安全防护工作提供指导；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（七）对医院感染暴发事件进行报告和调查分析，提出控制措施并协调、组织有关部门进行处理；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（八）对医务人员进行预防和控制医院感染的培训工作；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（九）参与抗菌药物临床应用的管理工作；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（十）对消毒药械和一次性使用医疗器械、器具的相关证明进行审核；</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（十一）组织开展医院感染预防与控制方面的科研工作；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（十二）完成医院感染管理委员会或者医疗机构负责人交办的其他工作。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卫生部成立医院感染预防与控制专家组，成员由医院感染管理、疾病控制、传染病学、临床检验、流行病学、消毒学、临床药学、护理学等专业的专家组成。主要职责是：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（一）研究起草有关医院感染预防与控制、医院感染诊断的技术性标准和规范；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（二）对全国医院感染预防与控制工作进行业务指导；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（三）对全国医院感染发生状况及危险因素进行调查、分析；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（四）对全国重大医院感染事件进行调查和业务指导；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（五）完成卫生部交办的其他工作。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省级人民政府卫生行政部门成立医院感染预防与控制专家组，负责指导本地区医院感染预防与控制的技术性工作。</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预防与控制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第十一条 </w:t>
      </w:r>
      <w:r>
        <w:rPr>
          <w:rFonts w:hint="eastAsia" w:ascii="仿宋" w:hAnsi="仿宋" w:eastAsia="仿宋" w:cs="仿宋"/>
          <w:sz w:val="32"/>
          <w:szCs w:val="32"/>
        </w:rPr>
        <w:t>医疗机构应当按照有关医院感染管理的规章制度和技术规范，加强医院感染的预防与控制工作。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医疗机构应当按照《消毒管理办法》，严格执行医疗器械、器具的消毒工作技术规范，并达到以下要求：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（一）进入人体组织、无菌器官的医疗器械、器具和物品必须达到灭菌水平；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（二）接触皮肤、粘膜的医疗器械、器具和物品必须达到消毒水平；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（三）各种用于注射、穿刺、采血等有创操作的医疗器具必须一用一灭菌。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医疗机构使用的消毒药械、一次性医疗器械和器具应当符合国家有关规定。一次性使用的医疗器械、器具不得重复使用。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第十三条 </w:t>
      </w:r>
      <w:r>
        <w:rPr>
          <w:rFonts w:hint="eastAsia" w:ascii="仿宋" w:hAnsi="仿宋" w:eastAsia="仿宋" w:cs="仿宋"/>
          <w:sz w:val="32"/>
          <w:szCs w:val="32"/>
        </w:rPr>
        <w:t>医疗机构应当制定具体措施，保证医务人员的手卫生、诊疗环境条件、无菌操作技术和职业卫生防护工作符合规定要求，对医院感染的危险因素进行控制。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医疗机构应当严格执行隔离技术规范，根据病原体传播途径，采取相应的隔离措施。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第十五条 </w:t>
      </w:r>
      <w:r>
        <w:rPr>
          <w:rFonts w:hint="eastAsia" w:ascii="仿宋" w:hAnsi="仿宋" w:eastAsia="仿宋" w:cs="仿宋"/>
          <w:sz w:val="32"/>
          <w:szCs w:val="32"/>
        </w:rPr>
        <w:t>医疗机构应当制定医务人员职业卫生防护工作的具体措施，提供必要的防护物品，保障医务人员的职业健康。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医疗机构应当严格按照《抗菌药物临床应用指导原则》，加强抗菌药物临床使用和耐药菌监测管理。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第十七条 </w:t>
      </w:r>
      <w:r>
        <w:rPr>
          <w:rFonts w:hint="eastAsia" w:ascii="仿宋" w:hAnsi="仿宋" w:eastAsia="仿宋" w:cs="仿宋"/>
          <w:sz w:val="32"/>
          <w:szCs w:val="32"/>
        </w:rPr>
        <w:t>医疗机构应当按照医院感染诊断标准及时诊断医院感染病例，建立有效的医院感染监测制度，分析医院感染的危险因素，并针对导致医院感染的危险因素，实施预防与控制措施。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医疗机构应当及时发现医院感染病例和医院感染的暴发，分析感染源、感染途径，采取有效的处理和控制措施，积极救治患者。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医疗机构经调查证实发生以下情形时，应当于12小时内向所在地的县级地方人民政府卫生行政部门报告，并同时向所在地疾病预防控制机构报告。所在地的县级地方人民政府卫生行政部门确认后，应当于24小时内逐级上报至省级人民政府卫生行政部门。省级人民政府卫生行政部门审核后，应当在24小时内上报至卫生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（一）5例以上医院感染暴发；</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（二）由于医院感染暴发直接导致患者死亡；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（三）由于医院感染暴发导致3人以上人身损害后果。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医疗机构发生以下情形时，应当按照《国家突发公共卫生事件相关信息报告管理工作规范（试行）》的要求进行报告：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（一）10例以上的医院感染暴发事件；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（二）发生特殊病原体或者新发病原体的医院感染；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（三）可能造成重大公共影响或者严重后果的医院感染。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医疗机构发生的医院感染属于法定传染病的，应当按照《中华人民共和国传染病防治法》和《国家突发公共卫生事件应急预案》的规定进行报告和处理。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医疗机构发生医院感染暴发时，所在地的疾病预防控制机构应当及时进行流行病学调查，查找感染源、感染途径、感染因素，采取控制措施，防止感染源的传播和感染范围的扩大。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卫生行政部门接到报告，应当根据情况指导医疗机构进行医院感染的调查和控制工作，并可以组织提供相应的技术支持。</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人员培训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各级卫生行政部门和医疗机构应当重视医院感染管理的学科建设，建立专业人才培养制度，充分发挥医院感染专业技术人员在预防和控制医院感染工作中的作用。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省级人民政府卫生行政部门应当建立医院感染专业人员岗位规范化培训和考核制度，加强继续教育，提高医院感染专业人员的业务技术水平。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医疗机构应当制定对本机构工作人员的培训计划，对全体工作人员进行医院感染相关法律法规、医院感染管理相关工作规范和标准、专业技术知识的培训。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第二十六条 </w:t>
      </w:r>
      <w:r>
        <w:rPr>
          <w:rFonts w:hint="eastAsia" w:ascii="仿宋" w:hAnsi="仿宋" w:eastAsia="仿宋" w:cs="仿宋"/>
          <w:sz w:val="32"/>
          <w:szCs w:val="32"/>
        </w:rPr>
        <w:t>医院感染专业人员应当具备医院感染预防与控制工作的专业知识，并能够承担医院感染管理和业务技术工作。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医务人员应当掌握与本职工作相关的医院感染预防与控制方面的知识，落实医院感染管理规章制度、工作规范和要求。工勤人员应当掌握有关预防和控制医院感染的基础卫生学和消毒隔离知识，并在工作中正确运用。</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县级以上地方人民政府卫生行政部门应当按照有关法律法规和本办法的规定，对所辖区域的医疗机构进行监督检查。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对医疗机构监督检查的主要内容是：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（一）医院感染管理的规章制度及落实情况；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（二）针对医院感染危险因素的各项工作和控制措施；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（三）消毒灭菌与隔离、医疗废物管理及医务人员职业卫生防护工作状况；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（四）医院感染病例和医院感染暴发的监测工作情况；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（五）现场检查。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卫生行政部门在检查中发现医疗机构存在医院感染隐患时，应当责令限期整改或者暂时关闭相关科室或者暂停相关诊疗科目。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医疗机构对卫生行政部门的检查、调查取证等工作，应当予以配合，不得拒绝和阻碍，不得提供虚假材料。</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罚则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县级以上地方人民政府卫生行政部门未按照本办法的规定履行监督管理和对医院感染暴发事件的报告、调查处理职责，造成严重后果的，对卫生行政主管部门主要负责人、直接责任人和相关责任人予以降级或者撤职的行政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医疗机构违反本办法，有下列行为之一的，由县级以上地方人民政府卫生行政部门责令改正，逾期不改的，给予警告并通报批评；情节严重的，对主要负责人和直接责任人给予降级或者撤职的行政处分：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（一）未建立或者未落实医院感染管理的规章制度、工作规范；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（二）未设立医院感染管理部门、分管部门以及指定专（兼）职人员负责医院感染预防与控制工作；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（三）违反对医疗器械、器具的消毒工作技术规范；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（四）违反无菌操作技术规范和隔离技术规范；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（五）未对消毒药械和一次性医疗器械、器具的相关证明进行审核；</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（六）未对医务人员职业暴露提供职业卫生防护。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医疗机构违反本办法规定，未采取预防和控制措施或者发生医院感染未及时采取控制措施，造成医院感染暴发、传染病传播或者其他严重后果的，对负有责任的主管人员和直接责任人员给予降级、撤职、开除的行政处分；情节严重的，依照《传染病防治法》第六十九条规定，可以依法吊销有关责任人员的执业证书；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医疗机构发生医院感染暴发事件未按本办法规定报告的，由县级以上地方人民政府卫生行政部门通报批评；造成严重后果的，对负有责任的主管人员和其他直接责任人员给予降级、撤职、开除的处分。</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本办法中下列用语的含义：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医院感染：指住院病人在医院内获得的感染，包括在住院期间发生的感染和在医院内获得出院后发生的感染，但不包括入院前已开始或者入院时已处于潜伏期的感染。医院工作人员在医院内获得的感染也属医院感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（二）医源性感染：指在医学服务中，因病原体传播引起的感染。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（三）医院感染暴发：是指在医疗机构或其科室的患者中，短时间内发生3例以上同种同源感染病例的现象。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（四）消毒：指用化学、物理、生物的方法杀灭或者消除环境中的病原微生物。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（五）灭菌：杀灭或者消除传播媒介上的一切微生物，包括致病微生物和非致病微生物，也包括细菌芽胞和真菌孢子。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第三十七条 </w:t>
      </w:r>
      <w:r>
        <w:rPr>
          <w:rFonts w:hint="eastAsia" w:ascii="仿宋" w:hAnsi="仿宋" w:eastAsia="仿宋" w:cs="仿宋"/>
          <w:sz w:val="32"/>
          <w:szCs w:val="32"/>
        </w:rPr>
        <w:t>中国人民解放军医疗机构的医院感染管理工作，由中国人民解放军卫生部门归口管理。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采供血机构与疾病预防控制机构的医源性感染预防与控制管理参照本办法。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本办法自2006年9月1日起施行，原2000年11月30日颁布的《医院感染管理规范（试行）》同时废止。</w:t>
      </w:r>
    </w:p>
    <w:p>
      <w:pPr>
        <w:rPr>
          <w:rFonts w:hint="eastAsia" w:ascii="宋体" w:hAnsi="宋体" w:eastAsia="宋体" w:cs="Arial"/>
          <w:bCs/>
          <w:sz w:val="44"/>
          <w:szCs w:val="44"/>
          <w:lang w:val="en-US" w:eastAsia="zh-CN"/>
        </w:rPr>
      </w:pPr>
      <w:r>
        <w:rPr>
          <w:rFonts w:hint="eastAsia" w:ascii="宋体" w:hAnsi="宋体" w:eastAsia="宋体" w:cs="Arial"/>
          <w:bCs/>
          <w:sz w:val="44"/>
          <w:szCs w:val="44"/>
          <w:lang w:val="en-US" w:eastAsia="zh-CN"/>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94" w:name="_Toc26420"/>
      <w:r>
        <w:rPr>
          <w:rFonts w:hint="eastAsia" w:ascii="宋体" w:hAnsi="宋体" w:eastAsia="宋体" w:cs="Arial"/>
          <w:bCs/>
          <w:sz w:val="44"/>
          <w:szCs w:val="44"/>
          <w:lang w:val="en-US" w:eastAsia="zh-CN"/>
        </w:rPr>
        <w:t>突发公共卫生事件交通应急规定</w:t>
      </w:r>
      <w:bookmarkEnd w:id="294"/>
    </w:p>
    <w:p>
      <w:pPr>
        <w:widowControl w:val="0"/>
        <w:wordWrap/>
        <w:overflowPunct w:val="0"/>
        <w:spacing w:beforeAutospacing="0" w:afterAutospacing="0" w:line="560" w:lineRule="exact"/>
        <w:ind w:left="640" w:leftChars="200" w:right="525" w:rightChars="164" w:firstLine="0" w:firstLineChars="0"/>
        <w:jc w:val="both"/>
        <w:textAlignment w:val="auto"/>
        <w:rPr>
          <w:rFonts w:hint="eastAsia"/>
          <w:lang w:val="en-US" w:eastAsia="zh-CN"/>
        </w:rPr>
      </w:pPr>
      <w:r>
        <w:rPr>
          <w:rFonts w:hint="eastAsia" w:ascii="宋体" w:hAnsi="宋体" w:eastAsia="仿宋_GB2312" w:cs="仿宋_GB2312"/>
          <w:color w:val="000000"/>
          <w:sz w:val="32"/>
          <w:szCs w:val="32"/>
        </w:rPr>
        <w:br w:type="textWrapping"/>
      </w:r>
      <w:r>
        <w:rPr>
          <w:rFonts w:hint="eastAsia" w:ascii="楷体" w:hAnsi="楷体" w:eastAsia="楷体" w:cs="楷体"/>
          <w:color w:val="000000"/>
          <w:sz w:val="32"/>
          <w:szCs w:val="32"/>
          <w:lang w:eastAsia="zh-CN"/>
        </w:rPr>
        <w:t>（</w:t>
      </w:r>
      <w:r>
        <w:rPr>
          <w:rFonts w:hint="eastAsia" w:ascii="楷体" w:hAnsi="楷体" w:eastAsia="楷体" w:cs="楷体"/>
          <w:color w:val="000000"/>
          <w:sz w:val="32"/>
          <w:szCs w:val="32"/>
        </w:rPr>
        <w:t>2003年11月25日交通部第15次部务会议通过，中华人民共和国卫生部、中华人民共和国交通部令2004年第2号公布，自2004年5月1日起施行</w:t>
      </w:r>
      <w:r>
        <w:rPr>
          <w:rFonts w:hint="eastAsia" w:ascii="楷体" w:hAnsi="楷体" w:eastAsia="楷体" w:cs="楷体"/>
          <w:color w:val="000000"/>
          <w:sz w:val="32"/>
          <w:szCs w:val="32"/>
          <w:lang w:eastAsia="zh-CN"/>
        </w:rPr>
        <w:t>）</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t>第一章　总则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sz w:val="32"/>
          <w:szCs w:val="32"/>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第一条</w:t>
      </w:r>
      <w:r>
        <w:rPr>
          <w:rFonts w:hint="eastAsia" w:ascii="宋体" w:hAnsi="宋体" w:eastAsia="仿宋_GB2312" w:cs="仿宋_GB2312"/>
          <w:color w:val="000000"/>
          <w:sz w:val="32"/>
          <w:szCs w:val="32"/>
        </w:rPr>
        <w:t>　为了有效预防、及时控制和消除突发公共卫生事件的危害，防止重大传染病疫情通过车辆、船舶及其乘运人员、货物传播流行，保障旅客身体健康与生命安全，保证突发公共卫生事件应急物资及时运输，维护正常的社会秩序，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"javascript:SLC(4217,0)"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"javascript:SLC(5495,0)"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中华人民共和国传染病防治法实施办法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"javascript:SLC(45727,0)"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突发公共卫生事件应急条例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"javascript:SLC(21310,0)"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国内交通卫生检疫条例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》的有关规定，制定本规定。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第二条</w:t>
      </w:r>
      <w:r>
        <w:rPr>
          <w:rFonts w:hint="eastAsia" w:ascii="宋体" w:hAnsi="宋体" w:eastAsia="仿宋_GB2312" w:cs="仿宋_GB2312"/>
          <w:color w:val="000000"/>
          <w:sz w:val="32"/>
          <w:szCs w:val="32"/>
        </w:rPr>
        <w:t xml:space="preserve">　本规定所称突发公共卫生事件（以下简称突发事件），是指突然发生，造成或者可能造成社会公众健康严重损害的重大传染病疫情、群体性不明原因疾病、重大食物和职业中毒以及其他严重影响公众健康的事件。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本规定所称重大传染病疫情，是指根据《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"javascript:SLC(45727,0)"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突发公共卫生事件应急条例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》有关规定确定的传染病疫情。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本规定所称交通卫生检疫，是指根据《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"javascript:SLC(21310,0)"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国内交通卫生检疫条例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》对车船、港站、乘运人员和货物等实施的卫生检验、紧急卫生处理、紧急控制、临时隔离、医学检查和留验以及其他应急卫生防范、控制、处置措施。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本规定所称检疫传染病病人、疑似检疫传染病病人，是指国务院确定并公布的检疫传染病的病人、疑似传染病病人。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本规定所称车船，是指从事道路运输、水路运输活动的客车、货车、客船（包括客渡船）和货船。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本规定所称港站，是指提供停靠车船、上下旅客、装卸货物的场所，包括汽车客运站、货运站、港口客运站、货运码头、港口堆场和仓库等。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本规定所称乘运人员，是指车船上的所有人员，包括车辆驾驶人员和乘务人员、船员、旅客等。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第三条</w:t>
      </w:r>
      <w:r>
        <w:rPr>
          <w:rFonts w:hint="eastAsia" w:ascii="宋体" w:hAnsi="宋体" w:eastAsia="仿宋_GB2312" w:cs="仿宋_GB2312"/>
          <w:color w:val="000000"/>
          <w:sz w:val="32"/>
          <w:szCs w:val="32"/>
        </w:rPr>
        <w:t xml:space="preserve">　突发事件交通应急工作，应当遵循预防为主、常备不懈的方针，贯彻统一领导、分级负责、反应及时、措施果断、依靠科学、加强合作的原则，在确保控制重大传染病病源传播和蔓延的前提下，做到交通不中断、客流不中断、货流不中断。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第四条</w:t>
      </w:r>
      <w:r>
        <w:rPr>
          <w:rFonts w:hint="eastAsia" w:ascii="宋体" w:hAnsi="宋体" w:eastAsia="仿宋_GB2312" w:cs="仿宋_GB2312"/>
          <w:color w:val="000000"/>
          <w:sz w:val="32"/>
          <w:szCs w:val="32"/>
        </w:rPr>
        <w:t xml:space="preserve">　交通部根据职责，依法负责全国突发事件交通应急工作。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县级以上地方人民政府交通行政主管部门在本部门的职责范围内，依法负责本行政区域内的突发事件交通应急工作。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突发事件发生后，县级以上地方人民政府交通行政主管部门设立突发事件应急处理指挥部，负责对突发事件交通应急处理工作的领导和指挥。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县级以上人民政府交通行政主管部门履行突发事件交通应急职责，应当与同级人民政府卫生行政主管部门密切配合，协调行动。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第五条</w:t>
      </w:r>
      <w:r>
        <w:rPr>
          <w:rFonts w:hint="eastAsia" w:ascii="宋体" w:hAnsi="宋体" w:eastAsia="仿宋_GB2312" w:cs="仿宋_GB2312"/>
          <w:color w:val="000000"/>
          <w:sz w:val="32"/>
          <w:szCs w:val="32"/>
        </w:rPr>
        <w:t xml:space="preserve">　县级以上人民政府交通行政主管部门应当建立和完善突发事件交通防范和应急责任制，保证突发事件交通应急工作的顺利进行。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第六条</w:t>
      </w:r>
      <w:r>
        <w:rPr>
          <w:rFonts w:hint="eastAsia" w:ascii="宋体" w:hAnsi="宋体" w:eastAsia="仿宋_GB2312" w:cs="仿宋_GB2312"/>
          <w:color w:val="000000"/>
          <w:sz w:val="32"/>
          <w:szCs w:val="32"/>
        </w:rPr>
        <w:t xml:space="preserve">　任何单位和个人有权对县级以上人民政府交通行政主管部门不履行突发事件交通应急处理职责，或者不按照规定履行职责的行为向其上级人民政府交通行政主管部门举报。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对报告在车船、港站发生的突发事件或者举报突发事件交通应急渎职行为有功的单位和个人，县级以上人民政府交通行政主管部门应当予以奖励。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仿宋_GB2312" w:cs="仿宋_GB2312"/>
          <w:color w:val="000000"/>
          <w:kern w:val="0"/>
          <w:sz w:val="32"/>
          <w:szCs w:val="32"/>
          <w:lang w:val="en-US" w:eastAsia="zh-CN"/>
        </w:rPr>
      </w:pPr>
      <w:r>
        <w:rPr>
          <w:rFonts w:hint="eastAsia" w:ascii="宋体" w:hAnsi="宋体" w:eastAsia="黑体" w:cs="黑体"/>
          <w:color w:val="000000"/>
          <w:kern w:val="2"/>
          <w:sz w:val="32"/>
          <w:szCs w:val="32"/>
          <w:lang w:val="en-US" w:eastAsia="zh-CN" w:bidi="ar-SA"/>
        </w:rPr>
        <w:t>第二章　预防和应急准备</w:t>
      </w:r>
      <w:r>
        <w:rPr>
          <w:rFonts w:hint="eastAsia" w:ascii="宋体" w:hAnsi="宋体" w:eastAsia="仿宋_GB2312" w:cs="仿宋_GB2312"/>
          <w:color w:val="000000"/>
          <w:kern w:val="0"/>
          <w:sz w:val="32"/>
          <w:szCs w:val="32"/>
          <w:lang w:val="en-US" w:eastAsia="zh-CN"/>
        </w:rPr>
        <w:t xml:space="preserve">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仿宋_GB2312" w:cs="仿宋_GB2312"/>
          <w:color w:val="000000"/>
          <w:kern w:val="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第七条</w:t>
      </w:r>
      <w:r>
        <w:rPr>
          <w:rFonts w:hint="eastAsia" w:ascii="宋体" w:hAnsi="宋体" w:eastAsia="仿宋_GB2312" w:cs="仿宋_GB2312"/>
          <w:color w:val="000000"/>
          <w:sz w:val="32"/>
          <w:szCs w:val="32"/>
        </w:rPr>
        <w:t xml:space="preserve">　县级以上人民政府交通行政主管部门应当结合本行政区域或者管辖范围的交通实际情况，制定突发事件交通应急预案。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道路运输经营者、水路运输经营者应当按照有关规定，建立卫生责任制度，制定各自的突发事件应急预案。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第八条</w:t>
      </w:r>
      <w:r>
        <w:rPr>
          <w:rFonts w:hint="eastAsia" w:ascii="宋体" w:hAnsi="宋体" w:eastAsia="仿宋_GB2312" w:cs="仿宋_GB2312"/>
          <w:color w:val="000000"/>
          <w:sz w:val="32"/>
          <w:szCs w:val="32"/>
        </w:rPr>
        <w:t xml:space="preserve">　制定突发事件交通应急预案，应当以突发事件的类别和快速反应的要求为依据，并征求同级人民政府卫生行政主管部门的意见。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为防范和处理重大传染病疫情突发事件制定的突发事件交通应急预案，应当包括以下主要内容：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（一）突发事件交通应急处理指挥部的组成和相关机构的职责；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（二）突发事件有关车船、港站重大传染病病人、疑似重大传染病病人和可能感染重大传染病病人的应急处理方案；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（三）突发事件有关污染车船、港站和污染物的应急处理方案；</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（四）突发事件有关人员群体、防疫人员和救护人员的运输方案；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（五）突发事件有关药品、医疗救护设备器械等紧急物资的运输方案；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（六）突发事件有关车船、港站、道路、航道、船闸的应急维护和应急管理方案；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（七）突发事件有关交通应急信息的收集、分析、报告、通报、宣传方案；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（八）突发事件有关应急物资、运力储备与调度方案；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（九）突发事件交通应急处理执行机构及其任务；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（十）突发事件交通应急处理人员的组织和培训方案；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（十一）突发事件交通应急处理工作的检查监督方案；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（十二）突发事件交通应急处理其他有关工作方案。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为防范和处理其他突发事件制定的突发事件交通应急预案，应当包括本条前款除第（二）项、第（三）项和第（八）项规定以外的内容，并包括突发事件交通应急设施、设备以及其他有关物资的储备与调度方案。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突发事件交通应急预案应当根据突发事件的变化和实施中出现的问题及时进行修订、补充。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第九条</w:t>
      </w:r>
      <w:r>
        <w:rPr>
          <w:rFonts w:hint="eastAsia" w:ascii="宋体" w:hAnsi="宋体" w:eastAsia="仿宋_GB2312" w:cs="仿宋_GB2312"/>
          <w:color w:val="000000"/>
          <w:sz w:val="32"/>
          <w:szCs w:val="32"/>
        </w:rPr>
        <w:t xml:space="preserve">　县级以上人民政府交通行政主管部门应当根据突发事件交通应急工作预案的要求，保证突发事件交通应急运力和有关物资储备。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第十条</w:t>
      </w:r>
      <w:r>
        <w:rPr>
          <w:rFonts w:hint="eastAsia" w:ascii="宋体" w:hAnsi="宋体" w:eastAsia="仿宋_GB2312" w:cs="仿宋_GB2312"/>
          <w:color w:val="000000"/>
          <w:sz w:val="32"/>
          <w:szCs w:val="32"/>
        </w:rPr>
        <w:t xml:space="preserve">　道路运输经营者、水路运输经营者应当按照国家有关规定，使客车、客船、客运站保持良好的卫生状况，消除车船、港站的病媒昆虫和鼠类以及其他染疫动物的危害。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第十一条</w:t>
      </w:r>
      <w:r>
        <w:rPr>
          <w:rFonts w:hint="eastAsia" w:ascii="宋体" w:hAnsi="宋体" w:eastAsia="仿宋_GB2312" w:cs="仿宋_GB2312"/>
          <w:color w:val="000000"/>
          <w:sz w:val="32"/>
          <w:szCs w:val="32"/>
        </w:rPr>
        <w:t xml:space="preserve">　县级以上人民政府交通行政主管部门应当开展突发事件交通应急知识的宣传教育，增强道路、水路运输从业人员和旅客对突发事件的防范意识和应对能力。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第十二条</w:t>
      </w:r>
      <w:r>
        <w:rPr>
          <w:rFonts w:hint="eastAsia" w:ascii="宋体" w:hAnsi="宋体" w:eastAsia="仿宋_GB2312" w:cs="仿宋_GB2312"/>
          <w:color w:val="000000"/>
          <w:sz w:val="32"/>
          <w:szCs w:val="32"/>
        </w:rPr>
        <w:t xml:space="preserve">　在车船、港站发生突发事件，县级以上人民政府交通行政主管部门应当协助同级人民政府卫生行政主管部门组织专家对突发事件进行综合评估，初步判断突发事件的类型，按照有关规定向省级以上人民政府提出是否启动突发事件应急预案的建议。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第十三条</w:t>
      </w:r>
      <w:r>
        <w:rPr>
          <w:rFonts w:hint="eastAsia" w:ascii="宋体" w:hAnsi="宋体" w:eastAsia="仿宋_GB2312" w:cs="仿宋_GB2312"/>
          <w:color w:val="000000"/>
          <w:sz w:val="32"/>
          <w:szCs w:val="32"/>
        </w:rPr>
        <w:t xml:space="preserve">　国务院或者省级人民政府决定突发事件应急预案启动后，突发事件发生地的县级以上人民政府交通行政主管部门应当根据突发事件的类别，立即启动相应的突发事件交通应急预案，并向社会公布有关突发事件交通应急预案。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第三章　应急信息报告</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第十四条　</w:t>
      </w:r>
      <w:r>
        <w:rPr>
          <w:rFonts w:hint="eastAsia" w:ascii="宋体" w:hAnsi="宋体" w:eastAsia="仿宋_GB2312" w:cs="仿宋_GB2312"/>
          <w:color w:val="000000"/>
          <w:sz w:val="32"/>
          <w:szCs w:val="32"/>
        </w:rPr>
        <w:t xml:space="preserve">县级以上人民政府交通行政主管部门应当建立突发事件交通应急值班制度、应急报告制度和应急举报制度，公布统一的突发事件报告、举报电话，保证突发事件交通应急信息畅通。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第十五条　</w:t>
      </w:r>
      <w:r>
        <w:rPr>
          <w:rFonts w:hint="eastAsia" w:ascii="宋体" w:hAnsi="宋体" w:eastAsia="仿宋_GB2312" w:cs="仿宋_GB2312"/>
          <w:color w:val="000000"/>
          <w:sz w:val="32"/>
          <w:szCs w:val="32"/>
        </w:rPr>
        <w:t xml:space="preserve">县级以上人民政府交通行政主管部门应当按有关规定向上级人民政府交通行政主管部门报告下列有关突发事件的情况：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（一）突发事件的实际发生情况；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（二）预防、控制和处理突发事件的情况；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（三）运输突发事件紧急物资的情况；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（四）保障交通畅通的情况；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（五）突发事件应急的其他有关情况。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道路运输经营者、水路运输经营者应当按有关规定向所在地县级人民政府交通行政主管部门和卫生行政主管部门报告有关突发事件的预防、控制、处理和紧急物资运输的有关情况。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第十六条</w:t>
      </w:r>
      <w:r>
        <w:rPr>
          <w:rFonts w:hint="eastAsia" w:ascii="宋体" w:hAnsi="宋体" w:eastAsia="仿宋_GB2312" w:cs="仿宋_GB2312"/>
          <w:color w:val="000000"/>
          <w:sz w:val="32"/>
          <w:szCs w:val="32"/>
        </w:rPr>
        <w:t xml:space="preserve">　县级以上人民政府交通行政主管部门接到有关突发事件的报告后，应当在接到报告后1小时内向上级人民政府交通行政主管部门和同级人民政府卫生行政主管部门报告，根据卫生行政主管部门的要求，立即采取有关预防和控制措施，并协助同级人民政府卫生行政主管部门组织有关人员对报告事项调查核实、确证，采取必要的控制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突发事件发生地的县级以上人民政府交通行政主管部门应当在首次初步调查结束后2小时内，向上一级人民政府交通行政主管部门报告突发事件的有关调查情况。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上级人民政府交通行政主管部门接到下级人民政府交通行政主管部门有关突发事件的报告后1小时内，向本交通行政主管部门的上一级人民政府交通行政主管部门报告。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突发事件发生地的县级以上地方人民政府交通行政主管部门，应当及时向毗邻和其他有关县级以上人民政府交通行政主管部门通报突发事件的有关情况。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2"/>
          <w:sz w:val="32"/>
          <w:szCs w:val="32"/>
          <w:lang w:val="en-US" w:eastAsia="zh-CN" w:bidi="ar-SA"/>
        </w:rPr>
        <w:t>第十七条</w:t>
      </w:r>
      <w:r>
        <w:rPr>
          <w:rFonts w:hint="eastAsia" w:ascii="宋体" w:hAnsi="宋体" w:eastAsia="仿宋_GB2312" w:cs="仿宋_GB2312"/>
          <w:color w:val="000000"/>
          <w:kern w:val="0"/>
          <w:sz w:val="32"/>
          <w:szCs w:val="32"/>
          <w:lang w:val="en-US" w:eastAsia="zh-CN"/>
        </w:rPr>
        <w:t>　</w:t>
      </w:r>
      <w:r>
        <w:rPr>
          <w:rFonts w:hint="eastAsia" w:ascii="宋体" w:hAnsi="宋体" w:eastAsia="仿宋_GB2312" w:cs="仿宋_GB2312"/>
          <w:color w:val="000000"/>
          <w:sz w:val="32"/>
          <w:szCs w:val="32"/>
        </w:rPr>
        <w:t xml:space="preserve">任何单位和个人不得隐瞒、缓报、谎报或者授意他人隐瞒、缓报、谎报有关突发事件和突发事件交通应急情况。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第四章　疫情应急处理</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第十八条</w:t>
      </w:r>
      <w:r>
        <w:rPr>
          <w:rFonts w:hint="eastAsia" w:ascii="宋体" w:hAnsi="宋体" w:eastAsia="仿宋_GB2312" w:cs="仿宋_GB2312"/>
          <w:color w:val="000000"/>
          <w:sz w:val="32"/>
          <w:szCs w:val="32"/>
        </w:rPr>
        <w:t xml:space="preserve">　重大传染病疫情发生后，县级以上人民政府交通行政主管部门应当按照省级人民政府依法确定的检疫传染病疫区以及对出入检疫传染病疫区的交通工具及其乘运人员、物资实施交通应急处理的决定，和同级人民政府卫生行政主管部门在客运站、客运渡口、路口等设立交通卫生检疫站或者留验站，依法实施交通卫生检疫。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第十九条</w:t>
      </w:r>
      <w:r>
        <w:rPr>
          <w:rFonts w:hint="eastAsia" w:ascii="宋体" w:hAnsi="宋体" w:eastAsia="仿宋_GB2312" w:cs="仿宋_GB2312"/>
          <w:color w:val="000000"/>
          <w:sz w:val="32"/>
          <w:szCs w:val="32"/>
        </w:rPr>
        <w:t xml:space="preserve">　重大传染病疫情发生后，县级以上人民政府交通行政主管部门应当及时将县级以上人民政府卫生行政主管部门通报的有关疫情通知有关道路运输经营者、水路运输经营者。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县级以上人民政府交通行政主管部门应当及时会同同级人民政府卫生行政主管部门对道路运输经营者、水路运输经营者以及乘运人员进行相应的卫生防疫基本知识的宣传教育。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第二十条</w:t>
      </w:r>
      <w:r>
        <w:rPr>
          <w:rFonts w:hint="eastAsia" w:ascii="宋体" w:hAnsi="宋体" w:eastAsia="仿宋_GB2312" w:cs="仿宋_GB2312"/>
          <w:color w:val="000000"/>
          <w:sz w:val="32"/>
          <w:szCs w:val="32"/>
        </w:rPr>
        <w:t xml:space="preserve">　重大传染病疫情发生后，道路运输经营者、水路运输经营者对车船、港站、货物应当按规定进行消毒或者进行其他必要的卫生处理，并经县级以上地方人民政府卫生行政主管部门疾病预防控制机构检疫合格，领取《交通卫生检疫合格证》后，方可投入营运或者进行运输。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《交通卫生检疫合格证》的印制、发放和使用，按照交通部与卫生部等国务院有关行政主管部门联合发布的《</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"javascript:SLC(23836,0)"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国内交通卫生检疫条例实施方案</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》的有关规定执行。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第二十一条　</w:t>
      </w:r>
      <w:r>
        <w:rPr>
          <w:rFonts w:hint="eastAsia" w:ascii="宋体" w:hAnsi="宋体" w:eastAsia="仿宋_GB2312" w:cs="仿宋_GB2312"/>
          <w:color w:val="000000"/>
          <w:sz w:val="32"/>
          <w:szCs w:val="32"/>
        </w:rPr>
        <w:t xml:space="preserve">重大传染病疫情发生后，道路旅客运输经营者、水路旅客运输经营者应当组织对驾驶人员、乘务人员和船员进行健康检查，发现有检疫症状的，不得安排上车、上船。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第二十二条</w:t>
      </w:r>
      <w:r>
        <w:rPr>
          <w:rFonts w:hint="eastAsia" w:ascii="宋体" w:hAnsi="宋体" w:eastAsia="仿宋_GB2312" w:cs="仿宋_GB2312"/>
          <w:color w:val="000000"/>
          <w:kern w:val="0"/>
          <w:sz w:val="32"/>
          <w:szCs w:val="32"/>
          <w:lang w:val="en-US" w:eastAsia="zh-CN"/>
        </w:rPr>
        <w:t>　</w:t>
      </w:r>
      <w:r>
        <w:rPr>
          <w:rFonts w:hint="eastAsia" w:ascii="宋体" w:hAnsi="宋体" w:eastAsia="仿宋_GB2312" w:cs="仿宋_GB2312"/>
          <w:color w:val="000000"/>
          <w:sz w:val="32"/>
          <w:szCs w:val="32"/>
        </w:rPr>
        <w:t xml:space="preserve">重大传染病疫情发生后，道路运输经营者、水路运输经营者应当在车船、港站以及其他经营场所的显著位置张贴有关传染病预防和控制的宣传材料，并提醒旅客不得乘坐未取得《交通卫生检疫合格证》和道路旅客运输经营资格或者水路旅客运输经营资格的车辆、船舶，不得携带或者托运染疫行李和货物。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重大传染病疫情发生后，客车、客船应当在依法批准并符合突发事件交通应急预案要求的客运站、客运渡口上下旅客。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第二十三条</w:t>
      </w:r>
      <w:r>
        <w:rPr>
          <w:rFonts w:hint="eastAsia" w:ascii="宋体" w:hAnsi="宋体" w:eastAsia="仿宋_GB2312" w:cs="仿宋_GB2312"/>
          <w:color w:val="000000"/>
          <w:sz w:val="32"/>
          <w:szCs w:val="32"/>
        </w:rPr>
        <w:t xml:space="preserve">　重大传染病疫情发生后，旅客购买车票、船票，应当事先填写交通部会同有关部门统一制定的《旅客健康申报卡》。旅客填写确有困难的，由港站工作人员帮助填写。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客运站出售客票时，应当对《旅客健康申报卡》所有事项进行核实。没有按规定填写《旅客健康申报卡》的旅客，客运站不得售票。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途中需要上下旅客的，客车、客船应当进入中转客运站，从始发客运站乘坐车船的旅客，不得再次被要求填写《旅客健康申报卡》。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第二十四条</w:t>
      </w:r>
      <w:r>
        <w:rPr>
          <w:rFonts w:hint="eastAsia" w:ascii="宋体" w:hAnsi="宋体" w:eastAsia="仿宋_GB2312" w:cs="仿宋_GB2312"/>
          <w:color w:val="000000"/>
          <w:sz w:val="32"/>
          <w:szCs w:val="32"/>
        </w:rPr>
        <w:t xml:space="preserve">　重大传染病疫情发生后，旅客乘坐车船，应当接受交通卫生检疫，如被初验为检疫传染病病人或者疑似检疫传染病病人、可能感染检疫传染病病人以及国务院卫生行政主管部门规定需要采取应急控制措施的传染病病人、疑似传染病病人及其密切接触者，还应当接受留验站或者卫生行政主管部门疾病预防控制机构对其实施临时隔离、医学检查或者其他应急医学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客运站应当认真查验《旅客健康申报卡》和客票。对不填报《旅客健康申报卡》的旅客，应当拒绝其乘坐客车、客船，并说明理由</w:t>
      </w:r>
      <w:r>
        <w:rPr>
          <w:rFonts w:hint="eastAsia" w:ascii="宋体" w:hAnsi="宋体" w:eastAsia="仿宋_GB2312" w:cs="仿宋_GB2312"/>
          <w:color w:val="000000"/>
          <w:kern w:val="0"/>
          <w:sz w:val="32"/>
          <w:szCs w:val="32"/>
          <w:lang w:val="en-US" w:eastAsia="zh-CN"/>
        </w:rPr>
        <w:t xml:space="preserve">。 </w:t>
      </w:r>
      <w:r>
        <w:rPr>
          <w:rFonts w:hint="eastAsia" w:ascii="宋体" w:hAnsi="宋体" w:eastAsia="仿宋_GB2312" w:cs="仿宋_GB2312"/>
          <w:color w:val="000000"/>
          <w:kern w:val="0"/>
          <w:sz w:val="32"/>
          <w:szCs w:val="32"/>
          <w:lang w:val="en-US" w:eastAsia="zh-CN"/>
        </w:rPr>
        <w:br w:type="textWrapping"/>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sz w:val="32"/>
          <w:szCs w:val="32"/>
        </w:rPr>
        <w:t>第二十五条</w:t>
      </w:r>
      <w:r>
        <w:rPr>
          <w:rFonts w:hint="eastAsia" w:ascii="宋体" w:hAnsi="宋体" w:eastAsia="仿宋_GB2312" w:cs="仿宋_GB2312"/>
          <w:color w:val="000000"/>
          <w:sz w:val="32"/>
          <w:szCs w:val="32"/>
        </w:rPr>
        <w:t xml:space="preserve">　重大传染病疫情发生后，客运站应按车次或者航班将《旅客健康申报卡》交给旅客所乘坐车船的驾驶员或者船长、乘务员。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到达终点客运站后，驾驶员、船长或者乘务员应当将《旅客健康申报卡》交终点客运站，由终点客运站保存。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在中转客运站下车船的旅客，由该车船的驾驶员、船长或者乘务员将下车船旅客的《旅客健康申报卡》交中转客运站保存。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第二十六条</w:t>
      </w:r>
      <w:r>
        <w:rPr>
          <w:rFonts w:hint="eastAsia" w:ascii="宋体" w:hAnsi="宋体" w:eastAsia="仿宋_GB2312" w:cs="仿宋_GB2312"/>
          <w:color w:val="000000"/>
          <w:sz w:val="32"/>
          <w:szCs w:val="32"/>
        </w:rPr>
        <w:t xml:space="preserve">　车船上发现检疫传染病病人或者疑似检疫传染病病人、可能感染检疫传染病病人以及国务院卫生行政主管部门规定需要采取应急控制措施的传染病病人、疑似传染病病人及其密切接触者时，驾驶员或者船长应当组织有关人员依法采取下列临时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（一）以最快的方式通知前方停靠点，并向车船的所有人或者经营人和始发客运站报告；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对检疫传染病病人、疑似检疫传染病病人、可能感染检疫传染病病人以及国务院卫生行政主管部门确定的其他重大传染病病人、疑似重大传染病病人、可能感染重大传染病病人及与其密切接触者实施紧急卫生处理和临时隔离；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（三）封闭已被污染或者可能被污染的区域，禁止向外排放污物；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（四）将车船迅速驶向指定的停靠点，并将《旅客健康申报卡》、乘运人员名单移交当地县级以上地方人民政府交通行政主管部门；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五）对承运过检疫传染病病人、疑似检疫传染病病人、可能感染检疫传染病病人以及国务院卫生行政主管部门确定的其他重大传染病病人、疑似重大传染病病人、可能感染重大传染病病人及与其密切接触者的车船和可能被污染的停靠场所实施卫生处理。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车船的前方停靠点、车船的所有人或者经营人以及始发客运站接到有关报告后，应当立即向当地县级以上地方人民政府交通行政主管部门、卫生行政主管部门报告。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县级以上地方人民政府交通行政主管部门接到报告后，应当立即和同级人民政府卫生行政主管部门组织有关人员到达现场，采取相应的交通卫生检疫措施。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第二十七条</w:t>
      </w:r>
      <w:r>
        <w:rPr>
          <w:rFonts w:hint="eastAsia" w:ascii="宋体" w:hAnsi="宋体" w:eastAsia="仿宋_GB2312" w:cs="仿宋_GB2312"/>
          <w:color w:val="000000"/>
          <w:sz w:val="32"/>
          <w:szCs w:val="32"/>
        </w:rPr>
        <w:t xml:space="preserve">　县级以上人民政府交通行政主管部门发现正在行驶的车船载有检疫传染病病人或者疑似检疫传染病病人、可能感染检疫传染病病人以及国务院卫生行政主管部门规定需要采取应急控制措施的传染病病人、疑似传染病病人及其密切接触者，应当立即通知该客车、客船的所有人或者经营人，并通报该车船行驶路线相关的县级人民政府交通行政主管部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第二十八条</w:t>
      </w:r>
      <w:r>
        <w:rPr>
          <w:rFonts w:hint="eastAsia" w:ascii="宋体" w:hAnsi="宋体" w:eastAsia="仿宋_GB2312" w:cs="仿宋_GB2312"/>
          <w:color w:val="000000"/>
          <w:sz w:val="32"/>
          <w:szCs w:val="32"/>
        </w:rPr>
        <w:t xml:space="preserve">　对拒绝交通卫生检疫可能传播检疫传染病的车船、港站和其他停靠场所、乘运人员、运输货物，县级以上地方人民政府交通行政主管部门协助卫生行政主管部门，依法采取强制消毒或者其他必要的交通卫生检疫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第二十九条　</w:t>
      </w:r>
      <w:r>
        <w:rPr>
          <w:rFonts w:hint="eastAsia" w:ascii="宋体" w:hAnsi="宋体" w:eastAsia="仿宋_GB2312" w:cs="仿宋_GB2312"/>
          <w:color w:val="000000"/>
          <w:sz w:val="32"/>
          <w:szCs w:val="32"/>
        </w:rPr>
        <w:t xml:space="preserve">重大传染病疫情发生后，县级以上人民政府交通行政主管部门发现车船近期曾经载运过检疫传染病病人或者疑似检疫传染病病人、可能感染检疫传染病病人以及国务院卫生行政主管部门规定需要采取应急控制措施的传染病病人、疑似传染病病人及其密切接触者，应当立即将有关《旅客健康申报卡》送交卫生行政主管部门或者其指定的疾病预防控制机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第三十条</w:t>
      </w:r>
      <w:r>
        <w:rPr>
          <w:rFonts w:hint="eastAsia" w:ascii="宋体" w:hAnsi="宋体" w:eastAsia="仿宋_GB2312" w:cs="仿宋_GB2312"/>
          <w:color w:val="000000"/>
          <w:sz w:val="32"/>
          <w:szCs w:val="32"/>
        </w:rPr>
        <w:t xml:space="preserve">　参加重大传染病疫情交通应急处理的工作人员，应当按照有关突发事件交通应急预案的要求，采取卫生防护措施，并在专业卫生人员的指导下进行工作。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r>
        <w:rPr>
          <w:rFonts w:hint="eastAsia" w:ascii="宋体" w:hAnsi="宋体" w:eastAsia="黑体" w:cs="黑体"/>
          <w:color w:val="000000"/>
          <w:kern w:val="2"/>
          <w:sz w:val="32"/>
          <w:szCs w:val="32"/>
          <w:lang w:val="en-US" w:eastAsia="zh-CN"/>
        </w:rPr>
        <w:t>第五章　交通应急保障</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第三十一条</w:t>
      </w:r>
      <w:r>
        <w:rPr>
          <w:rFonts w:hint="eastAsia" w:ascii="宋体" w:hAnsi="宋体" w:eastAsia="仿宋_GB2312" w:cs="仿宋_GB2312"/>
          <w:color w:val="000000"/>
          <w:sz w:val="32"/>
          <w:szCs w:val="32"/>
        </w:rPr>
        <w:t xml:space="preserve">　突发事件交通应急预案启动后，县级以上人民政府交通行政主管部门应当加强对车船、港站、道路、航道、船闸、渡口的维护、检修，保证其经常处于良好的技术状态。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除因阻断检疫传染病传播途径需要或者其他法定事由并依照法定程序可以中断交通外，任何单位和个人不得以任何方式中断交通。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人民政府交通行政主管部门发现交通中断或者紧急运输受阻，应当迅速报告上一级人民政府交通行政主管部门和当地人民政府，并采取措施恢复交通。如难以迅速恢复交通，应当提请当地人民政府予以解决，或者提请上一级人民政府交通行政主管部门协助解决。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第三十二条</w:t>
      </w:r>
      <w:r>
        <w:rPr>
          <w:rFonts w:hint="eastAsia" w:ascii="宋体" w:hAnsi="宋体" w:eastAsia="仿宋_GB2312" w:cs="仿宋_GB2312"/>
          <w:color w:val="000000"/>
          <w:sz w:val="32"/>
          <w:szCs w:val="32"/>
        </w:rPr>
        <w:t xml:space="preserve">　在非检疫传染病疫区运行的车辆上发现检疫传染病病人、疑似检疫传染病病人、可能感染检疫传染病病人以及国务院卫生行政主管部门规定需要采取应急控制措施的传染病病人、疑似传染病病人及其密切接触者，由县级以上人民政府交通行政主管部门协助同级人民政府卫生行政主管部门依法决定对该车辆及其乘运人员、货物实施交通卫生检疫。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在非检疫传染病疫区运行船舶上发现检疫传染病病人、疑似检疫传染病病人、可能感染检疫传染病病人以及国务院卫生行政主管部门规定需要采取应急控制措施的传染病病人、疑似传染病病人及其密切接触者，由海事管理机构协助同级人民政府卫生行政主管部门依法对该船舶及其乘运人员、货物实施交通卫生检疫。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在非传染病疫区跨省、自治区、直辖市运行的船舶上发现检疫传染病病人、疑似检疫传染病病人、可能感染检疫传染病病人以及国务院卫生行政主管部门规定需要采取应急控制措施的传染病病人、疑似传染病病人及其密切接触者，交通部会同卫生部依法决定对该船舶实施交通卫生检疫，命令该船舶不得停靠或者通过港站。但是，因实施卫生检疫导致中断干线交通，报国务院决定。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r>
        <w:rPr>
          <w:rFonts w:hint="eastAsia" w:ascii="宋体" w:hAnsi="宋体" w:eastAsia="黑体" w:cs="黑体"/>
          <w:color w:val="000000"/>
          <w:kern w:val="2"/>
          <w:sz w:val="32"/>
          <w:szCs w:val="32"/>
          <w:lang w:val="en-US" w:eastAsia="zh-CN"/>
        </w:rPr>
        <w:t>第六章　紧急运输</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第三十三条</w:t>
      </w:r>
      <w:r>
        <w:rPr>
          <w:rFonts w:hint="eastAsia" w:ascii="宋体" w:hAnsi="宋体" w:eastAsia="仿宋_GB2312" w:cs="仿宋_GB2312"/>
          <w:color w:val="000000"/>
          <w:sz w:val="32"/>
          <w:szCs w:val="32"/>
        </w:rPr>
        <w:t xml:space="preserve">　突发事件发生后，县级以上地方人民政府交通行政主管部门应当采取措施保证突发事件应急处理所需运输的人员群体、防疫人员、医护人员以及突发事件应急处理所需的救治消毒药品、医疗救护设备器械等紧急物资及时运输。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第三十四条</w:t>
      </w:r>
      <w:r>
        <w:rPr>
          <w:rFonts w:hint="eastAsia" w:ascii="宋体" w:hAnsi="宋体" w:eastAsia="仿宋_GB2312" w:cs="仿宋_GB2312"/>
          <w:color w:val="000000"/>
          <w:sz w:val="32"/>
          <w:szCs w:val="32"/>
        </w:rPr>
        <w:t xml:space="preserve">　依法负责处理突发事件的防疫人员、医护人员凭县级以上人民政府卫生行政主管部门出具的有关证明以及本人有效身份证件，可以优先购买客票；道路运输经营者、水路运输经营者应当保证其购得最近一次通往目的地的客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第三十五条</w:t>
      </w:r>
      <w:r>
        <w:rPr>
          <w:rFonts w:hint="eastAsia" w:ascii="宋体" w:hAnsi="宋体" w:eastAsia="仿宋_GB2312" w:cs="仿宋_GB2312"/>
          <w:color w:val="000000"/>
          <w:sz w:val="32"/>
          <w:szCs w:val="32"/>
        </w:rPr>
        <w:t xml:space="preserve">　根据县级以上人民政府突发事件应急处理指挥部的命令，县级以上人民政府交通行政主管部门应当协助紧急调用有关人员、车船以及相关设施、设备。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被调用的单位和个人必须确保完成有关人员和紧急物资运输任务，不得延误和拒绝。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第三十六条</w:t>
      </w:r>
      <w:r>
        <w:rPr>
          <w:rFonts w:hint="eastAsia" w:ascii="宋体" w:hAnsi="宋体" w:eastAsia="仿宋_GB2312" w:cs="仿宋_GB2312"/>
          <w:color w:val="000000"/>
          <w:sz w:val="32"/>
          <w:szCs w:val="32"/>
        </w:rPr>
        <w:t xml:space="preserve">　承担突发事件应急处理所需紧急运输的车船，应当使用《紧急运输通行证》。其中，跨省运送紧急物资的，应当使用交通部统一印制的《紧急运输通行证》；省内运送紧急物资的，可以使用省级交通行政主管部门统一印制的《紧急运输通行证》。使用《紧急运输通行证》的车船，按国家有关规定免交车辆通行费、船舶过闸费，并优先通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《紧急运输通行证》应当按照交通部的有关规定印制、发放和使用。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第三十七条</w:t>
      </w:r>
      <w:r>
        <w:rPr>
          <w:rFonts w:hint="eastAsia" w:ascii="宋体" w:hAnsi="宋体" w:eastAsia="仿宋_GB2312" w:cs="仿宋_GB2312"/>
          <w:color w:val="000000"/>
          <w:sz w:val="32"/>
          <w:szCs w:val="32"/>
        </w:rPr>
        <w:t xml:space="preserve">　承担重大传染病疫情应急处理紧急运输任务的道路运输经营者、水路运输经营者应当遵守下列规定：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（一）车船在装卸货物前后根据需要进行清洗、消毒或者进行其他卫生处理；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（二）有关运输人员事前应当接受健康检查和有关防护知识培训，配备相应的安全防护用具；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（三）保证驾驶员休息充足，不得疲劳驾驶；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（四）进入疫区前，应当采取严格的防护措施；驶离疫区后，应当立即对车船和随行人员进行消毒或者采取其他必要卫生处理措施；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（五）紧急运输任务完成后，交回《紧急运输通行证》，对运输人员应当进行健康检查，并安排休息观察。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第三十八条</w:t>
      </w:r>
      <w:r>
        <w:rPr>
          <w:rFonts w:hint="eastAsia" w:ascii="宋体" w:hAnsi="宋体" w:eastAsia="仿宋_GB2312" w:cs="仿宋_GB2312"/>
          <w:color w:val="000000"/>
          <w:sz w:val="32"/>
          <w:szCs w:val="32"/>
        </w:rPr>
        <w:t xml:space="preserve">　重大传染病疫情发生后，引航人员、理货人员上船引航、理货，应当事先体检，采取相应的有效防护措施，上船时应当主动出示健康合格证。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r>
        <w:rPr>
          <w:rFonts w:hint="eastAsia" w:ascii="宋体" w:hAnsi="宋体" w:eastAsia="黑体" w:cs="黑体"/>
          <w:color w:val="000000"/>
          <w:kern w:val="2"/>
          <w:sz w:val="32"/>
          <w:szCs w:val="32"/>
          <w:lang w:val="en-US" w:eastAsia="zh-CN"/>
        </w:rPr>
        <w:t>第七章　检查监督</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第三十九条</w:t>
      </w:r>
      <w:r>
        <w:rPr>
          <w:rFonts w:hint="eastAsia" w:ascii="宋体" w:hAnsi="宋体" w:eastAsia="仿宋_GB2312" w:cs="仿宋_GB2312"/>
          <w:color w:val="000000"/>
          <w:sz w:val="32"/>
          <w:szCs w:val="32"/>
        </w:rPr>
        <w:t xml:space="preserve">　县级以上人民政府交通行政主管部门应当加强对本行政区域内突发事件交通应急工作的指导和督察；上级人民政府交通行政主管部门对突发事件交通应急处理工作进行指导和督察，下级人民政府交通行政主管部门应当予以配合。 </w:t>
      </w:r>
      <w:r>
        <w:rPr>
          <w:rFonts w:hint="eastAsia" w:ascii="宋体" w:hAnsi="宋体" w:eastAsia="黑体" w:cs="黑体"/>
          <w:color w:val="000000"/>
          <w:kern w:val="2"/>
          <w:sz w:val="32"/>
          <w:szCs w:val="32"/>
          <w:lang w:val="en-US" w:eastAsia="zh-CN" w:bidi="ar-SA"/>
        </w:rPr>
        <w:br w:type="textWrapping"/>
      </w:r>
      <w:r>
        <w:rPr>
          <w:rFonts w:hint="eastAsia" w:ascii="宋体" w:hAnsi="宋体" w:eastAsia="黑体" w:cs="黑体"/>
          <w:color w:val="000000"/>
          <w:kern w:val="2"/>
          <w:sz w:val="32"/>
          <w:szCs w:val="32"/>
          <w:lang w:val="en-US" w:eastAsia="zh-CN" w:bidi="ar-SA"/>
        </w:rPr>
        <w:t>　　</w:t>
      </w:r>
      <w:r>
        <w:rPr>
          <w:rFonts w:hint="eastAsia" w:ascii="宋体" w:hAnsi="宋体" w:eastAsia="黑体" w:cs="黑体"/>
          <w:color w:val="000000"/>
          <w:kern w:val="2"/>
          <w:sz w:val="32"/>
          <w:szCs w:val="32"/>
          <w:lang w:val="en-US" w:eastAsia="zh-CN"/>
        </w:rPr>
        <w:t>第四十条</w:t>
      </w:r>
      <w:r>
        <w:rPr>
          <w:rFonts w:hint="eastAsia" w:ascii="宋体" w:hAnsi="宋体" w:eastAsia="仿宋_GB2312" w:cs="仿宋_GB2312"/>
          <w:color w:val="000000"/>
          <w:sz w:val="32"/>
          <w:szCs w:val="32"/>
        </w:rPr>
        <w:t xml:space="preserve">　县级以上地方人民政府交通行政主管部门的工作人员依法协助或者实施交通卫生检疫，应当携带证件，佩戴标志，热情服务，秉公执法，任何单位和个人应当予以配合，不得阻挠。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第四十一条</w:t>
      </w:r>
      <w:r>
        <w:rPr>
          <w:rFonts w:hint="eastAsia" w:ascii="宋体" w:hAnsi="宋体" w:eastAsia="仿宋_GB2312" w:cs="仿宋_GB2312"/>
          <w:color w:val="000000"/>
          <w:sz w:val="32"/>
          <w:szCs w:val="32"/>
        </w:rPr>
        <w:t xml:space="preserve">　县级以上人民政府交通行政主管部门应当加强对《交通卫生检疫合格证》、《旅客健康申报卡》使用情况的监督检查；对已按规定使用《交通卫生检疫合格证》、《旅客健康申报卡》的车船，应当立即放行。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任何单位和个人不得擅自印制、伪造、变造、租借、转让《交通卫生检疫合格证》、《紧急运输通行证》。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任何单位和个人不得使用擅自印制、伪造、变造、租借、转让的《交通卫生检疫合格证》、《紧急运输通行证》。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第八章　法律责任</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　第四十二条</w:t>
      </w:r>
      <w:r>
        <w:rPr>
          <w:rFonts w:hint="eastAsia" w:ascii="宋体" w:hAnsi="宋体" w:eastAsia="仿宋_GB2312" w:cs="仿宋_GB2312"/>
          <w:color w:val="000000"/>
          <w:sz w:val="32"/>
          <w:szCs w:val="32"/>
        </w:rPr>
        <w:t xml:space="preserve">　县级以上地方人民政府交通行政主管部门违反本规定，有下列行为之一的，对其主要负责人依法给予行政处分：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（一）未依照本规定履行报告职责，对突发事件隐瞒、缓报、谎报或者授意他人隐瞒、缓报、谎报的；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（二）未依照本规定，组织完成突发事件应急处理所需要的紧急物资的运输的；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（三）对上级人民政府交通行政主管部门进行有关调查不予配合，或者采取其他方式阻碍、干涉调查的。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人民政府交通行政主管部门违反有关规定，造成传染病传播、流行或者对社会公众健康造成其他严重危害后果的，对主要负责人、负有责任的主管人员和其他责任人员依法给予开除的行政处分；构成犯罪的，依法追究刑事责任。 </w:t>
      </w:r>
      <w:r>
        <w:rPr>
          <w:rFonts w:hint="eastAsia" w:ascii="宋体" w:hAnsi="宋体" w:eastAsia="黑体" w:cs="黑体"/>
          <w:color w:val="000000"/>
          <w:kern w:val="0"/>
          <w:sz w:val="32"/>
          <w:szCs w:val="32"/>
          <w:lang w:val="en-US" w:eastAsia="zh-CN"/>
        </w:rPr>
        <w:br w:type="textWrapping"/>
      </w:r>
      <w:r>
        <w:rPr>
          <w:rFonts w:hint="eastAsia" w:ascii="宋体" w:hAnsi="宋体" w:eastAsia="黑体" w:cs="黑体"/>
          <w:color w:val="000000"/>
          <w:kern w:val="0"/>
          <w:sz w:val="32"/>
          <w:szCs w:val="32"/>
          <w:lang w:val="en-US" w:eastAsia="zh-CN"/>
        </w:rPr>
        <w:t>　</w:t>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第四十三条</w:t>
      </w:r>
      <w:r>
        <w:rPr>
          <w:rFonts w:hint="eastAsia" w:ascii="宋体" w:hAnsi="宋体" w:eastAsia="仿宋_GB2312" w:cs="仿宋_GB2312"/>
          <w:color w:val="000000"/>
          <w:sz w:val="32"/>
          <w:szCs w:val="32"/>
        </w:rPr>
        <w:t xml:space="preserve">　县级以上人民政府交通行政主管部门违反本规定，有下列行为之一，由上级人民政府交通行政主管部门责令改正、通报批评、给予警告；对主要负责人、负有责任的主管人员和其他责任人员依法给予降级、撤职的行政处分：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（一）在突发事件调查、控制工作中玩忽职守、失职、渎职的；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（二）拒不履行突发事件交通应急处理职责的。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第四十四条</w:t>
      </w:r>
      <w:r>
        <w:rPr>
          <w:rFonts w:hint="eastAsia" w:ascii="宋体" w:hAnsi="宋体" w:eastAsia="仿宋_GB2312" w:cs="仿宋_GB2312"/>
          <w:color w:val="000000"/>
          <w:sz w:val="32"/>
          <w:szCs w:val="32"/>
        </w:rPr>
        <w:t xml:space="preserve">　道路运输经营者、水路运输经营者违反本规定，对在车船上发现的检疫传染病病人、疑似检疫传染病病人，未按有关规定采取相应措施的，由县级以上地方人民政府卫生行政主管部门责令改正，给予警告，并处1000元以上5000元以下的罚款。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第四十五条</w:t>
      </w:r>
      <w:r>
        <w:rPr>
          <w:rFonts w:hint="eastAsia" w:ascii="宋体" w:hAnsi="宋体" w:eastAsia="仿宋_GB2312" w:cs="仿宋_GB2312"/>
          <w:color w:val="000000"/>
          <w:sz w:val="32"/>
          <w:szCs w:val="32"/>
        </w:rPr>
        <w:t xml:space="preserve">　检疫传染病病人、疑似检疫传染病病人以及与其密切接触者隐瞒真实情况、逃避交通卫生检疫的，由县级以上地方人民政府卫生行政主管部门责令限期改正，给予警告，可以并处1000元以下的罚款；拒绝接受交通卫生检疫和必要的卫生处理的，给予警告，并处1000元以上5000元以下的罚款。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第四十六条</w:t>
      </w:r>
      <w:r>
        <w:rPr>
          <w:rFonts w:hint="eastAsia" w:ascii="宋体" w:hAnsi="宋体" w:eastAsia="仿宋_GB2312" w:cs="仿宋_GB2312"/>
          <w:color w:val="000000"/>
          <w:sz w:val="32"/>
          <w:szCs w:val="32"/>
        </w:rPr>
        <w:t xml:space="preserve">　突发事件发生后，未取得相应的运输经营资格，擅自从事道路运输、水路运输；或者有其他违反有关道路运输、水路运输管理规定行为的，依照有关道路运输、水路运输管理法规、规章的规定从重给予行政处罚。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r>
        <w:rPr>
          <w:rFonts w:hint="eastAsia" w:ascii="宋体" w:hAnsi="宋体" w:eastAsia="黑体" w:cs="黑体"/>
          <w:color w:val="000000"/>
          <w:kern w:val="0"/>
          <w:sz w:val="32"/>
          <w:szCs w:val="32"/>
          <w:lang w:val="en-US" w:eastAsia="zh-CN"/>
        </w:rPr>
        <w:t>第九章　附则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r>
        <w:rPr>
          <w:rFonts w:hint="eastAsia" w:ascii="宋体" w:hAnsi="宋体" w:eastAsia="黑体" w:cs="黑体"/>
          <w:color w:val="000000"/>
          <w:kern w:val="0"/>
          <w:sz w:val="32"/>
          <w:szCs w:val="32"/>
          <w:lang w:val="en-US" w:eastAsia="zh-CN"/>
        </w:rPr>
        <w:t>第四十七条</w:t>
      </w:r>
      <w:r>
        <w:rPr>
          <w:rFonts w:hint="eastAsia" w:ascii="宋体" w:hAnsi="宋体" w:eastAsia="仿宋_GB2312" w:cs="仿宋_GB2312"/>
          <w:color w:val="000000"/>
          <w:sz w:val="32"/>
          <w:szCs w:val="32"/>
        </w:rPr>
        <w:t xml:space="preserve">　群体性不明原因疾病交通应急方案，参照重大传染病交通应急方案执行。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第四十八条</w:t>
      </w:r>
      <w:r>
        <w:rPr>
          <w:rFonts w:hint="eastAsia" w:ascii="宋体" w:hAnsi="宋体" w:eastAsia="仿宋_GB2312" w:cs="仿宋_GB2312"/>
          <w:color w:val="000000"/>
          <w:sz w:val="32"/>
          <w:szCs w:val="32"/>
        </w:rPr>
        <w:t>　本规定自二00四年五月一日起施行。</w:t>
      </w: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p>
    <w:p>
      <w:pPr>
        <w:rPr>
          <w:rFonts w:hint="eastAsia" w:ascii="宋体" w:hAnsi="宋体" w:eastAsia="宋体" w:cs="Arial"/>
          <w:bCs/>
          <w:sz w:val="44"/>
          <w:szCs w:val="44"/>
          <w:lang w:val="en-US" w:eastAsia="zh-CN"/>
        </w:rPr>
      </w:pPr>
      <w:r>
        <w:rPr>
          <w:rFonts w:hint="eastAsia" w:ascii="宋体" w:hAnsi="宋体" w:eastAsia="宋体" w:cs="Arial"/>
          <w:bCs/>
          <w:sz w:val="44"/>
          <w:szCs w:val="44"/>
          <w:lang w:val="en-US" w:eastAsia="zh-CN"/>
        </w:rPr>
        <w:br w:type="page"/>
      </w:r>
      <w:bookmarkStart w:id="295" w:name="_Toc22369"/>
      <w:bookmarkStart w:id="296" w:name="_Toc22386"/>
      <w:bookmarkStart w:id="297" w:name="_Toc8720"/>
      <w:bookmarkStart w:id="298" w:name="_Toc6364"/>
      <w:bookmarkStart w:id="299" w:name="_Toc14550"/>
      <w:bookmarkStart w:id="300" w:name="_Toc12105"/>
      <w:bookmarkStart w:id="301" w:name="_Toc25275"/>
      <w:bookmarkStart w:id="302" w:name="_Toc29219"/>
      <w:bookmarkStart w:id="303" w:name="_Toc24445"/>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304" w:name="_Toc6808"/>
      <w:r>
        <w:rPr>
          <w:rFonts w:hint="eastAsia" w:ascii="宋体" w:hAnsi="宋体" w:eastAsia="宋体" w:cs="Arial"/>
          <w:bCs/>
          <w:sz w:val="44"/>
          <w:szCs w:val="44"/>
          <w:lang w:val="en-US" w:eastAsia="zh-CN"/>
        </w:rPr>
        <w:t>国家突发公共事件总体应急预案</w:t>
      </w:r>
      <w:bookmarkEnd w:id="304"/>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jc w:val="center"/>
        <w:textAlignment w:val="auto"/>
        <w:rPr>
          <w:rFonts w:hint="eastAsia" w:ascii="楷体" w:hAnsi="楷体" w:eastAsia="楷体" w:cs="楷体"/>
          <w:i w:val="0"/>
          <w:caps w:val="0"/>
          <w:color w:val="333333"/>
          <w:spacing w:val="0"/>
          <w:kern w:val="2"/>
          <w:sz w:val="32"/>
          <w:szCs w:val="32"/>
          <w:shd w:val="clear" w:color="080000" w:fill="FFFFFF"/>
          <w:lang w:val="en-US" w:eastAsia="zh-CN" w:bidi="ar-SA"/>
        </w:rPr>
      </w:pPr>
      <w:r>
        <w:rPr>
          <w:rFonts w:hint="eastAsia" w:ascii="楷体" w:hAnsi="楷体" w:eastAsia="楷体" w:cs="楷体"/>
          <w:i w:val="0"/>
          <w:caps w:val="0"/>
          <w:color w:val="333333"/>
          <w:spacing w:val="0"/>
          <w:kern w:val="2"/>
          <w:sz w:val="32"/>
          <w:szCs w:val="32"/>
          <w:shd w:val="clear" w:color="080000" w:fill="FFFFFF"/>
          <w:lang w:val="en-US" w:eastAsia="zh-CN" w:bidi="ar-SA"/>
        </w:rPr>
        <w:t>（2006年1月8日）</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1.1　编制目的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提高政府保障公共安全和处置突发公共事件的能力，最大程度地预防和减少突发公共事件及其造成的损害，保障公众的生命财产安全，维护国家安全和社会稳定，促进经济社会全面、协调、可持续发展。</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1.2　编制依据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依据宪法及有关法律、行政法规，制定本预案。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1.3　分类分级</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本预案所称突发公共事件是指突然发生，造成或者可能造成重大人员伤亡、财产损失、生态环境破坏和严重社会危害，危及公共安全的紧急事件。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根据突发公共事件的发生过程、性质和机理，突发公共事件主要分为以下四类：</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⑴自然灾害。主要包括水旱灾害，气象灾害，地震灾害，地质灾害，海洋灾害，生物灾害和森林草原火灾等。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⑵事故灾难。主要包括工矿商贸等企业的各类安全事故，交通运输事故，公共设施和设备事故，环境污染和生态破坏事件等。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⑶公共卫生事件。主要包括传染病疫情，群体性不明原因疾病，食品安全和职业危害，动物疫情，以及其他严重影响公众健康和生命安全的事件。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⑷社会安全事件。主要包括恐怖袭击事件，经济安全事件和涉外突发事件等。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各类突发公共事件按照其性质、严重程度、可控性和影响范围等因素，一般分为四级：Ⅰ级（特别重大）、Ⅱ级（重大）、Ⅲ级（较大）和Ⅳ级（一般）。</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1.4　适用范围</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本预案适用于涉及跨省级行政区划的，或超出事发地省级人民政府处置能力的特别重大突发公共事件应对工作。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本预案指导全国的突发公共事件应对工作。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1.5　工作原则</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⑴以人为本，减少危害。切实履行政府的社会管理和公共服务职能，把保障公众健康和生命财产安全作为首要任务，最大程度地减少突发公共事件及其造成的人员伤亡和危害。</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⑵居安思危，预防为主。高度重视公共安全工作，常抓不懈，防患于未然。增强忧患意识，坚持预防与应急相结合，常态与非常态相结合，做好应对突发公共事件的各项准备工作。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⑶统一领导，分级负责。在党中央、国务院的统一领导下，建立健全分类管理、分级负责，条块结合、属地管理为主的应急管理体制，在各级党委领导下，实行行政领导责任制，充分发挥专业应急指挥机构的作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⑷依法规范，加强管理。依据有关法律和行政法规，加强应急管理，维护公众的合法权益，使应对突发公共事件的工作规范化、制度化、法制化。</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⑸快速反应，协同应对。加强以属地管理为主的应急处置队伍建设，建立联动协调制度，充分动员和发挥乡镇、社区、企事业单位、社会团体和志愿者队伍的作用，依靠公众力量，形成统一指挥、反应灵敏、功能齐全、协调有序、运转高效的应急管理机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⑹依靠科技，提高素质。加强公共安全科学研究和技术开发，采用先进的监测、预测、预警、预防和应急处置技术及设施，充分发挥专家队伍和专业人员的作用，提高应对突发公共事件的科技水平和指挥能力，避免发生次生、衍生事件；加强宣传和培训教育工作，提高公众自救、互救和应对各类突发公共事件的综合素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1.6　应急预案体系</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全国突发公共事件应急预案体系包括：</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⑴突发公共事件总体应急预案。总体应急预案是全国应急预案体系的总纲，是国务院应对特别重大突发公共事件的规范性文件。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⑵突发公共事件专项应急预案。专项应急预案主要是国务院及其有关部门为应对某一类型或某几种类型突发公共事件而制定的应急预案。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⑶突发公共事件部门应急预案。部门应急预案是国务院有关部门根据总体应急预案、专项应急预案和部门职责为应对突发公共事件制定的预案。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⑷突发公共事件地方应急预案。具体包括：省级人民政府的突发公共事件总体应急预案、专项应急预案和部门应急预案；各市（地）、县（市）人民政府及其基层政权组织的突发公共事件应急预案。上述预案在省级人民政府的领导下，按照分类管理、分级负责的原则，由地方人民政府及其有关部门分别制定。</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⑸企事业单位根据有关法律法规制定的应急预案。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⑹举办大型会展和文化体育等重大活动，主办单位应当制定应急预案。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各类预案将根据实际情况变化不断补充、完善。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2.1　领导机构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国务院是突发公共事件应急管理工作的最高行政领导机构。在国务院总理领导下，由国务院常务会议和国家相关突发公共事件应急指挥机构（以下简称相关应急指挥机构）负责突发公共事件的应急管理工作；必要时，派出国务院工作组指导有关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2.2　办事机构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国务院办公厅设国务院应急管理办公室，履行值守应急、信息汇总和综合协调职责，发挥运转枢纽作用。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2.3　工作机构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国务院有关部门依据有关法律、行政法规和各自的职责，负责相关类别突发公共事件的应急管理工作。具体负责相关类别的突发公共事件专项和部门应急预案的起草与实施，贯彻落实国务院有关决定事项。</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2.4　地方机构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地方各级人民政府是本行政区域突发公共事件应急管理工作的行政领导机构，负责本行政区域各类突发公共事件的应对工作。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2.5　专家组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国务院和各应急管理机构建立各类专业人才库，可以根据实际需要聘请有关专家组成专家组，为应急管理提供决策建议，必要时参加突发公共事件的应急处置工作。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3.1　预测与预警</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各地区、各部门要针对各种可能发生的突发公共事件，完善预测预警机制，建立预测预警系统，开展风险分析，做到早发现、早报告、早处置。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3.1.1　预警级别和发布</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预测分析结果，对可能发生和可以预警的突发公共事件进行预警。预警级别依据突发公共事件可能造成的危害程度、紧急程度和发展势态，一般划分为四级：Ⅰ级（特别严重）、Ⅱ级（严重）、Ⅲ级（较重）和Ⅳ级（一般），依次用红色、橙色、黄色和蓝色表示。</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预警信息包括突发公共事件的类别、预警级别、起始时间、可能影响范围、警示事项、应采取的措施和发布机关等。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预警信息的发布、调整和解除可通过广播、电视、报刊、通信、信息网络、警报器、宣传车或组织人员逐户通知等方式进行，对老、幼、病、残、孕等特殊人群以及学校等特殊场所和警报盲区应当采取有针对性的公告方式。</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　应急处置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3.2.1　信息报告</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特别重大或者重大突发公共事件发生后，各地区、各部门要立即报告，最迟不得超过4小时，同时通报有关地区和部门。应急处置过程中，要及时续报有关情况。</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3.2.2　先期处置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突发公共事件发生后，事发地的省级人民政府或者国务院有关部门在报告特别重大、重大突发公共事件信息的同时，要根据职责和规定的权限启动相关应急预案，及时、有效地进行处置，控制事态。</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在境外发生涉及中国公民和机构的突发事件，我驻外使领馆、国务院有关部门和有关地方人民政府要采取措施控制事态发展，组织开展应急救援工作。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3.2.3　应急响应</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对于先期处置未能有效控制事态的特别重大突发公共事件，要及时启动相关预案，由国务院相关应急指挥机构或国务院工作组统一指挥或指导有关地区、部门开展处置工作。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现场应急指挥机构负责现场的应急处置工作。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需要多个国务院相关部门共同参与处置的突发公共事件，由该类突发公共事件的业务主管部门牵头，其他部门予以协助。</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3.2.4　应急结束</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特别重大突发公共事件应急处置工作结束，或者相关危险因素消除后，现场应急指挥机构予以撤销。</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3.3　恢复与重建</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3.3.1　善后处置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积极稳妥、深入细致地做好善后处置工作。对突发公共事件中的伤亡人员、应急处置工作人员，以及紧急调集、征用有关单位及个人的物资，要按照规定给予抚恤、补助或补偿，并提供心理及司法援助。有关部门要做好疫病防治和环境污染消除工作。保险监管机构督促有关保险机构及时做好有关单位和个人损失的理赔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3.3.2　调查与评估</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要对特别重大突发公共事件的起因、性质、影响、责任、经验教训和恢复重建等问题进行调查评估。</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3.3.3　恢复重建</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根据受灾地区恢复重建计划组织实施恢复重建工作。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3.4　信息发布</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突发公共事件的信息发布应当及时、准确、客观、全面。事件发生的第一时间要向社会发布简要信息，随后发布初步核实情况、政府应对措施和公众防范措施等，并根据事件处置情况做好后续发布工作。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信息发布形式主要包括授权发布、散发新闻稿、组织报道、接受记者采访、举行新闻发布会等。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有关部门要按照职责分工和相关预案做好突发公共事件的应对工作，同时根据总体预案切实做好应对突发公共事件的人力、物力、财力、交通运输、医疗卫生及通信保障等工作，保证应急救援工作的需要和灾区群众的基本生活，以及恢复重建工作的顺利进行。</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4.1　人力资源</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公安（消防）、医疗卫生、地震救援、海上搜救、矿山救护、森林消防、防洪抢险、核与辐射、环境监控、危险化学品事故救援、铁路事故、民航事故、基础信息网络和重要信息系统事故处置，以及水、电、油、气等工程抢险救援队伍是应急救援的专业队伍和骨干力量。地方各级人民政府和有关部门、单位要加强应急救援队伍的业务培训和应急演练，建立联动协调机制，提高装备水平；动员社会团体、企事业单位以及志愿者等各种社会力量参与应急救援工作；增进国际间的交流与合作。要加强以乡镇和社区为单位的公众应急能力建设，发挥其在应对突发公共事件中的重要作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中国人民解放军和中国人民武装警察部队是处置突发公共事件的骨干和突击力量，按照有关规定参加应急处置工作。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4.2　财力保障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保证所需突发公共事件应急准备和救援工作资金。对受突发公共事件影响较大的行业、企事业单位和个人要及时研究提出相应的补偿或救助政策。要对突发公共事件财政应急保障资金的使用和效果进行监管和评估。</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鼓励自然人、法人或者其他组织（包括国际组织）按照《中华人民共和国公益事业捐赠法》等有关法律、法规的规定进行捐赠和援助。</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4.3　物资保障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要建立健全应急物资监测网络、预警体系和应急物资生产、储备、调拨及紧急配送体系，完善应急工作程序，确保应急所需物资和生活用品的及时供应，并加强对物资储备的监督管理，及时予以补充和更新。</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地方各级人民政府应根据有关法律、法规和应急预案的规定，做好物资储备工作。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4.4　基本生活保障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要做好受灾群众的基本生活保障工作，确保灾区群众有饭吃、有水喝、有衣穿、有住处、有病能得到及时医治。</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4.5　医疗卫生保障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卫生部门负责组建医疗卫生应急专业技术队伍，根据需要及时赴现场开展医疗救治、疾病预防控制等卫生应急工作。及时为受灾地区提供药品、器械等卫生和医疗设备。必要时，组织动员红十字会等社会卫生力量参与医疗卫生救助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4.6　交通运输保障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要保证紧急情况下应急交通工具的优先安排、优先调度、优先放行，确保运输安全畅通；要依法建立紧急情况社会交通运输工具的征用程序，确保抢险救灾物资和人员能够及时、安全送达。</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根据应急处置需要，对现场及相关通道实行交通管制，开设应急救援“绿色通道”，保证应急救援工作的顺利开展。</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4.7　治安维护</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要加强对重点地区、重点场所、重点人群、重要物资和设备的安全保护，依法严厉打击违法犯罪活动。必要时，依法采取有效管制措施，控制事态，维护社会秩序。</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4.8　人员防护</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要指定或建立与人口密度、城市规模相适应的应急避险场所，完善紧急疏散管理办法和程序，明确各级责任人，确保在紧急情况下公众安全、有序的转移或疏散。</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要采取必要的防护措施，严格按照程序开展应急救援工作，确保人员安全。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4.9　通信保障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建立健全应急通信、应急广播电视保障工作体系，完善公用通信网，建立有线和无线相结合、基础电信网络与机动通信系统相配套的应急通信系统，确保通信畅通。</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4.10　公共设施</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有关部门要按照职责分工，分别负责煤、电、油、气、水的供给，以及废水、废气、固体废弃物等有害物质的监测和处理。</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4.11　科技支撑</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积极开展公共安全领域的科学研究；加大公共安全监测、预测、预警、预防和应急处置技术研发的投入，不断改进技术装备，建立健全公共安全应急技术平台，提高我国公共安全科技水平；注意发挥企业在公共安全领域的研发作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5.1　预案演练</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各地区、各部门要结合实际，有计划、有重点地组织有关部门对相关预案进行演练。</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5.2　宣传和培训</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宣传、教育、文化、广电、新闻出版等有关部门要通过图书、报刊、音像制品和电子出版物、广播、电视、网络等，广泛宣传应急法律法规和预防、避险、自救、互救、减灾等常识，增强公众的忧患意识、社会责任意识和自救、互救能力。各有关方面要有计划地对应急救援和管理人员进行培训，提高其专业技能。</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5.3　责任与奖惩</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突发公共事件应急处置工作实行责任追究制。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对突发公共事件应急管理工作中做出突出贡献的先进集体和个人要给予表彰和奖励。</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对迟报、谎报、瞒报和漏报突发公共事件重要情况或者应急管理工作中有其他失职、渎职行为的，依法对有关责任人给予行政处分；构成犯罪的，依法追究刑事责任。</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6.1　预案管理</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根据实际情况的变化，及时修订本预案。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本预案自发布之日起实施。</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jc w:val="center"/>
        <w:outlineLvl w:val="0"/>
        <w:rPr>
          <w:rFonts w:hint="eastAsia" w:ascii="Times New Roman" w:hAnsi="Times New Roman" w:eastAsia="宋体" w:cs="Times New Roman"/>
          <w:bCs/>
          <w:kern w:val="44"/>
          <w:sz w:val="44"/>
          <w:szCs w:val="44"/>
          <w:lang w:val="en-US" w:eastAsia="zh-CN" w:bidi="ar-SA"/>
        </w:rPr>
      </w:pPr>
      <w:bookmarkStart w:id="305" w:name="_Toc7842"/>
      <w:r>
        <w:rPr>
          <w:rFonts w:hint="eastAsia" w:ascii="Times New Roman" w:hAnsi="Times New Roman" w:eastAsia="宋体" w:cs="Times New Roman"/>
          <w:bCs/>
          <w:kern w:val="44"/>
          <w:sz w:val="44"/>
          <w:szCs w:val="44"/>
          <w:lang w:val="en-US" w:eastAsia="zh-CN" w:bidi="ar-SA"/>
        </w:rPr>
        <w:t>国家突发公共事件医疗卫生救援应急预案</w:t>
      </w:r>
      <w:bookmarkEnd w:id="295"/>
      <w:bookmarkEnd w:id="296"/>
      <w:bookmarkEnd w:id="297"/>
      <w:bookmarkEnd w:id="298"/>
      <w:bookmarkEnd w:id="299"/>
      <w:bookmarkEnd w:id="300"/>
      <w:bookmarkEnd w:id="301"/>
      <w:bookmarkEnd w:id="302"/>
      <w:bookmarkEnd w:id="303"/>
      <w:bookmarkEnd w:id="305"/>
    </w:p>
    <w:p>
      <w:pPr>
        <w:widowControl w:val="0"/>
        <w:wordWrap/>
        <w:overflowPunct w:val="0"/>
        <w:adjustRightInd/>
        <w:snapToGrid/>
        <w:spacing w:beforeAutospacing="0" w:afterAutospacing="0" w:line="560" w:lineRule="exact"/>
        <w:ind w:right="0"/>
        <w:jc w:val="center"/>
        <w:textAlignment w:val="auto"/>
        <w:outlineLvl w:val="9"/>
        <w:rPr>
          <w:rFonts w:hint="eastAsia" w:ascii="宋体" w:hAnsi="宋体" w:eastAsia="宋体" w:cs="宋体"/>
          <w:b w:val="0"/>
          <w:bCs/>
          <w:sz w:val="44"/>
          <w:szCs w:val="44"/>
        </w:rPr>
      </w:pPr>
    </w:p>
    <w:p>
      <w:pPr>
        <w:pStyle w:val="3"/>
        <w:wordWrap/>
        <w:spacing w:line="560" w:lineRule="exact"/>
        <w:jc w:val="center"/>
        <w:textAlignment w:val="auto"/>
        <w:outlineLvl w:val="9"/>
        <w:rPr>
          <w:rFonts w:hint="eastAsia" w:ascii="楷体" w:hAnsi="楷体" w:eastAsia="楷体" w:cs="楷体"/>
          <w:b w:val="0"/>
          <w:bCs/>
          <w:sz w:val="32"/>
          <w:szCs w:val="32"/>
        </w:rPr>
      </w:pPr>
      <w:r>
        <w:rPr>
          <w:rFonts w:hint="eastAsia" w:ascii="楷体" w:hAnsi="楷体" w:eastAsia="楷体" w:cs="楷体"/>
          <w:i w:val="0"/>
          <w:caps w:val="0"/>
          <w:color w:val="333333"/>
          <w:spacing w:val="0"/>
          <w:sz w:val="32"/>
          <w:szCs w:val="32"/>
          <w:shd w:val="clear" w:color="070000" w:fill="FFFFFF"/>
        </w:rPr>
        <w:t>(2006年02月26日)</w:t>
      </w:r>
    </w:p>
    <w:p>
      <w:pPr>
        <w:pStyle w:val="3"/>
        <w:wordWrap/>
        <w:spacing w:line="560" w:lineRule="exact"/>
        <w:textAlignment w:val="auto"/>
        <w:outlineLvl w:val="9"/>
        <w:rPr>
          <w:rFonts w:hint="eastAsia" w:ascii="宋体" w:hAnsi="宋体" w:eastAsia="宋体" w:cs="宋体"/>
          <w:b w:val="0"/>
          <w:bCs/>
          <w:sz w:val="44"/>
          <w:szCs w:val="44"/>
        </w:rPr>
      </w:pPr>
    </w:p>
    <w:p>
      <w:pPr>
        <w:widowControl w:val="0"/>
        <w:wordWrap/>
        <w:overflowPunct w:val="0"/>
        <w:spacing w:beforeAutospacing="0" w:afterAutospacing="0" w:line="560" w:lineRule="exact"/>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1 总 则</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  l.1 编制目的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保障自然灾害、事故灾难、公共卫生、社会安全事件等突发公共事件（以下简称突发公共事件）发生后，各项医疗卫生救援工作迅速、高效、有序地进行，提高卫生部门应对各类突发公共事件的应急反应能力和医疗卫生救援水平，最大程度地减少人员伤亡和健康危害，保障人民群众身体健康和生命安全，维护社会稳定。</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auto"/>
          <w:kern w:val="2"/>
          <w:sz w:val="28"/>
          <w:szCs w:val="28"/>
          <w:lang w:val="en-US" w:eastAsia="zh-CN" w:bidi="ar-SA"/>
        </w:rPr>
        <w:t> </w:t>
      </w:r>
      <w:r>
        <w:rPr>
          <w:rFonts w:hint="eastAsia" w:ascii="仿宋" w:hAnsi="仿宋" w:eastAsia="仿宋" w:cs="仿宋"/>
          <w:color w:val="000000"/>
          <w:sz w:val="32"/>
          <w:szCs w:val="32"/>
          <w:lang w:val="en-US" w:eastAsia="zh-CN"/>
        </w:rPr>
        <w:t> l.2 编制依据</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依据《中华人民共和国传染病防治法》、《中华人民共和国食品卫生法》、《中华人民共和国职业病防治法》、《中华人民共和国放射性污染防治法》、《中华人民共和国安全生产法》以及《突发公共卫生事件应急条例》、《医疗机构管理条例》、《核电厂核事故应急管理条例》和《国家突发公共事件总体应急预案》，制定本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  1.3 适用范围</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  本预案适用于突发公共事件所导致的人员伤亡、健康危害的医疗卫生救援工作。突发公共卫生事件应急工作按照《国家突发公共卫生事件应急预案》的有关规定执行。</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  1.4 工作原则</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  统一领导、分级负责；属地管理、明确职责；依靠科学、依法规范；反应及时、措施果断；整合资源、信息共享；平战结合、常备不懈；加强协作、公众参与。</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  2 医疗卫生救援的事件分级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  根据突发公共事件导致人员伤亡和健康危害情况将医疗卫生救援事件分为特别重大（Ⅰ级）、重大（Ⅱ级）、较大（Ⅲ级）和一般（Ⅳ级）四级。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  2.1 特别重大事件（Ⅰ级）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一次事件出现特别重大人员伤亡，且危重人员多，或者核事故和突发放射事件、化学品泄漏事故导致大量人员伤亡，事件发生地省级人民政府或有关部门请求国家在医疗卫生救援工作上给予支持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  (2)跨省（区、市）的有特别严重人员伤亡的突发公共事件。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  (3)国务院及其有关部门确定的其他需要开展医疗卫生救援工作的特别重大突发公共事件。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  2.2 重大事件（Ⅱ级）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  (1)一次事件出现重大人员伤亡，其中，死亡和危重病例超过5例的突发公共事件。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  (2)跨市（地）的有严重人员伤亡的突发公共事件。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  (3)省级人民政府及其有关部门确定的其他需要开展医疗卫生救援工作的重大突发公共事件。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  2.3 较大事件（Ⅲ级）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  (1)一次事件出现较大人员伤亡，其中，死亡和危重病例超过3例的突发公共事件。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  (2)市（地）级人民政府及其有关部门确定的其他需要开展医疗卫生救援工作的较大突发公共事件。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  2.4 一般事件（Ⅳ级）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  (1)一次事件出现一定数量人员伤亡，其中，死亡和危重病例超过1例的突发公共事件。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  (2)县级人民政府及其有关部门确定的其他需要开展医疗卫生救援工作的一般突发公共事件。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  3 医疗卫生救援组织体系</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  各级卫生行政部门要在同级人民政府或突发公共事件应急指挥机构的统一领导、指挥下，与有关部门密切配合、协调一致，共同应对突发公共事件，做好突发公共事件的医疗卫生救援工作。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医疗卫生救援组织机构包括：各级卫生行政部门成立的医疗卫生救援领导小组、专家组和医疗卫生救援机构［指各级各类医疗机构，包括医疗急救中心（站）、综合医院、专科医院、化学中毒和核辐射事故应急医疗救治专业机构、疾病预防控制机构和卫生监督机构］、现场医疗卫生救援指挥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  3.1 医疗卫生救援领导小组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  国务院卫生行政部门成立突发公共事件医疗卫生救援领导小组，领导、组织、协调、部署特别重大突发公共事件的医疗卫生救援工作。国务院卫生行政部门卫生应急办公室负责日常工作。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省、市（地）、县级卫生行政部门成立相应的突发公共事件医疗卫生救援领导小组，领导本行政区域内突发公共事件医疗卫生救援工作，承担各类突发公共事件医疗卫生救援的组织、协调任务，并指定机构负责日常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  3.2 专家组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  各级卫生行政部门应组建专家组，对突发公共事件医疗卫生救援工作提供咨询建议、技术指导和支持。</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  3.3 医疗卫生救援机构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各类医疗机构承担突发公共事件的医疗卫生救援任务。其中，各级医疗急救中心（站）、化学中毒和核辐射事故应急医疗救治专业机构承担突发公共事件现场医疗卫生救援和伤员转送；各级疾病预防控制机构和卫生监督机构根据各自职能做好突发公共事件中的疾病预防控制和卫生监督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  3.4 现场医疗卫生救援指挥部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  各级卫生行政部门根据实际工作需要在突发公共事件现场设立现场医疗卫生救援指挥部，统一指挥、协调现场医疗卫生救援工作。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  4 医疗卫生救援应急响应和终止</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  4.1 医疗卫生救援应急分级响应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  4.l.1 Ⅰ级响应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  (1)Ⅰ级响应的启动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  符合下列条件之一者，启动医疗卫生救援应急的Ⅰ级响应：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  a．发生特别重大突发公共事件，国务院启动国家突发公共事件总体应急预案。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  b．发生特别重大突发公共事件，国务院有关部门启动国家突发公共事件专项应急预案。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  c．其他符合医疗卫生救援特别重大事件（Ⅰ级）级别的突发公共事件。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  (2)Ⅰ级响应行动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国务院卫生行政部门接到关于医疗卫生救援特别重大事件的有关指示、通报或报告后，应立即启动医疗卫生救援领导小组工作，组织专家对伤病员及救治情况进行综合评估，组织和协调医疗卫生救援机构开展现场医疗卫生救援，指导和协调落实医疗救治等措施，并根据需要及时派出专家和专业队伍支援地方，及时向国务院和国家相关突发公共事件应急指挥机构报告和反馈有关处理情况。凡属启动国家总体应急预案和专项应急预案的响应，医疗卫生救援领导小组按相关规定启动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  事件发生地的省（区、市）人民政府卫生行政部门在国务院卫生行政部门的指挥下，结合本行政区域的实际情况，组织、协调开展突发公共事件的医疗卫生救援。</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4.1.2 Ⅱ级响应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  (1)Ⅱ级响应的启动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  符合下列条件之一者，启动医疗卫生救援应急的Ⅱ级响应：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  a．发生重大突发公共事件，省级人民政府启动省级突发公共事件应急预案。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  b．发生重大突发公共事件，省级有关部门启动省级突发公共事件专项应急预案。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  c．其他符合医疗卫生救援重大事件（Ⅱ级）级别的突发公共事件。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  (2)Ⅱ级响应行动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省级卫生行政部门接到关于医疗卫生救援重大事件的有关指示、通报或报告后，应立即启动医疗卫生救援领导小组工作，组织专家对伤病员及救治情况进行综合评估。同时，迅速组织医疗卫生救援应急队伍和有关人员到达突发公共事件现场，组织开展医疗救治，并分析突发公共事件的发展趋势，提出应急处理工作建议，及时向本级人民政府和突发公共事件应急指挥机构报告有关处理情况。凡属启动省级应急预案和省级专项应急预案的响应，医疗卫生救援领导小组按相关规定启动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国务院卫生行政部门对省级卫生行政部门负责的突发公共事件医疗卫生救援工作进行督导，根据需要和事件发生地省级人民政府和有关部门的请求，组织国家医疗卫生救援应急队伍和有关专家进行支援，并及时向有关省份通报情况。</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  4.1.3 Ⅲ级响应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 Ⅲ级响应的启动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  符合下列条件之一者，启动医疗卫生救援应急的Ⅲ级响应：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  a．发生较大突发公共事件，市（地）级人民政府启动市（地）级突发公共事件应急预案。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  b．其他符合医疗卫生救援较大事件（Ⅲ级）级别的突发公共事件。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 Ⅲ级响应行动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市（地）级卫生行政部门接到关于医疗卫生救援较大事件的有关指示、通报或报告后，应立即启动医疗卫生救援领导小组工作，组织专家对伤病员及救治情况进行综合评估。同时，迅速组织开展现场医疗卫生救援工作，并及时向本级人民政府和突发公共事件应急指挥机构报告有关处理情况。凡属启动市（地）级应急预案的响应，医疗卫生救援领导小组按相关规定启动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  省级卫生行政部门接到医疗卫生救援较大事件报告后，要对事件发生地突发公共事件医疗卫生救援工作进行督导，必要时组织专家提供技术指导和支持，并适时向本省（区、市）有关地区发出通报。</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  4.1.4 Ⅳ级响应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 Ⅳ级响应的启动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  符合下列条件之一者，启动医疗卫生救援应急的Ⅳ级响应：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  a．发生一般突发公共事件，县级人民政府启动县级突发公共事件应急预案。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  b．其他符合医疗卫生救援一般事件（Ⅳ级）级别的突发公共事件。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 Ⅳ级响应行动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县级卫生行政部门接到关于医疗卫生救援一般事件的有关指示、通报或报告后，应立即启动医疗卫生救援领导小组工作，组织医疗卫生救援机构开展突发公共事件的现场处理工作，组织专家对伤病员及救治情况进行调查、确认和评估，同时向本级人民政府和突发公共事件应急指挥机构报告有关处理情况。凡属启动县级应急预案的响应，医疗卫生救援领导小组按相关规定启动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  市（地）级卫生行政部门在必要时应当快速组织专家对突发公共事件医疗卫生救援进行技术指导。</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  4.2 现场医疗卫生救援及指挥</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  医疗卫生救援应急队伍在接到救援指令后要及时赶赴现场，并根据现场情况全力开展医疗卫生救援工作。在实施医疗卫生救援的过程中，既要积极开展救治，又要注重自我防护，确保安全。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为了及时准确掌握现场情况，做好现场医疗卫生救援指挥工作，使医疗卫生救援工作紧张有序地进行，有关卫生行政部门应在事发现场设置现场医疗卫生救援指挥部，主要或分管领导同志要亲临现场，靠前指挥，减少中间环节，提高决策效率，加快抢救进程。现场医疗卫生救援指挥部要接受突发公共事件现场处置指挥机构的领导，加强与现场各救援部门的沟通与协调。</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  4.2.1 现场抢救</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到达现场的医疗卫生救援应急队伍，要迅速将伤员转送出危险区，本着“先救命后治伤、先救重后救轻”的原则开展工作，按照国际统一的标准对伤病员进行检伤分类，分别用蓝、黄、红、黑四种颜色，对轻、重、危重伤病员和死亡人员作出标志（分类标记用塑料材料制成腕带），扣系在伤病员或死亡人员的手腕或脚踝部位，以便后续救治辨认或采取相应的措施。</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  4.2.2 转送伤员</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  当现场环境处于危险或在伤病员情况允许时，要尽快将伤病员转送并做好以下工作：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  (1)对已经检伤分类待送的伤病员进行复检。对有活动性大出血或转运途中有生命危险的急危重症者，应就地先予抢救、治疗，做必要的处理后再进行监护下转运。</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  (2)认真填写转运卡提交接纳的医疗机构，并报现场医疗卫生救援指挥部汇总。</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  (3)在转运中，医护人员必须在医疗仓内密切观察伤病员病情变化，并确保治疗持续进行。</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  (4)在转运过程中要科学搬运，避免造成二次损伤。</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(5)合理分流伤病员或按现场医疗卫生救援指挥部指定的地点转送，任何医疗机构不得以任何理由拒诊、拒收伤病员。</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  4.3 疾病预防控制和卫生监督工作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突发公共事件发生后，有关卫生行政部门要根据情况组织疾病预防控制和卫生监督等有关专业机构和人员，开展卫生学调查和评价、卫生执法监督，采取有效的预防控制措施，防止各类突发公共事件造成的次生或衍生突发公共卫生事件的发生，确保大灾之后无大疫。</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4.4 信息报告和发布</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  医疗急救中心（站）和其他医疗机构接到突发公共事件的报告后，在迅速开展应急医疗卫生救援工作的同时，立即将人员伤亡、抢救等情况报告现场医疗卫生救援指挥部或当地卫生行政部门。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现场医疗卫生救援指挥部、承担医疗卫生救援任务的医疗机构要每日向上级卫生行政部门报告伤病员情况、医疗救治进展等，重要情况要随时报告。有关卫生行政部门要及时向本级人民政府和突发公共事件应急指挥机构报告有关情况。</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  各级卫生行政部门要认真做好突发公共事件医疗卫生救援信息发布工作。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  4.5 医疗卫生救援应急响应的终止</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突发公共事件现场医疗卫生救援工作完成，伤病员在医疗机构得到救治，经本级人民政府或同级突发公共事件应急指挥机构批准，或经同级卫生行政部门批准，医疗卫生救援领导小组可宣布医疗卫生救援应急响应终止，并将医疗卫生救援应急响应终止的信息报告上级卫生行政部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5 医疗卫生救援的保障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突发公共事件应急医疗卫生救援机构和队伍的建设，是国家突发公共卫生事件预防控制体系建设的重要组成部分，各级卫生行政部门应遵循“平战结合、常备不懈”的原则，加强突发公共事件医疗卫生救援工作的组织和队伍建设，组建医疗卫生救援应急队伍，制订各种医疗卫生救援应急技术方案，保证突发公共事件医疗卫生救援工作的顺利开展。</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  5.1 信息系统</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  在充分利用现有资源的基础上建设医疗救治信息网络，实现医疗机构与卫生行政部门之间，以及卫生行政部门与相关部门间的信息共享。</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  5.2 急救机构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  各直辖市、省会城市可根据服务人口和医疗救治的需求，建立一个相应规模的医疗急救中心（站），并完善急救网络。每个市（地）、县（市）可依托综合力量较强的医疗机构建立急救机构。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  5.3 化学中毒与核辐射医疗救治机构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  按照“平战结合”的原则，依托专业防治机构或综合医院建立化学中毒医疗救治和核辐射应急医疗救治专业机构，依托实力较强的综合医院建立化学中毒、核辐射应急医疗救治专业科室。</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  5.4 医疗卫生救援应急队伍</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  各级卫生行政部门组建综合性医疗卫生救援应急队伍，并根据需要建立特殊专业医疗卫生救援应急队伍。</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  各级卫生行政部门要保证医疗卫生救援工作队伍的稳定，严格管理，定期开展培训和演练，提高应急救治能力。</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  医疗卫生救援演练需要公众参与的，必须报经本级人民政府同意。</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  5.5 物资储备</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卫生行政部门提出医疗卫生救援应急药品、医疗器械、设备、快速检测器材和试剂、卫生防护用品等物资的储备计划建议。发展改革部门负责组织应急物资的生产、储备和调运，保证供应，维护市场秩序，保持物价稳定。应急储备物资使用后要及时补充。</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  5.6 医疗卫生救援经费</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  财政部门负责安排应由政府承担的突发公共事件医疗卫生救援所必需的经费，并做好经费使用情况监督工作。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  自然灾害导致的人员伤亡，各级财政按照有关规定承担医疗救治费用或给予补助。</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  安全生产事故引起的人员伤亡，事故发生单位应向医疗急救中心（站）或相关医疗机构支付医疗卫生救援过程中发生的费用，有关部门应负责督促落实。</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  社会安全突发事件中发生的人员伤亡，由有关部门确定的责任单位或责任人承担医疗救治费用，有关部门应负责督促落实。各级财政可根据有关政策规定或本级人民政府的决定对医疗救治费用给予补助。</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  各类保险机构要按照有关规定对参加人身、医疗、健康等保险的伤亡人员，做好理赔工作。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  5.7 医疗卫生救援的交通运输保障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  各级医疗卫生救援应急队伍要根据实际工作需要配备救护车辆、交通工具和通讯设备。</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铁路、交通、民航、公安（交通管理）等有关部门，要保证医疗卫生救援人员和物资运输的优先安排、优先调度、优先放行，确保运输安全畅通。情况特别紧急时，对现场及相关通道实行交通管制，开设应急救援“绿色通道”，保证医疗卫生救援工作的顺利开展。</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  5.8 其他保障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  公安机关负责维护突发公共事件现场治安秩序，保证现场医疗卫生救援工作的顺利进行。</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  科技部门制定突发公共事件医疗卫生救援应急技术研究方案，组织科研力量开展医疗卫生救援应急技术科研攻关，统一协调、解决检测技术及药物研发和应用中的科技问题。</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  海关负责突发公共事件医疗卫生救援急需进口特殊药品、试剂、器材的优先通关验放工作。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  食品药品监管部门负责突发公共事件医疗卫生救援药品、医疗器械和设备的监督管理，参与组织特殊药品的研发和生产，并组织对特殊药品进口的审批。</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红十字会按照《中国红十字会总会自然灾害与突发公共事件应急预案》，负责组织群众开展现场自救和互救，做好相关工作。并根据突发公共事件的具体情况，向国内外发出呼吁，依法接受国内外组织和个人的捐赠，提供急需的人道主义援助。</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  总后卫生部负责组织军队有关医疗卫生技术人员和力量，支持和配合突发公共事件医疗卫生救援工作。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  6 医疗卫生救援的公众参与</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000000"/>
          <w:sz w:val="32"/>
          <w:szCs w:val="32"/>
          <w:lang w:val="en-US" w:eastAsia="zh-CN"/>
        </w:rPr>
        <w:t>  各级卫生行政部门要做好突发公共事件医疗卫生救援知识普及的组织工作；中央和地方广播、电视、报刊、互联网等媒体要扩大对社会公众的宣传教育；各部门、企事业单位、社会团体要加强对所属人员的宣传教育；各医疗卫生机构要做好宣传资料的提供和师资培训工作。在广泛普及医疗卫生救援知识的基础上逐步组建以公安干警、企事业单位安全员和卫生员为骨干的群众</w:t>
      </w:r>
      <w:r>
        <w:rPr>
          <w:rFonts w:hint="eastAsia" w:ascii="仿宋" w:hAnsi="仿宋" w:eastAsia="仿宋" w:cs="仿宋"/>
          <w:color w:val="auto"/>
          <w:sz w:val="32"/>
          <w:szCs w:val="32"/>
          <w:lang w:val="en-US" w:eastAsia="zh-CN"/>
        </w:rPr>
        <w:t>性救助网络，经过培训和演练提高其自救、互救能力。</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  7 附 则</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  7.1 责任与奖惩</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  突发公共事件医疗卫生救援工作实行责任制和责任追究制。</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  各级卫生行政部门，对突发公共事件医疗卫生救援工作作出贡献的先进集体和个人要给予表彰和奖励。对失职、渎职的有关责任人，要依据有关规定严肃追究责任，构成犯罪的，依法追究刑事责任。</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  7.2 预案制定与修订</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  本预案由国务院卫生行政部门组织制定并报国务院审批发布。各地区可结合实际制定本地区的突发公共事件医疗卫生救援应急预案。</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  本预案定期进行评审，根据突发公共事件医疗卫生救援实施过程中发现的问题及时进行修订和补充。</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  7.3 预案实施时间</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  本预案自印发之日起实施。</w:t>
      </w:r>
    </w:p>
    <w:p>
      <w:pPr>
        <w:rPr>
          <w:rFonts w:hint="eastAsia" w:ascii="宋体" w:hAnsi="宋体" w:eastAsia="宋体" w:cs="Arial"/>
          <w:bCs/>
          <w:color w:val="auto"/>
          <w:sz w:val="44"/>
          <w:szCs w:val="44"/>
          <w:lang w:val="en-US" w:eastAsia="zh-CN"/>
        </w:rPr>
      </w:pPr>
    </w:p>
    <w:p>
      <w:pPr>
        <w:rPr>
          <w:rFonts w:hint="eastAsia" w:ascii="宋体" w:hAnsi="宋体" w:eastAsia="宋体" w:cs="Arial"/>
          <w:bCs/>
          <w:color w:val="auto"/>
          <w:sz w:val="44"/>
          <w:szCs w:val="44"/>
          <w:lang w:val="en-US" w:eastAsia="zh-CN"/>
        </w:rPr>
      </w:pPr>
      <w:r>
        <w:rPr>
          <w:rFonts w:hint="eastAsia" w:ascii="宋体" w:hAnsi="宋体" w:eastAsia="宋体" w:cs="Arial"/>
          <w:bCs/>
          <w:color w:val="auto"/>
          <w:sz w:val="44"/>
          <w:szCs w:val="44"/>
          <w:lang w:val="en-US" w:eastAsia="zh-CN"/>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306" w:name="_Toc8725"/>
      <w:r>
        <w:rPr>
          <w:rFonts w:hint="eastAsia" w:ascii="宋体" w:hAnsi="宋体" w:eastAsia="宋体" w:cs="宋体"/>
          <w:sz w:val="44"/>
          <w:szCs w:val="44"/>
        </w:rPr>
        <w:t>公共场所卫生管理条例实施细则</w:t>
      </w:r>
      <w:bookmarkEnd w:id="306"/>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rPr>
      </w:pPr>
      <w:r>
        <w:rPr>
          <w:rFonts w:hint="eastAsia" w:ascii="楷体" w:hAnsi="楷体" w:eastAsia="楷体" w:cs="楷体"/>
          <w:sz w:val="32"/>
          <w:szCs w:val="32"/>
        </w:rPr>
        <w:t>（2011年3月10日卫生部令第80号公布　根据2016年1月19日国家卫生和计划生育委员会令第8号《国家卫生计生委关于修改〈外国医师来华短期行医暂行管理办法〉等8件部门规章的决定》第一次修正　根据2017年12月26日国家卫生和计划生育委员会令第18号《国家卫生计生委关于修改〈新食品原料安全性审查管理办法〉等7件部门规章的决定》第二次修正）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根据《公共场所卫生管理条例》的规定，制定本细则。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第二条 </w:t>
      </w:r>
      <w:r>
        <w:rPr>
          <w:rFonts w:hint="eastAsia" w:ascii="仿宋" w:hAnsi="仿宋" w:eastAsia="仿宋" w:cs="仿宋"/>
          <w:sz w:val="32"/>
          <w:szCs w:val="32"/>
        </w:rPr>
        <w:t>公共场所经营者在经营活动中，应当遵守有关卫生法律、行政法规和部门规章以及相关的卫生标准、规范，开展公共场所卫生知识宣传，预防传染病和保障公众健康，为顾客提供良好的卫生环境。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国家卫生计生委主管全国公共场所卫生监督管理工作。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县级以上地方各级人民政府卫生计生行政部门负责本行政区域的公共场所卫生监督管理工作。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国境口岸及出入境交通工具的卫生监督管理工作由出入境检验检疫机构按照有关法律法规的规定执行。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铁路部门所属的卫生主管部门负责对管辖范围内的车站、等候室、铁路客车以及主要为本系统职工服务的公共场所的卫生监督管理工作。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县级以上地方各级人民政府卫生计生行政部门应当根据公共场所卫生监督管理需要，建立健全公共场所卫生监督队伍和公共场所卫生监测体系，制定公共场所卫生监督计划并组织实施。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鼓励和支持公共场所行业组织开展行业自律教育，引导公共场所经营者依法经营，推动行业诚信建设，宣传、普及公共场所卫生知识。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任何单位或者个人对违反本细则的行为，有权举报。接到举报的卫生计生行政部门应当及时调查处理，并按照规定予以答复。</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卫生管理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公共场所的法定代表人或者负责人是其经营场所卫生安全的第一责任人。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公共场所经营者应当设立卫生管理部门或者配备专（兼）职卫生管理人员，具体负责本公共场所的卫生工作，建立健全卫生管理制度和卫生管理档案。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公共场所卫生管理档案应当主要包括下列内容：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（一）卫生管理部门、人员设置情况及卫生管理制度；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（二）空气、微小气候（湿度、温度、风速）、水质、采光、照明、噪声的检测情况；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（三）顾客用品用具的清洗、消毒、更换及检测情况；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（四）卫生设施的使用、维护、检查情况；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（五）集中空调通风系统的清洗、消毒情况；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（六）安排从业人员健康检查情况和培训考核情况；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（七）公共卫生用品进货索证管理情况；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（八）公共场所危害健康事故应急预案或者方案；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（九）省、自治区、直辖市卫生计生行政部门要求记录的其他情况。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公共场所卫生管理档案应当有专人管理，分类记录，至少保存两年。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公共场所经营者应当建立卫生培训制度，组织从业人员学习相关卫生法律知识和公共场所卫生知识，并进行考核。对考核不合格的，不得安排上岗。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公共场所经营者应当组织从业人员每年进行健康检查，从业人员在取得有效健康合格证明后方可上岗。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患有痢疾、伤寒、甲型病毒性肝炎、戊型病毒性肝炎等消化道传染病的人员，以及患有活动性肺结核、化脓性或者渗出性皮肤病等疾病的人员，治愈前不得从事直接为顾客服务的工作。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公共场所经营者应当保持公共场所空气流通，室内空气质量应当符合国家卫生标准和要求。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公共场所采用集中空调通风系统的，应当符合公共场所集中空调通风系统相关卫生规范和规定的要求。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公共场所经营者提供给顾客使用的生活饮用水应当符合国家生活饮用水卫生标准要求。游泳场（馆）和公共浴室水质应当符合国家卫生标准和要求。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公共场所的采光照明、噪声应当符合国家卫生标准和要求。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公共场所应当尽量采用自然光。自然采光不足的，公共场所经营者应当配置与其经营场所规模相适应的照明设施。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公共场所经营者应当采取措施降低噪声。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公共场所经营者提供给顾客使用的用品用具应当保证卫生安全，可以反复使用的用品用具应当一客一换，按照有关卫生标准和要求清洗、消毒、保洁。禁止重复使用一次性用品用具。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公共场所经营者应当根据经营规模、项目设置清洗、消毒、保洁、盥洗等设施设备和公共卫生间。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公共场所经营者应当建立卫生设施设备维护制度，定期检查卫生设施设备，确保其正常运行，不得擅自拆除、改造或者挪作他用。公共场所设置的卫生间，应当有单独通风排气设施，保持清洁无异味。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公共场所经营者应当配备安全、有效的预防控制蚊、蝇、蟑螂、鼠和其他病媒生物的设施设备及废弃物存放专用设施设备，并保证相关设施设备的正常使用，及时清运废弃物。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公共场所的选址、设计、装修应当符合国家相关标准和规范的要求。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公共场所室内装饰装修期间不得营业。进行局部装饰装修的，经营者应当采取有效措施，保证营业的非装饰装修区域室内空气质量合格。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室内公共场所禁止吸烟。公共场所经营者应当设置醒目的禁止吸烟警语和标志。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室外公共场所设置的吸烟区不得位于行人必经的通道上。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公共场所不得设置自动售烟机。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公共场所经营者应当开展吸烟危害健康的宣传，并配备专（兼）职人员对吸烟者进行劝阻。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公共场所经营者应当按照卫生标准、规范的要求对公共场所的空气、微小气候、水质、采光、照明、噪声、顾客用品用具等进行卫生检测，检测每年不得少于一次；检测结果不符合卫生标准、规范要求的应当及时整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公共场所经营者不具备检测能力的，可以委托检测。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公共场所经营者应当在醒目位置如实公示检测结果，并对其卫生检测的真实性负责，依法依规承担相应后果。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公共场所经营者应当制定公共场所危害健康事故应急预案或者方案，定期检查公共场所各项卫生制度、措施的落实情况，及时消除危害公众健康的隐患。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公共场所发生危害健康事故的，经营者应当立即处置，防止危害扩大，并及时向县级人民政府卫生计生行政部门报告。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任何单位或者个人对危害健康事故不得隐瞒、缓报、谎报或者授意他人隐瞒、缓报、谎报。</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卫生监督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国家对除公园、体育场馆、公共交通工具外的公共场所实行卫生许可证管理。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公共场所经营者取得工商行政管理部门颁发的营业执照后，还应当按照规定向县级以上地方人民政府卫生计生行政部门申请卫生许可证，方可营业。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公共场所卫生监督的具体范围由省、自治区、直辖市人民政府卫生计生行政部门公布。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公共场所经营者申请卫生许可证的，应当提交下列资料：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（一）卫生许可证申请表；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（二）法定代表人或者负责人身份证明；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（三）公共场所地址方位示意图、平面图和卫生设施平面布局图；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（四）公共场所卫生检测或者评价报告；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（五）公共场所卫生管理制度；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（六）省、自治区、直辖市卫生计生行政部门要求提供的其他材料。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使用集中空调通风系统的，还应当提供集中空调通风系统卫生检测或者评价报告。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县级以上地方人民政府卫生计生行政部门应当自受理公共场所卫生许可申请之日起20日内，对申报资料进行审查，对现场进行审核，符合规定条件的，作出准予公共场所卫生许可的决定；对不符合规定条件的，作出不予行政许可的决定并书面说明理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公共场所卫生许可证应当载明编号、单位名称、法定代表人或者负责人、经营项目、经营场所地址、发证机关、发证时间、有效期限。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公共场所卫生许可证有效期为四年。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公共场所卫生许可证应当在经营场所醒目位置公示。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公共场所进行新建、改建、扩建的，应当符合有关卫生标准和要求，经营者应当按照有关规定办理预防性卫生审查手续。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预防性卫生审查程序和具体要求由省、自治区、直辖市人民政府卫生计生行政部门制定。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第二十七条 </w:t>
      </w:r>
      <w:r>
        <w:rPr>
          <w:rFonts w:hint="eastAsia" w:ascii="仿宋" w:hAnsi="仿宋" w:eastAsia="仿宋" w:cs="仿宋"/>
          <w:sz w:val="32"/>
          <w:szCs w:val="32"/>
        </w:rPr>
        <w:t>公共场所经营者变更单位名称、法定代表人或者负责人的，应当向原发证卫生计生行政部门办理变更手续。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公共场所经营者变更经营项目、经营场所地址的，应当向县级以上地方人民政府卫生计生行政部门重新申请卫生许可证。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公共场所经营者需要延续卫生许可证的，应当在卫生许可证有效期届满30日前，向原发证卫生计生行政部门提出申请。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县级以上人民政府卫生计生行政部门应当组织对公共场所的健康危害因素进行监测、分析，为制定法律法规、卫生标准和实施监督管理提供科学依据。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县级以上疾病预防控制机构应当承担卫生计生行政部门下达的公共场所健康危害因素监测任务。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县级以上地方人民政府卫生计生行政部门应当对公共场所卫生监督实施量化分级管理，促进公共场所自身卫生管理，增强卫生监督信息透明度。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县级以上地方人民政府卫生计生行政部门应当根据卫生监督量化评价的结果确定公共场所的卫生信誉度等级和日常监督频次。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公共场所卫生信誉度等级应当在公共场所醒目位置公示。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第三十一条 </w:t>
      </w:r>
      <w:r>
        <w:rPr>
          <w:rFonts w:hint="eastAsia" w:ascii="仿宋" w:hAnsi="仿宋" w:eastAsia="仿宋" w:cs="仿宋"/>
          <w:sz w:val="32"/>
          <w:szCs w:val="32"/>
        </w:rPr>
        <w:t>县级以上地方人民政府卫生计生行政部门对公共场所进行监督检查，应当依据有关卫生标准和要求，采取现场卫生监测、采样、查阅和复制文件、询问等方法，有关单位和个人不得拒绝或者隐瞒。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县级以上人民政府卫生计生行政部门应当加强公共场所卫生监督抽检，并将抽检结果向社会公布。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县级以上地方人民政府卫生计生行政部门对发生危害健康事故的公共场所，可以依法采取封闭场所、封存相关物品等临时控制措施。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经检验，属于被污染的场所、物品，应当进行消毒或者销毁；对未被污染的场所、物品或者经消毒后可以使用的物品，应当解除控制措施。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第三十四条 </w:t>
      </w:r>
      <w:r>
        <w:rPr>
          <w:rFonts w:hint="eastAsia" w:ascii="仿宋" w:hAnsi="仿宋" w:eastAsia="仿宋" w:cs="仿宋"/>
          <w:sz w:val="32"/>
          <w:szCs w:val="32"/>
        </w:rPr>
        <w:t>开展公共场所卫生检验、检测、评价等业务的技术服务机构，应当具有相应专业技术能力，按照有关卫生标准、规范的要求开展工作，不得出具虚假检验、检测、评价等报告。</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对未依法取得公共场所卫生许可证擅自营业的，由县级以上地方人民政府卫生计生行政部门责令限期改正，给予警告，并处以五百元以上五千元以下罚款；有下列情形之一的，处以五千元以上三万元以下罚款：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（一）擅自营业曾受过卫生计生行政部门处罚的；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（二）擅自营业时间在三个月以上的；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（三）以涂改、转让、倒卖、伪造的卫生许可证擅自营业的。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对涂改、转让、倒卖有效卫生许可证的，由原发证的卫生计生行政部门予以注销。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公共场所经营者有下列情形之一的，由县级以上地方人民政府卫生计生行政部门责令限期改正，给予警告，并可处以二千元以下罚款；逾期不改正，造成公共场所卫生质量不符合卫生标准和要求的，处以二千元以上二万元以下罚款；情节严重的，可以依法责令停业整顿，直至吊销卫生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（一）未按照规定对公共场所的空气、微小气候、水质、采光、照明、噪声、顾客用品用具等进行卫生检测的；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（二）未按照规定对顾客用品用具进行清洗、消毒、保洁，或者重复使用一次性用品用具的。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第三十七条</w:t>
      </w:r>
      <w:r>
        <w:rPr>
          <w:rFonts w:hint="eastAsia" w:ascii="仿宋" w:hAnsi="仿宋" w:eastAsia="仿宋" w:cs="仿宋"/>
          <w:sz w:val="32"/>
          <w:szCs w:val="32"/>
        </w:rPr>
        <w:t xml:space="preserve"> 公共场所经营者有下列情形之一的，由县级以上地方人民政府卫生计生行政部门责令限期改正；逾期不改的，给予警告，并处以一千元以上一万元以下罚款；对拒绝监督的，处以一万元以上三万元以下罚款；情节严重的，可以依法责令停业整顿，直至吊销卫生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（一）未按照规定建立卫生管理制度、设立卫生管理部门或者配备专（兼）职卫生管理人员，或者未建立卫生管理档案的；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（二）未按照规定组织从业人员进行相关卫生法律知识和公共场所卫生知识培训，或者安排未经相关卫生法律知识和公共场所卫生知识培训考核的从业人员上岗的；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（三）未按照规定设置与其经营规模、项目相适应的清洗、消毒、保洁、盥洗等设施设备和公共卫生间，或者擅自停止使用、拆除上述设施设备，或者挪作他用的；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未按照规定配备预防控制鼠、蚊、蝇、蟑螂和其他病媒生物的设施设备以及废弃物存放专用设施设备，或者擅自停止使用、拆除预防控制鼠、蚊、蝇、蟑螂和其他病媒生物的设施设备以及废弃物存放专用设施设备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（五）未按照规定索取公共卫生用品检验合格证明和其他相关资料的；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（六）未按照规定对公共场所新建、改建、扩建项目办理预防性卫生审查手续的；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（七）公共场所集中空调通风系统未经卫生检测或者评价不合格而投入使用的；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（八）未按照规定公示公共场所卫生许可证、卫生检测结果和卫生信誉度等级的。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公共场所经营者安排未获得有效健康合格证明的从业人员从事直接为顾客服务工作的，由县级以上地方人民政府卫生计生行政部门责令限期改正，给予警告，并处以五百元以上五千元以下罚款；逾期不改正的，处以五千元以上一万五千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公共场所经营者对发生的危害健康事故未立即采取处置措施，导致危害扩大，或者隐瞒、缓报、谎报的，由县级以上地方人民政府卫生计生行政部门处以五千元以上三万元以下罚款；情节严重的，可以依法责令停业整顿，直至吊销卫生许可证。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第四十条</w:t>
      </w:r>
      <w:r>
        <w:rPr>
          <w:rFonts w:hint="eastAsia" w:ascii="仿宋" w:hAnsi="仿宋" w:eastAsia="仿宋" w:cs="仿宋"/>
          <w:sz w:val="32"/>
          <w:szCs w:val="32"/>
        </w:rPr>
        <w:t xml:space="preserve"> 公共场所经营者违反其他卫生法律、行政法规规定，应当给予行政处罚的，按照有关卫生法律、行政法规规定进行处罚。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县级以上人民政府卫生计生行政部门及其工作人员玩忽职守、滥用职权、收取贿赂的，由有关部门对单位负责人、直接负责的主管人员和其他责任人员依法给予行政处分。构成犯罪的，依法追究刑事责任。</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本细则下列用语的含义：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集中空调通风系统，指为使房间或者封闭空间空气温度、湿度、洁净度和气流速度等参数达到设定的要求，而对空气进行集中处理、输送、分配的所有设备、管道及附件、仪器仪表的总和。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公共场所危害健康事故，指公共场所内发生的传染病疫情或者因空气质量、水质不符合卫生标准、用品用具或者设施受到污染导致的危害公众健康事故。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第四十三条</w:t>
      </w:r>
      <w:r>
        <w:rPr>
          <w:rFonts w:hint="eastAsia" w:ascii="仿宋" w:hAnsi="仿宋" w:eastAsia="仿宋" w:cs="仿宋"/>
          <w:sz w:val="32"/>
          <w:szCs w:val="32"/>
        </w:rPr>
        <w:t xml:space="preserve"> 本细则自2011年5月1日起实施。卫生部1991年3月11日发布的《公共场所卫生管理条例实施细则》同时废止。</w:t>
      </w:r>
    </w:p>
    <w:p>
      <w:pPr>
        <w:rPr>
          <w:rFonts w:hint="eastAsia" w:ascii="宋体" w:hAnsi="宋体" w:eastAsia="宋体" w:cs="Arial"/>
          <w:bCs/>
          <w:color w:val="auto"/>
          <w:sz w:val="44"/>
          <w:szCs w:val="44"/>
          <w:lang w:val="en-US" w:eastAsia="zh-CN"/>
        </w:rPr>
      </w:pPr>
      <w:r>
        <w:rPr>
          <w:rFonts w:hint="eastAsia" w:ascii="宋体" w:hAnsi="宋体" w:eastAsia="宋体" w:cs="Arial"/>
          <w:bCs/>
          <w:color w:val="auto"/>
          <w:sz w:val="44"/>
          <w:szCs w:val="44"/>
          <w:lang w:val="en-US" w:eastAsia="zh-CN"/>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307" w:name="_Toc27255"/>
      <w:r>
        <w:rPr>
          <w:rFonts w:hint="eastAsia" w:ascii="宋体" w:hAnsi="宋体" w:eastAsia="宋体" w:cs="宋体"/>
          <w:sz w:val="44"/>
          <w:szCs w:val="44"/>
        </w:rPr>
        <w:t>消毒管理办法</w:t>
      </w:r>
      <w:bookmarkEnd w:id="307"/>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rPr>
      </w:pPr>
      <w:r>
        <w:rPr>
          <w:rFonts w:hint="eastAsia" w:ascii="楷体" w:hAnsi="楷体" w:eastAsia="楷体" w:cs="楷体"/>
          <w:sz w:val="32"/>
          <w:szCs w:val="32"/>
        </w:rPr>
        <w:t>（2002年3月28日卫生部令第27号公布　根据2016年1月19日《国家卫生计生委关于修改〈外国医师来华短期行医暂行管理办法〉等8件部门规章的决定》</w:t>
      </w:r>
      <w:r>
        <w:rPr>
          <w:rFonts w:hint="eastAsia" w:ascii="楷体" w:hAnsi="楷体" w:eastAsia="楷体" w:cs="楷体"/>
          <w:sz w:val="32"/>
          <w:szCs w:val="32"/>
          <w:lang w:val="en-US" w:eastAsia="zh-CN"/>
        </w:rPr>
        <w:t>修正 根据</w:t>
      </w:r>
      <w:r>
        <w:rPr>
          <w:rFonts w:hint="eastAsia" w:ascii="楷体" w:hAnsi="楷体" w:eastAsia="楷体" w:cs="楷体"/>
          <w:sz w:val="32"/>
          <w:szCs w:val="32"/>
        </w:rPr>
        <w:t>2017年12月26日《国家卫生计生委关于修改〈新食品原料安全性审查管理办法〉等7件部门规章的决定》修订）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为了加强消毒管理，预防和控制感染性疾病的传播，保障人体健康，根据《中华人民共和国传染病防治法》及其实施办法的有关规定，制定本办法。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本办法适用于医疗卫生机构、消毒服务机构以及从事消毒产品生产、经营活动的单位和个人。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其他需要消毒的场所和物品管理也适用于本办法。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国家卫生计生委主管全国消毒监督管理工作。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铁路、交通卫生主管机构依照本办法负责本系统的消毒监督管理工作。</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消毒的卫生要求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医疗卫生机构应当建立消毒管理组织，制定消毒管理制度，执行国家有关规范、标准和规定，定期开展消毒与灭菌效果检测工作。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医疗卫生机构工作人员应当接受消毒技术培训、掌握消毒知识，并按规定严格执行消毒隔离制度。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医疗卫生机构使用的进入人体组织或无菌器官的医疗用品必须达到灭菌要求。各种注射、穿刺、采血器具应当一人一用一灭菌。凡接触皮肤、粘膜的器械和用品必须达到消毒要求。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医疗卫生机构使用的一次性使用医疗用品用后应当及时进行无害化处理。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医疗卫生机构购进消毒产品必须建立并执行进货检查验收制度。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医疗卫生机构的环境、物品应当符合国家有关规范、标准和规定。排放废弃的污水、污物应当按照国家有关规定进行无害化处理。运送传染病病人及其污染物品的车辆、工具必须随时进行消毒处理。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医疗卫生机构发生感染性疾病暴发、流行时，应当及时报告当地卫生计生行政部门，并采取有效消毒措施。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加工、出售、运输被传染病病原体污染或者来自疫区可能被传染病病原体污染的皮毛，应当进行消毒处理。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托幼机构应当健全和执行消毒管理制度，对室内空气、餐（饮）具、毛巾、玩具和其他幼儿活动的场所及接触的物品定期进行消毒。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出租衣物及洗涤衣物的单位和个人，应当对相关物品及场所进行消毒。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从事致病微生物实验的单位应当执行有关的管理制度、操作规程，对实验的器材、污染物品等按规定进行消毒，防止实验室感染和致病微生物的扩散。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殡仪馆、火葬场内与遗体接触的物品及运送遗体的车辆应当及时消毒。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招用流动人员200人以上的用工单位，应当对流动人员集中生活起居的场所及使用的物品定期进行消毒。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疫源地的消毒应当执行国家有关规范、标准和规定。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公共场所、食品、生活饮用水、血液制品的消毒管理，按有关法律、法规的规定执行。</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消毒产品的生产经营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消毒产品应当符合国家有关规范、标准和规定。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消毒产品的生产应当符合国家有关规范、标准和规定，对生产的消毒产品应当进行检验，不合格者不得出厂。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消毒剂、消毒器械和卫生用品生产企业取得工商行政管理部门颁发的营业执照后，还应当取得所在地省级卫生计生行政部门发放的卫生许可证，方可从事消毒产品的生产。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第二十一条 </w:t>
      </w:r>
      <w:r>
        <w:rPr>
          <w:rFonts w:hint="eastAsia" w:ascii="仿宋" w:hAnsi="仿宋" w:eastAsia="仿宋" w:cs="仿宋"/>
          <w:sz w:val="32"/>
          <w:szCs w:val="32"/>
        </w:rPr>
        <w:t>省级卫生计生行政部门应当自受理消毒产品生产企业的申请之日起二十日内作出是否批准的决定。对符合《消毒产品生产企业卫生规范》要求的，发给卫生许可证；对不符合的，不予批准，并说明理由。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消毒产品生产企业卫生许可证编号格式为：（省、自治区、直辖市简称）卫消证字（发证年份）第XXXX号。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消毒产品生产企业卫生许可证的生产项目分为消毒剂类、消毒器械类、卫生用品类。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第二十三条 </w:t>
      </w:r>
      <w:r>
        <w:rPr>
          <w:rFonts w:hint="eastAsia" w:ascii="仿宋" w:hAnsi="仿宋" w:eastAsia="仿宋" w:cs="仿宋"/>
          <w:sz w:val="32"/>
          <w:szCs w:val="32"/>
        </w:rPr>
        <w:t>消毒产品生产企业卫生许可证有效期为四年。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消毒产品生产企业卫生许可证有效期满三十日前，生产企业应当向原发证机关申请延续。经审查符合要求的，予以延续，换发新证。新证延用原卫生许可证编号。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消毒产品生产企业迁移厂址或者另设分厂（车间），应当按本办法规定向生产场所所在地的省级卫生计生行政部门申请消毒产品生产企业卫生许可证。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产品包装上标注的厂址、卫生许可证号应当是实际生产地地址和其卫生许可证号。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取得卫生许可证的消毒产品生产企业变更企业名称、法定代表人或者生产类别的，应当向原发证机关提出申请，经审查同意，换发新证。新证延用原卫生许可证编号。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生产、进口利用新材料、新工艺技术和新杀菌原理生产消毒剂和消毒器械（以下简称新消毒产品）应当按照本办法规定取得国家卫生计生委颁发的卫生许可批件。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产、进口新消毒产品外的消毒剂、消毒器械和卫生用品中的抗（抑）菌制剂，生产、进口企业应当按照有关规定进行卫生安全评价，符合卫生标准和卫生规范要求。产品上市时要将卫生安全评价报告向省级卫生计生行政部门备案，备案应当按照规定要求提供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生产企业申请新消毒产品卫生许可批件、在华责任单位申请进口新消毒产品卫生许可批件的，应当按照国家卫生计生委新消毒产品卫生行政许可管理规定的要求，向国家卫生计生委提出申请。国家卫生计生委应当按照有关法律法规和相关规定，作出是否批准的决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国家卫生计生委对批准的新消毒产品，发给卫生许可批件，批准文号格式为：卫消新准字（年份）第XXXX号。不予批准的，应当说明理由。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新消毒产品卫生许可批件的有效期为四年。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国家卫生计生委定期公告取得卫生行政许可的新消毒产品批准内容。公告发布之日起，列入公告的同类产品不再按新消毒产品进行卫生行政许可。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经营者采购消毒产品时，应当索取下列有效证件：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（一）生产企业卫生许可证复印件；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（二）产品卫生安全评价报告或者新消毒产品卫生许可批件复印件。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有效证件的复印件应当加盖原件持有者的印章。</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第三十一条 </w:t>
      </w:r>
      <w:r>
        <w:rPr>
          <w:rFonts w:hint="eastAsia" w:ascii="仿宋" w:hAnsi="仿宋" w:eastAsia="仿宋" w:cs="仿宋"/>
          <w:sz w:val="32"/>
          <w:szCs w:val="32"/>
        </w:rPr>
        <w:t>消毒产品的命名、标签（含说明书）应当符合国家卫生计生委的有关规定。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消毒产品的标签（含说明书）和宣传内容必须真实，不得出现或暗示对疾病的治疗效果。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禁止生产经营下列消毒产品：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（一）无生产企业卫生许可证或新消毒产品卫生许可批准文件的；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（二）产品卫生安全评价不合格或产品卫生质量不符合要求的。</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消毒服务机构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消毒服务机构应当符合以下要求：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（一）具备符合国家有关规范、标准和规定的消毒与灭菌设备；</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（二）其消毒与灭菌工艺流程和工作环境必须符合卫生要求；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（三）具有能对消毒与灭菌效果进行检测的人员和条件，建立自检制度；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（四）用环氧乙烷和电离辐射的方法进行消毒与灭菌的，其安全与环境保护等方面的要求按国家有关规定执行；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消毒服务机构不得购置和使用不符合本办法规定的消毒产品。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消毒服务机构应当接受当地卫生计生行政部门的监督。</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县级以上卫生计生行政部门对消毒工作行使下列监督管理职权：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（一）对有关机构、场所和物品的消毒工作进行监督检查；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（二）对消毒产品生产企业执行《消毒产品生产企业卫生规范》情况进行监督检查；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（三）对消毒产品的卫生质量进行监督检查；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（四）对消毒服务机构的消毒服务质量进行监督检查；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（五）对违反本办法的行为采取行政控制措施；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（六）对违反本办法的行为给予行政处罚。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第三十七条 </w:t>
      </w:r>
      <w:r>
        <w:rPr>
          <w:rFonts w:hint="eastAsia" w:ascii="仿宋" w:hAnsi="仿宋" w:eastAsia="仿宋" w:cs="仿宋"/>
          <w:sz w:val="32"/>
          <w:szCs w:val="32"/>
        </w:rPr>
        <w:t>有下列情形之一的，国家卫生计生委可以对已获得卫生许可批件的新消毒产品进行重新审查：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（一）产品原料、杀菌原理和生产工艺受到质疑的；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（二）产品安全性、消毒效果受到质疑的。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新消毒产品卫生许可批件的持有者应当在接到国家卫生计生委重新审查通知之日起30日内，按照通知的有关要求提交材料。超过期限未提交有关材料的，视为放弃重新审查，国家卫生计生委可以注销产品卫生许可批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国家卫生计生委自收到重新审查所需的全部材料之日起30日内，应当作出重新审查决定。有下列情形之一的，注销产品卫生许可批件：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（一）产品原料、杀菌原理和生产工艺不符合利用新材料、新工艺技术和新杀菌原理生产消毒剂和消毒器械的判定依据的；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（二）产品安全性、消毒效果达不到要求的。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第四十条 </w:t>
      </w:r>
      <w:r>
        <w:rPr>
          <w:rFonts w:hint="eastAsia" w:ascii="仿宋" w:hAnsi="仿宋" w:eastAsia="仿宋" w:cs="仿宋"/>
          <w:sz w:val="32"/>
          <w:szCs w:val="32"/>
        </w:rPr>
        <w:t>消毒产品生产企业应当按照国家卫生标准和卫生规范要求对消毒产品理化指标、微生物指标、杀灭微生物指标、毒理学指标等进行检验。不具备检验能力的，可以委托检验。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消毒产品的检验活动应当符合国家有关规定。检验报告应当客观、真实，符合有关法律、法规、标准、规范和规定。检验报告在全国范围内有效。</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罚则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医疗卫生机构违反本办法第四条、第五条、第六条、第七条、第八条、第九条规定的，由县级以上地方卫生计生行政部门责令限期改正，可以处5000元以下罚款；造成感染性疾病暴发的，可以处5000元以上20000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加工、出售、运输被传染病病原体污染或者来自疫区可能被传染病病原体污染的皮毛，未按国家有关规定进行消毒处理的，应当按照《传染病防治法实施办法》第六十八条的有关规定给予处罚。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第四十三条</w:t>
      </w:r>
      <w:r>
        <w:rPr>
          <w:rFonts w:hint="eastAsia" w:ascii="仿宋" w:hAnsi="仿宋" w:eastAsia="仿宋" w:cs="仿宋"/>
          <w:sz w:val="32"/>
          <w:szCs w:val="32"/>
        </w:rPr>
        <w:t xml:space="preserve"> 消毒产品生产经营单位违反本办法第三十一条、第三十二条规定的，由县级以上地方卫生计生行政部门责令其限期改正，可以处5000元以下罚款；造成感染性疾病暴发的，可以处5000元以上20000元以下的罚款。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第四十四条</w:t>
      </w:r>
      <w:r>
        <w:rPr>
          <w:rFonts w:hint="eastAsia" w:ascii="仿宋" w:hAnsi="仿宋" w:eastAsia="仿宋" w:cs="仿宋"/>
          <w:sz w:val="32"/>
          <w:szCs w:val="32"/>
        </w:rPr>
        <w:t xml:space="preserve"> 消毒服务机构违反本办法规定，有下列情形之一的，由县级以上卫生计生行政部门责令其限期改正，可以处5000元以下的罚款；造成感染性疾病发生的，可以处5000元以上20000元以下的罚款：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消毒后的物品未达到卫生标准和要求的。</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第四十五条</w:t>
      </w:r>
      <w:r>
        <w:rPr>
          <w:rFonts w:hint="eastAsia" w:ascii="仿宋" w:hAnsi="仿宋" w:eastAsia="仿宋" w:cs="仿宋"/>
          <w:sz w:val="32"/>
          <w:szCs w:val="32"/>
        </w:rPr>
        <w:t xml:space="preserve"> 本办法下列用语的含义：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感染性疾病：由微生物引起的疾病。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消毒产品：包括消毒剂、消毒器械（含生物指示物、化学指示物和灭菌物品包装物）、卫生用品和一次性使用医疗用品。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消毒服务机构：指为社会提供可能被污染的物品及场所、卫生用品和一次性使用医疗用品等进行消毒与灭菌服务的单位。</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医疗卫生机构：指医疗保健、疾病控制、采供血机构及与上述机构业务活动相同的单位。</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第四十六条</w:t>
      </w:r>
      <w:r>
        <w:rPr>
          <w:rFonts w:hint="eastAsia" w:ascii="仿宋" w:hAnsi="仿宋" w:eastAsia="仿宋" w:cs="仿宋"/>
          <w:sz w:val="32"/>
          <w:szCs w:val="32"/>
        </w:rPr>
        <w:t xml:space="preserve"> 本办法由国家卫生计生委负责解释。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第四十七条</w:t>
      </w:r>
      <w:r>
        <w:rPr>
          <w:rFonts w:hint="eastAsia" w:ascii="仿宋" w:hAnsi="仿宋" w:eastAsia="仿宋" w:cs="仿宋"/>
          <w:sz w:val="32"/>
          <w:szCs w:val="32"/>
        </w:rPr>
        <w:t xml:space="preserve"> 本办法自2002年7月1日起施行。1992年8月31日卫生部发布的《消毒管理办法》同时废止。</w:t>
      </w:r>
    </w:p>
    <w:p>
      <w:pPr>
        <w:rPr>
          <w:rFonts w:hint="eastAsia" w:ascii="宋体" w:hAnsi="宋体" w:eastAsia="宋体" w:cs="Arial"/>
          <w:bCs/>
          <w:color w:val="auto"/>
          <w:sz w:val="44"/>
          <w:szCs w:val="44"/>
          <w:lang w:val="en-US" w:eastAsia="zh-CN"/>
        </w:rPr>
      </w:pPr>
      <w:r>
        <w:rPr>
          <w:rFonts w:hint="eastAsia" w:ascii="宋体" w:hAnsi="宋体" w:eastAsia="宋体" w:cs="Arial"/>
          <w:bCs/>
          <w:color w:val="auto"/>
          <w:sz w:val="44"/>
          <w:szCs w:val="44"/>
          <w:lang w:val="en-US" w:eastAsia="zh-CN"/>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lang w:val="en-US" w:eastAsia="zh-CN"/>
        </w:rPr>
      </w:pPr>
      <w:bookmarkStart w:id="308" w:name="_Toc21713"/>
      <w:r>
        <w:rPr>
          <w:rFonts w:hint="eastAsia" w:ascii="宋体" w:hAnsi="宋体" w:eastAsia="宋体" w:cs="Arial"/>
          <w:bCs/>
          <w:color w:val="auto"/>
          <w:sz w:val="44"/>
          <w:szCs w:val="44"/>
          <w:lang w:val="en-US" w:eastAsia="zh-CN"/>
        </w:rPr>
        <w:t>中华人民共和国国家卫生健康委员会</w:t>
      </w:r>
      <w:bookmarkEnd w:id="308"/>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lang w:val="en-US" w:eastAsia="zh-CN"/>
        </w:rPr>
      </w:pPr>
      <w:bookmarkStart w:id="309" w:name="_Toc22583"/>
      <w:r>
        <w:rPr>
          <w:rFonts w:hint="eastAsia" w:ascii="宋体" w:hAnsi="宋体" w:eastAsia="宋体" w:cs="Arial"/>
          <w:bCs/>
          <w:color w:val="auto"/>
          <w:sz w:val="44"/>
          <w:szCs w:val="44"/>
          <w:lang w:val="en-US" w:eastAsia="zh-CN"/>
        </w:rPr>
        <w:t>公 告</w:t>
      </w:r>
      <w:bookmarkEnd w:id="309"/>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left="0" w:right="0"/>
        <w:jc w:val="center"/>
        <w:textAlignment w:val="auto"/>
        <w:outlineLvl w:val="0"/>
        <w:rPr>
          <w:rFonts w:ascii="宋体" w:hAnsi="宋体" w:eastAsia="宋体" w:cs="宋体"/>
          <w:color w:val="auto"/>
          <w:kern w:val="0"/>
          <w:sz w:val="44"/>
          <w:szCs w:val="44"/>
          <w:u w:val="none"/>
          <w:lang w:val="en-US" w:eastAsia="zh-CN"/>
        </w:rPr>
      </w:pP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center"/>
        <w:textAlignment w:val="auto"/>
        <w:outlineLvl w:val="0"/>
        <w:rPr>
          <w:rFonts w:hint="eastAsia" w:ascii="宋体" w:hAnsi="宋体" w:eastAsia="仿宋_GB2312" w:cs="仿宋_GB2312"/>
          <w:color w:val="auto"/>
          <w:kern w:val="2"/>
          <w:sz w:val="32"/>
          <w:szCs w:val="32"/>
          <w:lang w:val="en-US" w:eastAsia="zh-CN" w:bidi="ar-SA"/>
        </w:rPr>
      </w:pPr>
      <w:bookmarkStart w:id="310" w:name="_Toc8151"/>
      <w:r>
        <w:rPr>
          <w:rFonts w:hint="eastAsia" w:ascii="楷体" w:hAnsi="楷体" w:eastAsia="楷体" w:cs="楷体"/>
          <w:color w:val="auto"/>
          <w:kern w:val="2"/>
          <w:sz w:val="32"/>
          <w:szCs w:val="32"/>
          <w:lang w:val="en-US" w:eastAsia="zh-CN" w:bidi="ar-SA"/>
        </w:rPr>
        <w:t>（2020年第1号）</w:t>
      </w:r>
      <w:bookmarkEnd w:id="310"/>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 </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　　经国务院批准，现公告如下：</w:t>
      </w:r>
      <w:r>
        <w:rPr>
          <w:rFonts w:hint="eastAsia" w:ascii="宋体" w:hAnsi="宋体" w:eastAsia="仿宋_GB2312" w:cs="仿宋_GB2312"/>
          <w:color w:val="auto"/>
          <w:kern w:val="2"/>
          <w:sz w:val="32"/>
          <w:szCs w:val="32"/>
          <w:lang w:val="en-US" w:eastAsia="zh-CN" w:bidi="ar-SA"/>
        </w:rPr>
        <w:br w:type="textWrapping"/>
      </w:r>
      <w:r>
        <w:rPr>
          <w:rFonts w:hint="eastAsia" w:ascii="宋体" w:hAnsi="宋体" w:eastAsia="仿宋_GB2312" w:cs="仿宋_GB2312"/>
          <w:color w:val="auto"/>
          <w:kern w:val="2"/>
          <w:sz w:val="32"/>
          <w:szCs w:val="32"/>
          <w:lang w:val="en-US" w:eastAsia="zh-CN" w:bidi="ar-SA"/>
        </w:rPr>
        <w:t>　　一、将新型冠状病毒感染的肺炎纳入《中华人民共和国传染病防治法》规定的乙类传染病，并采取甲类传染病的预防、控制措施。</w:t>
      </w:r>
      <w:r>
        <w:rPr>
          <w:rFonts w:hint="eastAsia" w:ascii="宋体" w:hAnsi="宋体" w:eastAsia="仿宋_GB2312" w:cs="仿宋_GB2312"/>
          <w:color w:val="auto"/>
          <w:kern w:val="2"/>
          <w:sz w:val="32"/>
          <w:szCs w:val="32"/>
          <w:lang w:val="en-US" w:eastAsia="zh-CN" w:bidi="ar-SA"/>
        </w:rPr>
        <w:br w:type="textWrapping"/>
      </w:r>
      <w:r>
        <w:rPr>
          <w:rFonts w:hint="eastAsia" w:ascii="宋体" w:hAnsi="宋体" w:eastAsia="仿宋_GB2312" w:cs="仿宋_GB2312"/>
          <w:color w:val="auto"/>
          <w:kern w:val="2"/>
          <w:sz w:val="32"/>
          <w:szCs w:val="32"/>
          <w:lang w:val="en-US" w:eastAsia="zh-CN" w:bidi="ar-SA"/>
        </w:rPr>
        <w:t>　　二、将新型冠状病毒感染的肺炎纳入《中华人民共和国国境卫生检疫法》规定的检疫传染病管理。</w:t>
      </w:r>
      <w:r>
        <w:rPr>
          <w:rFonts w:hint="eastAsia" w:ascii="宋体" w:hAnsi="宋体" w:eastAsia="仿宋_GB2312" w:cs="仿宋_GB2312"/>
          <w:color w:val="auto"/>
          <w:kern w:val="2"/>
          <w:sz w:val="32"/>
          <w:szCs w:val="32"/>
          <w:lang w:val="en-US" w:eastAsia="zh-CN" w:bidi="ar-SA"/>
        </w:rPr>
        <w:br w:type="textWrapping"/>
      </w:r>
      <w:r>
        <w:rPr>
          <w:rFonts w:hint="eastAsia" w:ascii="宋体" w:hAnsi="宋体" w:eastAsia="仿宋_GB2312" w:cs="仿宋_GB2312"/>
          <w:color w:val="auto"/>
          <w:kern w:val="2"/>
          <w:sz w:val="32"/>
          <w:szCs w:val="32"/>
          <w:lang w:val="en-US" w:eastAsia="zh-CN" w:bidi="ar-SA"/>
        </w:rPr>
        <w:t>　　特此公告。</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right"/>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 </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right"/>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中华人民共和国国家卫生健康委员会</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right"/>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2020年1月20日</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right"/>
        <w:textAlignment w:val="auto"/>
        <w:rPr>
          <w:rFonts w:hint="eastAsia" w:ascii="宋体" w:hAnsi="宋体" w:eastAsia="仿宋" w:cs="仿宋"/>
          <w:i w:val="0"/>
          <w:caps w:val="0"/>
          <w:color w:val="auto"/>
          <w:spacing w:val="0"/>
          <w:sz w:val="32"/>
          <w:szCs w:val="32"/>
          <w:u w:val="none"/>
        </w:rPr>
      </w:pPr>
      <w:r>
        <w:rPr>
          <w:rFonts w:hint="eastAsia" w:ascii="宋体" w:hAnsi="宋体" w:eastAsia="仿宋" w:cs="仿宋"/>
          <w:i w:val="0"/>
          <w:caps w:val="0"/>
          <w:color w:val="auto"/>
          <w:spacing w:val="0"/>
          <w:sz w:val="32"/>
          <w:szCs w:val="32"/>
          <w:u w:val="none"/>
        </w:rPr>
        <w:t> </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center"/>
        <w:textAlignment w:val="auto"/>
        <w:rPr>
          <w:rStyle w:val="23"/>
          <w:rFonts w:ascii="宋体" w:hAnsi="宋体" w:eastAsia="黑体" w:cs="黑体"/>
          <w:i w:val="0"/>
          <w:caps w:val="0"/>
          <w:color w:val="484848"/>
          <w:spacing w:val="0"/>
          <w:sz w:val="44"/>
          <w:szCs w:val="44"/>
          <w:u w:val="none"/>
        </w:rPr>
      </w:pP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0"/>
        <w:jc w:val="both"/>
        <w:textAlignment w:val="auto"/>
        <w:rPr>
          <w:rFonts w:hint="eastAsia" w:ascii="宋体" w:hAnsi="宋体" w:eastAsia="仿宋_GB2312" w:cs="仿宋_GB2312"/>
          <w:i w:val="0"/>
          <w:caps w:val="0"/>
          <w:color w:val="333333"/>
          <w:spacing w:val="0"/>
          <w:sz w:val="32"/>
          <w:szCs w:val="32"/>
          <w:shd w:val="clear" w:color="auto" w:fill="FFFFFF"/>
        </w:rPr>
      </w:pP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0"/>
        <w:jc w:val="center"/>
        <w:textAlignment w:val="auto"/>
        <w:rPr>
          <w:rFonts w:hint="eastAsia" w:ascii="宋体" w:hAnsi="宋体" w:eastAsia="宋体" w:cs="宋体"/>
          <w:i w:val="0"/>
          <w:caps w:val="0"/>
          <w:color w:val="000000"/>
          <w:spacing w:val="0"/>
          <w:sz w:val="44"/>
          <w:szCs w:val="44"/>
          <w:shd w:val="clear" w:color="auto" w:fill="FFFFFF"/>
        </w:rPr>
      </w:pPr>
      <w:r>
        <w:rPr>
          <w:rFonts w:hint="eastAsia" w:ascii="宋体" w:hAnsi="宋体" w:eastAsia="宋体" w:cs="宋体"/>
          <w:i w:val="0"/>
          <w:caps w:val="0"/>
          <w:color w:val="000000"/>
          <w:spacing w:val="0"/>
          <w:sz w:val="44"/>
          <w:szCs w:val="44"/>
          <w:shd w:val="clear" w:color="auto" w:fill="FFFFFF"/>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311" w:name="_Toc18417"/>
      <w:r>
        <w:rPr>
          <w:rFonts w:hint="eastAsia" w:ascii="宋体" w:hAnsi="宋体" w:eastAsia="宋体" w:cs="Arial"/>
          <w:bCs/>
          <w:sz w:val="44"/>
          <w:szCs w:val="44"/>
          <w:lang w:val="en-US" w:eastAsia="zh-CN"/>
        </w:rPr>
        <w:t>国家卫生健康委办公厅关于加强新型冠状病毒感染的肺炎重症病例医疗救治工作的通知</w:t>
      </w:r>
      <w:bookmarkEnd w:id="311"/>
    </w:p>
    <w:p>
      <w:pPr>
        <w:widowControl w:val="0"/>
        <w:wordWrap/>
        <w:adjustRightInd/>
        <w:snapToGrid/>
        <w:spacing w:line="560" w:lineRule="exact"/>
        <w:textAlignment w:val="auto"/>
        <w:rPr>
          <w:rFonts w:hint="eastAsia"/>
          <w:lang w:val="en-US" w:eastAsia="zh-CN"/>
        </w:rPr>
      </w:pPr>
    </w:p>
    <w:p>
      <w:pPr>
        <w:widowControl w:val="0"/>
        <w:wordWrap/>
        <w:adjustRightInd/>
        <w:snapToGrid/>
        <w:spacing w:line="560" w:lineRule="exact"/>
        <w:jc w:val="center"/>
        <w:textAlignment w:val="auto"/>
        <w:rPr>
          <w:rFonts w:hint="eastAsia" w:ascii="楷体" w:hAnsi="楷体" w:eastAsia="楷体" w:cs="楷体"/>
          <w:lang w:val="en-US" w:eastAsia="zh-CN"/>
        </w:rPr>
      </w:pPr>
      <w:r>
        <w:rPr>
          <w:rFonts w:hint="eastAsia" w:ascii="楷体" w:hAnsi="楷体" w:eastAsia="楷体" w:cs="楷体"/>
          <w:lang w:val="en-US" w:eastAsia="zh-CN"/>
        </w:rPr>
        <w:t>（国卫办医函</w:t>
      </w:r>
      <w:r>
        <w:rPr>
          <w:rFonts w:hint="eastAsia" w:ascii="楷体" w:hAnsi="楷体" w:eastAsia="楷体" w:cs="楷体"/>
        </w:rPr>
        <w:t>〔</w:t>
      </w:r>
      <w:r>
        <w:rPr>
          <w:rFonts w:hint="eastAsia" w:ascii="楷体" w:hAnsi="楷体" w:eastAsia="楷体" w:cs="楷体"/>
          <w:lang w:val="en-US" w:eastAsia="zh-CN"/>
        </w:rPr>
        <w:t>2020</w:t>
      </w:r>
      <w:r>
        <w:rPr>
          <w:rFonts w:hint="eastAsia" w:ascii="楷体" w:hAnsi="楷体" w:eastAsia="楷体" w:cs="楷体"/>
        </w:rPr>
        <w:t>〕</w:t>
      </w:r>
      <w:r>
        <w:rPr>
          <w:rFonts w:hint="eastAsia" w:ascii="楷体" w:hAnsi="楷体" w:eastAsia="楷体" w:cs="楷体"/>
          <w:lang w:val="en-US" w:eastAsia="zh-CN"/>
        </w:rPr>
        <w:t>64号）</w:t>
      </w:r>
    </w:p>
    <w:p>
      <w:pPr>
        <w:widowControl w:val="0"/>
        <w:wordWrap/>
        <w:adjustRightInd/>
        <w:snapToGrid/>
        <w:spacing w:line="560" w:lineRule="exact"/>
        <w:textAlignment w:val="auto"/>
        <w:rPr>
          <w:rFonts w:hint="eastAsia"/>
          <w:lang w:val="en-US" w:eastAsia="zh-CN"/>
        </w:rPr>
      </w:pPr>
    </w:p>
    <w:p>
      <w:pPr>
        <w:widowControl w:val="0"/>
        <w:wordWrap/>
        <w:adjustRightInd/>
        <w:snapToGrid/>
        <w:spacing w:line="560" w:lineRule="exact"/>
        <w:textAlignment w:val="auto"/>
        <w:rPr>
          <w:rFonts w:hint="eastAsia" w:ascii="仿宋" w:hAnsi="仿宋" w:eastAsia="仿宋" w:cs="仿宋"/>
        </w:rPr>
      </w:pPr>
      <w:r>
        <w:rPr>
          <w:rFonts w:hint="eastAsia" w:ascii="仿宋" w:hAnsi="仿宋" w:eastAsia="仿宋" w:cs="仿宋"/>
        </w:rPr>
        <w:t>各省、自治区、直辖市及计划单列市、新疆生产建设兵团卫生健康委：</w:t>
      </w:r>
    </w:p>
    <w:p>
      <w:pPr>
        <w:widowControl w:val="0"/>
        <w:wordWrap/>
        <w:adjustRightInd/>
        <w:snapToGrid/>
        <w:spacing w:line="560" w:lineRule="exact"/>
        <w:ind w:firstLine="640" w:firstLineChars="200"/>
        <w:textAlignment w:val="auto"/>
        <w:rPr>
          <w:rFonts w:hint="eastAsia" w:ascii="仿宋" w:hAnsi="仿宋" w:eastAsia="仿宋" w:cs="仿宋"/>
          <w:lang w:eastAsia="zh-CN"/>
        </w:rPr>
      </w:pPr>
      <w:r>
        <w:rPr>
          <w:rFonts w:hint="eastAsia" w:ascii="仿宋" w:hAnsi="仿宋" w:eastAsia="仿宋" w:cs="仿宋"/>
          <w:lang w:eastAsia="zh-CN"/>
        </w:rPr>
        <w:t>近期，我国部分省份发生新型冠状病毒感染的肺炎疫情。为进一步加强全国新型冠状病毒感染的肺炎重症病例（以下简称重症病例）医疗救治工作，确保重症病例得到及时有效医疗救治，切实保护人民群众身体健康，现就做好有关工作通知如下：</w:t>
      </w:r>
      <w:r>
        <w:rPr>
          <w:rFonts w:hint="eastAsia"/>
          <w:lang w:eastAsia="zh-CN"/>
        </w:rPr>
        <w:br w:type="textWrapping"/>
      </w:r>
      <w:bookmarkStart w:id="312" w:name="tiao_1"/>
      <w:bookmarkEnd w:id="312"/>
      <w:r>
        <w:rPr>
          <w:rFonts w:hint="eastAsia"/>
          <w:lang w:eastAsia="zh-CN"/>
        </w:rPr>
        <w:t>　</w:t>
      </w:r>
      <w:r>
        <w:rPr>
          <w:rFonts w:hint="eastAsia" w:ascii="黑体" w:hAnsi="宋体" w:eastAsia="黑体" w:cs="黑体"/>
          <w:i w:val="0"/>
          <w:caps w:val="0"/>
          <w:color w:val="auto"/>
          <w:spacing w:val="0"/>
          <w:sz w:val="32"/>
          <w:szCs w:val="32"/>
          <w:u w:val="none"/>
          <w:lang w:eastAsia="zh-CN"/>
        </w:rPr>
        <w:t>　一、高度重视重症病例医疗救治组织工作</w:t>
      </w:r>
      <w:r>
        <w:rPr>
          <w:rFonts w:hint="eastAsia"/>
          <w:lang w:eastAsia="zh-CN"/>
        </w:rPr>
        <w:br w:type="textWrapping"/>
      </w:r>
      <w:r>
        <w:rPr>
          <w:rFonts w:hint="eastAsia"/>
          <w:lang w:eastAsia="zh-CN"/>
        </w:rPr>
        <w:t>　</w:t>
      </w:r>
      <w:r>
        <w:rPr>
          <w:rFonts w:hint="eastAsia" w:ascii="仿宋" w:hAnsi="仿宋" w:eastAsia="仿宋" w:cs="仿宋"/>
          <w:lang w:eastAsia="zh-CN"/>
        </w:rPr>
        <w:t>　各地要高度重视新型冠状病毒感染的肺炎重症病例医疗救治工作，加强组织协调力度，统筹医疗资源，认真组织做好重症病例的医疗救治工作。要严格落实“集中患者、集中专家、集中资源、集中救治”原则，安排最强有力的医疗力量和医疗机构进行医疗救治。要进一步充实发热门诊、急诊和呼吸、重症等重点科室力量，加强人员药品物资保障。要成立省级重症病例医疗救治专家组，及时组织专家会诊，制定有效的医疗救治方案。</w:t>
      </w:r>
      <w:r>
        <w:rPr>
          <w:rFonts w:hint="eastAsia"/>
          <w:lang w:eastAsia="zh-CN"/>
        </w:rPr>
        <w:br w:type="textWrapping"/>
      </w:r>
      <w:bookmarkStart w:id="313" w:name="tiao_2"/>
      <w:bookmarkEnd w:id="313"/>
      <w:r>
        <w:rPr>
          <w:rFonts w:hint="eastAsia"/>
          <w:lang w:eastAsia="zh-CN"/>
        </w:rPr>
        <w:t>　　</w:t>
      </w:r>
      <w:r>
        <w:rPr>
          <w:rFonts w:hint="eastAsia" w:ascii="黑体" w:hAnsi="宋体" w:eastAsia="黑体" w:cs="黑体"/>
          <w:i w:val="0"/>
          <w:caps w:val="0"/>
          <w:color w:val="auto"/>
          <w:spacing w:val="0"/>
          <w:sz w:val="32"/>
          <w:szCs w:val="32"/>
          <w:u w:val="none"/>
          <w:lang w:eastAsia="zh-CN"/>
        </w:rPr>
        <w:t>二、规范开展医疗救治</w:t>
      </w:r>
      <w:r>
        <w:rPr>
          <w:rFonts w:hint="eastAsia"/>
          <w:lang w:eastAsia="zh-CN"/>
        </w:rPr>
        <w:br w:type="textWrapping"/>
      </w:r>
      <w:r>
        <w:rPr>
          <w:rFonts w:hint="eastAsia"/>
          <w:lang w:eastAsia="zh-CN"/>
        </w:rPr>
        <w:t>　</w:t>
      </w:r>
      <w:r>
        <w:rPr>
          <w:rFonts w:hint="eastAsia" w:ascii="仿宋" w:hAnsi="仿宋" w:eastAsia="仿宋" w:cs="仿宋"/>
          <w:lang w:eastAsia="zh-CN"/>
        </w:rPr>
        <w:t>　要加强对各级各类医疗机构医务人员培训，提高新型冠状病毒感染的肺炎早期识别和鉴别诊断能力，重点关注老年人和有基础疾病的特殊人群，密切观察病情变化。相关医疗机构要成立重症病例医疗救治工作组，按照《新型冠状病毒感染的肺炎重症、危重症病例诊疗方案（试行）》（见附件）要求，在对症治疗的基础上，积极防治并发症，及时进行器官功能支持，最大限度降低病死率。要对重症病例加强重点会诊，做好疑难危重病例讨论，对重症病例实施动态评估，及时调整治疗方案。</w:t>
      </w:r>
      <w:r>
        <w:rPr>
          <w:rFonts w:hint="eastAsia" w:ascii="仿宋" w:hAnsi="仿宋" w:eastAsia="仿宋" w:cs="仿宋"/>
          <w:lang w:eastAsia="zh-CN"/>
        </w:rPr>
        <w:br w:type="textWrapping"/>
      </w:r>
      <w:r>
        <w:rPr>
          <w:rFonts w:hint="eastAsia" w:ascii="仿宋" w:hAnsi="仿宋" w:eastAsia="仿宋" w:cs="仿宋"/>
          <w:lang w:eastAsia="zh-CN"/>
        </w:rPr>
        <w:t>　　根据患者病情严重程度确定治疗场所，疑似及确诊病例应在具备有效隔离条件和防护条件的定点医院隔离治疗，重症病例救治医院要成立本医院医疗救治工作组，选派责任心强、业务水平高的技术骨干力量参与医疗救治工作。</w:t>
      </w:r>
      <w:r>
        <w:rPr>
          <w:rFonts w:hint="eastAsia"/>
          <w:lang w:eastAsia="zh-CN"/>
        </w:rPr>
        <w:br w:type="textWrapping"/>
      </w:r>
      <w:bookmarkStart w:id="314" w:name="tiao_3"/>
      <w:bookmarkEnd w:id="314"/>
      <w:r>
        <w:rPr>
          <w:rFonts w:hint="eastAsia"/>
          <w:lang w:eastAsia="zh-CN"/>
        </w:rPr>
        <w:t>　　</w:t>
      </w:r>
      <w:r>
        <w:rPr>
          <w:rFonts w:hint="eastAsia" w:ascii="黑体" w:hAnsi="宋体" w:eastAsia="黑体" w:cs="黑体"/>
          <w:i w:val="0"/>
          <w:caps w:val="0"/>
          <w:color w:val="auto"/>
          <w:spacing w:val="0"/>
          <w:sz w:val="32"/>
          <w:szCs w:val="32"/>
          <w:u w:val="none"/>
          <w:lang w:eastAsia="zh-CN"/>
        </w:rPr>
        <w:t>三、严格落实重症病例转运和医院感染防控等措施</w:t>
      </w:r>
      <w:r>
        <w:rPr>
          <w:rFonts w:hint="eastAsia"/>
          <w:lang w:eastAsia="zh-CN"/>
        </w:rPr>
        <w:br w:type="textWrapping"/>
      </w:r>
      <w:r>
        <w:rPr>
          <w:rFonts w:hint="eastAsia"/>
          <w:lang w:eastAsia="zh-CN"/>
        </w:rPr>
        <w:t>　　</w:t>
      </w:r>
      <w:r>
        <w:rPr>
          <w:rFonts w:hint="eastAsia" w:ascii="仿宋" w:hAnsi="仿宋" w:eastAsia="仿宋" w:cs="仿宋"/>
          <w:lang w:eastAsia="zh-CN"/>
        </w:rPr>
        <w:t>重症病例应当尽快转运到本辖区综合力量最强，具备呼吸道传染病防护条件的医院。重症病例要专车转运，及时、科学、规范洗消；车上工作人员要按规定防护。医疗机构要加强院感防控培训，落实岗位职责，严格执行消毒隔离，科学实施个人防护措施。同时，医疗机构要加强临床实验室生物安全管理，尽最大努力避免医院感染发生。</w:t>
      </w:r>
      <w:r>
        <w:rPr>
          <w:rFonts w:hint="eastAsia" w:ascii="仿宋" w:hAnsi="仿宋" w:eastAsia="仿宋" w:cs="仿宋"/>
          <w:lang w:eastAsia="zh-CN"/>
        </w:rPr>
        <w:br w:type="textWrapping"/>
      </w:r>
      <w:bookmarkStart w:id="315" w:name="tiao_4"/>
      <w:bookmarkEnd w:id="315"/>
      <w:r>
        <w:rPr>
          <w:rFonts w:hint="eastAsia"/>
          <w:lang w:eastAsia="zh-CN"/>
        </w:rPr>
        <w:t>　　</w:t>
      </w:r>
      <w:r>
        <w:rPr>
          <w:rFonts w:hint="eastAsia" w:ascii="黑体" w:hAnsi="宋体" w:eastAsia="黑体" w:cs="黑体"/>
          <w:i w:val="0"/>
          <w:caps w:val="0"/>
          <w:color w:val="auto"/>
          <w:spacing w:val="0"/>
          <w:sz w:val="32"/>
          <w:szCs w:val="32"/>
          <w:u w:val="none"/>
          <w:lang w:eastAsia="zh-CN"/>
        </w:rPr>
        <w:t>四、准确掌握重症病例信息</w:t>
      </w:r>
      <w:r>
        <w:rPr>
          <w:rFonts w:hint="eastAsia"/>
          <w:lang w:eastAsia="zh-CN"/>
        </w:rPr>
        <w:br w:type="textWrapping"/>
      </w:r>
      <w:r>
        <w:rPr>
          <w:rFonts w:hint="eastAsia"/>
          <w:lang w:eastAsia="zh-CN"/>
        </w:rPr>
        <w:t>　　</w:t>
      </w:r>
      <w:r>
        <w:rPr>
          <w:rFonts w:hint="eastAsia" w:ascii="仿宋" w:hAnsi="仿宋" w:eastAsia="仿宋" w:cs="仿宋"/>
          <w:lang w:eastAsia="zh-CN"/>
        </w:rPr>
        <w:t>各省级卫生健康行政部门要掌握本辖区内重症病例医疗救治情况，及时按程序报告本地重症病例情况。各省份对本地重症病例要做到底数清、情况明，切实提高数据报送准确性，防止错报漏报，杜绝瞒报。要加强对重症病例的分析研判，如需要国家选派专家支援医疗救治，可向我委提出申请。</w:t>
      </w:r>
    </w:p>
    <w:p>
      <w:pPr>
        <w:widowControl w:val="0"/>
        <w:wordWrap/>
        <w:adjustRightInd/>
        <w:snapToGrid/>
        <w:spacing w:line="560" w:lineRule="exact"/>
        <w:textAlignment w:val="auto"/>
        <w:rPr>
          <w:rFonts w:hint="eastAsia" w:ascii="仿宋" w:hAnsi="仿宋" w:eastAsia="仿宋" w:cs="仿宋"/>
          <w:lang w:eastAsia="zh-CN"/>
        </w:rPr>
      </w:pPr>
    </w:p>
    <w:p>
      <w:pPr>
        <w:widowControl w:val="0"/>
        <w:wordWrap/>
        <w:adjustRightInd/>
        <w:snapToGrid/>
        <w:spacing w:line="560" w:lineRule="exact"/>
        <w:jc w:val="right"/>
        <w:textAlignment w:val="auto"/>
        <w:rPr>
          <w:rFonts w:hint="eastAsia" w:ascii="仿宋" w:hAnsi="仿宋" w:eastAsia="仿宋" w:cs="仿宋"/>
        </w:rPr>
      </w:pPr>
      <w:r>
        <w:rPr>
          <w:rFonts w:hint="eastAsia" w:ascii="仿宋" w:hAnsi="仿宋" w:eastAsia="仿宋" w:cs="仿宋"/>
        </w:rPr>
        <w:t>国家卫生健康委办公厅</w:t>
      </w:r>
    </w:p>
    <w:p>
      <w:pPr>
        <w:widowControl w:val="0"/>
        <w:wordWrap/>
        <w:adjustRightInd/>
        <w:snapToGrid/>
        <w:spacing w:line="560" w:lineRule="exact"/>
        <w:jc w:val="right"/>
        <w:textAlignment w:val="auto"/>
        <w:rPr>
          <w:rFonts w:hint="eastAsia" w:ascii="仿宋" w:hAnsi="仿宋" w:eastAsia="仿宋" w:cs="仿宋"/>
        </w:rPr>
      </w:pPr>
      <w:r>
        <w:rPr>
          <w:rFonts w:hint="eastAsia" w:ascii="仿宋" w:hAnsi="仿宋" w:eastAsia="仿宋" w:cs="仿宋"/>
        </w:rPr>
        <w:t>2020年1月22日</w:t>
      </w:r>
    </w:p>
    <w:p>
      <w:pPr>
        <w:widowControl w:val="0"/>
        <w:wordWrap/>
        <w:adjustRightInd/>
        <w:snapToGrid/>
        <w:spacing w:line="560" w:lineRule="exact"/>
        <w:textAlignment w:val="auto"/>
        <w:rPr>
          <w:rFonts w:hint="eastAsia" w:ascii="仿宋" w:hAnsi="仿宋" w:eastAsia="仿宋" w:cs="仿宋"/>
        </w:rPr>
      </w:pPr>
    </w:p>
    <w:p>
      <w:pPr>
        <w:widowControl w:val="0"/>
        <w:wordWrap/>
        <w:adjustRightInd/>
        <w:snapToGrid/>
        <w:spacing w:line="560" w:lineRule="exact"/>
        <w:textAlignment w:val="auto"/>
        <w:rPr>
          <w:rFonts w:hint="eastAsia" w:ascii="仿宋" w:hAnsi="仿宋" w:eastAsia="仿宋" w:cs="仿宋"/>
        </w:rPr>
      </w:pPr>
      <w:r>
        <w:rPr>
          <w:rFonts w:hint="eastAsia" w:ascii="仿宋" w:hAnsi="仿宋" w:eastAsia="仿宋" w:cs="仿宋"/>
        </w:rPr>
        <w:br w:type="textWrapping"/>
      </w:r>
    </w:p>
    <w:p>
      <w:pPr>
        <w:rPr>
          <w:rFonts w:hint="eastAsia" w:ascii="宋体" w:hAnsi="宋体" w:eastAsia="宋体" w:cs="Arial"/>
          <w:bCs/>
          <w:color w:val="auto"/>
          <w:sz w:val="44"/>
          <w:szCs w:val="44"/>
        </w:rPr>
      </w:pPr>
      <w:r>
        <w:rPr>
          <w:rFonts w:hint="eastAsia" w:ascii="宋体" w:hAnsi="宋体" w:eastAsia="宋体" w:cs="Arial"/>
          <w:bCs/>
          <w:color w:val="auto"/>
          <w:sz w:val="44"/>
          <w:szCs w:val="44"/>
        </w:rPr>
        <w:br w:type="page"/>
      </w:r>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316" w:name="_Toc13672"/>
      <w:r>
        <w:rPr>
          <w:rFonts w:hint="eastAsia" w:ascii="Times New Roman" w:hAnsi="Times New Roman" w:eastAsia="宋体" w:cs="Times New Roman"/>
          <w:bCs/>
          <w:kern w:val="44"/>
          <w:sz w:val="44"/>
          <w:szCs w:val="44"/>
          <w:lang w:val="en-US" w:eastAsia="zh-CN" w:bidi="ar-SA"/>
        </w:rPr>
        <w:t>人力资源社会保障部</w:t>
      </w:r>
      <w:r>
        <w:rPr>
          <w:rFonts w:hint="eastAsia" w:eastAsia="宋体" w:cs="Times New Roman"/>
          <w:bCs/>
          <w:kern w:val="44"/>
          <w:sz w:val="44"/>
          <w:szCs w:val="44"/>
          <w:lang w:val="en-US" w:eastAsia="zh-CN" w:bidi="ar-SA"/>
        </w:rPr>
        <w:t xml:space="preserve"> </w:t>
      </w:r>
      <w:r>
        <w:rPr>
          <w:rFonts w:hint="eastAsia" w:ascii="Times New Roman" w:hAnsi="Times New Roman" w:eastAsia="宋体" w:cs="Times New Roman"/>
          <w:bCs/>
          <w:kern w:val="44"/>
          <w:sz w:val="44"/>
          <w:szCs w:val="44"/>
          <w:lang w:val="en-US" w:eastAsia="zh-CN" w:bidi="ar-SA"/>
        </w:rPr>
        <w:t>财政部</w:t>
      </w:r>
      <w:r>
        <w:rPr>
          <w:rFonts w:hint="eastAsia" w:eastAsia="宋体" w:cs="Times New Roman"/>
          <w:bCs/>
          <w:kern w:val="44"/>
          <w:sz w:val="44"/>
          <w:szCs w:val="44"/>
          <w:lang w:val="en-US" w:eastAsia="zh-CN" w:bidi="ar-SA"/>
        </w:rPr>
        <w:t xml:space="preserve"> </w:t>
      </w:r>
      <w:r>
        <w:rPr>
          <w:rFonts w:hint="eastAsia" w:ascii="Times New Roman" w:hAnsi="Times New Roman" w:eastAsia="宋体" w:cs="Times New Roman"/>
          <w:bCs/>
          <w:kern w:val="44"/>
          <w:sz w:val="44"/>
          <w:szCs w:val="44"/>
          <w:lang w:val="en-US" w:eastAsia="zh-CN" w:bidi="ar-SA"/>
        </w:rPr>
        <w:t>国家卫生健康委关于因履行工作职责感染新型冠状病毒肺炎的医护及相关工作人员有关保障问题的通知</w:t>
      </w:r>
      <w:bookmarkEnd w:id="316"/>
    </w:p>
    <w:p>
      <w:pPr>
        <w:widowControl w:val="0"/>
        <w:wordWrap/>
        <w:adjustRightInd/>
        <w:snapToGrid/>
        <w:spacing w:line="560" w:lineRule="exac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人社部函〔2020〕11号</w:t>
      </w:r>
    </w:p>
    <w:p>
      <w:pPr>
        <w:widowControl w:val="0"/>
        <w:wordWrap/>
        <w:adjustRightInd/>
        <w:snapToGrid/>
        <w:spacing w:line="560" w:lineRule="exac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各省、自治区、直辖市及新疆生产建设兵团人力资源社会保障厅（局）、财政厅（局）、卫生健康委：</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为做好新型冠状病毒肺炎疫情防治工作，保障防治人员的权益，现就在此次新型冠状病毒肺炎预防和救治工作中，因履行工作职责而感染新型冠状病毒肺炎的医护及相关工作人员的有关保障问题通知如下：</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在新型冠状病毒肺炎预防和救治工作中，医护及相关工作人员因履行工作职责，感染新型冠状病毒肺炎或因感染新型冠状病毒肺炎死亡的，应认定为工伤，依法享受工伤保险待遇。</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已参加工伤保险的上述工作人员发生的相关费用，由工伤保险基金和单位按工伤保险有关规定支付；未参加工伤保险的，由用人单位按照法定标准支付，财政补助单位因此发生的费用，由同级财政予以补助。</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各级人力资源社会保障、财政、卫生健康行政部门要密切配合，搞好服务，及时共同做好上述人员的工伤认定和待遇支付工作。</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560" w:lineRule="exact"/>
        <w:jc w:val="righ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人力资源社会保障部</w:t>
      </w:r>
    </w:p>
    <w:p>
      <w:pPr>
        <w:widowControl w:val="0"/>
        <w:wordWrap/>
        <w:adjustRightInd/>
        <w:snapToGrid/>
        <w:spacing w:line="560" w:lineRule="exact"/>
        <w:jc w:val="righ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财政部</w:t>
      </w:r>
    </w:p>
    <w:p>
      <w:pPr>
        <w:widowControl w:val="0"/>
        <w:wordWrap/>
        <w:adjustRightInd/>
        <w:snapToGrid/>
        <w:spacing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国家卫生健康委</w:t>
      </w:r>
    </w:p>
    <w:p>
      <w:pPr>
        <w:widowControl w:val="0"/>
        <w:wordWrap/>
        <w:adjustRightInd/>
        <w:snapToGrid/>
        <w:spacing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2020年1月23日</w:t>
      </w:r>
    </w:p>
    <w:p>
      <w:pPr>
        <w:rPr>
          <w:rFonts w:hint="eastAsia" w:ascii="宋体" w:hAnsi="宋体" w:eastAsia="仿宋_GB2312" w:cs="仿宋_GB2312"/>
          <w:color w:val="000000"/>
          <w:sz w:val="32"/>
          <w:szCs w:val="32"/>
          <w:lang w:val="en-US" w:eastAsia="zh-CN"/>
        </w:rPr>
      </w:pPr>
    </w:p>
    <w:p>
      <w:pPr>
        <w:rPr>
          <w:rFonts w:hint="eastAsia" w:ascii="宋体" w:hAnsi="宋体" w:eastAsia="宋体" w:cs="Arial"/>
          <w:bCs/>
          <w:sz w:val="44"/>
          <w:szCs w:val="44"/>
          <w:lang w:val="en-US" w:eastAsia="zh-CN"/>
        </w:rPr>
      </w:pPr>
      <w:r>
        <w:rPr>
          <w:rFonts w:hint="eastAsia" w:ascii="宋体" w:hAnsi="宋体" w:eastAsia="仿宋_GB2312" w:cs="仿宋_GB2312"/>
          <w:color w:val="000000"/>
          <w:sz w:val="32"/>
          <w:szCs w:val="32"/>
          <w:lang w:val="en-US" w:eastAsia="zh-CN"/>
        </w:rPr>
        <w:br w:type="page"/>
      </w:r>
    </w:p>
    <w:p>
      <w:pPr>
        <w:widowControl w:val="0"/>
        <w:wordWrap/>
        <w:adjustRightInd/>
        <w:snapToGrid/>
        <w:spacing w:line="560" w:lineRule="exact"/>
        <w:ind w:right="0"/>
        <w:jc w:val="center"/>
        <w:textAlignment w:val="auto"/>
        <w:outlineLvl w:val="0"/>
        <w:rPr>
          <w:rFonts w:hint="eastAsia" w:ascii="宋体" w:hAnsi="宋体" w:eastAsia="宋体" w:cs="宋体"/>
          <w:color w:val="000000"/>
          <w:kern w:val="0"/>
          <w:sz w:val="44"/>
          <w:szCs w:val="44"/>
          <w:lang w:val="en-US" w:eastAsia="zh-CN"/>
        </w:rPr>
      </w:pPr>
      <w:bookmarkStart w:id="317" w:name="_Toc21409"/>
      <w:r>
        <w:rPr>
          <w:rFonts w:hint="eastAsia" w:ascii="宋体" w:hAnsi="宋体" w:eastAsia="宋体" w:cs="宋体"/>
          <w:color w:val="000000"/>
          <w:kern w:val="0"/>
          <w:sz w:val="44"/>
          <w:szCs w:val="44"/>
          <w:lang w:val="en-US" w:eastAsia="zh-CN"/>
        </w:rPr>
        <w:t>国家卫生健康委办公厅 民政部办公厅 公安部办公厅关于印发新型冠状病毒感染的肺炎患者遗体处置工作指引(试行)的通知</w:t>
      </w:r>
      <w:bookmarkEnd w:id="317"/>
    </w:p>
    <w:p>
      <w:pPr>
        <w:widowControl w:val="0"/>
        <w:wordWrap/>
        <w:adjustRightInd/>
        <w:snapToGrid/>
        <w:spacing w:line="560" w:lineRule="exact"/>
        <w:ind w:right="0"/>
        <w:jc w:val="center"/>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国卫办医函〔2020〕89号</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各省、自治区、直辖市及新疆生产建设兵团卫生健康委、民政厅（局）、公安厅（局）：</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现将《新型冠状病毒感染的肺炎患者遗体处置工作指引（试行）》印发给你们，请结合实际，认真贯彻执行。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640" w:firstLineChars="2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国家卫生健康委办公厅</w:t>
      </w:r>
    </w:p>
    <w:p>
      <w:pPr>
        <w:widowControl w:val="0"/>
        <w:wordWrap/>
        <w:adjustRightInd/>
        <w:snapToGrid/>
        <w:spacing w:line="560" w:lineRule="exact"/>
        <w:ind w:left="0" w:leftChars="0" w:right="0" w:firstLine="640" w:firstLineChars="2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民政部办公厅</w:t>
      </w:r>
    </w:p>
    <w:p>
      <w:pPr>
        <w:widowControl w:val="0"/>
        <w:wordWrap/>
        <w:adjustRightInd/>
        <w:snapToGrid/>
        <w:spacing w:line="560" w:lineRule="exact"/>
        <w:ind w:left="0" w:leftChars="0" w:right="0" w:firstLine="640" w:firstLineChars="2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公安部办公厅</w:t>
      </w:r>
    </w:p>
    <w:p>
      <w:pPr>
        <w:widowControl w:val="0"/>
        <w:wordWrap/>
        <w:adjustRightInd/>
        <w:snapToGrid/>
        <w:spacing w:line="560" w:lineRule="exact"/>
        <w:ind w:left="0" w:leftChars="0" w:right="0" w:firstLine="640" w:firstLineChars="2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2020年2月1日</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新型冠状病毒感染的肺炎患者遗体处置工作指引（试行）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为做好新型冠状病毒感染的肺炎患者（以下简称新冠肺炎患者）遗体处置工作，防范疾病传播风险，根据《中华人民共和国传染病防治法》和《重大突发事件遇难人员遗体处置工作规程》（民发〔2017〕38号）等有关要求，特制定本工作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一、总体要求</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按照以人为本、依法规范、及时稳妥、就近火化、疑似从有的原则，实行统一领导、分级负责、相互协同、属地管理，科学规范处置新冠肺炎患者遗体，加强卫生防护，防范疾病传播风险，保障人体健康和社会安全。</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二、责任分工</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医疗机构负责及时开具死亡医学证明，通知殡仪馆接运遗体，做好遗体消毒等卫生防疫处理工作。</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殡仪馆负责及时接运遗体，设立临时殡仪服务专用通道和专用火化炉，按照操作规程做好遗体火化工作，并开具火化证明。</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疾病预防控制机构负责监督指导卫生防疫工作，做好相关人员防护知识和技能培训，对殡仪车、火化设备和相关场所进行消毒处理。</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卫生健康行政部门负责制定遗体消毒等卫生防疫相关技术文件，指导医疗机构做好本机构内新冠肺炎患者遗体的规范处置。</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民政部门负责全面摸清本地区殡仪服务情况及可调用的资源状况，及时协调、指导殡仪馆等服务机构做好新冠肺炎患者遗体处置工作。</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公安机关负责对运输遗体的车辆优先给予通行便利，依法查处遗体转运过程中的违法犯罪行为。</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三、遗体处置流程</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（一）死亡报告。新冠肺炎患者死亡后，由所在医疗机构报告本级卫生健康行政部门，卫生健康行政部门通报本级民政部门，民政部门通知相关殡仪馆做好遗体接运、火化等准备工作。</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（二）卫生防疫处理。对于死亡的新冠肺炎患者遗体，由所在医疗机构医务人员按照《医疗机构内新型冠状病毒感染预防与控制技术指南（第一版）》的规定，对遗体进行消毒、密封，密封后严禁打开。</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手续交接。医疗机构应当在完成遗体卫生防疫处理、开具死亡证明、联系亲属同意火化后，第一时间联系殡仪馆尽快上门接运遗体，并在遗体交接单中注明已进行卫生防疫处理和立即火化意见。对新冠肺炎患者亲属拒不到场或拒不移送遗体的，由医疗机构、殡仪馆进行劝说，劝说无效的，由医疗机构签字后，将遗体交由殡仪馆直接火化，辖区公安机关配合做好相关工作。</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（四）遗体转运。遗体运送不得交由除殡仪馆以外的单位和个人承办。殡仪馆安排专职人员、专用运尸车到医疗机构指定地点，按指定路线将遗体转运到指定的专用运尸车上运至殡仪馆。</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（五）人员防护。疾病预防控制机构应当指导医务人员和遗体运送、处置人员等，按照疾病接触防护要求，进行卫生防护。</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（六）遗体火化。遗体运送到殡仪馆后，殡仪馆设置临时专用通道，由殡仪馆专职人员将遗体直接送入专用火化炉火化。遗体不得存放、探视，全程严禁打开密封遗体袋。</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（七）骨灰移交。火化结束后，由殡仪馆服务人员捡拾骨灰，并出具火化证明，一并交亲属取走。家属拒绝取走的，按照无人认领的遗体骨灰处理。</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（八）环境消毒。疾病预防控制机构对遗体运输车辆、设备工具、火化车间、遗体停留区域等进行严格消毒，对殡仪废弃物进行无害化处理。</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（九）信息管理。医疗机构和殡仪馆应当对新冠肺炎患者遗体处理情况及时登记和存入业务档案，处理情况应及时向同级疾病预防控制机构、民政部门报告。</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　四、相关规定</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在本省（区、市）内死亡的新冠肺炎患者遗体应当就近全部火化，不得采用埋葬或其它保存遗体方式，不得移运。本省（区、市）以外地区死亡的新冠肺炎患者遗体不得进入本省域，按照就近原则就地火化。</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（二）新冠肺炎患者死亡后，不得举行遗体告别仪式和利用遗体进行其它形式的丧葬活动。</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（三）少数民族新冠肺炎患者遗体，按照《传染病防治法》的规定，遗体必须就地火化。火化后骨灰可按照民族习俗进行安置。</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（四）在华外国人及港澳台人士因新型冠状病毒感染肺炎在境内死亡的，按照《传染病防治法》的规定，遗体必须就地火化。火化后的骨灰可按死者家属意愿运输出境。</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（五）对疑似新冠肺炎患者（包括采用隔离观察等防控措施的人员）的遗体，按照“疑似从有”的原则处理，防止疫情扩散。</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（六）遗体接运、火化等相关费用按照有关规定结算。</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附件：1.新型冠状病毒感染的肺炎死亡患者遗体运送人员防护标准及运送车辆消毒方法</w:t>
      </w:r>
    </w:p>
    <w:p>
      <w:pPr>
        <w:widowControl w:val="0"/>
        <w:wordWrap/>
        <w:adjustRightInd/>
        <w:snapToGrid/>
        <w:spacing w:line="560" w:lineRule="exact"/>
        <w:ind w:left="0" w:leftChars="0" w:right="0" w:firstLine="0" w:firstLineChars="0"/>
        <w:jc w:val="both"/>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2.新型冠状病毒感染肺炎死亡患者遗体交接单</w:t>
      </w:r>
      <w:r>
        <w:rPr>
          <w:rFonts w:hint="eastAsia" w:ascii="仿宋_GB2312" w:hAnsi="仿宋_GB2312" w:cs="仿宋_GB2312"/>
          <w:color w:val="000000"/>
          <w:kern w:val="0"/>
          <w:sz w:val="32"/>
          <w:szCs w:val="32"/>
          <w:lang w:val="en-US" w:eastAsia="zh-CN"/>
        </w:rPr>
        <w:t>(略)</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3.新型冠状病毒感染肺炎死亡患者遗体火化登记表</w:t>
      </w:r>
      <w:r>
        <w:rPr>
          <w:rFonts w:hint="eastAsia" w:ascii="仿宋_GB2312" w:hAnsi="仿宋_GB2312" w:cs="仿宋_GB2312"/>
          <w:color w:val="000000"/>
          <w:kern w:val="0"/>
          <w:sz w:val="32"/>
          <w:szCs w:val="32"/>
          <w:lang w:val="en-US" w:eastAsia="zh-CN"/>
        </w:rPr>
        <w:t>（略）</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p>
    <w:p>
      <w:pP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br w:type="page"/>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附件1</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center"/>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新型冠状病毒感染的肺炎死亡患者遗体运送人员防护标准及运送车辆消毒方法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一、遗体运送人员的防护</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参照《新型冠状病毒感染的肺炎防控方案 （第三版） 》及附件5《特定人群个人防护指南（第一版）》尸体处理人员自我防护标准，或者按照进入新型冠状病毒感染的肺炎患者/疑似患者隔离病室医务人员的防护要求。</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建议穿戴工作服、一次性工作帽、一次性手套和长袖加厚橡胶手套、一次性防护服、医用防护口罩、护目镜或防护面屏、工作鞋或胶靴等。运送人员要做好手卫生，可采用洗手液加流动水洗手或者使用速干手消毒剂。</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二、关于运送遗体车辆的消毒</w:t>
      </w:r>
    </w:p>
    <w:p>
      <w:pPr>
        <w:widowControl w:val="0"/>
        <w:wordWrap/>
        <w:adjustRightInd/>
        <w:snapToGrid/>
        <w:spacing w:line="560" w:lineRule="exact"/>
        <w:ind w:left="0" w:leftChars="0" w:right="0" w:firstLine="0" w:firstLineChars="0"/>
        <w:jc w:val="both"/>
        <w:textAlignment w:val="auto"/>
        <w:outlineLvl w:val="9"/>
        <w:rPr>
          <w:rFonts w:hint="eastAsia" w:ascii="Times New Roman" w:hAnsi="Times New Roman" w:eastAsia="宋体" w:cs="Times New Roman"/>
          <w:bCs/>
          <w:kern w:val="44"/>
          <w:sz w:val="44"/>
          <w:szCs w:val="44"/>
          <w:lang w:val="en-US" w:eastAsia="zh-CN" w:bidi="ar-SA"/>
        </w:rPr>
      </w:pPr>
      <w:r>
        <w:rPr>
          <w:rFonts w:hint="eastAsia" w:ascii="仿宋_GB2312" w:hAnsi="仿宋_GB2312" w:eastAsia="仿宋_GB2312" w:cs="仿宋_GB2312"/>
          <w:color w:val="000000"/>
          <w:kern w:val="0"/>
          <w:sz w:val="32"/>
          <w:szCs w:val="32"/>
          <w:lang w:val="en-US" w:eastAsia="zh-CN"/>
        </w:rPr>
        <w:t>　　运送车辆无可见污染物时，用1000mg/L的含氯消毒液或 500mg/L 的二氧化氯消毒剂进行喷洒至车辆内物体表面湿润，作用 30 分钟。运送车辆有可见污染物时，应先使用一次性吸水材料沾取5000mg/L～10000mg/L的含氯消毒液（或能达到高水平消毒的消毒湿巾/干巾）完全清除污染物，再按照车辆无可见污染物处理。喷洒消毒剂过程中注意保护精密仪器。</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318" w:name="_Toc15685"/>
      <w:r>
        <w:rPr>
          <w:rFonts w:hint="eastAsia" w:ascii="宋体" w:hAnsi="宋体" w:eastAsia="宋体" w:cs="宋体"/>
          <w:sz w:val="44"/>
          <w:szCs w:val="44"/>
        </w:rPr>
        <w:t>中央应对新型冠状病毒感染肺炎疫情工作领导小组关于全面落实进一步保护关心爱护医务</w:t>
      </w:r>
    </w:p>
    <w:p>
      <w:pPr>
        <w:widowControl w:val="0"/>
        <w:wordWrap/>
        <w:adjustRightInd/>
        <w:snapToGrid/>
        <w:spacing w:line="560" w:lineRule="exact"/>
        <w:jc w:val="center"/>
        <w:textAlignment w:val="auto"/>
        <w:outlineLvl w:val="0"/>
        <w:rPr>
          <w:rFonts w:hint="eastAsia" w:ascii="宋体" w:hAnsi="宋体" w:eastAsia="宋体" w:cs="宋体"/>
          <w:sz w:val="44"/>
          <w:szCs w:val="44"/>
        </w:rPr>
      </w:pPr>
      <w:r>
        <w:rPr>
          <w:rFonts w:hint="eastAsia" w:ascii="宋体" w:hAnsi="宋体" w:eastAsia="宋体" w:cs="宋体"/>
          <w:sz w:val="44"/>
          <w:szCs w:val="44"/>
        </w:rPr>
        <w:t>人员若干措施的通知</w:t>
      </w:r>
      <w:bookmarkEnd w:id="318"/>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楷体" w:hAnsi="楷体" w:eastAsia="楷体" w:cs="楷体"/>
          <w:sz w:val="32"/>
          <w:szCs w:val="32"/>
        </w:rPr>
      </w:pPr>
      <w:r>
        <w:rPr>
          <w:rFonts w:hint="eastAsia" w:ascii="楷体" w:hAnsi="楷体" w:eastAsia="楷体" w:cs="楷体"/>
          <w:sz w:val="32"/>
          <w:szCs w:val="32"/>
        </w:rPr>
        <w:t>国发明电〔2020〕5号</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各省、自治区、直辖市人民政府，国务院各部委、各直属机构：</w:t>
      </w: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新冠肺炎疫情发生以来，全国广大医务人员义无反顾冲上疫情防控第一线，同时间赛跑，与病魔较量，顽强拼搏、日夜奋战，以对党和人民高度负责的精神，为保护人民生命健康作出重大贡献。医务人员是战胜疫情的中坚力量，当前全国疫情防控进入关键时期，医务人员工作任务重、感染风险高、工作压力大，各地各有关部门务必高度重视对他们的保护、关心、爱护，加强各方面支持保障，解除他们的后顾之忧，使他们始终保持强大战斗力、昂扬斗志、旺盛精力，持续健康、心无旁骛投入战胜疫情斗争。现提出以下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一、提高疫情防治人员薪酬待遇。</w:t>
      </w:r>
      <w:r>
        <w:rPr>
          <w:rFonts w:hint="eastAsia" w:ascii="仿宋" w:hAnsi="仿宋" w:eastAsia="仿宋" w:cs="仿宋"/>
          <w:sz w:val="32"/>
          <w:szCs w:val="32"/>
        </w:rPr>
        <w:t>各地要按规定向参与疫情防治的医务人员发放临时性工作补助、核增一次性绩效工资总量、对卫生防疫人员落实卫生防疫津贴政策。在此基础上，疫情防控期间，将湖北省（含援鄂医疗队，下同）一线医务人员临时性工作补助相应标准提高1倍，并确保发放到位，中央财政对湖北省全额补助；及时核增医疗卫生机构一次性绩效工资总量，将湖北省一线医务人员薪酬水平提高2倍；扩大卫生防疫津贴发放范围，确保覆盖全体一线医务人员，所需经费按现行渠道解决。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二、做好工伤认定和待遇保障。</w:t>
      </w:r>
      <w:r>
        <w:rPr>
          <w:rFonts w:hint="eastAsia" w:ascii="仿宋" w:hAnsi="仿宋" w:eastAsia="仿宋" w:cs="仿宋"/>
          <w:sz w:val="32"/>
          <w:szCs w:val="32"/>
        </w:rPr>
        <w:t>各地要做好因履行工作职责感染新冠肺炎医务人员的工伤认定，开辟绿色通道、简化理赔程序，保障医务人员及时享受工伤保险待遇。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三、实施职称评聘倾斜措施。</w:t>
      </w:r>
      <w:r>
        <w:rPr>
          <w:rFonts w:hint="eastAsia" w:ascii="仿宋" w:hAnsi="仿宋" w:eastAsia="仿宋" w:cs="仿宋"/>
          <w:sz w:val="32"/>
          <w:szCs w:val="32"/>
        </w:rPr>
        <w:t>参加疫情防治的一线医务人员在职称评聘中优先申报、优先参评、优先聘任。医务人员参加疫情防治经历可视同为一年基层工作经历。参加疫情防治的一线医务人员晋升职称、晋升岗位等级不受本单位岗位结构比例限制。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四、落实一线医务人员生活保障。</w:t>
      </w:r>
      <w:r>
        <w:rPr>
          <w:rFonts w:hint="eastAsia" w:ascii="仿宋" w:hAnsi="仿宋" w:eastAsia="仿宋" w:cs="仿宋"/>
          <w:sz w:val="32"/>
          <w:szCs w:val="32"/>
        </w:rPr>
        <w:t>加强生活服务和后勤保障，为一线医务人员提供基础性疾病药物、卫生用品以及干净、营养、便捷的就餐服务。征用医院周边有条件的宾馆、招待所等固定场所，为一线医务人员提供舒适的生活休息环境和与家人隔离的必要条件。采取专车接送解决定点医院一线医务人员通勤问题。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五、加强医务人员个人防护。</w:t>
      </w:r>
      <w:r>
        <w:rPr>
          <w:rFonts w:hint="eastAsia" w:ascii="仿宋" w:hAnsi="仿宋" w:eastAsia="仿宋" w:cs="仿宋"/>
          <w:sz w:val="32"/>
          <w:szCs w:val="32"/>
        </w:rPr>
        <w:t>全力救治受感染的医务人员。加强对疫情防护物资的统筹调配，医用防护用品要重点向疫情防控一线投放使用，特别是要全力保障定点救治医院和发热门诊、集中隔离观察点等一线医务人员防护物资需求，最大限度减少院内感染。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六、确保轮换休整到位。</w:t>
      </w:r>
      <w:r>
        <w:rPr>
          <w:rFonts w:hint="eastAsia" w:ascii="仿宋" w:hAnsi="仿宋" w:eastAsia="仿宋" w:cs="仿宋"/>
          <w:sz w:val="32"/>
          <w:szCs w:val="32"/>
        </w:rPr>
        <w:t>合理安排一线医务人员轮休，做好轮休医务人员隔离保障，对长时间高负荷工作人员安排强制休息。提前做好一线医务人员后备力量储备，及时排查轮换因身体、心理等原因不适合继续在一线的医务人员。疫情结束后，及时组织一次免费健康体检和疗养休养，并适当增加休息和带薪休假时间。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七、及时做好心理调适疏导。</w:t>
      </w:r>
      <w:r>
        <w:rPr>
          <w:rFonts w:hint="eastAsia" w:ascii="仿宋" w:hAnsi="仿宋" w:eastAsia="仿宋" w:cs="仿宋"/>
          <w:sz w:val="32"/>
          <w:szCs w:val="32"/>
        </w:rPr>
        <w:t>加强对一线医务人员的心理干预和疏导，开展心理健康评估，强化心理援助措施，减轻医务人员心理压力。一线医务人员所在单位党组织要通过谈心谈话、关怀问候等方式，密切关注医务人员思想动态、情绪变化，做到心理问题早发现、早干预、早疏导。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八、切实落实有困难家庭的照顾帮扶。</w:t>
      </w:r>
      <w:r>
        <w:rPr>
          <w:rFonts w:hint="eastAsia" w:ascii="仿宋" w:hAnsi="仿宋" w:eastAsia="仿宋" w:cs="仿宋"/>
          <w:sz w:val="32"/>
          <w:szCs w:val="32"/>
        </w:rPr>
        <w:t>深入了解一线医务人员特别是援鄂医疗队队员家庭实际困难，建立台账，分类施策，切实解决一线医务人员后顾之忧。开通一线医务人员家属就医绿色通道，建立社区干部联系帮扶一线医务人员家庭制度，帮助解决老幼照护等实际困难。对于一线医务人员子女教育给予更多帮助关爱。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九、创造更加安全的执业环境。</w:t>
      </w:r>
      <w:r>
        <w:rPr>
          <w:rFonts w:hint="eastAsia" w:ascii="仿宋" w:hAnsi="仿宋" w:eastAsia="仿宋" w:cs="仿宋"/>
          <w:sz w:val="32"/>
          <w:szCs w:val="32"/>
        </w:rPr>
        <w:t>严格落实各项安全防范措施，加大力量投入，完善问责机制，维护医疗秩序，保障医务人员合法权益。对于伤害医务人员的，坚决依法严肃查处。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十、开展烈士褒扬和先进表彰。</w:t>
      </w:r>
      <w:r>
        <w:rPr>
          <w:rFonts w:hint="eastAsia" w:ascii="仿宋" w:hAnsi="仿宋" w:eastAsia="仿宋" w:cs="仿宋"/>
          <w:sz w:val="32"/>
          <w:szCs w:val="32"/>
        </w:rPr>
        <w:t>依法做好因疫情防控牺牲殉职人员的烈士评定和褒扬工作，全面做好抚恤优待。利用多种形式、渠道加大对医务人员职业精神的宣传力度。根据国家有关规定，开展医务人员及时奖励，对涌现出的先进典型进行及时表彰。对于获得表彰以及被认定为烈士的医务人员的子女，在入学升学方面按规定享受相关待遇。</w:t>
      </w: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地方各级党委和政府要按照党中央、国务院决策部署，坚决落实好以上政策措施，以高度负责的态度、务实到位的举措，切实保护关心爱护医务人员，为坚决打赢疫情防控阻击战提供有力保障。各级疫情防控工作领导小组要加强调度和督查，确保各项关心关爱政策落实到位。各级卫生健康部门要牵头逐一落实一线医务人员关心关爱政策措施，协调落实医务人员有关政策措施的资金保障，统筹用好党费、专项资金等各种渠道。各级人力资源社会保障部门要牵头进行政策统筹，分类研究提出具体建议，就相关政策形成具体化、易操作、可落地的措施和方案。各级财政部门要做好资金保障。各地医疗卫生机构要强化主体责任，结合实际做好相关保障工作，准确提供一线医务人员信息，确保精准、无遗漏。</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中央应对新型冠状病毒感染肺炎</w:t>
      </w: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疫情工作领导小组</w:t>
      </w: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2020年2月22日</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p>
    <w:p>
      <w:pPr>
        <w:rPr>
          <w:rFonts w:hint="eastAsia" w:ascii="宋体" w:hAnsi="宋体" w:eastAsia="宋体" w:cs="Arial"/>
          <w:bCs/>
          <w:color w:val="auto"/>
          <w:sz w:val="44"/>
          <w:szCs w:val="44"/>
        </w:rPr>
      </w:pPr>
      <w:r>
        <w:rPr>
          <w:rFonts w:hint="eastAsia" w:ascii="宋体" w:hAnsi="宋体" w:eastAsia="宋体" w:cs="Arial"/>
          <w:bCs/>
          <w:color w:val="auto"/>
          <w:sz w:val="44"/>
          <w:szCs w:val="44"/>
        </w:rPr>
        <w:br w:type="page"/>
      </w:r>
    </w:p>
    <w:p>
      <w:pPr>
        <w:wordWrap/>
        <w:adjustRightInd/>
        <w:snapToGrid/>
        <w:spacing w:line="560" w:lineRule="exact"/>
        <w:jc w:val="center"/>
        <w:textAlignment w:val="auto"/>
        <w:outlineLvl w:val="0"/>
        <w:rPr>
          <w:rFonts w:hint="eastAsia" w:ascii="宋体" w:hAnsi="宋体" w:eastAsia="宋体" w:cs="宋体"/>
          <w:sz w:val="44"/>
          <w:szCs w:val="44"/>
        </w:rPr>
      </w:pPr>
      <w:bookmarkStart w:id="319" w:name="_Toc2781"/>
      <w:r>
        <w:rPr>
          <w:rFonts w:hint="eastAsia" w:ascii="宋体" w:hAnsi="宋体" w:eastAsia="宋体" w:cs="宋体"/>
          <w:sz w:val="44"/>
          <w:szCs w:val="44"/>
        </w:rPr>
        <w:t>国务院应对新型冠状病毒肺炎疫情联防联控机制关于进一步推进分区分级恢复正常医疗服务工作的通知</w:t>
      </w:r>
      <w:bookmarkEnd w:id="319"/>
    </w:p>
    <w:p>
      <w:pPr>
        <w:wordWrap/>
        <w:adjustRightInd/>
        <w:snapToGrid/>
        <w:spacing w:line="560" w:lineRule="exact"/>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84848"/>
          <w:spacing w:val="0"/>
          <w:sz w:val="32"/>
          <w:szCs w:val="32"/>
          <w:u w:val="none"/>
          <w:lang w:eastAsia="zh-CN"/>
        </w:rPr>
      </w:pPr>
      <w:r>
        <w:rPr>
          <w:rFonts w:hint="eastAsia" w:ascii="楷体" w:hAnsi="楷体" w:eastAsia="楷体" w:cs="楷体"/>
          <w:i w:val="0"/>
          <w:caps w:val="0"/>
          <w:color w:val="484848"/>
          <w:spacing w:val="0"/>
          <w:sz w:val="32"/>
          <w:szCs w:val="32"/>
          <w:u w:val="none"/>
          <w:lang w:eastAsia="zh-CN"/>
        </w:rPr>
        <w:t>（</w:t>
      </w:r>
      <w:r>
        <w:rPr>
          <w:rFonts w:hint="eastAsia" w:ascii="楷体" w:hAnsi="楷体" w:eastAsia="楷体" w:cs="楷体"/>
          <w:i w:val="0"/>
          <w:caps w:val="0"/>
          <w:color w:val="484848"/>
          <w:spacing w:val="0"/>
          <w:sz w:val="32"/>
          <w:szCs w:val="32"/>
          <w:u w:val="none"/>
        </w:rPr>
        <w:t>联防联控机制发〔2020〕35号</w:t>
      </w:r>
      <w:r>
        <w:rPr>
          <w:rFonts w:hint="eastAsia" w:ascii="楷体" w:hAnsi="楷体" w:eastAsia="楷体" w:cs="楷体"/>
          <w:i w:val="0"/>
          <w:caps w:val="0"/>
          <w:color w:val="484848"/>
          <w:spacing w:val="0"/>
          <w:sz w:val="32"/>
          <w:szCs w:val="32"/>
          <w:u w:val="none"/>
          <w:lang w:eastAsia="zh-CN"/>
        </w:rPr>
        <w:t>）</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各省、自治区、直辖市及新疆生产建设兵团应对新型冠状病毒肺炎疫情联防联控机制（领导小组、指挥部）：</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为贯彻落实党中央关于统筹推进疫情防控和经济社会发展工作的决策部署，在分区分级差异化防控的基础上，加快恢复正常医疗服务，满足人民群众看病就医需求，维护群众健康权益，现将有关要求通知如下：</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一、充分认识恢复正常医疗服务的重要性</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新冠肺炎疫情发生以来，全国投入了大量医疗力量和医疗资源开展疫情防治工作，部分非新冠肺炎患者的医疗服务受到一定程度影响。各地要充分认识到，恢复正常医疗服务不仅直接关系到患者基本就医权利保障，关系到人民群众生命健康，也关系到民生改善和社会和谐稳定。要将加快恢复正常医疗服务、满足人民群众基本医疗需求，作为当前亟待解决的大事要事来抓。在前期分区分级恢复正常医疗服务工作的基础上，进一步结合当地实际，统筹医疗资源，以问题为导向，采取切实有效措施，推动医疗机构稳妥有序恢复正常医疗服务，保障人民群众就医需求。</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二、分区分级尽快恢复正常医疗服务</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各地要落实《国家卫生健康委办公厅关于进一步落实科学防治精准施策分区分级要求做好疫情期间医疗服务管理工作的通知》（国卫办医函〔2020〕162号），根据本地区划分的低风险、中风险、高风险等级，差异化推进医疗服务恢复工作。低风险地区尽快全面恢复医疗服务，门急诊、住院、手术、检验检查等工作要全面向患者提供，不得以疫情防控为由，暂停医疗服务。中风险地区尽快稳妥有序恢复医疗服务，在采取必要防控措施的同时，逐步加大医疗服务保障力度。高风险地区在继续集中精力抓好疫情防控的同时，做好急重症患者和特殊群体医疗服务保障，根据疫情态势恢复医疗服务。</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　三、加强医疗机构内部科学管理</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（一）制定精细化差异化管理方案。</w:t>
      </w:r>
      <w:r>
        <w:rPr>
          <w:rFonts w:hint="eastAsia" w:ascii="仿宋" w:hAnsi="仿宋" w:eastAsia="仿宋" w:cs="仿宋"/>
          <w:i w:val="0"/>
          <w:caps w:val="0"/>
          <w:color w:val="484848"/>
          <w:spacing w:val="0"/>
          <w:sz w:val="32"/>
          <w:szCs w:val="32"/>
          <w:u w:val="none"/>
        </w:rPr>
        <w:t>医疗机构主要负责人要直接组织有关力量，根据机构功能定位、专科特点、服务人口数量等因素，按照“一院一策、一科一策”的原则，制定并细化恢复正常医疗服务的工作方案。通过信息化等手段，测算各临床科室患者的就医需求，动态调整医疗用房、医务人员和相关物资的配备使用。针对不同科室或部门特点，采取灵活和差异化的管理措施，明确责任人，确定时间表和路线图，确保相关工作稳妥有序推进。</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（二）充分发挥互联网医疗优势。</w:t>
      </w:r>
      <w:r>
        <w:rPr>
          <w:rFonts w:hint="eastAsia" w:ascii="仿宋" w:hAnsi="仿宋" w:eastAsia="仿宋" w:cs="仿宋"/>
          <w:i w:val="0"/>
          <w:caps w:val="0"/>
          <w:color w:val="484848"/>
          <w:spacing w:val="0"/>
          <w:sz w:val="32"/>
          <w:szCs w:val="32"/>
          <w:u w:val="none"/>
        </w:rPr>
        <w:t>利用“互联网+医疗健康”，大力推行预约挂号、预约检查、分时段就诊。探索开展先线上后现场的两次预检分诊模式，合理分流患者，引导有序就医、分时段就医。加强远程医疗服务，开展远程会诊、远程辅助诊断，为异地患者在当地看病就医提供技术支持。鼓励已注册审批的互联网医院开展线上慢性病复诊、诊疗咨询等服务，加强慢性病药品配送保障。</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（三）保障急重症患者和特殊群体就医需求。</w:t>
      </w:r>
      <w:r>
        <w:rPr>
          <w:rFonts w:hint="eastAsia" w:ascii="仿宋" w:hAnsi="仿宋" w:eastAsia="仿宋" w:cs="仿宋"/>
          <w:i w:val="0"/>
          <w:caps w:val="0"/>
          <w:color w:val="484848"/>
          <w:spacing w:val="0"/>
          <w:sz w:val="32"/>
          <w:szCs w:val="32"/>
          <w:u w:val="none"/>
        </w:rPr>
        <w:t>各地区医疗机构要确保急诊急救全天候开放。研究采取切实有效措施，满足需长期用药（包括麻醉药品、精神药品等特殊药品）、血液透析等特殊治疗的慢性病患者，需定期放疗、化疗的血液、肿瘤等重大疾病患者，以及孕产妇、儿童、老年人、精神类疾病等特殊群体的医疗服务需求。对病情稳定的慢性病患者，可以按照规定开具12周以内的长期处方，由签约的基层医疗机构进行管理。</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（四）科学开展院内感染防控。</w:t>
      </w:r>
      <w:r>
        <w:rPr>
          <w:rFonts w:hint="eastAsia" w:ascii="仿宋" w:hAnsi="仿宋" w:eastAsia="仿宋" w:cs="仿宋"/>
          <w:i w:val="0"/>
          <w:caps w:val="0"/>
          <w:color w:val="484848"/>
          <w:spacing w:val="0"/>
          <w:sz w:val="32"/>
          <w:szCs w:val="32"/>
          <w:u w:val="none"/>
        </w:rPr>
        <w:t>坚持科学合理开展感染防控，避免防控不足和防控过度。医疗机构要加强感染防控队伍建设，对重点部门、重点环节、重点人群以及防控的基础设施、基本流程进行逐一梳理，摸排风险，改进不足。严格落实医疗机构分区管理要求，避免交叉感染。全院全员实行标准预防措施，在此基础上，根据操作风险等级实施额外防护。</w:t>
      </w:r>
      <w:r>
        <w:rPr>
          <w:rFonts w:hint="eastAsia" w:ascii="仿宋" w:hAnsi="仿宋" w:eastAsia="仿宋" w:cs="仿宋"/>
          <w:i w:val="0"/>
          <w:caps w:val="0"/>
          <w:color w:val="484848"/>
          <w:spacing w:val="0"/>
          <w:sz w:val="32"/>
          <w:szCs w:val="32"/>
          <w:u w:val="none"/>
        </w:rPr>
        <w:br w:type="textWrapping"/>
      </w:r>
      <w:r>
        <w:rPr>
          <w:rFonts w:hint="eastAsia" w:ascii="黑体" w:hAnsi="黑体" w:eastAsia="黑体" w:cs="黑体"/>
          <w:i w:val="0"/>
          <w:caps w:val="0"/>
          <w:color w:val="484848"/>
          <w:spacing w:val="0"/>
          <w:sz w:val="32"/>
          <w:szCs w:val="32"/>
          <w:u w:val="none"/>
        </w:rPr>
        <w:t>　　（五）持续加强医联体建设发展。</w:t>
      </w:r>
      <w:r>
        <w:rPr>
          <w:rFonts w:hint="eastAsia" w:ascii="仿宋" w:hAnsi="仿宋" w:eastAsia="仿宋" w:cs="仿宋"/>
          <w:i w:val="0"/>
          <w:caps w:val="0"/>
          <w:color w:val="484848"/>
          <w:spacing w:val="0"/>
          <w:sz w:val="32"/>
          <w:szCs w:val="32"/>
          <w:u w:val="none"/>
        </w:rPr>
        <w:t>加强城市医疗集团和县域医共体内各医疗机构的协调配合，纵向调动医疗资源，发挥基层医疗机构作用，进一步落实基层首诊、双向转诊、急慢分治、上下联动的要求，使常见病、多发病患者就近看病就医，减少跨区域异地流动就医。结合疫情防控工作，推动分级诊疗制度的有效落实。</w:t>
      </w:r>
      <w:r>
        <w:rPr>
          <w:rFonts w:hint="eastAsia" w:ascii="仿宋" w:hAnsi="仿宋" w:eastAsia="仿宋" w:cs="仿宋"/>
          <w:i w:val="0"/>
          <w:caps w:val="0"/>
          <w:color w:val="484848"/>
          <w:spacing w:val="0"/>
          <w:sz w:val="32"/>
          <w:szCs w:val="32"/>
          <w:u w:val="none"/>
        </w:rPr>
        <w:br w:type="textWrapping"/>
      </w:r>
      <w:r>
        <w:rPr>
          <w:rFonts w:hint="eastAsia" w:ascii="黑体" w:hAnsi="黑体" w:eastAsia="黑体" w:cs="黑体"/>
          <w:i w:val="0"/>
          <w:caps w:val="0"/>
          <w:color w:val="484848"/>
          <w:spacing w:val="0"/>
          <w:sz w:val="32"/>
          <w:szCs w:val="32"/>
          <w:u w:val="none"/>
        </w:rPr>
        <w:t>　　四、强化外部支持保障</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　（一）加强政策协调统筹。</w:t>
      </w:r>
      <w:r>
        <w:rPr>
          <w:rFonts w:hint="eastAsia" w:ascii="仿宋" w:hAnsi="仿宋" w:eastAsia="仿宋" w:cs="仿宋"/>
          <w:i w:val="0"/>
          <w:caps w:val="0"/>
          <w:color w:val="484848"/>
          <w:spacing w:val="0"/>
          <w:sz w:val="32"/>
          <w:szCs w:val="32"/>
          <w:u w:val="none"/>
        </w:rPr>
        <w:t>各地联防联控机制要将恢复正常医疗服务纳入本地区复工复产的整体工作中统筹考虑、协同推进。在推进复工复产的过程中，优先保障恢复正常医疗服务所必需的政策措施。向医疗机构提出的疫情防控要求应当与本地区风险等级保持一致，并积极为医疗机构解决在恢复医疗服务中面临的困难。</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　（二）制定相应激励政策。</w:t>
      </w:r>
      <w:r>
        <w:rPr>
          <w:rFonts w:hint="eastAsia" w:ascii="仿宋" w:hAnsi="仿宋" w:eastAsia="仿宋" w:cs="仿宋"/>
          <w:i w:val="0"/>
          <w:caps w:val="0"/>
          <w:color w:val="484848"/>
          <w:spacing w:val="0"/>
          <w:sz w:val="32"/>
          <w:szCs w:val="32"/>
          <w:u w:val="none"/>
        </w:rPr>
        <w:t>各地联防联控机制要制定激励医疗机构恢复正常医疗服务的政策措施，增强恢复医疗服务的内生动力。落实财政对公立医院的投入责任，用于政策性亏损补偿等，并对公立医院承担的公共卫生任务给予专项补助。鼓励预拨一定比例的医保基金，减轻医疗机构经济运行压力。要科学认识医疗机构内感染问题，保障开展感染防控工作所必需的场所、人员和经费支持。对以病人为中心、主动担当作为、严格落实感染防控各项规章制度、积极恢复正常医疗服务的医疗机构，要在学科建设、项目设立、资金安排、评优评先等工作中予以优先支持。</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（三）做好各类资源供应保障。</w:t>
      </w:r>
      <w:r>
        <w:rPr>
          <w:rFonts w:hint="eastAsia" w:ascii="仿宋" w:hAnsi="仿宋" w:eastAsia="仿宋" w:cs="仿宋"/>
          <w:i w:val="0"/>
          <w:caps w:val="0"/>
          <w:color w:val="484848"/>
          <w:spacing w:val="0"/>
          <w:sz w:val="32"/>
          <w:szCs w:val="32"/>
          <w:u w:val="none"/>
        </w:rPr>
        <w:t>各地要根据本地区疫情发展变化，及时对可调用的医疗场所、人力资源、防护物资等各类资源进行合理分配和调整，保证现有资源有效利用最大化。进一步加大无偿献血组织动员力度，统筹省内调配和省际调配，保障临床用血需求。加强药品、耗材等供应保障，及时畅通采购、配送渠道。科学测算医用防护物资需求，及时调配各类防护物资，确保正常医疗服务合理防护需求得到满足。</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（四）开展现场指导督查。</w:t>
      </w:r>
      <w:r>
        <w:rPr>
          <w:rFonts w:hint="eastAsia" w:ascii="仿宋" w:hAnsi="仿宋" w:eastAsia="仿宋" w:cs="仿宋"/>
          <w:i w:val="0"/>
          <w:caps w:val="0"/>
          <w:color w:val="484848"/>
          <w:spacing w:val="0"/>
          <w:sz w:val="32"/>
          <w:szCs w:val="32"/>
          <w:u w:val="none"/>
        </w:rPr>
        <w:t>将恢复正常医疗服务纳入各地疫情防控工作的督查内容，进一步加大现场指导和督查力度。督促医疗机构尽快恢复正常医疗服务，满足群众迫切的医疗需求，及时发现工作中存在的问题，协调解决新问题新困难。对恢复正常医疗服务组织或支持不力的有关部门及责任人，以及无特殊原因不恢复正常医疗服务或恢复迟缓的医疗机构及责任人，予以通报批评直至追责问责。</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（五）加强公众宣传引导。</w:t>
      </w:r>
      <w:r>
        <w:rPr>
          <w:rFonts w:hint="eastAsia" w:ascii="仿宋" w:hAnsi="仿宋" w:eastAsia="仿宋" w:cs="仿宋"/>
          <w:i w:val="0"/>
          <w:caps w:val="0"/>
          <w:color w:val="484848"/>
          <w:spacing w:val="0"/>
          <w:sz w:val="32"/>
          <w:szCs w:val="32"/>
          <w:u w:val="none"/>
        </w:rPr>
        <w:t>卫生健康行政部门和医疗机构要及时向社会公布医疗机构有关诊疗信息，方便群众查询了解，提前预约有序就诊。充分发挥主要媒体、专业媒体和新媒体作用，向公众客观介绍分级诊疗服务体系，提升公众对基层医疗服务的信心，引导合理就医。</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请各地对辖区内医疗机构及三级医院、二级医院等门急诊、住院等医疗服务情况加强监测，研判其恢复至正常医疗服务的程度（以相对于2019年同期服务量百分比表示），每周一12时前将前一周恢复情况以电子邮件形式报国务院应对新型冠状病毒肺炎疫情联防联控机制（电子邮件：</w:t>
      </w:r>
      <w:r>
        <w:rPr>
          <w:rFonts w:hint="eastAsia" w:ascii="仿宋" w:hAnsi="仿宋" w:eastAsia="仿宋" w:cs="仿宋"/>
          <w:i w:val="0"/>
          <w:caps w:val="0"/>
          <w:color w:val="484848"/>
          <w:spacing w:val="0"/>
          <w:sz w:val="32"/>
          <w:szCs w:val="32"/>
          <w:u w:val="none"/>
        </w:rPr>
        <w:fldChar w:fldCharType="begin"/>
      </w:r>
      <w:r>
        <w:rPr>
          <w:rFonts w:hint="eastAsia" w:ascii="仿宋" w:hAnsi="仿宋" w:eastAsia="仿宋" w:cs="仿宋"/>
          <w:i w:val="0"/>
          <w:caps w:val="0"/>
          <w:color w:val="484848"/>
          <w:spacing w:val="0"/>
          <w:sz w:val="32"/>
          <w:szCs w:val="32"/>
          <w:u w:val="none"/>
        </w:rPr>
        <w:instrText xml:space="preserve"> HYPERLINK "mailto:YLGLC@NHC.GOV.CN" </w:instrText>
      </w:r>
      <w:r>
        <w:rPr>
          <w:rFonts w:hint="eastAsia" w:ascii="仿宋" w:hAnsi="仿宋" w:eastAsia="仿宋" w:cs="仿宋"/>
          <w:i w:val="0"/>
          <w:caps w:val="0"/>
          <w:color w:val="484848"/>
          <w:spacing w:val="0"/>
          <w:sz w:val="32"/>
          <w:szCs w:val="32"/>
          <w:u w:val="none"/>
        </w:rPr>
        <w:fldChar w:fldCharType="separate"/>
      </w:r>
      <w:r>
        <w:rPr>
          <w:rStyle w:val="27"/>
          <w:rFonts w:hint="eastAsia" w:ascii="仿宋" w:hAnsi="仿宋" w:eastAsia="仿宋" w:cs="仿宋"/>
          <w:i w:val="0"/>
          <w:caps w:val="0"/>
          <w:color w:val="484848"/>
          <w:spacing w:val="0"/>
          <w:sz w:val="32"/>
          <w:szCs w:val="32"/>
          <w:u w:val="none"/>
        </w:rPr>
        <w:t>YLGLC@NHC.GOV.CN</w:t>
      </w:r>
      <w:r>
        <w:rPr>
          <w:rFonts w:hint="eastAsia" w:ascii="仿宋" w:hAnsi="仿宋" w:eastAsia="仿宋" w:cs="仿宋"/>
          <w:i w:val="0"/>
          <w:caps w:val="0"/>
          <w:color w:val="484848"/>
          <w:spacing w:val="0"/>
          <w:sz w:val="32"/>
          <w:szCs w:val="32"/>
          <w:u w:val="none"/>
        </w:rPr>
        <w:fldChar w:fldCharType="end"/>
      </w:r>
      <w:r>
        <w:rPr>
          <w:rFonts w:hint="eastAsia" w:ascii="仿宋" w:hAnsi="仿宋" w:eastAsia="仿宋" w:cs="仿宋"/>
          <w:i w:val="0"/>
          <w:caps w:val="0"/>
          <w:color w:val="484848"/>
          <w:spacing w:val="0"/>
          <w:sz w:val="32"/>
          <w:szCs w:val="32"/>
          <w:u w:val="none"/>
        </w:rPr>
        <w:t>）。首次报送时间为2020年3月30日，同时将联系人信息（姓名、单位、职务及联系电话）一并报送。完全恢复正常医疗服务后停止报送。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 国务院应对新型冠状病毒肺炎疫情联防联控机制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sz w:val="32"/>
          <w:szCs w:val="32"/>
        </w:rPr>
      </w:pPr>
      <w:r>
        <w:rPr>
          <w:rFonts w:hint="eastAsia" w:ascii="仿宋" w:hAnsi="仿宋" w:eastAsia="仿宋" w:cs="仿宋"/>
          <w:i w:val="0"/>
          <w:caps w:val="0"/>
          <w:color w:val="484848"/>
          <w:spacing w:val="0"/>
          <w:sz w:val="32"/>
          <w:szCs w:val="32"/>
          <w:u w:val="none"/>
        </w:rPr>
        <w:t>2020年3月20日</w:t>
      </w:r>
    </w:p>
    <w:p>
      <w:pPr>
        <w:rPr>
          <w:rFonts w:hint="eastAsia" w:ascii="宋体" w:hAnsi="宋体" w:eastAsia="宋体" w:cs="Arial"/>
          <w:bCs/>
          <w:color w:val="auto"/>
          <w:sz w:val="44"/>
          <w:szCs w:val="44"/>
        </w:rPr>
      </w:pPr>
      <w:r>
        <w:rPr>
          <w:rFonts w:hint="eastAsia" w:ascii="宋体" w:hAnsi="宋体" w:eastAsia="宋体" w:cs="Arial"/>
          <w:bCs/>
          <w:color w:val="auto"/>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320" w:name="_Toc15421"/>
      <w:r>
        <w:rPr>
          <w:rFonts w:hint="eastAsia" w:ascii="宋体" w:hAnsi="宋体" w:eastAsia="宋体" w:cs="Arial"/>
          <w:bCs/>
          <w:sz w:val="44"/>
          <w:szCs w:val="44"/>
          <w:lang w:val="en-US" w:eastAsia="zh-CN"/>
        </w:rPr>
        <w:t>财政部 国家卫生健康委 国家医疗保障局 国家中医药管理局关于印发基本公共卫生服务等5项补助资金管理办法的通知</w:t>
      </w:r>
      <w:bookmarkEnd w:id="320"/>
    </w:p>
    <w:p>
      <w:pPr>
        <w:widowControl w:val="0"/>
        <w:numPr>
          <w:ilvl w:val="0"/>
          <w:numId w:val="0"/>
        </w:numPr>
        <w:wordWrap/>
        <w:overflowPunct w:val="0"/>
        <w:spacing w:beforeAutospacing="0" w:afterAutospacing="0" w:line="560" w:lineRule="exact"/>
        <w:ind w:firstLine="646"/>
        <w:jc w:val="center"/>
        <w:textAlignment w:val="auto"/>
        <w:rPr>
          <w:rFonts w:hint="eastAsia" w:ascii="宋体" w:hAnsi="宋体" w:eastAsia="楷体_GB2312" w:cs="楷体_GB2312"/>
          <w:color w:val="000000"/>
          <w:sz w:val="32"/>
          <w:szCs w:val="32"/>
        </w:rPr>
      </w:pPr>
      <w:r>
        <w:rPr>
          <w:rFonts w:hint="eastAsia" w:ascii="宋体" w:hAnsi="宋体" w:eastAsia="宋体" w:cs="宋体"/>
          <w:bCs/>
          <w:kern w:val="2"/>
          <w:sz w:val="44"/>
          <w:szCs w:val="44"/>
          <w:lang w:val="en-US" w:eastAsia="zh-CN" w:bidi="ar-SA"/>
        </w:rPr>
        <w:br w:type="textWrapping"/>
      </w:r>
      <w:r>
        <w:rPr>
          <w:rFonts w:hint="eastAsia" w:ascii="楷体" w:hAnsi="楷体" w:eastAsia="楷体" w:cs="楷体"/>
          <w:color w:val="000000"/>
          <w:sz w:val="32"/>
          <w:szCs w:val="32"/>
        </w:rPr>
        <w:t>（财社〔2019〕113号）</w:t>
      </w:r>
    </w:p>
    <w:p>
      <w:pPr>
        <w:pStyle w:val="33"/>
        <w:wordWrap/>
        <w:spacing w:line="560" w:lineRule="exact"/>
        <w:textAlignment w:val="auto"/>
        <w:rPr>
          <w:rFonts w:hint="eastAsia"/>
        </w:rPr>
      </w:pPr>
    </w:p>
    <w:p>
      <w:pPr>
        <w:widowControl w:val="0"/>
        <w:wordWrap/>
        <w:overflowPunct w:val="0"/>
        <w:spacing w:beforeAutospacing="0" w:afterAutospacing="0" w:line="600" w:lineRule="exact"/>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各省、自治区、直辖市、计划单列市财政厅（局）、卫生健康委、医保局、中医药局，新疆生产建设兵团财政局、卫生健康委、医保局：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为规范和加强中央财政对地方转移支付资金管理，提高资金使用效益，根据《中华人民共和国预算法》《国务院办公厅关于印发医疗卫生领域中央与地方财政事权和支出责任划分改革方案的通知》等有关法律法规和政策要求，以及财政部转移支付资金等预算管理规定，我们修订了基本公共卫生服务等5项补助资金管理办法，现印发给你们，请遵照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附件：1.基本公共卫生服务补助资金管理办法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2.医疗服务与保障能力提升补助资金管理办法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3.基本药物制度补助资金管理办法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4.计划生育转移支付资金管理办法</w:t>
      </w:r>
      <w:r>
        <w:rPr>
          <w:rFonts w:hint="eastAsia" w:ascii="宋体" w:hAnsi="宋体" w:eastAsia="仿宋_GB2312" w:cs="仿宋_GB2312"/>
          <w:color w:val="000000"/>
          <w:sz w:val="32"/>
          <w:szCs w:val="32"/>
          <w:lang w:eastAsia="zh-CN"/>
        </w:rPr>
        <w:t>（省略）</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5.重大传染病防控补助资金管理办法</w:t>
      </w:r>
    </w:p>
    <w:p>
      <w:pPr>
        <w:pStyle w:val="33"/>
        <w:wordWrap/>
        <w:spacing w:line="600" w:lineRule="exact"/>
        <w:textAlignment w:val="auto"/>
        <w:rPr>
          <w:rFonts w:hint="eastAsia"/>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600" w:lineRule="exact"/>
        <w:jc w:val="righ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财　政　部</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国家卫生健康委</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国家医疗保障局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国家中医药管理局</w:t>
      </w:r>
      <w:r>
        <w:rPr>
          <w:rFonts w:hint="eastAsia" w:ascii="宋体" w:hAnsi="宋体" w:eastAsia="仿宋_GB2312" w:cs="仿宋_GB2312"/>
          <w:color w:val="000000"/>
          <w:sz w:val="32"/>
          <w:szCs w:val="32"/>
        </w:rPr>
        <w:br w:type="textWrapping"/>
      </w:r>
      <w:r>
        <w:rPr>
          <w:rFonts w:hint="eastAsia" w:ascii="仿宋" w:hAnsi="仿宋" w:eastAsia="仿宋" w:cs="仿宋"/>
          <w:color w:val="000000"/>
          <w:sz w:val="32"/>
          <w:szCs w:val="32"/>
        </w:rPr>
        <w:t>2019年7月26日</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jc w:val="righ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jc w:val="righ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jc w:val="right"/>
        <w:textAlignment w:val="auto"/>
        <w:rPr>
          <w:rFonts w:hint="eastAsia" w:ascii="宋体" w:hAnsi="宋体" w:eastAsia="仿宋_GB2312" w:cs="仿宋_GB2312"/>
          <w:color w:val="000000"/>
          <w:sz w:val="32"/>
          <w:szCs w:val="32"/>
        </w:rPr>
      </w:pPr>
    </w:p>
    <w:p>
      <w:pPr>
        <w:wordWrap/>
        <w:spacing w:line="560" w:lineRule="exact"/>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br w:type="page"/>
      </w: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黑体" w:cs="黑体"/>
          <w:color w:val="000000"/>
          <w:sz w:val="32"/>
          <w:szCs w:val="32"/>
        </w:rPr>
        <w:t>附件1：</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宋体" w:cs="宋体"/>
          <w:bCs/>
          <w:kern w:val="2"/>
          <w:sz w:val="44"/>
          <w:szCs w:val="44"/>
          <w:lang w:val="en-US" w:eastAsia="zh-CN" w:bidi="ar-SA"/>
        </w:rPr>
      </w:pPr>
      <w:r>
        <w:rPr>
          <w:rFonts w:hint="eastAsia" w:ascii="宋体" w:hAnsi="宋体" w:eastAsia="宋体" w:cs="宋体"/>
          <w:bCs/>
          <w:kern w:val="2"/>
          <w:sz w:val="44"/>
          <w:szCs w:val="44"/>
          <w:lang w:val="en-US" w:eastAsia="zh-CN" w:bidi="ar-SA"/>
        </w:rPr>
        <w:t>基本公共卫生服务补助资金管理办法</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仿宋_GB2312" w:cs="仿宋_GB2312"/>
          <w:bCs/>
          <w:kern w:val="2"/>
          <w:sz w:val="32"/>
          <w:szCs w:val="32"/>
          <w:lang w:val="en-US" w:eastAsia="zh-CN" w:bidi="ar-SA"/>
        </w:rPr>
      </w:pP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rPr>
        <w:t>第一条</w:t>
      </w:r>
      <w:r>
        <w:rPr>
          <w:rFonts w:hint="eastAsia" w:ascii="宋体" w:hAnsi="宋体" w:eastAsia="仿宋_GB2312" w:cs="仿宋_GB2312"/>
          <w:color w:val="000000"/>
          <w:sz w:val="32"/>
          <w:szCs w:val="32"/>
        </w:rPr>
        <w:t>　为规范和加强中央财政基本公共卫生服务补助资金管理，提高资金使用效益，根据《中华人民共和国预算法》《中共中央 国务院关于全面实施预算绩效管理的意见》《国务院办公厅关于印发医疗卫生领域中央与地方财政事权和支出责任划分改革方案的通知》（以下简称《改革方案》）等有关法律法规和政策要求，以及财政部转移支付资金等预算管理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　第二条</w:t>
      </w:r>
      <w:r>
        <w:rPr>
          <w:rFonts w:hint="eastAsia" w:ascii="宋体" w:hAnsi="宋体" w:eastAsia="仿宋_GB2312" w:cs="仿宋_GB2312"/>
          <w:color w:val="000000"/>
          <w:sz w:val="32"/>
          <w:szCs w:val="32"/>
        </w:rPr>
        <w:t>　基本公共卫生服务补助资金，是指通过共同财政事权转移支付方式安排，用于支持各地实施基本公共卫生服务项目的转移支付资金（以下简称转移支付资金）。实施期限根据医疗卫生领域中央与地方财政事权和支出责任划分改革方案的调整相应进行调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基本公共卫生服务包括健康教育、预防接种、重点人群健康管理等原基本公共卫生服务项目，以及按照《改革方案》要求，从原重大公共卫生服务和计划生育服务项目中划入的妇幼卫生、老年健康服务、医养结合、卫生应急、孕前检查等内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基本公共卫生服务项目的具体内容，由国家卫生健康委会同财政部，根据深化医药卫生体制改革的有关要求和年度工作任务、卫生健康事业发展规划以及财政预算情况研究确定。</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各级财政部门要按照基本公共卫生服务项目和经费标准足额安排转移支付资金预算，建立健全基本公共卫生服务经费保障机制，确保年度基本公共卫生工作任务保质保量完成。转移支付资金按照以下原则分配和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（一）合理规划，科学论证。合理规划基本公共卫生服务项目，科学论证项目可行性和必要性。</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（二）统一分配，分级管理。转移支付资金由中央财政统一分配，具体项目落实由各级卫生健康部门分级负责。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（三）讲求绩效，量效挂钩。转移支付资金实施全过程预算绩效管理，建立绩效评价结果与资金分配挂钩机制，提高转移支付资金使用效益。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　</w:t>
      </w:r>
      <w:r>
        <w:rPr>
          <w:rFonts w:hint="eastAsia" w:ascii="宋体" w:hAnsi="宋体" w:eastAsia="仿宋_GB2312" w:cs="仿宋_GB2312"/>
          <w:color w:val="000000"/>
          <w:sz w:val="32"/>
          <w:szCs w:val="32"/>
        </w:rPr>
        <w:t>财政部会同国家卫生健康委分配转移支付资金，指导督促省级财政和卫生健康部门按要求制定绩效目标并做好绩效自评，对资金进行监督管理。国家卫生健康委负责提供测算因素的数据，并对其准确性、及时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w:t>
      </w:r>
      <w:r>
        <w:rPr>
          <w:rFonts w:hint="eastAsia" w:ascii="宋体" w:hAnsi="宋体" w:eastAsia="仿宋_GB2312" w:cs="仿宋_GB2312"/>
          <w:color w:val="000000"/>
          <w:sz w:val="32"/>
          <w:szCs w:val="32"/>
        </w:rPr>
        <w:t>　转移支付资金采用因素法分配。</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分配转移支付资金时主要考虑各地实施基本公共卫生服务常住人口数量、国家基础标准、中央与地方分担比例等因素。某省（区、市）应拨付资金＝常住人口数量×国家基础标准×中央与地方分担比例＋绩效因素分配资金，其中绩效因素将根据项目总体执行情况确定相应权重，原则上不得低于5%。</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中央制定基本公共卫生服务国家基础标准，并根据经济社会发展情况和物价水平适时调整，确保基本公共卫生服务项目任务完成。</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基本公共卫生服务支出责任实行中央分档分担办法：第一档包括内蒙古、广西、重庆、四川、贵州、云南、西藏、陕西、甘肃、青海、宁夏、新疆12个省（自治区、直辖市），中央分担80%；第二档包括河北、山西、吉林、黑龙江、安徽、江西、河南、湖北、湖南、海南10个省，中央分担60%；第三档包括辽宁、福建、山东3个省，中央分担50%；第四档包括天津、江苏、浙江、广东4个省（直辖市）和大连、宁波、厦门、青岛、深圳5个计划单列市，中央分担30%；第五档包括北京、上海2个直辖市，中央分担10%。党中央、国务院明确规定比照享受相关区域政策的地区继续按相关规定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部门要会同卫生健康部门，根据国家确定的基本公共卫生服务项目、任务和国家基础标准，结合本地区疾病谱、防治工作需要、经济社会发展水平和财政承受能力，合理确定本地区基本公共卫生服务项目内容及各项服务的数量和地区标准，地区标准事先按程序报上级备案后执行，高出国家基础标准部分所需资金自行负担。</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　第七条</w:t>
      </w:r>
      <w:r>
        <w:rPr>
          <w:rFonts w:hint="eastAsia" w:ascii="宋体" w:hAnsi="宋体" w:eastAsia="仿宋_GB2312" w:cs="仿宋_GB2312"/>
          <w:color w:val="000000"/>
          <w:sz w:val="32"/>
          <w:szCs w:val="32"/>
        </w:rPr>
        <w:t>　根据《改革方案》文件要求，原基本公共卫生服务项目内容、资金按照相应的服务规范组织实施，主要用于城市社区卫生服务中心（站）、乡镇卫生院和村卫生室等基层医疗卫生机构提供基本公共卫生服务所需支出，也可用于其他非基层医疗卫生机构提供基本公共卫生服务所需支出，以及用于疾控等专业公共卫生机构指导开展基本公共卫生服务所需支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承担单位获得的原基本公共卫生服务项目转移支付资金，在核定服务任务和补助标准、绩效评价补助的基础上，可统筹用于经常性支出，包括人员经费、公用经费等，不得用于开展基本建设工程、购置大型设备等。新划入基本公共卫生服务的项目由各省份结合地方实际自主安排，资金不限于基层医疗卫生机构使用，主要用于需方补助、工作经费和能力建设等支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w:t>
      </w:r>
      <w:r>
        <w:rPr>
          <w:rFonts w:hint="eastAsia" w:ascii="宋体" w:hAnsi="宋体" w:eastAsia="仿宋_GB2312" w:cs="仿宋_GB2312"/>
          <w:color w:val="000000"/>
          <w:sz w:val="32"/>
          <w:szCs w:val="32"/>
        </w:rPr>
        <w:t>　中央财政按照预算法和预算管理有关规定，于每年10月31日前将下一年度转移支付资金预计数提前下达地方，并在全国人大批准预算后30日内正式下达转移支付资金预算。省级财政部门在收到中央财政转移支付资金预算后，应当在30日内正式下达到本行政区域县级以上各级财政部门，并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第九条</w:t>
      </w:r>
      <w:r>
        <w:rPr>
          <w:rFonts w:hint="eastAsia" w:ascii="宋体" w:hAnsi="宋体" w:eastAsia="仿宋_GB2312" w:cs="仿宋_GB2312"/>
          <w:color w:val="000000"/>
          <w:sz w:val="32"/>
          <w:szCs w:val="32"/>
        </w:rPr>
        <w:t>　各级财政、卫生健康部门应按照全面实施预算绩效管理的要求，强化绩效目标管理，做好绩效监控和绩效评价，并加强评价结果应用，确保提高转移支付资金配置效率和使用效益。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卫生健康部门负责业务指导和项目管理，会同财政部门建立健全绩效评价机制，并对相关工作进展和资金使用情况开展绩效评价。绩效评价原则上每年一次。国家卫生健康委、财政部根据需要对各省（区、市）项目开展和资金使用绩效评价工作予以复核，并以一定的项目实施期为限。根据复核结果组织财政部各地监管局开展重点绩效评价，必要时可以委托第三方机构开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转移支付资金分配与相关项目执行进度、绩效评价、预算监管和监督检查结果适当挂钩。绩效评价和重点绩效评价结果作为完善相关转移支付政策和以后年度预算申请、安排和对下分配的重要参考依据。各级卫生健康部门和财政部门要做好绩效管理信息公开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　第十条</w:t>
      </w:r>
      <w:r>
        <w:rPr>
          <w:rFonts w:hint="eastAsia" w:ascii="宋体" w:hAnsi="宋体" w:eastAsia="仿宋_GB2312" w:cs="仿宋_GB2312"/>
          <w:color w:val="000000"/>
          <w:sz w:val="32"/>
          <w:szCs w:val="32"/>
        </w:rPr>
        <w:t>　地方各级财政部门要积极推进购买服务机制，省级卫生健康部门要会同财政部门，做好各类基本公共卫生服务项目的成本测算，合理确定采购预算或最高限价。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w:t>
      </w:r>
      <w:r>
        <w:rPr>
          <w:rFonts w:hint="eastAsia" w:ascii="宋体" w:hAnsi="宋体" w:eastAsia="仿宋_GB2312" w:cs="仿宋_GB2312"/>
          <w:color w:val="000000"/>
          <w:sz w:val="32"/>
          <w:szCs w:val="32"/>
        </w:rPr>
        <w:t>　各级财政、卫生健康部门以及转移支付资金具体使用单位，要按照财政预算和国库管理有关规定，制定资金管理办法，加强资金管理，规范预算执行管理。转移支付资金原则上应在当年执行完毕，年度未支出的转移支付资金按财政部结转结余资金管理有关规定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转移支付资金的支付按照国库集中支付制度有关规定执行。资金使用过程中，涉及政府采购的，应当按照政府采购有关法律法规及制度执行。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第十二条</w:t>
      </w:r>
      <w:r>
        <w:rPr>
          <w:rFonts w:hint="eastAsia" w:ascii="宋体" w:hAnsi="宋体" w:eastAsia="仿宋_GB2312" w:cs="仿宋_GB2312"/>
          <w:color w:val="000000"/>
          <w:sz w:val="32"/>
          <w:szCs w:val="32"/>
        </w:rPr>
        <w:t>　转移支付资金依法接受财政、审计、监察等部门监督，必要时可以委托专业机构或具有资质的社会机构开展转移支付资金监督检查工作。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卫生健康部门负责本地区项目资金监督检查，及时发现和纠正有关问题，确保资金安全。省级财政部门会同相关部门在申报资金、下达资金、分配资金，以及下达绩效目标等绩效管理工作时，须将相关文件抄送财政部当地监管局。财政部各地监管局按照财政部要求，开展转移支付有关预算监管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第十三条</w:t>
      </w:r>
      <w:r>
        <w:rPr>
          <w:rFonts w:hint="eastAsia" w:ascii="宋体" w:hAnsi="宋体" w:eastAsia="仿宋_GB2312" w:cs="仿宋_GB2312"/>
          <w:color w:val="000000"/>
          <w:sz w:val="32"/>
          <w:szCs w:val="32"/>
        </w:rPr>
        <w:t>　各级财政、卫生健康部门及其工作人员在资金分配、监督等管理工作中，存在滥用职权、玩忽职守、徇私舞弊等违法违纪行为的，依照《中华人民共和国公务员法》《中华人民共和国监察法》《财政违法行为处罚处分条例》等国家有关规定追究相应责任；涉嫌犯罪的，依法移送司法机关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第十四条</w:t>
      </w:r>
      <w:r>
        <w:rPr>
          <w:rFonts w:hint="eastAsia" w:ascii="宋体" w:hAnsi="宋体" w:eastAsia="仿宋_GB2312" w:cs="仿宋_GB2312"/>
          <w:color w:val="000000"/>
          <w:sz w:val="32"/>
          <w:szCs w:val="32"/>
        </w:rPr>
        <w:t>　本办法由财政部会同国家卫生健康委负责解释。省级财政、卫生健康部门要结合当地实际，根据本办法制定具体实施细则，报财政部、国家卫生健康委备案，抄送财政部当地监管局。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第十五条</w:t>
      </w:r>
      <w:r>
        <w:rPr>
          <w:rFonts w:hint="eastAsia" w:ascii="宋体" w:hAnsi="宋体" w:eastAsia="仿宋_GB2312" w:cs="仿宋_GB2312"/>
          <w:color w:val="000000"/>
          <w:sz w:val="32"/>
          <w:szCs w:val="32"/>
        </w:rPr>
        <w:t>　本办法自2019年9月1日起施行，《财政部 卫生计生委 食品药品监管总局 中医药局关于印发＜公共卫生服务补助资金管理暂行办法＞的通知》（财社〔2015〕255号）、《财政部 卫生计生委 食品药品监管总局 中医药局关于修订＜公共卫生服务补助资金管理暂行办法＞的通知》（财社〔2016〕229号）同时废止。</w:t>
      </w: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br w:type="page"/>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rPr>
        <w:t>附件2：</w:t>
      </w: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医疗服务与保障能力提升补助资金</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管理办法</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0" w:firstLineChars="200"/>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lang w:eastAsia="zh-CN"/>
        </w:rPr>
        <w:t>第一条</w:t>
      </w:r>
      <w:r>
        <w:rPr>
          <w:rFonts w:hint="eastAsia" w:ascii="宋体" w:hAnsi="宋体" w:eastAsia="黑体" w:cs="黑体"/>
          <w:color w:val="000000"/>
          <w:sz w:val="32"/>
          <w:szCs w:val="32"/>
          <w:lang w:val="en-US" w:eastAsia="zh-CN"/>
        </w:rPr>
        <w:t xml:space="preserve">  </w:t>
      </w:r>
      <w:r>
        <w:rPr>
          <w:rFonts w:hint="eastAsia" w:ascii="宋体" w:hAnsi="宋体" w:eastAsia="仿宋_GB2312" w:cs="仿宋_GB2312"/>
          <w:color w:val="000000"/>
          <w:sz w:val="32"/>
          <w:szCs w:val="32"/>
        </w:rPr>
        <w:t>为规范和加强中央财政医疗服务与保障能力提升补助资金管理，提高资金使用的安全性和有效性，根据《中华人民共和国预算法》《中共中央 国务院关于全面实施预算绩效管理的意见》《国务院办公厅关于印发医疗卫生领域中央与地方财政事权和支出责任划分改革方案的通知》等有关法律法规和政策要求，以及财政部转移支付资金等预算管理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第二条</w:t>
      </w:r>
      <w:r>
        <w:rPr>
          <w:rFonts w:hint="eastAsia" w:ascii="宋体" w:hAnsi="宋体" w:eastAsia="仿宋_GB2312" w:cs="仿宋_GB2312"/>
          <w:color w:val="000000"/>
          <w:sz w:val="32"/>
          <w:szCs w:val="32"/>
        </w:rPr>
        <w:t>　医疗服务与保障能力提升补助资金，是指通过共同财政事权转移支付方式安排，用于支持医疗服务与保障能力提升方面的转移支付资金（以下简称转移支付资金）。实施期限根据医疗卫生领域中央与地方财政事权和支出责任划分改革方案的调整相应进行调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转移支付资金由财政部会同国家卫生健康委、国家医疗保障局、国家中医药管理局根据国务院《“健康中国2030”规划纲要》《中医药发展战略规划纲要（2016-2030年）》，以及深化医药卫生体制改革总体要求和工作部署安排使用，重点支持公立医院综合改革、医疗卫生机构能力建设、卫生健康人才培养、医疗保障服务能力建设、中医药事业传承与发展以及其他医改相关工作，具体内容和方式由财政部会同国家卫生健康委、国家医疗保障局、国家中医药管理局根据国务院有关要求、相关规划以及医疗服务与医疗保障领域年度重点工作安排研究确定。</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转移支付资金按照以下原则分配和管理：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（一）合理规划，科学论证。要按照健康中国战略和医改工作总体要求及相关规划，合理确定转移支付资金使用方向，并对转移支付资金支持项目的必要性、可行性等进行科学论证。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（二）统筹分配，保障重点。要统筹考虑健康中国战略和医改工作需要，合理安排转移支付资金预算，切实保障医疗服务与保障能力提升重点项目的资金需求。</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（三）讲求绩效，量效挂钩。转移支付资金实施全过程预算绩效管理，建立绩效评价结果与资金分配挂钩机制，提高转移支付资金使用效益。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w:t>
      </w:r>
      <w:r>
        <w:rPr>
          <w:rFonts w:hint="eastAsia" w:ascii="宋体" w:hAnsi="宋体" w:eastAsia="仿宋_GB2312" w:cs="仿宋_GB2312"/>
          <w:color w:val="000000"/>
          <w:sz w:val="32"/>
          <w:szCs w:val="32"/>
        </w:rPr>
        <w:t>　财政部会同国家卫生健康委、国家医疗保障局、国家中医药管理局分配转移支付资金，指导督促省级财政、卫生健康、医疗保障和中医药部门按要求制定绩效目标并做好绩效自评，对资金进行监督管理。中央有关部门负责提供测算因素的数据，并对其准确性、及时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w:t>
      </w:r>
      <w:r>
        <w:rPr>
          <w:rFonts w:hint="eastAsia" w:ascii="宋体" w:hAnsi="宋体" w:eastAsia="仿宋_GB2312" w:cs="仿宋_GB2312"/>
          <w:color w:val="000000"/>
          <w:sz w:val="32"/>
          <w:szCs w:val="32"/>
        </w:rPr>
        <w:t>　转移支付资金采用因素法分配。</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公立医院综合改革、卫生健康人才培养、医疗卫生机构能力建设补助资金分配主要考虑补助对象数量、补助标准等因素。其中：某省（区、市）公立医院综合改革应拨付资金＝补助对象数量×补助标准×人口系数×贫困系数（根据常住人口数量分档确定贫困倾斜系数）；某省（区、市）卫生健康人才培养和医疗卫生机构能力建设应拨付资金＝补助对象数量×补助标准。对已开展绩效评价的项目，将结合项目特点，安排不低于5%的资金根据绩效评价结果进行分配。</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医疗保障服务能力建设补助资金分配时主要考虑基础因素、工作任务量因素、绩效因素等因素。其中，基础因素和工作因素各占40%，绩效因素占20%。</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中医药事业传承与发展补助资金分配时主要考虑基础因素、工作任务量因素、绩效因素等因素。其中，基础因素占20%，工作任务量因素占60%，绩效因素占20%。</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第七条</w:t>
      </w:r>
      <w:r>
        <w:rPr>
          <w:rFonts w:hint="eastAsia" w:ascii="宋体" w:hAnsi="宋体" w:eastAsia="仿宋_GB2312" w:cs="仿宋_GB2312"/>
          <w:color w:val="000000"/>
          <w:sz w:val="32"/>
          <w:szCs w:val="32"/>
        </w:rPr>
        <w:t>　中央财政按照预算法和预算管理有关规定，于每年10月31日前将下一年度转移支付资金预计数提前下达地方，并在全国人大批准预算后30日内正式下达转移支付资金预算。省级财政部门在收到中央财政转移支付资金预算后，应当在30日内正式下达到本行政区域县级以上各级财政部门，并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　</w:t>
      </w:r>
      <w:r>
        <w:rPr>
          <w:rFonts w:hint="eastAsia" w:ascii="宋体" w:hAnsi="宋体" w:eastAsia="仿宋_GB2312" w:cs="仿宋_GB2312"/>
          <w:color w:val="000000"/>
          <w:sz w:val="32"/>
          <w:szCs w:val="32"/>
        </w:rPr>
        <w:t>各级财政、卫生健康、医疗保障、中医药部门应按照全面实施预算绩效管理的要求，强化绩效目标管理，做好绩效监控和绩效评价，并加强结果应用，确保提高转移支付资金配置效率和使用效益。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卫生健康、医疗保障、中医药部门负责业务指导和项目管理，会同财政部门建立健全绩效评价机制，并对相关工作进展和资金使用情况开展绩效评价。绩效评价原则上每年一次。国家卫生健康委、国家医疗保障局、国家中医药管理局、财政部根据需要对各省（区、市）项目开展和资金使用绩效评价工作予以复核，并以一定的项目实施期为限。根据复核结果组织财政部各地监管局开展重点绩效评价，必要时可以委托第三方机构开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转移支付资金分配与相关项目执行进度、绩效评价、预算监管和监督检查结果适当挂钩。绩效评价和重点绩效评价结果作为完善相关转移支付政策和以后年度预算申请、安排和对下分配的重要参考依据。各级卫生健康、医疗保障、中医药部门和财政部门要做好绩效管理信息公开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第九条</w:t>
      </w:r>
      <w:r>
        <w:rPr>
          <w:rFonts w:hint="eastAsia" w:ascii="宋体" w:hAnsi="宋体" w:eastAsia="仿宋_GB2312" w:cs="仿宋_GB2312"/>
          <w:color w:val="000000"/>
          <w:sz w:val="32"/>
          <w:szCs w:val="32"/>
        </w:rPr>
        <w:t>　地方各级财政部门要积极推进购买服务机制，省级卫生健康、医疗保障、中医药部门要会同财政部门，做好各类医疗服务与保障能力提升项目的成本测算，合理确定采购预算或最高限价。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第十条</w:t>
      </w:r>
      <w:r>
        <w:rPr>
          <w:rFonts w:hint="eastAsia" w:ascii="宋体" w:hAnsi="宋体" w:eastAsia="仿宋_GB2312" w:cs="仿宋_GB2312"/>
          <w:color w:val="000000"/>
          <w:sz w:val="32"/>
          <w:szCs w:val="32"/>
        </w:rPr>
        <w:t>　各级财政、卫生健康、医疗保障、中医药部门以及转移支付资金具体使用单位，要按照财政预算和国库管理有关规定，制定资金管理办法，加强资金管理，规范预算执行管理。转移支付资金原则上应在当年执行完毕，年度未支出的转移支付资金按财政部结转结余资金管理有关规定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转移支付资金的支付按照国库集中支付制度有关规定执行。资金使用过程中，涉及政府采购的，应当按照政府采购有关法律法规及制度执行。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w:t>
      </w:r>
      <w:r>
        <w:rPr>
          <w:rFonts w:hint="eastAsia" w:ascii="宋体" w:hAnsi="宋体" w:eastAsia="仿宋_GB2312" w:cs="仿宋_GB2312"/>
          <w:color w:val="000000"/>
          <w:sz w:val="32"/>
          <w:szCs w:val="32"/>
        </w:rPr>
        <w:t>　转移支付资金依法接受财政、审计、监察等部门监督，必要时可以委托专业机构或具有资质的社会机构开展转移支付资金监督检查工作。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财政、卫生健康、医疗保障、中医药部门要加强对资金使用情况的监督管理，认真开展转移支付资金管理和使用情况监督检查，及时发现和纠正有关问题。省级财政部门会同相关部门在申报资金、下达资金、分配资金，以及下达绩效目标等绩效管理工作时，须将相关文件抄送财政部当地监管局。财政部各地监管局按照财政部要求，开展转移支付有关预算监管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第十二条</w:t>
      </w:r>
      <w:r>
        <w:rPr>
          <w:rFonts w:hint="eastAsia" w:ascii="宋体" w:hAnsi="宋体" w:eastAsia="仿宋_GB2312" w:cs="仿宋_GB2312"/>
          <w:color w:val="000000"/>
          <w:sz w:val="32"/>
          <w:szCs w:val="32"/>
        </w:rPr>
        <w:t>　各级财政、卫生健康、医疗保障、中医药部门及其工作人员在资金分配、监督等管理工作中，存在滥用职权、玩忽职守、徇私舞弊等违法违纪行为的，依照《中华人民共和国公务员法》《中华人民共和国监察法》《财政违法行为处罚处分条例》等国家有关规定追究相应责任；涉嫌犯罪的，依法移送司法机关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第十三条</w:t>
      </w:r>
      <w:r>
        <w:rPr>
          <w:rFonts w:hint="eastAsia" w:ascii="宋体" w:hAnsi="宋体" w:eastAsia="仿宋_GB2312" w:cs="仿宋_GB2312"/>
          <w:color w:val="000000"/>
          <w:sz w:val="32"/>
          <w:szCs w:val="32"/>
        </w:rPr>
        <w:t>　本办法由财政部会同国家卫生健康委、国家医疗保障局、国家中医药管理局负责解释。各省级财政部门会同卫生健康、医疗保障、中医药部门根据本办法，结合本地实际，制定实施细则，报财政部、国家卫生健康委、国家医疗保障局、国家中医药管理局备案，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第十四条</w:t>
      </w:r>
      <w:r>
        <w:rPr>
          <w:rFonts w:hint="eastAsia" w:ascii="宋体" w:hAnsi="宋体" w:eastAsia="仿宋_GB2312" w:cs="仿宋_GB2312"/>
          <w:color w:val="000000"/>
          <w:sz w:val="32"/>
          <w:szCs w:val="32"/>
        </w:rPr>
        <w:t>　本办法自2019年9月1日起施行，《财政部 国家卫生计生委 国家中医药管理局关于印发＜医疗服务能力提升补助资金管理暂行办法＞的通知》（财社〔2016〕231号）同时废止。</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br w:type="page"/>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rPr>
        <w:t>附件3：</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320"/>
        <w:jc w:val="center"/>
        <w:textAlignment w:val="auto"/>
        <w:rPr>
          <w:rFonts w:hint="eastAsia" w:ascii="宋体" w:hAnsi="宋体" w:eastAsia="仿宋_GB2312" w:cs="仿宋_GB2312"/>
          <w:color w:val="000000"/>
          <w:sz w:val="32"/>
          <w:szCs w:val="32"/>
        </w:rPr>
      </w:pPr>
      <w:r>
        <w:rPr>
          <w:rFonts w:hint="eastAsia" w:ascii="宋体" w:hAnsi="宋体" w:eastAsia="宋体" w:cs="宋体"/>
          <w:color w:val="000000"/>
          <w:sz w:val="44"/>
          <w:szCs w:val="44"/>
        </w:rPr>
        <w:t>基本药物制度补助资金管理办法</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320"/>
        <w:jc w:val="center"/>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0" w:firstLineChars="200"/>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lang w:eastAsia="zh-CN"/>
        </w:rPr>
        <w:t>第一条</w:t>
      </w:r>
      <w:r>
        <w:rPr>
          <w:rFonts w:hint="eastAsia" w:ascii="宋体" w:hAnsi="宋体" w:eastAsia="仿宋_GB2312" w:cs="仿宋_GB2312"/>
          <w:color w:val="000000"/>
          <w:sz w:val="32"/>
          <w:szCs w:val="32"/>
        </w:rPr>
        <w:t>　为加强和规范中央财政支持基层医疗卫生机构实施国家基本药物制度补助资金的分配、使用和管理，根据《中华人民共和国预算法》《中共中央 国务院关于全面实施预算绩效管理的意见》《关于建立国家基本药物制度的实施意见》《国务院办公厅关于建立健全基层医疗卫生机构补偿机制的意见》《关于巩固完善基本药物制度和基层运行新机制的意见》和《国务院办公厅关于印发医疗卫生领域中央与地方财政事权和支出责任划分改革方案的通知》等文件规定，按照国家有关法律法规和财政规章制度，结合实际情况，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第二条</w:t>
      </w:r>
      <w:r>
        <w:rPr>
          <w:rFonts w:hint="eastAsia" w:ascii="宋体" w:hAnsi="宋体" w:eastAsia="仿宋_GB2312" w:cs="仿宋_GB2312"/>
          <w:color w:val="000000"/>
          <w:sz w:val="32"/>
          <w:szCs w:val="32"/>
        </w:rPr>
        <w:t>　本办法所称基层医疗卫生机构，包括城市社区卫生服务中心（站）、乡镇卫生院和村卫生室等机构。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基本药物制度补助资金，是指通过共同财政事权转移支付方式安排，用于支持基层医疗卫生机构实施国家基本药物制度、推进基层医疗卫生机构综合改革的转移支付资金（以下简称转移支付资金）。实施期限根据医疗卫生领域中央与地方财政事权和支出责任划分改革方案的调整相应进行调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转移支付资金按照以下原则分配和管理：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（一）合理规划，科学论证。要按照医改工作总体要求及相关规划，合理确定转移支付资金使用方向，并对转移支付资金支持项目的必要性、可行性等进行科学论证。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（二）强化管理，注重实效。要加强对转移支付资金分配、使用过程管理，规范各个环节的管理要求，明确相关主体的权利责任，保障转移支付资金安全、高效使用。</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（三）讲求绩效，量效挂钩。转移支付资金实施全过程预算绩效管理，建立绩效评价结果与资金分配挂钩机制，提高转移支付资金使用效益。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w:t>
      </w:r>
      <w:r>
        <w:rPr>
          <w:rFonts w:hint="eastAsia" w:ascii="宋体" w:hAnsi="宋体" w:eastAsia="仿宋_GB2312" w:cs="仿宋_GB2312"/>
          <w:color w:val="000000"/>
          <w:sz w:val="32"/>
          <w:szCs w:val="32"/>
        </w:rPr>
        <w:t>　财政部会同国家卫生健康委分配转移支付资金，指导督促省级财政和卫生健康部门按要求制定绩效目标并做好绩效自评，对资金进行监督管理。国家卫生健康委负责提供测算因素的数据，并对其准确性、及时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w:t>
      </w:r>
      <w:r>
        <w:rPr>
          <w:rFonts w:hint="eastAsia" w:ascii="宋体" w:hAnsi="宋体" w:eastAsia="仿宋_GB2312" w:cs="仿宋_GB2312"/>
          <w:color w:val="000000"/>
          <w:sz w:val="32"/>
          <w:szCs w:val="32"/>
        </w:rPr>
        <w:t>　转移支付资金采用因素法分配。分配时主要考虑补助标准、服务人口数量和地方财力状况等因素，并统筹考虑绩效评价结果进行结算（绩效因素权重原则上不低于5%）。对社区卫生服务中心（站）和乡镇卫生院，按照“核定任务、核定收支、绩效考核补助”的办法核定转移支付资金。对村卫生室，按乡村医生服务人口数量和人均标准核定转移支付资金，某省（区、市）应拨付资金＝服务人口数量×人均标准×中央与地方分担比例＋绩效因素分配资金。</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根据《中共中央 国务院关于打赢脱贫攻坚战的决定》等有关规定，在分配资金时结合实际进一步向深度贫困地区等贫困地区和贫困人口倾斜。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第七条</w:t>
      </w:r>
      <w:r>
        <w:rPr>
          <w:rFonts w:hint="eastAsia" w:ascii="宋体" w:hAnsi="宋体" w:eastAsia="仿宋_GB2312" w:cs="仿宋_GB2312"/>
          <w:color w:val="000000"/>
          <w:sz w:val="32"/>
          <w:szCs w:val="32"/>
        </w:rPr>
        <w:t>　对政府办社区卫生服务中心（站）和乡镇卫生院，转移支付资金主要用于弥补核定收支后的经常性收支差额补助、推进基层医疗卫生机构综合改革等符合政府卫生投入政策规定的支出。对在实施基本药物制度的村卫生室，转移支付资金主要用于乡村医生的收入补助。</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w:t>
      </w:r>
      <w:r>
        <w:rPr>
          <w:rFonts w:hint="eastAsia" w:ascii="宋体" w:hAnsi="宋体" w:eastAsia="仿宋_GB2312" w:cs="仿宋_GB2312"/>
          <w:color w:val="000000"/>
          <w:sz w:val="32"/>
          <w:szCs w:val="32"/>
        </w:rPr>
        <w:t>　中央财政按照预算法和预算管理有关规定，于每年10月31日前将下一年度转移支付资金预计数提前下达地方，并在全国人大批准预算后30日内正式下达转移支付资金预算。</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部门在收到中央财政转移支付资金预算后，应当在30日内正式下达到本行政区域县级以上各级财政部门，并抄送财政部当地监管局。市、县级财政、卫生健康部门要统筹分配使用上级财政和本级财政安排的转移支付资金。</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　第九条</w:t>
      </w:r>
      <w:r>
        <w:rPr>
          <w:rFonts w:hint="eastAsia" w:ascii="宋体" w:hAnsi="宋体" w:eastAsia="仿宋_GB2312" w:cs="仿宋_GB2312"/>
          <w:color w:val="000000"/>
          <w:sz w:val="32"/>
          <w:szCs w:val="32"/>
        </w:rPr>
        <w:t>　各级财政、卫生健康部门应按照全面实施预算绩效管理的要求，强化绩效目标管理，做好绩效监控和绩效评价，并加强结果应用，确保提高转移支付资金配置效率和使用效益。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卫生健康部门负责业务指导和项目管理，会同财政部门建立健全绩效评价机制，并对相关工作进展和资金使用情况开展绩效评价。绩效评价原则上每年一次。国家卫生健康委、财政部根据需要对各省（区、市）项目开展和资金使用绩效评价工作予以复核，并以一定的项目实施期为限。根据复核结果组织财政部各地监管局开展重点绩效评价，必要时可以委托第三方机构开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转移支付资金分配与相关项目执行进度、绩效评价、预算监管和监督检查结果适当挂钩。绩效评价和重点绩效评价结果作为完善相关转移支付政策和以后年度预算申请、安排和对下分配的重要参考依据。各级卫生健康部门和财政部门要做好绩效管理信息公开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第十条</w:t>
      </w:r>
      <w:r>
        <w:rPr>
          <w:rFonts w:hint="eastAsia" w:ascii="宋体" w:hAnsi="宋体" w:eastAsia="仿宋_GB2312" w:cs="仿宋_GB2312"/>
          <w:color w:val="000000"/>
          <w:sz w:val="32"/>
          <w:szCs w:val="32"/>
        </w:rPr>
        <w:t>　对政府办基层医疗卫生机构，有条件的地区要积极推进以购买服务的方式支付转移支付资金。对非政府办的社区卫生服务中心（站）和乡镇卫生院，按照自愿原则通过购买服务的方式支持实施基本药物制度。</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w:t>
      </w:r>
      <w:r>
        <w:rPr>
          <w:rFonts w:hint="eastAsia" w:ascii="宋体" w:hAnsi="宋体" w:eastAsia="仿宋_GB2312" w:cs="仿宋_GB2312"/>
          <w:color w:val="000000"/>
          <w:sz w:val="32"/>
          <w:szCs w:val="32"/>
        </w:rPr>
        <w:t>　各级财政、卫生健康部门以及转移支付资金具体使用单位，要按照财政预算和国库管理有关规定，制定资金管理办法，加强资金管理，规范预算执行管理。转移支付资金原则上应在当年执行完毕，年度未支出的转移支付资金按财政部结转结余资金管理有关规定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转移支付资金的支付按照国库集中支付制度有关规定执行。资金使用过程中，涉及政府采购的，应当按照政府采购有关法律法规及制度执行。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第十二条</w:t>
      </w:r>
      <w:r>
        <w:rPr>
          <w:rFonts w:hint="eastAsia" w:ascii="宋体" w:hAnsi="宋体" w:eastAsia="仿宋_GB2312" w:cs="仿宋_GB2312"/>
          <w:color w:val="000000"/>
          <w:sz w:val="32"/>
          <w:szCs w:val="32"/>
        </w:rPr>
        <w:t>　转移支付资金依法接受财政、审计、监察等部门监督，必要时可以委托专业机构或具有资质的社会机构开展转移支付资金监督检查工作。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卫生健康部门负责本地区项目资金监督检查，及时发现和纠正有关问题，确保资金安全。省级财政部门会同相关部门在申报资金、下达资金、分配资金，以及下达绩效目标等绩效管理工作时，须将相关文件抄送财政部当地监管局。财政部各地监管局按照财政部要求，开展转移支付有关预算监管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第十三条</w:t>
      </w:r>
      <w:r>
        <w:rPr>
          <w:rFonts w:hint="eastAsia" w:ascii="宋体" w:hAnsi="宋体" w:eastAsia="仿宋_GB2312" w:cs="仿宋_GB2312"/>
          <w:color w:val="000000"/>
          <w:sz w:val="32"/>
          <w:szCs w:val="32"/>
        </w:rPr>
        <w:t>　各级财政、卫生健康部门及其工作人员在资金分配、监督等管理工作中，存在滥用职权、玩忽职守、徇私舞弊等违法违纪行为的，依照《中华人民共和国公务员法》《中华人民共和国监察法》《财政违法行为处罚处分条例》等国家有关规定追究相应责任；涉嫌犯罪的，依法移送司法机关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第十四条</w:t>
      </w:r>
      <w:r>
        <w:rPr>
          <w:rFonts w:hint="eastAsia" w:ascii="宋体" w:hAnsi="宋体" w:eastAsia="仿宋_GB2312" w:cs="仿宋_GB2312"/>
          <w:color w:val="000000"/>
          <w:sz w:val="32"/>
          <w:szCs w:val="32"/>
        </w:rPr>
        <w:t>　本办法由财政部会同国家卫生健康委负责解释。省级财政、卫生健康部门要结合当地实际，根据本办法制定具体实施细则，报财政部、国家卫生健康委备案，抄送财政部当地监管局。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第十五条</w:t>
      </w:r>
      <w:r>
        <w:rPr>
          <w:rFonts w:hint="eastAsia" w:ascii="宋体" w:hAnsi="宋体" w:eastAsia="仿宋_GB2312" w:cs="仿宋_GB2312"/>
          <w:color w:val="000000"/>
          <w:sz w:val="32"/>
          <w:szCs w:val="32"/>
        </w:rPr>
        <w:t>　本办法自2019年9月1日起施行。《财政部 国家卫生计生委关于印发＜基层医疗卫生机构实施国家基本药物制度补助资金管理办法＞的通知》（财社〔2014〕139号）、《财政部 国家卫生计生委关于修订＜基层医疗卫生机构实施国家基本药物制度补助资金管理办法＞的通知》（财社〔2016〕227号）同时废止。</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jc w:val="left"/>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br w:type="page"/>
      </w:r>
    </w:p>
    <w:p>
      <w:pPr>
        <w:widowControl w:val="0"/>
        <w:numPr>
          <w:ilvl w:val="0"/>
          <w:numId w:val="0"/>
        </w:numPr>
        <w:wordWrap/>
        <w:overflowPunct w:val="0"/>
        <w:spacing w:beforeAutospacing="0" w:afterAutospacing="0" w:line="560" w:lineRule="exact"/>
        <w:jc w:val="left"/>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t>附件5：</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仿宋_GB2312" w:cs="仿宋_GB2312"/>
          <w:color w:val="000000"/>
          <w:sz w:val="32"/>
          <w:szCs w:val="32"/>
        </w:rPr>
      </w:pPr>
      <w:r>
        <w:rPr>
          <w:rFonts w:hint="eastAsia" w:ascii="宋体" w:hAnsi="宋体" w:eastAsia="宋体" w:cs="宋体"/>
          <w:color w:val="000000"/>
          <w:sz w:val="44"/>
          <w:szCs w:val="44"/>
        </w:rPr>
        <w:t>重大传染病防控补助资金管理办法</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0" w:firstLineChars="200"/>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lang w:eastAsia="zh-CN"/>
        </w:rPr>
        <w:t>第一条</w:t>
      </w:r>
      <w:r>
        <w:rPr>
          <w:rFonts w:hint="eastAsia" w:ascii="宋体" w:hAnsi="宋体" w:eastAsia="仿宋_GB2312" w:cs="仿宋_GB2312"/>
          <w:color w:val="000000"/>
          <w:sz w:val="32"/>
          <w:szCs w:val="32"/>
        </w:rPr>
        <w:t>　为规范和加强中央财政重大传染病防控补助资金（以下简称补助资金）管理，提高资金使用效益，根据《中华人民共和国预算法》《中共中央 国务院关于全面实施预算绩效管理的意见》《国务院办公厅关于印发医疗卫生领域中央与地方财政事权和支出责任划分改革方案的通知》等有关法律法规和政策要求，以及财政部转移支付资金等预算管理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第二条</w:t>
      </w:r>
      <w:r>
        <w:rPr>
          <w:rFonts w:hint="eastAsia" w:ascii="宋体" w:hAnsi="宋体" w:eastAsia="仿宋_GB2312" w:cs="仿宋_GB2312"/>
          <w:color w:val="000000"/>
          <w:sz w:val="32"/>
          <w:szCs w:val="32"/>
        </w:rPr>
        <w:t>　本办法所称补助资金，是指用于支持各地实施重大传染病防控的补助资金。实施期限至2023年，届时根据工作需要评估确定是否继续实施或延续期限。</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重大传染病防控主要包括纳入国家免疫规划的常规免疫及补充免疫，艾滋病、结核病、血吸虫病、包虫病防控，精神心理疾病综合管理、重大慢性病防控管理模式和适宜技术探索等全国性或跨区域的重大疾病防控内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重大传染病防控的具体内容，由国家卫生健康委会同财政部，根据深化医药卫生体制改革的有关要求和年度工作任务、卫生健康事业发展规划以及财政预算情况研究确定。</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补助资金按照以下原则分配和管理：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（一）合理规划，科学论证。合理规划重大传染病防控项目，科学论证项目可行性和必要性。</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（二）统一分配，分级管理。补助资金由中央财政统一分配，具体项目落实由各级卫生健康部门分级负责。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（三）讲求绩效，量效挂钩。转移支付资金实施全过程预算绩效管理，建立绩效评价结果与资金分配挂钩机制，提高转移支付资金使用效益。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w:t>
      </w:r>
      <w:r>
        <w:rPr>
          <w:rFonts w:hint="eastAsia" w:ascii="宋体" w:hAnsi="宋体" w:eastAsia="仿宋_GB2312" w:cs="仿宋_GB2312"/>
          <w:color w:val="000000"/>
          <w:sz w:val="32"/>
          <w:szCs w:val="32"/>
        </w:rPr>
        <w:t>　财政部会同国家卫生健康委分配转移支付资金，根据任务量和补助标准测算资金分配方案，指导督促省级财政和卫生健康部门按要求制定绩效目标并做好绩效自评，对资金进行监督管理。国家卫生健康委结合疾病谱、防治工作需要、经济社会发展水平和财政承受能力，提供各省（区、市）任务量、补助标准等数据，并对其准确性、及时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w:t>
      </w:r>
      <w:r>
        <w:rPr>
          <w:rFonts w:hint="eastAsia" w:ascii="宋体" w:hAnsi="宋体" w:eastAsia="仿宋_GB2312" w:cs="仿宋_GB2312"/>
          <w:color w:val="000000"/>
          <w:sz w:val="32"/>
          <w:szCs w:val="32"/>
        </w:rPr>
        <w:t>　重大传染病防控补助资金主要用于药品治疗等需方补助和医疗卫生机构开展随访管理，加强实验室建设和设备配置能力建设，以及开展相关工作所需经费等支出。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第七条</w:t>
      </w:r>
      <w:r>
        <w:rPr>
          <w:rFonts w:hint="eastAsia" w:ascii="宋体" w:hAnsi="宋体" w:eastAsia="仿宋_GB2312" w:cs="仿宋_GB2312"/>
          <w:color w:val="000000"/>
          <w:sz w:val="32"/>
          <w:szCs w:val="32"/>
        </w:rPr>
        <w:t>　中央财政按照预算法和预算管理有关规定，于每年10月31日前将下一年度补助资金预计数提前下达地方，并在全国人大批准预算后90日内正式下达补助资金预算。省级财政部门在收到中央财政补助资金预算后，应当在30日内正式下达到本行政区域县级以上各级财政部门，并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w:t>
      </w:r>
      <w:r>
        <w:rPr>
          <w:rFonts w:hint="eastAsia" w:ascii="宋体" w:hAnsi="宋体" w:eastAsia="仿宋_GB2312" w:cs="仿宋_GB2312"/>
          <w:color w:val="000000"/>
          <w:sz w:val="32"/>
          <w:szCs w:val="32"/>
        </w:rPr>
        <w:t>　各级财政、卫生健康部门应按照全面实施预算绩效管理的要求，强化绩效目标管理，做好绩效监控和绩效评价，并加强结果应用，确保提高转移支付资金配置效率和使用效益。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卫生健康部门负责业务指导和项目管理，会同财政部门建立健全绩效评价机制，并对相关工作进展和资金使用情况开展绩效评价。绩效评价原则上每年一次。国家卫生健康委、财政部根据需要对各省（区、市）项目开展和资金使用绩效评价工作予以复核，并以一定的项目实施期为限。根据复核结果组织财政部各地监管局开展重点绩效评价，必要时可以委托第三方机构开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补助资金分配与相关项目执行进度、绩效评价、预算监管和监督检查结果适当挂钩。绩效评价和重点绩效评价结果作为完善相关转移支付政策和以后年度预算申请、安排和对下分配的重要参考依据。各级卫生健康部门和财政部门要做好绩效管理信息公开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第九条</w:t>
      </w:r>
      <w:r>
        <w:rPr>
          <w:rFonts w:hint="eastAsia" w:ascii="宋体" w:hAnsi="宋体" w:eastAsia="仿宋_GB2312" w:cs="仿宋_GB2312"/>
          <w:color w:val="000000"/>
          <w:sz w:val="32"/>
          <w:szCs w:val="32"/>
        </w:rPr>
        <w:t>　地方各级财政部门要积极推进购买服务机制，省级卫生健康部门要会同财政部门，做好各类重大传染病防控项目的成本测算，合理确定采购预算或最高限价。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第十条</w:t>
      </w:r>
      <w:r>
        <w:rPr>
          <w:rFonts w:hint="eastAsia" w:ascii="宋体" w:hAnsi="宋体" w:eastAsia="仿宋_GB2312" w:cs="仿宋_GB2312"/>
          <w:color w:val="000000"/>
          <w:sz w:val="32"/>
          <w:szCs w:val="32"/>
        </w:rPr>
        <w:t>　各级财政、卫生健康部门以及补助资金具体使用单位，要按照财政预算和国库管理有关规定，制定资金管理办法，加强资金管理，规范预算执行管理。补助资金原则上应在当年执行完毕，年度未支出的补助资金按《中央对地方专项转移支付管理办法》等规定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补助资金的支付按照国库集中支付制度有关规定执行。资金使用过程中，涉及政府采购的，应当按照政府采购有关法律法规及制度执行。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w:t>
      </w:r>
      <w:r>
        <w:rPr>
          <w:rFonts w:hint="eastAsia" w:ascii="宋体" w:hAnsi="宋体" w:eastAsia="仿宋_GB2312" w:cs="仿宋_GB2312"/>
          <w:color w:val="000000"/>
          <w:sz w:val="32"/>
          <w:szCs w:val="32"/>
        </w:rPr>
        <w:t>　补助资金依法接受财政、审计、监察等部门监督，必要时可以委托专业机构或具有资质的社会机构开展补助资金监督检查工作。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卫生健康部门负责本地区项目资金监督检查，及时发现和纠正有关问题，确保资金安全。省级财政部门会同相关部门在申报资金、下达资金、分配资金，以及下达绩效目标等绩效管理工作时，须将相关文件抄送财政部当地监管局。财政部各地监管局按照财政部要求，开展转移支付有关预算监管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第十二条</w:t>
      </w:r>
      <w:r>
        <w:rPr>
          <w:rFonts w:hint="eastAsia" w:ascii="宋体" w:hAnsi="宋体" w:eastAsia="仿宋_GB2312" w:cs="仿宋_GB2312"/>
          <w:color w:val="000000"/>
          <w:sz w:val="32"/>
          <w:szCs w:val="32"/>
        </w:rPr>
        <w:t>　各级财政、卫生健康部门及其工作人员在资金分配、监督等管理工作中，存在滥用职权、玩忽职守、徇私舞弊等违法违纪行为的，依照《中华人民共和国公务员法》《中华人民共和国监察法》《财政违法行为处罚处分条例》等国家有关规定追究相应责任；涉嫌犯罪的，依法移送司法机关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第十三条</w:t>
      </w:r>
      <w:r>
        <w:rPr>
          <w:rFonts w:hint="eastAsia" w:ascii="宋体" w:hAnsi="宋体" w:eastAsia="仿宋_GB2312" w:cs="仿宋_GB2312"/>
          <w:color w:val="000000"/>
          <w:sz w:val="32"/>
          <w:szCs w:val="32"/>
        </w:rPr>
        <w:t>　本办法由财政部会同国家卫生健康委负责解释。省级财政、卫生健康部门要结合当地实际，根据本办法制定具体实施细则，报财政部、国家卫生健康委备案，抄送财政部当地监管局。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第十四条</w:t>
      </w:r>
      <w:r>
        <w:rPr>
          <w:rFonts w:hint="eastAsia" w:ascii="宋体" w:hAnsi="宋体" w:eastAsia="仿宋_GB2312" w:cs="仿宋_GB2312"/>
          <w:color w:val="000000"/>
          <w:sz w:val="32"/>
          <w:szCs w:val="32"/>
        </w:rPr>
        <w:t>　本办法自2019年9月1日起施行。</w:t>
      </w:r>
    </w:p>
    <w:p>
      <w:pPr>
        <w:rPr>
          <w:rFonts w:hint="eastAsia" w:ascii="宋体" w:hAnsi="宋体" w:eastAsia="宋体" w:cs="Arial"/>
          <w:bCs/>
          <w:color w:val="auto"/>
          <w:sz w:val="44"/>
          <w:szCs w:val="44"/>
        </w:rPr>
      </w:pPr>
      <w:r>
        <w:rPr>
          <w:rFonts w:hint="eastAsia" w:ascii="宋体" w:hAnsi="宋体" w:eastAsia="宋体" w:cs="Arial"/>
          <w:bCs/>
          <w:color w:val="auto"/>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rPr>
      </w:pPr>
      <w:bookmarkStart w:id="321" w:name="_Toc27798"/>
      <w:r>
        <w:rPr>
          <w:rFonts w:hint="eastAsia" w:ascii="宋体" w:hAnsi="宋体" w:eastAsia="宋体" w:cs="Arial"/>
          <w:bCs/>
          <w:color w:val="auto"/>
          <w:sz w:val="44"/>
          <w:szCs w:val="44"/>
        </w:rPr>
        <w:t>国家医疗保障局 财政部关于做好</w:t>
      </w:r>
      <w:bookmarkEnd w:id="321"/>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rPr>
      </w:pPr>
      <w:bookmarkStart w:id="322" w:name="_Toc5459"/>
      <w:r>
        <w:rPr>
          <w:rFonts w:hint="eastAsia" w:ascii="宋体" w:hAnsi="宋体" w:eastAsia="宋体" w:cs="Arial"/>
          <w:bCs/>
          <w:color w:val="auto"/>
          <w:sz w:val="44"/>
          <w:szCs w:val="44"/>
        </w:rPr>
        <w:t>新型冠状病毒感染的肺炎疫情</w:t>
      </w:r>
      <w:bookmarkEnd w:id="322"/>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rPr>
      </w:pPr>
      <w:bookmarkStart w:id="323" w:name="_Toc6195"/>
      <w:r>
        <w:rPr>
          <w:rFonts w:hint="eastAsia" w:ascii="宋体" w:hAnsi="宋体" w:eastAsia="宋体" w:cs="Arial"/>
          <w:bCs/>
          <w:color w:val="auto"/>
          <w:sz w:val="44"/>
          <w:szCs w:val="44"/>
        </w:rPr>
        <w:t>医疗保障的通知</w:t>
      </w:r>
      <w:bookmarkEnd w:id="323"/>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b w:val="0"/>
          <w:bCs/>
          <w:i w:val="0"/>
          <w:caps w:val="0"/>
          <w:color w:val="auto"/>
          <w:spacing w:val="0"/>
          <w:sz w:val="32"/>
          <w:szCs w:val="32"/>
          <w:shd w:val="clear" w:color="auto" w:fill="FFFFFF"/>
        </w:rPr>
      </w:pP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宋体" w:hAnsi="宋体" w:eastAsia="仿宋_GB2312" w:cs="仿宋_GB2312"/>
          <w:b w:val="0"/>
          <w:bCs/>
          <w:i w:val="0"/>
          <w:caps w:val="0"/>
          <w:color w:val="auto"/>
          <w:spacing w:val="0"/>
          <w:sz w:val="32"/>
          <w:szCs w:val="32"/>
          <w:shd w:val="clear" w:color="auto" w:fill="FFFFFF"/>
        </w:rPr>
        <w:t>各省、自治区、直辖市、新疆生产建设兵团医疗保障局，财政厅（局）：</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宋体" w:hAnsi="宋体" w:eastAsia="仿宋_GB2312" w:cs="仿宋_GB2312"/>
          <w:i w:val="0"/>
          <w:caps w:val="0"/>
          <w:color w:val="auto"/>
          <w:spacing w:val="0"/>
          <w:sz w:val="32"/>
          <w:szCs w:val="32"/>
          <w:shd w:val="clear" w:color="auto" w:fill="FFFFFF"/>
        </w:rPr>
        <w:t>近期，湖北省武汉市等多个地区发生新型冠状病毒感染的肺炎疫情，对此党中央、国务院高度重视，习近平总书记作出重要指示，要求把人民群众生命安全和身体健康放在第一位，必须引起高度重视，全力做好防控工作。李克强总理也对此作出批示，国务院联防联控机制进行专门部署。为认真贯彻落实党中央、国务院要求，现就有关事项通知如下：</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黑体" w:hAnsi="宋体" w:eastAsia="黑体" w:cs="黑体"/>
          <w:i w:val="0"/>
          <w:caps w:val="0"/>
          <w:color w:val="auto"/>
          <w:spacing w:val="0"/>
          <w:kern w:val="2"/>
          <w:sz w:val="32"/>
          <w:szCs w:val="32"/>
          <w:u w:val="none"/>
          <w:lang w:val="en-US" w:eastAsia="zh-CN" w:bidi="ar-SA"/>
        </w:rPr>
        <w:t>一、充分认识做好新型冠状病毒感染的肺炎疫情防治工作的重要性。</w:t>
      </w:r>
      <w:r>
        <w:rPr>
          <w:rFonts w:hint="eastAsia" w:ascii="宋体" w:hAnsi="宋体" w:eastAsia="仿宋_GB2312" w:cs="仿宋_GB2312"/>
          <w:i w:val="0"/>
          <w:caps w:val="0"/>
          <w:color w:val="auto"/>
          <w:spacing w:val="0"/>
          <w:sz w:val="32"/>
          <w:szCs w:val="32"/>
          <w:shd w:val="clear" w:color="auto" w:fill="FFFFFF"/>
        </w:rPr>
        <w:t>做好疫情防治工作，对于保障参保人员身体健康、维护社会和谐稳定，确保人民群众过一个安定祥和的春节具有重要意义。各级医保、财政部门要高度重视，以对人民群众健康高度负责的态度坚决贯彻落实党中央、国务院的有关部署。凡是发生疫情的省份，省级医保部门主要负责同志应当靠前指挥，建立专项工作机制，配合卫生健康等部门，积极做好联防联控工作。</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黑体" w:hAnsi="宋体" w:eastAsia="黑体" w:cs="黑体"/>
          <w:i w:val="0"/>
          <w:caps w:val="0"/>
          <w:color w:val="auto"/>
          <w:spacing w:val="0"/>
          <w:kern w:val="2"/>
          <w:sz w:val="32"/>
          <w:szCs w:val="32"/>
          <w:u w:val="none"/>
          <w:lang w:val="en-US" w:eastAsia="zh-CN" w:bidi="ar-SA"/>
        </w:rPr>
        <w:t>二、确保患者不因费用问题影响就医。</w:t>
      </w:r>
      <w:r>
        <w:rPr>
          <w:rFonts w:hint="eastAsia" w:ascii="宋体" w:hAnsi="宋体" w:eastAsia="仿宋_GB2312" w:cs="仿宋_GB2312"/>
          <w:i w:val="0"/>
          <w:caps w:val="0"/>
          <w:color w:val="auto"/>
          <w:spacing w:val="0"/>
          <w:sz w:val="32"/>
          <w:szCs w:val="32"/>
          <w:shd w:val="clear" w:color="auto" w:fill="FFFFFF"/>
        </w:rPr>
        <w:t>一是对于确诊新型冠状病毒感染的肺炎患者发生的医疗费用，在基本医保、大病保险、医疗救助等按规定支付后，个人负担部分由财政给予补助，实施综合保障。二是对于确诊新型冠状病毒感染的肺炎的异地就医患者，先救治后结算，报销不执行异地转外就医支付比例调减规定。三是确诊新型冠状病毒感染的肺炎患者使用的药品和医疗服务项目，符合卫生健康部门制定的新型冠状病毒感染的肺炎诊疗方案的，可临时性纳入医保基金支付范围。</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黑体" w:hAnsi="宋体" w:eastAsia="黑体" w:cs="黑体"/>
          <w:i w:val="0"/>
          <w:caps w:val="0"/>
          <w:color w:val="auto"/>
          <w:spacing w:val="0"/>
          <w:kern w:val="2"/>
          <w:sz w:val="32"/>
          <w:szCs w:val="32"/>
          <w:u w:val="none"/>
          <w:lang w:val="en-US" w:eastAsia="zh-CN" w:bidi="ar-SA"/>
        </w:rPr>
        <w:t>三、确保收治医院不因支付政策影响救治。</w:t>
      </w:r>
      <w:r>
        <w:rPr>
          <w:rFonts w:hint="eastAsia" w:ascii="宋体" w:hAnsi="宋体" w:eastAsia="仿宋_GB2312" w:cs="仿宋_GB2312"/>
          <w:i w:val="0"/>
          <w:caps w:val="0"/>
          <w:color w:val="auto"/>
          <w:spacing w:val="0"/>
          <w:sz w:val="32"/>
          <w:szCs w:val="32"/>
          <w:shd w:val="clear" w:color="auto" w:fill="FFFFFF"/>
        </w:rPr>
        <w:t>对收治患者较多的医疗机构，医保经办机构可预付部分资金，减轻医疗机构垫付压力。医保经办机构应及时调整有关医疗机构的总额预算指标，对新型冠状病毒感染的肺炎患者医疗费用单列预算。各级医保经办机构要确保与医疗机构及时结算，保证救治工作顺利进行。</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黑体" w:hAnsi="宋体" w:eastAsia="黑体" w:cs="黑体"/>
          <w:i w:val="0"/>
          <w:caps w:val="0"/>
          <w:color w:val="auto"/>
          <w:spacing w:val="0"/>
          <w:kern w:val="2"/>
          <w:sz w:val="32"/>
          <w:szCs w:val="32"/>
          <w:u w:val="none"/>
          <w:lang w:val="en-US" w:eastAsia="zh-CN" w:bidi="ar-SA"/>
        </w:rPr>
        <w:t>四、确保假期工作平稳有序。</w:t>
      </w:r>
      <w:r>
        <w:rPr>
          <w:rFonts w:hint="eastAsia" w:ascii="宋体" w:hAnsi="宋体" w:eastAsia="仿宋_GB2312" w:cs="仿宋_GB2312"/>
          <w:i w:val="0"/>
          <w:caps w:val="0"/>
          <w:color w:val="auto"/>
          <w:spacing w:val="0"/>
          <w:sz w:val="32"/>
          <w:szCs w:val="32"/>
          <w:shd w:val="clear" w:color="auto" w:fill="FFFFFF"/>
        </w:rPr>
        <w:t>各级医保、财政部门要加强春节假期的值班值守，完善值班制度，不折不扣落实各项政策任务。各地医保经办机构要配备足够的人员，做到春节假期经办服务不间断。要做好基金收支的动态监测和统计分析工作，各省（区、市）医疗保障局自1月31日起每周五下班前向国家医疗保障局报送本省（区、市）新型冠状病毒感染的肺炎患者治疗人数、医疗费用、医保和医疗救助基金支出等情况。</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宋体" w:hAnsi="宋体" w:eastAsia="仿宋_GB2312" w:cs="仿宋_GB2312"/>
          <w:i w:val="0"/>
          <w:caps w:val="0"/>
          <w:color w:val="auto"/>
          <w:spacing w:val="0"/>
          <w:sz w:val="32"/>
          <w:szCs w:val="32"/>
          <w:shd w:val="clear" w:color="auto" w:fill="FFFFFF"/>
        </w:rPr>
        <w:t>各省（区、市）在工作中遇到的重大问题和情况，请及时向国家医疗保障局、财政部报告。</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4800" w:firstLineChars="1500"/>
        <w:jc w:val="both"/>
        <w:textAlignment w:val="auto"/>
        <w:rPr>
          <w:rFonts w:hint="eastAsia" w:ascii="宋体" w:hAnsi="宋体" w:eastAsia="仿宋_GB2312" w:cs="仿宋_GB2312"/>
          <w:b w:val="0"/>
          <w:bCs/>
          <w:i w:val="0"/>
          <w:caps w:val="0"/>
          <w:color w:val="auto"/>
          <w:spacing w:val="0"/>
          <w:sz w:val="32"/>
          <w:szCs w:val="32"/>
          <w:shd w:val="clear" w:color="auto" w:fill="FFFFFF"/>
        </w:rPr>
      </w:pP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4800" w:firstLineChars="1500"/>
        <w:jc w:val="right"/>
        <w:textAlignment w:val="auto"/>
        <w:rPr>
          <w:rFonts w:hint="eastAsia" w:ascii="宋体" w:hAnsi="宋体" w:cs="仿宋_GB2312"/>
          <w:b w:val="0"/>
          <w:bCs/>
          <w:i w:val="0"/>
          <w:caps w:val="0"/>
          <w:color w:val="auto"/>
          <w:spacing w:val="0"/>
          <w:sz w:val="32"/>
          <w:szCs w:val="32"/>
          <w:shd w:val="clear" w:color="auto" w:fill="FFFFFF"/>
          <w:lang w:val="en-US" w:eastAsia="zh-CN"/>
        </w:rPr>
      </w:pPr>
      <w:r>
        <w:rPr>
          <w:rFonts w:hint="eastAsia" w:ascii="宋体" w:hAnsi="宋体" w:eastAsia="仿宋_GB2312" w:cs="仿宋_GB2312"/>
          <w:b w:val="0"/>
          <w:bCs/>
          <w:i w:val="0"/>
          <w:caps w:val="0"/>
          <w:color w:val="auto"/>
          <w:spacing w:val="0"/>
          <w:sz w:val="32"/>
          <w:szCs w:val="32"/>
          <w:shd w:val="clear" w:color="auto" w:fill="FFFFFF"/>
        </w:rPr>
        <w:t>国家医疗保障局</w:t>
      </w:r>
      <w:r>
        <w:rPr>
          <w:rFonts w:hint="eastAsia" w:ascii="宋体" w:hAnsi="宋体" w:cs="仿宋_GB2312"/>
          <w:b w:val="0"/>
          <w:bCs/>
          <w:i w:val="0"/>
          <w:caps w:val="0"/>
          <w:color w:val="auto"/>
          <w:spacing w:val="0"/>
          <w:sz w:val="32"/>
          <w:szCs w:val="32"/>
          <w:shd w:val="clear" w:color="auto" w:fill="FFFFFF"/>
          <w:lang w:val="en-US" w:eastAsia="zh-CN"/>
        </w:rPr>
        <w:t xml:space="preserve"> </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4800" w:firstLineChars="1500"/>
        <w:jc w:val="right"/>
        <w:textAlignment w:val="auto"/>
        <w:rPr>
          <w:rFonts w:hint="eastAsia" w:ascii="宋体" w:hAnsi="宋体" w:eastAsia="仿宋_GB2312" w:cs="仿宋_GB2312"/>
          <w:b w:val="0"/>
          <w:bCs/>
          <w:i w:val="0"/>
          <w:caps w:val="0"/>
          <w:color w:val="auto"/>
          <w:spacing w:val="0"/>
          <w:sz w:val="32"/>
          <w:szCs w:val="32"/>
        </w:rPr>
      </w:pPr>
      <w:r>
        <w:rPr>
          <w:rFonts w:hint="eastAsia" w:ascii="宋体" w:hAnsi="宋体" w:eastAsia="仿宋_GB2312" w:cs="仿宋_GB2312"/>
          <w:b w:val="0"/>
          <w:bCs/>
          <w:i w:val="0"/>
          <w:caps w:val="0"/>
          <w:color w:val="auto"/>
          <w:spacing w:val="0"/>
          <w:sz w:val="32"/>
          <w:szCs w:val="32"/>
          <w:shd w:val="clear" w:color="auto" w:fill="FFFFFF"/>
        </w:rPr>
        <w:t>财政部</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4800" w:firstLineChars="1500"/>
        <w:jc w:val="right"/>
        <w:textAlignment w:val="auto"/>
        <w:rPr>
          <w:rFonts w:hint="eastAsia" w:ascii="仿宋" w:hAnsi="仿宋" w:eastAsia="仿宋" w:cs="仿宋"/>
          <w:b w:val="0"/>
          <w:bCs/>
          <w:i w:val="0"/>
          <w:caps w:val="0"/>
          <w:color w:val="auto"/>
          <w:spacing w:val="0"/>
          <w:sz w:val="32"/>
          <w:szCs w:val="32"/>
          <w:shd w:val="clear" w:color="auto" w:fill="FFFFFF"/>
        </w:rPr>
      </w:pPr>
      <w:r>
        <w:rPr>
          <w:rFonts w:hint="eastAsia" w:ascii="仿宋" w:hAnsi="仿宋" w:eastAsia="仿宋" w:cs="仿宋"/>
          <w:b w:val="0"/>
          <w:bCs/>
          <w:i w:val="0"/>
          <w:caps w:val="0"/>
          <w:color w:val="auto"/>
          <w:spacing w:val="0"/>
          <w:sz w:val="32"/>
          <w:szCs w:val="32"/>
          <w:shd w:val="clear" w:color="auto" w:fill="FFFFFF"/>
        </w:rPr>
        <w:t>2020年1月22日</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5120" w:firstLineChars="1600"/>
        <w:jc w:val="both"/>
        <w:textAlignment w:val="auto"/>
        <w:rPr>
          <w:rFonts w:hint="eastAsia" w:ascii="宋体" w:hAnsi="宋体" w:eastAsia="仿宋_GB2312" w:cs="仿宋_GB2312"/>
          <w:b w:val="0"/>
          <w:bCs/>
          <w:i w:val="0"/>
          <w:caps w:val="0"/>
          <w:color w:val="333333"/>
          <w:spacing w:val="0"/>
          <w:sz w:val="32"/>
          <w:szCs w:val="32"/>
          <w:shd w:val="clear" w:color="auto" w:fill="FFFFFF"/>
        </w:rPr>
      </w:pPr>
    </w:p>
    <w:p>
      <w:pPr>
        <w:widowControl w:val="0"/>
        <w:wordWrap/>
        <w:adjustRightInd/>
        <w:snapToGrid/>
        <w:spacing w:line="560" w:lineRule="exact"/>
        <w:jc w:val="center"/>
        <w:textAlignment w:val="auto"/>
        <w:rPr>
          <w:rFonts w:hint="eastAsia" w:ascii="宋体" w:hAnsi="宋体" w:eastAsia="宋体" w:cs="宋体"/>
          <w:i w:val="0"/>
          <w:caps w:val="0"/>
          <w:color w:val="000000"/>
          <w:spacing w:val="0"/>
          <w:kern w:val="0"/>
          <w:sz w:val="44"/>
          <w:szCs w:val="44"/>
          <w:lang w:val="en-US" w:eastAsia="zh-CN"/>
        </w:rPr>
      </w:pPr>
      <w:r>
        <w:rPr>
          <w:rFonts w:hint="eastAsia" w:ascii="宋体" w:hAnsi="宋体" w:eastAsia="宋体" w:cs="宋体"/>
          <w:i w:val="0"/>
          <w:caps w:val="0"/>
          <w:color w:val="000000"/>
          <w:spacing w:val="0"/>
          <w:kern w:val="0"/>
          <w:sz w:val="44"/>
          <w:szCs w:val="44"/>
          <w:lang w:val="en-US" w:eastAsia="zh-CN"/>
        </w:rPr>
        <w:br w:type="page"/>
      </w:r>
    </w:p>
    <w:p>
      <w:pPr>
        <w:widowControl w:val="0"/>
        <w:wordWrap/>
        <w:adjustRightInd/>
        <w:snapToGrid/>
        <w:spacing w:before="0" w:line="560" w:lineRule="exact"/>
        <w:ind w:right="0"/>
        <w:jc w:val="center"/>
        <w:textAlignment w:val="auto"/>
        <w:outlineLvl w:val="0"/>
        <w:rPr>
          <w:rFonts w:hint="eastAsia" w:ascii="楷体" w:hAnsi="楷体" w:eastAsia="楷体" w:cs="楷体"/>
          <w:bCs/>
          <w:color w:val="000000"/>
          <w:kern w:val="0"/>
          <w:sz w:val="44"/>
          <w:szCs w:val="44"/>
          <w:lang w:val="en-US" w:eastAsia="zh-CN" w:bidi="ar-SA"/>
        </w:rPr>
      </w:pPr>
      <w:bookmarkStart w:id="324" w:name="_Toc22779"/>
      <w:r>
        <w:rPr>
          <w:rFonts w:hint="eastAsia" w:eastAsia="宋体" w:cs="Times New Roman"/>
          <w:bCs/>
          <w:kern w:val="44"/>
          <w:sz w:val="44"/>
          <w:szCs w:val="44"/>
          <w:highlight w:val="none"/>
          <w:lang w:val="en-US" w:eastAsia="zh-CN" w:bidi="ar-SA"/>
        </w:rPr>
        <w:t>国务院</w:t>
      </w:r>
      <w:r>
        <w:rPr>
          <w:rFonts w:hint="eastAsia" w:ascii="Times New Roman" w:hAnsi="Times New Roman" w:eastAsia="宋体" w:cs="Times New Roman"/>
          <w:bCs/>
          <w:kern w:val="44"/>
          <w:sz w:val="44"/>
          <w:szCs w:val="44"/>
          <w:highlight w:val="none"/>
          <w:lang w:val="en-US" w:eastAsia="zh-CN" w:bidi="ar-SA"/>
        </w:rPr>
        <w:t>应对新型冠状病毒感染的肺炎疫情联防联控工作机制关</w:t>
      </w:r>
      <w:r>
        <w:rPr>
          <w:rFonts w:hint="eastAsia" w:ascii="Times New Roman" w:hAnsi="Times New Roman" w:eastAsia="宋体" w:cs="Times New Roman"/>
          <w:bCs/>
          <w:kern w:val="44"/>
          <w:sz w:val="44"/>
          <w:szCs w:val="44"/>
          <w:lang w:val="en-US" w:eastAsia="zh-CN" w:bidi="ar-SA"/>
        </w:rPr>
        <w:t>于严格预防通过交通工具传播新型冠状病毒感染的肺炎的通知</w:t>
      </w:r>
      <w:bookmarkEnd w:id="324"/>
    </w:p>
    <w:p>
      <w:pPr>
        <w:widowControl w:val="0"/>
        <w:wordWrap/>
        <w:adjustRightInd/>
        <w:snapToGrid/>
        <w:spacing w:line="560" w:lineRule="exact"/>
        <w:ind w:left="0" w:leftChars="0" w:right="0" w:firstLine="640" w:firstLineChars="200"/>
        <w:jc w:val="center"/>
        <w:textAlignment w:val="auto"/>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left="0" w:leftChars="0" w:right="0" w:firstLine="640" w:firstLineChars="200"/>
        <w:jc w:val="center"/>
        <w:textAlignment w:val="auto"/>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肺炎机制发〔2020〕2号</w:t>
      </w:r>
    </w:p>
    <w:p>
      <w:pPr>
        <w:widowControl w:val="0"/>
        <w:wordWrap/>
        <w:adjustRightInd/>
        <w:snapToGrid/>
        <w:spacing w:line="560" w:lineRule="exact"/>
        <w:ind w:left="0" w:leftChars="0" w:right="0" w:firstLine="560" w:firstLineChars="200"/>
        <w:jc w:val="left"/>
        <w:textAlignment w:val="auto"/>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left="0" w:leftChars="0" w:right="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各省、自治区、直辖市应对新型冠状病毒感染的肺炎疫情联防联控工作机制：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经国务院批准，将新型冠状病毒感染的肺炎纳入《中华人民共和国传染病防治法》规定的乙类传染病，并采取甲类传染病的预防、控制措施，纳入《中华人民共和国国境卫生检疫法》规定的检疫传染病管理。为防止新型冠状病毒感染的肺炎通过交通工具传播和扩散，保障人民群众的健康，维持正常的生产、生活和交通秩序，根据有关法律法规，现就严格预防通过交通工具传播新型冠状病毒感染的肺炎的有关要求通知如下：</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一、地方各级人民政府和各级各类卫生健康、公安、交通运输、海关、边检、民航、铁路等部门(单位)要高度重视新型冠状病毒感染的肺炎可能通过交通工具造成传播的问题，在联防联控工作机制下，加强组织领导，密切协调配合，畅通沟通渠道，形成工作合力，切实降低通过交通工具传播新型冠状病毒感染的肺炎的风险，最大限度防止疫情蔓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二、各省、自治区、直辖市人民政府要协调卫生健康、公安、交通运输、民航、铁路等有关部门(单位)，严格落实新型冠状病毒感染的肺炎防控措施，设立留验站，配备必要的人员、设备和条件并制定留验预案。留验站负责对交通工具上发现的新型冠状病毒感染的肺炎病人和疑似病人进行留验观察和隔离治疗，不得拒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三、各地交通运输、民航、铁路等部门（单位）要制定新型冠状病毒感染的肺炎应急处理预案。在火车、汽车、飞机、船舶等交通工具上发现病例或疑似病例后，要立即通知前方最近设有留验站的城市的车站、港口客运站、目的地机场做好留验准备。同时，督促有关运营企业立即在交通工具上采取隔离、通风、消毒等措施，对与病例同舱或同一车厢的乘客和其他与病例有密切接触的人员信息通过实名购票或调查登记向卫生健康部门提供，全力配合开展流行病学调查和必要的医学检查等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四、留验站所在地的卫生健康部门要开展医护人员培训，认真做好新型冠状病毒感染的肺炎病例和疑似病例的留验观察、隔离治疗和追踪管理等工作。国家和省级卫生健康部门负责向各地和相关部门提供技术支持和指导。</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五、各地交通运输、民航、铁路等部门（单位）要做好汽车、火车、飞机等交通工具和车站、机场、港口客运站等重点场所的卫生管理工作，配备必要的防护用品和消毒物品，因地制宜落实通风、消毒等防病措施。海关要做好出入境航空器、船舶、列车、汽车等交通工具和人员的卫生检疫，防范疫情输入和流出。发现新型冠状病毒感染的肺炎病例和疑似病例的，立即转运至地方卫生健康部门指定的医疗机构，做好密切接触者排查，相关信息通报地方卫生健康部门。边检机关要配合海关开展工作，严密出入境交通工具和人员边防检查，协助做好防控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六、各地交通运输、民航、铁路等部门（单位）要按照当地政府要求，在机场、火车站、汽车站、港口客运站等相关场所严格落实旅客体温筛检等防控措施，重点加强对来自武汉人员的体温检测并建立健康卡制度，登记相关健康信息和联系方式，做好健康提醒，提示出现发热、咳嗽等相关症状后及时就医。一旦发现新型冠状病毒感染的肺炎病例或疑似病例应当劝阻其登乘，并立即通知检疫机关或当地卫生健康部门。卫生健康部门要对当地机场、车站、港口客运站等重点场所的防疫工作加强指导。</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七、各地公安、交通运输、海关、边检、民航、铁路等部门（单位）要积极配合卫生健康部门开展相关调查工作，协助寻找需要追踪的新型冠状病毒感染的肺炎病例、疑似病例和密切接触者。</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八、各地公安、交通运输、海关、边检、民航、铁路等部门（单位）要加强对旅客和本系统员工的新型冠状病毒感染的肺炎防控知识宣传教育，增强防护意识和能力。为旅客直接服务的工作人员应佩戴口罩。</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九、各省、自治区、直辖市人民政府要保障防护用品和消毒用品的供应，并向社会公布新型冠状病毒感染的肺炎病例和疑似病例留验站的设置地点和联系方式，对留验站的工作开展监督检查。</w:t>
      </w:r>
    </w:p>
    <w:p>
      <w:pPr>
        <w:widowControl w:val="0"/>
        <w:wordWrap/>
        <w:adjustRightInd/>
        <w:snapToGrid/>
        <w:spacing w:line="560" w:lineRule="exact"/>
        <w:ind w:right="0" w:firstLine="320" w:firstLineChars="100"/>
        <w:jc w:val="right"/>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320" w:firstLineChars="100"/>
        <w:jc w:val="right"/>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320" w:firstLineChars="10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应对新型冠状病毒感染的肺炎</w:t>
      </w:r>
    </w:p>
    <w:p>
      <w:pPr>
        <w:widowControl w:val="0"/>
        <w:wordWrap/>
        <w:adjustRightInd/>
        <w:snapToGrid/>
        <w:spacing w:line="560" w:lineRule="exact"/>
        <w:ind w:right="0" w:firstLine="320" w:firstLineChars="10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疫情联防联控工作机制</w:t>
      </w:r>
    </w:p>
    <w:p>
      <w:pPr>
        <w:widowControl w:val="0"/>
        <w:wordWrap/>
        <w:adjustRightInd/>
        <w:snapToGrid/>
        <w:spacing w:line="560" w:lineRule="exact"/>
        <w:ind w:left="0" w:leftChars="0" w:right="0" w:firstLine="5120" w:firstLineChars="160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2020年1月23日</w:t>
      </w:r>
    </w:p>
    <w:p>
      <w:pPr>
        <w:widowControl w:val="0"/>
        <w:wordWrap/>
        <w:adjustRightInd/>
        <w:snapToGrid/>
        <w:spacing w:line="560" w:lineRule="exact"/>
        <w:ind w:left="0" w:leftChars="0"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r>
        <w:rPr>
          <w:rFonts w:hint="eastAsia" w:ascii="方正小标宋简体" w:hAnsi="方正小标宋简体" w:eastAsia="方正小标宋简体" w:cs="方正小标宋简体"/>
          <w:b w:val="0"/>
          <w:bCs w:val="0"/>
          <w:color w:val="000000"/>
          <w:sz w:val="32"/>
          <w:szCs w:val="32"/>
          <w:lang w:val="en-US" w:eastAsia="zh-CN"/>
        </w:rPr>
        <w:t xml:space="preserve"> </w:t>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wordWrap/>
        <w:spacing w:line="560" w:lineRule="exact"/>
        <w:textAlignment w:val="auto"/>
        <w:rPr>
          <w:rFonts w:hint="eastAsia" w:ascii="Times New Roman" w:hAnsi="Times New Roman"/>
          <w:lang w:val="en-US" w:eastAsia="zh-CN"/>
        </w:rPr>
      </w:pPr>
    </w:p>
    <w:p>
      <w:pPr>
        <w:widowControl w:val="0"/>
        <w:wordWrap/>
        <w:spacing w:before="0" w:line="560" w:lineRule="exact"/>
        <w:jc w:val="both"/>
        <w:textAlignment w:val="auto"/>
        <w:rPr>
          <w:rFonts w:hint="eastAsia" w:ascii="仿宋_GB2312" w:hAnsi="宋体" w:eastAsia="仿宋_GB2312" w:cs="Times New Roman"/>
          <w:kern w:val="2"/>
          <w:sz w:val="32"/>
          <w:szCs w:val="2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wordWrap/>
        <w:spacing w:line="560" w:lineRule="exact"/>
        <w:textAlignment w:val="auto"/>
        <w:rPr>
          <w:rFonts w:hint="eastAsia" w:ascii="Times New Roman" w:hAnsi="Times New Roman"/>
          <w:lang w:val="en-US" w:eastAsia="zh-CN"/>
        </w:rPr>
      </w:pPr>
    </w:p>
    <w:p>
      <w:pPr>
        <w:widowControl w:val="0"/>
        <w:wordWrap/>
        <w:spacing w:before="0" w:line="560" w:lineRule="exact"/>
        <w:jc w:val="both"/>
        <w:textAlignment w:val="auto"/>
        <w:rPr>
          <w:rFonts w:hint="eastAsia" w:ascii="仿宋_GB2312" w:hAnsi="宋体" w:eastAsia="仿宋_GB2312" w:cs="Times New Roman"/>
          <w:kern w:val="2"/>
          <w:sz w:val="32"/>
          <w:szCs w:val="24"/>
          <w:lang w:val="en-US" w:eastAsia="zh-CN" w:bidi="ar-SA"/>
        </w:rPr>
      </w:pPr>
    </w:p>
    <w:p>
      <w:pPr>
        <w:wordWrap/>
        <w:spacing w:line="560" w:lineRule="exact"/>
        <w:textAlignment w:val="auto"/>
        <w:rPr>
          <w:rFonts w:hint="eastAsia" w:ascii="Times New Roman" w:hAnsi="Times New Roman"/>
          <w:lang w:val="en-US" w:eastAsia="zh-CN"/>
        </w:rPr>
      </w:pPr>
    </w:p>
    <w:p>
      <w:pPr>
        <w:widowControl w:val="0"/>
        <w:wordWrap/>
        <w:spacing w:before="0" w:line="560" w:lineRule="exact"/>
        <w:jc w:val="both"/>
        <w:textAlignment w:val="auto"/>
        <w:rPr>
          <w:rFonts w:hint="eastAsia" w:ascii="仿宋_GB2312" w:hAnsi="宋体" w:eastAsia="仿宋_GB2312" w:cs="Times New Roman"/>
          <w:kern w:val="2"/>
          <w:sz w:val="32"/>
          <w:szCs w:val="24"/>
          <w:lang w:val="en-US" w:eastAsia="zh-CN" w:bidi="ar-SA"/>
        </w:rPr>
      </w:pPr>
    </w:p>
    <w:p>
      <w:pPr>
        <w:widowControl w:val="0"/>
        <w:wordWrap/>
        <w:adjustRightInd/>
        <w:snapToGrid/>
        <w:spacing w:line="560" w:lineRule="exact"/>
        <w:textAlignment w:val="auto"/>
        <w:rPr>
          <w:rFonts w:hint="eastAsia"/>
          <w:color w:val="auto"/>
        </w:rPr>
      </w:pPr>
      <w:r>
        <w:rPr>
          <w:rFonts w:hint="eastAsia"/>
        </w:rPr>
        <w:br w:type="page"/>
      </w:r>
    </w:p>
    <w:p>
      <w:pPr>
        <w:pStyle w:val="4"/>
        <w:wordWrap/>
        <w:spacing w:before="0" w:after="0" w:line="560" w:lineRule="exact"/>
        <w:jc w:val="center"/>
        <w:textAlignment w:val="auto"/>
        <w:rPr>
          <w:rFonts w:hint="eastAsia" w:ascii="Times New Roman" w:hAnsi="Times New Roman" w:eastAsia="宋体"/>
          <w:b w:val="0"/>
          <w:color w:val="auto"/>
          <w:lang w:val="en-US" w:eastAsia="zh-CN"/>
        </w:rPr>
      </w:pPr>
      <w:bookmarkStart w:id="325" w:name="_Toc5211"/>
      <w:bookmarkStart w:id="326" w:name="_Toc14826"/>
      <w:bookmarkStart w:id="327" w:name="_Toc14429"/>
      <w:bookmarkStart w:id="328" w:name="_Toc20160"/>
      <w:bookmarkStart w:id="329" w:name="_Toc4970"/>
      <w:bookmarkStart w:id="330" w:name="_Toc2142"/>
      <w:bookmarkStart w:id="331" w:name="_Toc14"/>
      <w:bookmarkStart w:id="332" w:name="_Toc17103"/>
      <w:bookmarkStart w:id="333" w:name="_Toc15628"/>
      <w:bookmarkStart w:id="334" w:name="_Toc791"/>
      <w:bookmarkStart w:id="335" w:name="_Toc27374"/>
      <w:bookmarkStart w:id="336" w:name="_Toc7431"/>
      <w:bookmarkStart w:id="337" w:name="_Toc15973"/>
      <w:bookmarkStart w:id="338" w:name="_Toc32497"/>
      <w:bookmarkStart w:id="339" w:name="_Toc7876"/>
      <w:bookmarkStart w:id="340" w:name="_Toc19828"/>
      <w:bookmarkStart w:id="341" w:name="_Toc20523"/>
      <w:bookmarkStart w:id="342" w:name="_Toc11456"/>
      <w:bookmarkStart w:id="343" w:name="_Toc12640"/>
      <w:r>
        <w:rPr>
          <w:rFonts w:hint="eastAsia" w:ascii="Times New Roman" w:hAnsi="Times New Roman" w:eastAsia="宋体"/>
          <w:b w:val="0"/>
          <w:color w:val="auto"/>
          <w:lang w:val="en-US" w:eastAsia="zh-CN"/>
        </w:rPr>
        <w:t>国家卫生健康委办公厅关于进一步加强县域新型冠状病毒感染的肺炎医疗救治工作的通知</w:t>
      </w:r>
      <w:bookmarkEnd w:id="325"/>
      <w:bookmarkEnd w:id="326"/>
      <w:bookmarkEnd w:id="327"/>
      <w:bookmarkEnd w:id="328"/>
      <w:bookmarkEnd w:id="329"/>
      <w:bookmarkEnd w:id="330"/>
      <w:bookmarkEnd w:id="331"/>
      <w:bookmarkEnd w:id="332"/>
      <w:bookmarkEnd w:id="333"/>
      <w:bookmarkEnd w:id="334"/>
    </w:p>
    <w:p>
      <w:pPr>
        <w:wordWrap/>
        <w:spacing w:line="560" w:lineRule="exact"/>
        <w:jc w:val="center"/>
        <w:textAlignment w:val="auto"/>
        <w:rPr>
          <w:rFonts w:hint="eastAsia" w:ascii="楷体" w:hAnsi="楷体" w:eastAsia="楷体" w:cs="楷体"/>
          <w:i w:val="0"/>
          <w:caps w:val="0"/>
          <w:color w:val="484848"/>
          <w:spacing w:val="0"/>
          <w:sz w:val="32"/>
          <w:szCs w:val="32"/>
        </w:rPr>
      </w:pPr>
    </w:p>
    <w:p>
      <w:pPr>
        <w:wordWrap/>
        <w:spacing w:line="560" w:lineRule="exact"/>
        <w:jc w:val="center"/>
        <w:textAlignment w:val="auto"/>
        <w:rPr>
          <w:rFonts w:hint="eastAsia" w:ascii="楷体" w:hAnsi="楷体" w:eastAsia="楷体" w:cs="楷体"/>
          <w:color w:val="auto"/>
          <w:lang w:val="en-US" w:eastAsia="zh-CN"/>
        </w:rPr>
      </w:pPr>
      <w:r>
        <w:rPr>
          <w:rFonts w:hint="eastAsia" w:ascii="楷体" w:hAnsi="楷体" w:eastAsia="楷体" w:cs="楷体"/>
          <w:i w:val="0"/>
          <w:caps w:val="0"/>
          <w:color w:val="484848"/>
          <w:spacing w:val="0"/>
          <w:sz w:val="32"/>
          <w:szCs w:val="32"/>
        </w:rPr>
        <w:t>国卫办医函〔2020〕83号</w:t>
      </w:r>
    </w:p>
    <w:p>
      <w:pPr>
        <w:wordWrap/>
        <w:adjustRightInd/>
        <w:snapToGrid/>
        <w:spacing w:line="560" w:lineRule="exact"/>
        <w:ind w:right="0"/>
        <w:textAlignment w:val="auto"/>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right="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各省、自治区、直辖市及新疆生产建设兵团卫生健康委：</w:t>
      </w:r>
    </w:p>
    <w:p>
      <w:pPr>
        <w:widowControl w:val="0"/>
        <w:wordWrap/>
        <w:overflowPunct w:val="0"/>
        <w:adjustRightInd/>
        <w:snapToGrid/>
        <w:spacing w:beforeAutospacing="0" w:afterAutospacing="0" w:line="560" w:lineRule="exac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  为贯彻落实党中央、国务院重要决策部署，进一步做好县域新型冠状病毒感染的肺炎医疗救治工作，切实保障人民群众生命健康安全。现就有关事项通知如下：</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一、加强预检分诊和发热门诊管理</w:t>
      </w:r>
    </w:p>
    <w:p>
      <w:pPr>
        <w:widowControl w:val="0"/>
        <w:wordWrap/>
        <w:overflowPunct w:val="0"/>
        <w:adjustRightInd/>
        <w:snapToGrid/>
        <w:spacing w:beforeAutospacing="0" w:afterAutospacing="0" w:line="560" w:lineRule="exact"/>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各地县级医院要严格落实《医疗机构传染病预检分诊管理办法》，严格实行预检分诊制度，在独立</w:t>
      </w:r>
      <w:r>
        <w:rPr>
          <w:rFonts w:hint="eastAsia" w:ascii="仿宋" w:hAnsi="仿宋" w:eastAsia="仿宋" w:cs="仿宋"/>
          <w:i w:val="0"/>
          <w:caps w:val="0"/>
          <w:color w:val="auto"/>
          <w:spacing w:val="0"/>
          <w:sz w:val="32"/>
          <w:szCs w:val="32"/>
          <w:u w:val="none"/>
          <w:lang w:val="en-US" w:eastAsia="zh-CN"/>
        </w:rPr>
        <w:t>区域</w:t>
      </w:r>
      <w:r>
        <w:rPr>
          <w:rFonts w:hint="eastAsia" w:ascii="仿宋" w:hAnsi="仿宋" w:eastAsia="仿宋" w:cs="仿宋"/>
          <w:color w:val="auto"/>
          <w:kern w:val="0"/>
          <w:sz w:val="32"/>
          <w:szCs w:val="32"/>
          <w:lang w:val="en-US" w:eastAsia="zh-CN"/>
        </w:rPr>
        <w:t>设置发热门诊，有明显标识，保持良好通风、落实消毒隔离措施，防止人流、物流交叉。严格执行发热病人接诊、筛查流程，认真落实病人登记报告制度，密切关注有新型冠状病毒感染的肺炎相关流行病学史、咳嗽、发热等症状的患者，一旦发现可疑病例，立即采取隔离留观措施。</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二、认真做好救治准备和医疗救治工作</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地要充分发挥医联体的作用，按照“四早”、“四集中”的原则，对新型冠状病毒感染的肺炎患者，特别是重症患者进行集中救治。县医院作为定点医院，要在独立的传染病病区收治新型冠状病毒感染的肺炎疑似和确诊病例。各地要根据疫情发展情况，遴选具备呼吸道传染病防护条件的医院作为后备医院，遴选综合医院作为后备医院时，要清空病区，按照呼吸道传染病医院感染防控要求进行病房改造。定点医院和后备医院要做好病房、药品及设备、检测试剂、消毒器械和防护用品的配备，为有序有效救治患者创造条件。</w:t>
      </w:r>
    </w:p>
    <w:p>
      <w:pPr>
        <w:widowControl w:val="0"/>
        <w:wordWrap/>
        <w:adjustRightInd/>
        <w:snapToGrid/>
        <w:spacing w:line="560" w:lineRule="exact"/>
        <w:ind w:right="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三、加强疑似和确诊病例就诊管理</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县级医院要充分发挥医联体作用，按照新型冠状病毒感染的肺炎诊疗方案做好病例管理工作。对于符合病例定义的疑似病例，应当尽快进行隔离治疗，并采集呼吸道或血液标本进行新型冠状病毒核酸检测，进一步明确诊断。不具备检测能力的县级医院，可将标本送检至县（区）疾控中心、市疾控中心或医联体内具备检测条件的上级医院进行检测。疑似病例和确诊病例，要按照我委印发的《新型冠状病毒感染的肺炎病例转运工作方案（试行）》要求，转运至定点医院集中救治。</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四、切实做好医院感染防控</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县级医院要严格落实遵照我委印发的医疗机构内新型冠状病毒感染预防与控制技术指南、新型冠状病毒感染的肺炎防护中常见医用防护使用范围指引等要求，做好隔离防护、手卫生、病房管理、环境消毒和废弃物管理等医院感染控制作用，加强医务人员个人防护，严防医院感染的发生。</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五、加强医务人员培训</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省级卫生健康行政部门要严格按照新型冠状病毒感染的肺炎诊疗方案与相关技术方案要求，组织开展县级医院新型冠状病毒感染的肺炎防控的全方位培训，重点培训医务人员掌握诊疗知识和工作流程，提高“早发现、早诊断”意识、医疗救治水平和院感防控能力。要充分发挥医联体牵头医院的作用，利用驻点培训、现场指导、远程医疗等手段，加大对医联体内下级医疗机构的指导。</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六、加大对贫困地区县级医院保障力度</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省级卫生健康行政部门要进一步加大对贫困地区县级医院的支持力度，加强物资保障力度和医疗资源统筹，配备必要的防护用品、医疗设备和医疗力量，确保贫困地区县级医院具备基本的医疗救治能力，满足人民群众看病就医需求。</w:t>
      </w:r>
    </w:p>
    <w:p>
      <w:pPr>
        <w:widowControl w:val="0"/>
        <w:wordWrap/>
        <w:adjustRightInd/>
        <w:snapToGrid/>
        <w:spacing w:line="560" w:lineRule="exact"/>
        <w:ind w:right="0"/>
        <w:textAlignment w:val="auto"/>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textAlignment w:val="auto"/>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jc w:val="righ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xml:space="preserve">                               国家卫生健康委办公厅</w:t>
      </w:r>
    </w:p>
    <w:p>
      <w:pPr>
        <w:widowControl w:val="0"/>
        <w:wordWrap/>
        <w:adjustRightInd/>
        <w:snapToGrid/>
        <w:spacing w:line="560" w:lineRule="exact"/>
        <w:ind w:right="0" w:firstLine="5440" w:firstLineChars="1700"/>
        <w:jc w:val="righ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2020年1月28日</w:t>
      </w: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rPr>
          <w:rFonts w:hint="eastAsia" w:ascii="Times New Roman" w:hAnsi="Times New Roman" w:eastAsia="宋体"/>
          <w:b w:val="0"/>
          <w:color w:val="auto"/>
          <w:lang w:val="en-US" w:eastAsia="zh-CN"/>
        </w:rPr>
      </w:pPr>
      <w:r>
        <w:rPr>
          <w:rFonts w:hint="eastAsia" w:ascii="Times New Roman" w:hAnsi="Times New Roman" w:eastAsia="宋体"/>
          <w:b w:val="0"/>
          <w:color w:val="auto"/>
          <w:lang w:val="en-US" w:eastAsia="zh-CN"/>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color w:val="auto"/>
          <w:kern w:val="44"/>
          <w:sz w:val="44"/>
          <w:szCs w:val="44"/>
          <w:lang w:val="en-US" w:eastAsia="zh-CN" w:bidi="ar-SA"/>
        </w:rPr>
      </w:pPr>
      <w:bookmarkStart w:id="344" w:name="_Toc31541"/>
      <w:bookmarkStart w:id="345" w:name="_Toc9869"/>
      <w:bookmarkStart w:id="346" w:name="_Toc27891"/>
      <w:bookmarkStart w:id="347" w:name="_Toc24322"/>
      <w:bookmarkStart w:id="348" w:name="_Toc14985"/>
      <w:bookmarkStart w:id="349" w:name="_Toc13583"/>
      <w:bookmarkStart w:id="350" w:name="_Toc11243"/>
      <w:bookmarkStart w:id="351" w:name="_Toc17601"/>
      <w:bookmarkStart w:id="352" w:name="_Toc6548"/>
      <w:bookmarkStart w:id="353" w:name="_Toc21447"/>
      <w:r>
        <w:rPr>
          <w:rFonts w:hint="eastAsia" w:ascii="Times New Roman" w:hAnsi="Times New Roman" w:eastAsia="宋体" w:cs="Times New Roman"/>
          <w:bCs/>
          <w:color w:val="auto"/>
          <w:kern w:val="44"/>
          <w:sz w:val="44"/>
          <w:szCs w:val="44"/>
          <w:lang w:val="en-US" w:eastAsia="zh-CN" w:bidi="ar-SA"/>
        </w:rPr>
        <w:t>民政部</w:t>
      </w:r>
      <w:r>
        <w:rPr>
          <w:rFonts w:hint="eastAsia" w:eastAsia="宋体" w:cs="Times New Roman"/>
          <w:bCs/>
          <w:color w:val="auto"/>
          <w:kern w:val="44"/>
          <w:sz w:val="44"/>
          <w:szCs w:val="44"/>
          <w:lang w:val="en-US" w:eastAsia="zh-CN" w:bidi="ar-SA"/>
        </w:rPr>
        <w:t xml:space="preserve"> </w:t>
      </w:r>
      <w:r>
        <w:rPr>
          <w:rFonts w:hint="eastAsia" w:ascii="Times New Roman" w:hAnsi="Times New Roman" w:eastAsia="宋体" w:cs="Times New Roman"/>
          <w:bCs/>
          <w:color w:val="auto"/>
          <w:kern w:val="44"/>
          <w:sz w:val="44"/>
          <w:szCs w:val="44"/>
          <w:lang w:val="en-US" w:eastAsia="zh-CN" w:bidi="ar-SA"/>
        </w:rPr>
        <w:t>国家卫生健康委</w:t>
      </w:r>
      <w:bookmarkEnd w:id="344"/>
    </w:p>
    <w:p>
      <w:pPr>
        <w:keepNext/>
        <w:keepLines/>
        <w:widowControl w:val="0"/>
        <w:wordWrap/>
        <w:spacing w:before="0" w:line="560" w:lineRule="exact"/>
        <w:jc w:val="center"/>
        <w:textAlignment w:val="auto"/>
        <w:outlineLvl w:val="0"/>
        <w:rPr>
          <w:rFonts w:hint="eastAsia" w:ascii="Times New Roman" w:hAnsi="Times New Roman" w:eastAsia="宋体" w:cs="Times New Roman"/>
          <w:bCs/>
          <w:color w:val="auto"/>
          <w:kern w:val="44"/>
          <w:sz w:val="44"/>
          <w:szCs w:val="44"/>
          <w:lang w:val="en-US" w:eastAsia="zh-CN" w:bidi="ar-SA"/>
        </w:rPr>
      </w:pPr>
      <w:bookmarkStart w:id="354" w:name="_Toc32039"/>
      <w:r>
        <w:rPr>
          <w:rFonts w:hint="eastAsia" w:ascii="Times New Roman" w:hAnsi="Times New Roman" w:eastAsia="宋体" w:cs="Times New Roman"/>
          <w:bCs/>
          <w:color w:val="auto"/>
          <w:kern w:val="44"/>
          <w:sz w:val="44"/>
          <w:szCs w:val="44"/>
          <w:lang w:val="en-US" w:eastAsia="zh-CN" w:bidi="ar-SA"/>
        </w:rPr>
        <w:t>关于进一步动员城乡社区组织开展新型冠状病毒感染的肺炎疫情防控工作的紧急通知</w:t>
      </w:r>
      <w:bookmarkEnd w:id="345"/>
      <w:bookmarkEnd w:id="346"/>
      <w:bookmarkEnd w:id="347"/>
      <w:bookmarkEnd w:id="348"/>
      <w:bookmarkEnd w:id="349"/>
      <w:bookmarkEnd w:id="350"/>
      <w:bookmarkEnd w:id="351"/>
      <w:bookmarkEnd w:id="352"/>
      <w:bookmarkEnd w:id="353"/>
      <w:bookmarkEnd w:id="354"/>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center"/>
        <w:textAlignment w:val="auto"/>
        <w:rPr>
          <w:rFonts w:hint="eastAsia" w:ascii="仿宋" w:hAnsi="仿宋" w:eastAsia="仿宋" w:cs="仿宋"/>
          <w:i w:val="0"/>
          <w:caps w:val="0"/>
          <w:color w:val="auto"/>
          <w:spacing w:val="0"/>
          <w:kern w:val="0"/>
          <w:sz w:val="32"/>
          <w:szCs w:val="32"/>
          <w:u w:val="none"/>
          <w:lang w:val="en-US" w:eastAsia="zh-CN"/>
        </w:rPr>
      </w:pP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kern w:val="0"/>
          <w:sz w:val="32"/>
          <w:szCs w:val="32"/>
          <w:u w:val="none"/>
          <w:lang w:val="en-US" w:eastAsia="zh-CN"/>
        </w:rPr>
      </w:pPr>
      <w:r>
        <w:rPr>
          <w:rFonts w:hint="eastAsia" w:ascii="楷体" w:hAnsi="楷体" w:eastAsia="楷体" w:cs="楷体"/>
          <w:i w:val="0"/>
          <w:caps w:val="0"/>
          <w:color w:val="auto"/>
          <w:spacing w:val="0"/>
          <w:kern w:val="0"/>
          <w:sz w:val="32"/>
          <w:szCs w:val="32"/>
          <w:u w:val="none"/>
          <w:lang w:val="en-US" w:eastAsia="zh-CN"/>
        </w:rPr>
        <w:t>民发〔2020〕9号</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val="0"/>
        <w:wordWrap/>
        <w:adjustRightInd/>
        <w:snapToGrid/>
        <w:spacing w:line="560" w:lineRule="exact"/>
        <w:ind w:right="0" w:firstLine="640" w:firstLineChars="200"/>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rPr>
        <w:t>各省、自治区、直辖市民政厅（局）、卫生健康委，各计划单列市民政局、卫生健康委，新疆生产建设兵团民政局、卫生健康委：</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新型冠状病毒感染的肺炎疫情发生以来，各城乡社区组织在各地党委、政府的统一领导下，组织发动社区居民开展疫情防控工作，为遏制疫情扩散蔓延作出了积极贡献。社区防控是疫情防控的基础环节，为进一步发挥城乡社区组织在疫情防控中的积极作用，及时抓住春节“大隔离、大消毒”最佳窗口期，有效遏制疫情播散和蔓延，根据应对新型冠状病毒感染的肺炎疫情联防联控工作机制印发的《关于加强新型冠状病毒感染的肺炎疫情社区防控工作的通知》（肺炎机制发〔2020〕5号）和《关于印发近期防控新型冠状病毒感染的肺炎工作方案的通知》（肺炎机制发〔2020〕9号）相关精神，现就有关事项紧急通知如下：</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黑体" w:hAnsi="黑体" w:eastAsia="黑体" w:cs="黑体"/>
          <w:i w:val="0"/>
          <w:caps w:val="0"/>
          <w:color w:val="auto"/>
          <w:spacing w:val="0"/>
          <w:sz w:val="32"/>
          <w:szCs w:val="32"/>
          <w:u w:val="none"/>
        </w:rPr>
        <w:t>一、总体要求</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学习贯彻习近平总书记关于新型冠状病毒感染肺炎疫情的重要讲话和指示精神，落实党中央、国务院决策部署和地方各级党委、政府关于疫情防控工作的部署安排，把社区防控工作作为疫情防控的基础环节抓紧抓好，充分发挥城乡社区组织工作优势和社区、社会组织、社会工作联动机制协同作用，广泛动员群众、组织群众、凝聚群众，切实做好疫情监测、信息报送、宣传教育、环境整治、困难帮扶等工作，全面落实联防联控措施，构筑群防群治的严密防线，为坚决打赢疫情防控阻击战作出贡献。</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黑体" w:hAnsi="黑体" w:eastAsia="黑体" w:cs="黑体"/>
          <w:i w:val="0"/>
          <w:caps w:val="0"/>
          <w:color w:val="auto"/>
          <w:spacing w:val="0"/>
          <w:sz w:val="32"/>
          <w:szCs w:val="32"/>
          <w:u w:val="none"/>
        </w:rPr>
        <w:t>　二、重点任务</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一）进一步做好组织实施工作。各城乡社区组织要认真学习掌握疫情防控重大政策、重要信息和重点知识，切实增强政策意识和防范意识。根据当地党委、政府的统一部署，在基层党组织领导下，以“两委”成员、社区或乡村医生为骨干，建立健全疫情防控工作机制和网格化工作体系，分类制定并实施社区疫情防控策略，组织落实病例监测追踪、信息报告、科普宣教、健康提示、爱国卫生运动等防控措施。城乡社区组织要创造条件为基层医疗卫生机构提供必要支持，缓解基层医务人员工作压力；充分发挥居（村）民自治组织体系的组织动员能力，做到全员上阵、责任到人、联系到户，动员全体社区居民共同参与社区防控工作，确保新型冠状病毒感染肺炎疫情的各项防控措施得到切实落实、不留死角。</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二）进一步做好疫情监测和重点人群管理工作。城乡社区组织要在疾控等专业公共卫生机构指导下，会同基层医疗卫生机构，按照“追踪到人、登记在册、社区管理、上门观察、规范运转、异常就医”的原则对来自疫情发生地区的人员、外地返回居住地的人员进行有效管理，加强发热和症状监测，追踪、督促其居家医学观察14天。有条件的城乡社区可在社区、小区出入路口对外来车辆、人员进行登记。组织发动社区服务机构和志愿者，为实施居家医学观察的人员提供生活便利。病例较多的社区，可在卫生健康部门的指导下，协调固定场所对相关人员就近开展集中医学观察。积极做好协调配合工作，为疑似病例就医就诊提供帮助和支持。加强对康复患者、疑似病例解除者的关心照顾，协助医疗卫生机构进行回访并配合相关部门落实综合保障政策。</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三）进一步做好信息报送工作。按照当地党委、政府统一要求，对疫情实行日报告和零报告制度，紧急情况随时报告。动员居（村）民小组长、楼门栋长等自治组织成员、物业服务企业和志愿者，对居民院落（楼、门、栋）、小区、驻区单位、商业企业等进行细致摸排；城乡社区组织每天按要求实时报送疫情信息，决不允许迟报、漏报、瞒报。严格对社区各类活动的管理，在疫情解除前不举办各类人员聚集性活动；确因工作需要在社区开展活动的均应严格按程序报批，并做好相关活动信息报告工作。加强社区间信息沟通，实现社区间人口流动信息的及时、有效衔接。引导社区居民运用社区信息平台反馈个人健康信息。</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四）进一步做好宣传教育工作。依托社区微信群、社区公众号、社区QQ群、智慧社区客户端等社区信息平台，用好社区黑板报、标语、公示栏、LED电子屏、农村大喇叭等阵地，广泛宣传疫情防控知识，引导社区居民自觉养成佩戴口罩等卫生习惯、疫情防控期间不参与各类群体性活动，使新型冠状病毒感染肺炎防治宣传家喻户晓。按照当地党委、政府的统一要求，及时发布和动态更新当地疫情防控动态、联防联控的政策措施，引导社区居民关注权威发布，不信谣，不传谣，消除社区居民的忧虑和恐惧心理。</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五）进一步做好环境整治工作。大力开展冬春季爱国卫生运动，加强对社区环境卫生整治和消杀，严格对城乡人群聚集的公共场所进行清洁、消毒和通风，注意加强对城乡社区综合服务设施的日常消毒；基层医疗卫生机构诊疗环境要每日清洁消毒，严格按照有关规定规范处置医疗废物；疫情解除前暂停社区图书室、文体活动室、老年活动室（日间照料中心）等人员聚集型场所服务活动，对于确有需要的可探索采取电话预约等一对一服务方式；动员驻区单位和物业服务企业进行环境卫生整治，确保社区环境干净整洁。城乡社区组织要积极配合农业农村、市场监管等有关部门加大对集贸（农贸）市场整治力度，对集贸（农贸）市场、便民摊点群等进行环境卫生巡查，根据当地疫情情况和党委、政府要求，参与劝导人群聚集营业场所暂停营业。</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六）进一步做好困难家庭和人员帮扶工作。加强对社区特殊群体和困难家庭的关怀慰问工作，帮助解决疫情防控期间遇到的生产生活问题。城乡社区组织要加强对基层医疗卫生机构工作人员的关心支持，主动了解并协调解决其家庭实际困难；对于家庭成员有医务人员且承担隔离治疗任务的，要组织社区服务机构和志愿者，协助做好其共同居住的父母、子女照顾工作。对于患有其他慢性疾病的社区居民，要重点加强健康宣传教育，提高其预防交叉感染的意识和能力。对于有家庭成员接受隔离治疗的，要督促其他家庭成员做好居家医学观察，同时为其提供必要的心理健康服务和心理危机干预，有效纾解疫情的心理社会影响；对于生活不能自理、且子女亲属已接受隔离治疗的老年人，要协调相关养老服务机构为其提供专业服务。</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黑体" w:hAnsi="黑体" w:eastAsia="黑体" w:cs="黑体"/>
          <w:i w:val="0"/>
          <w:caps w:val="0"/>
          <w:color w:val="auto"/>
          <w:spacing w:val="0"/>
          <w:sz w:val="32"/>
          <w:szCs w:val="32"/>
          <w:u w:val="none"/>
        </w:rPr>
        <w:t>三、组织保障</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一）加强组织领导。各地要充分认识做好新型冠状病毒感染的肺炎疫情社区防控工作的重要意义，抓紧建立社区防控工作机制，在当地疫情应对工作领导小组和联防联控机制统一指挥下开展工作。省、市层面要抓紧制定社区防控工作总体方案，明确城乡社区组织开展疫情防控工作的任务要求，落实社区防控工作专项经费和物资供给，有效满足社区居民日常生活需求。县、乡层面要制定完善社区防控工作实施方案和应急预案，加强对“未发现病例”社区的指导监督，重点强化对“出现病例或暴发疫情”和“传播疫情”社区的支持保障，确保防控责任到位、措施到位、效果到位。</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二）落实部门责任。各级民政部门会同卫生健康等相关部门指导加强居（村）民委员会和各类社区社会组织建设，增强其与专业公共卫生机构、城乡基层医疗机构共同做好社区防控工作的意识和能力，协调解决开展疫情防控工作面临的困难问题，组织引导各类社会组织、社会工作专业人才和志愿者有序参与社区防控工作，形成整体合力。各级卫生健康部门要加强对医疗卫生机构特别是基层医疗卫生机构的指导，会同城乡社区组织做好疫情发现、防控和应急处置，有效落实密切接触者的排查管理等措施，做到无缝衔接。</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仿宋" w:hAnsi="仿宋" w:eastAsia="仿宋" w:cs="仿宋"/>
          <w:i w:val="0"/>
          <w:caps w:val="0"/>
          <w:color w:val="auto"/>
          <w:spacing w:val="0"/>
          <w:sz w:val="32"/>
          <w:szCs w:val="32"/>
          <w:u w:val="none"/>
          <w:lang w:val="en-US" w:eastAsia="zh-CN"/>
        </w:rPr>
        <w:t>（三）营造良好环境。切实保障城乡社区工作者和医疗卫生机构人员权益，分级分类完善各项卫生防护措施和配齐必要消毒、防护用品；加大对社区防控工作中表现突出的城乡社区组织、基层医疗卫生机构和城乡社区工作者、基层医务人员的表扬力度。大力宣传社区防控工作中涌现出的先进人物和事迹，重点宣传社区志愿者和广大社区居民在参与社区防控工作过程中发生的好人好事，用身边事教育引导身边人，营造全社会关心、支持、参与社区防控工作的良好氛围。参与防控的城乡社区工作者和社会组织、志愿者要了解防疫基本知识、学会自我保护，为社区居民做好示范。</w:t>
      </w:r>
    </w:p>
    <w:p>
      <w:pPr>
        <w:widowControl w:val="0"/>
        <w:wordWrap/>
        <w:adjustRightInd/>
        <w:snapToGrid/>
        <w:spacing w:line="560" w:lineRule="exact"/>
        <w:ind w:right="0" w:firstLine="640" w:firstLineChars="200"/>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lang w:val="en-US" w:eastAsia="zh-CN"/>
        </w:rPr>
        <w:t> </w:t>
      </w:r>
    </w:p>
    <w:p>
      <w:pPr>
        <w:widowControl w:val="0"/>
        <w:wordWrap/>
        <w:adjustRightInd/>
        <w:snapToGrid/>
        <w:spacing w:line="560" w:lineRule="exact"/>
        <w:ind w:right="0" w:firstLine="640" w:firstLineChars="200"/>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lang w:val="en-US" w:eastAsia="zh-CN"/>
        </w:rPr>
        <w:t> </w:t>
      </w:r>
    </w:p>
    <w:p>
      <w:pPr>
        <w:widowControl w:val="0"/>
        <w:wordWrap/>
        <w:adjustRightInd/>
        <w:snapToGrid/>
        <w:spacing w:line="560" w:lineRule="exact"/>
        <w:ind w:right="0" w:firstLine="640" w:firstLineChars="200"/>
        <w:jc w:val="right"/>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lang w:val="en-US" w:eastAsia="zh-CN"/>
        </w:rPr>
        <w:t xml:space="preserve">       民政部      </w:t>
      </w:r>
    </w:p>
    <w:p>
      <w:pPr>
        <w:widowControl w:val="0"/>
        <w:wordWrap/>
        <w:adjustRightInd/>
        <w:snapToGrid/>
        <w:spacing w:line="560" w:lineRule="exact"/>
        <w:ind w:right="0" w:firstLine="640" w:firstLineChars="200"/>
        <w:jc w:val="right"/>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lang w:val="en-US" w:eastAsia="zh-CN"/>
        </w:rPr>
        <w:t>国家卫生健康委</w:t>
      </w:r>
    </w:p>
    <w:p>
      <w:pPr>
        <w:jc w:val="right"/>
        <w:rPr>
          <w:rFonts w:hint="eastAsia" w:ascii="Times New Roman" w:hAnsi="Times New Roman" w:eastAsia="宋体"/>
          <w:b w:val="0"/>
          <w:color w:val="auto"/>
          <w:lang w:val="en-US" w:eastAsia="zh-CN"/>
        </w:rPr>
      </w:pPr>
      <w:r>
        <w:rPr>
          <w:rFonts w:hint="eastAsia" w:ascii="仿宋" w:hAnsi="仿宋" w:eastAsia="仿宋" w:cs="仿宋"/>
          <w:i w:val="0"/>
          <w:caps w:val="0"/>
          <w:color w:val="auto"/>
          <w:spacing w:val="0"/>
          <w:sz w:val="32"/>
          <w:szCs w:val="32"/>
          <w:u w:val="none"/>
          <w:lang w:val="en-US" w:eastAsia="zh-CN"/>
        </w:rPr>
        <w:t>2020年1月29日</w:t>
      </w:r>
      <w:r>
        <w:rPr>
          <w:rFonts w:hint="eastAsia" w:ascii="Times New Roman" w:hAnsi="Times New Roman" w:eastAsia="宋体"/>
          <w:b w:val="0"/>
          <w:color w:val="auto"/>
          <w:lang w:val="en-US" w:eastAsia="zh-CN"/>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color w:val="auto"/>
          <w:kern w:val="44"/>
          <w:sz w:val="44"/>
          <w:szCs w:val="44"/>
          <w:lang w:val="en-US" w:eastAsia="zh-CN" w:bidi="ar-SA"/>
        </w:rPr>
      </w:pPr>
      <w:bookmarkStart w:id="355" w:name="_Toc3987"/>
      <w:r>
        <w:rPr>
          <w:rFonts w:hint="eastAsia" w:ascii="Times New Roman" w:hAnsi="Times New Roman" w:eastAsia="宋体" w:cs="Times New Roman"/>
          <w:bCs/>
          <w:color w:val="auto"/>
          <w:kern w:val="44"/>
          <w:sz w:val="44"/>
          <w:szCs w:val="44"/>
          <w:lang w:val="en-US" w:eastAsia="zh-CN" w:bidi="ar-SA"/>
        </w:rPr>
        <w:t>国务院应对新型冠状病毒感染的肺炎疫情联防联控机制关于进一步做好农村地区新型冠状病毒感染的肺炎疫情防控工作的通知</w:t>
      </w:r>
      <w:bookmarkEnd w:id="355"/>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kern w:val="0"/>
          <w:sz w:val="32"/>
          <w:szCs w:val="32"/>
          <w:u w:val="none"/>
          <w:lang w:val="en-US" w:eastAsia="zh-CN"/>
        </w:rPr>
      </w:pP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kern w:val="0"/>
          <w:sz w:val="32"/>
          <w:szCs w:val="32"/>
          <w:u w:val="none"/>
          <w:lang w:val="en-US" w:eastAsia="zh-CN"/>
        </w:rPr>
      </w:pPr>
      <w:r>
        <w:rPr>
          <w:rFonts w:hint="eastAsia" w:ascii="楷体" w:hAnsi="楷体" w:eastAsia="楷体" w:cs="楷体"/>
          <w:i w:val="0"/>
          <w:caps w:val="0"/>
          <w:color w:val="auto"/>
          <w:spacing w:val="0"/>
          <w:kern w:val="0"/>
          <w:sz w:val="32"/>
          <w:szCs w:val="32"/>
          <w:u w:val="none"/>
          <w:lang w:val="en-US" w:eastAsia="zh-CN"/>
        </w:rPr>
        <w:t>肺炎机制发〔2020〕14号</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left"/>
        <w:textAlignment w:val="auto"/>
        <w:rPr>
          <w:rFonts w:hint="eastAsia" w:ascii="楷体" w:hAnsi="楷体" w:eastAsia="楷体" w:cs="楷体"/>
          <w:i w:val="0"/>
          <w:caps w:val="0"/>
          <w:color w:val="auto"/>
          <w:spacing w:val="0"/>
          <w:kern w:val="0"/>
          <w:sz w:val="32"/>
          <w:szCs w:val="32"/>
          <w:u w:val="none"/>
          <w:lang w:val="en-US" w:eastAsia="zh-CN"/>
        </w:rPr>
      </w:pPr>
      <w:r>
        <w:rPr>
          <w:rFonts w:hint="eastAsia" w:ascii="楷体" w:hAnsi="楷体" w:eastAsia="楷体" w:cs="楷体"/>
          <w:i w:val="0"/>
          <w:caps w:val="0"/>
          <w:color w:val="auto"/>
          <w:spacing w:val="0"/>
          <w:kern w:val="0"/>
          <w:sz w:val="32"/>
          <w:szCs w:val="32"/>
          <w:u w:val="none"/>
          <w:lang w:val="en-US" w:eastAsia="zh-CN"/>
        </w:rPr>
        <w:t> </w:t>
      </w:r>
    </w:p>
    <w:p>
      <w:pPr>
        <w:widowControl w:val="0"/>
        <w:wordWrap/>
        <w:overflowPunct w:val="0"/>
        <w:spacing w:beforeAutospacing="0" w:afterAutospacing="0" w:line="560" w:lineRule="exact"/>
        <w:textAlignment w:val="auto"/>
        <w:rPr>
          <w:rFonts w:hint="eastAsia" w:ascii="仿宋" w:hAnsi="仿宋" w:eastAsia="仿宋" w:cs="仿宋"/>
          <w:i w:val="0"/>
          <w:caps w:val="0"/>
          <w:color w:val="auto"/>
          <w:spacing w:val="0"/>
          <w:sz w:val="32"/>
          <w:szCs w:val="32"/>
          <w:u w:val="none"/>
        </w:rPr>
      </w:pPr>
      <w:r>
        <w:rPr>
          <w:rFonts w:hint="eastAsia" w:ascii="仿宋" w:hAnsi="仿宋" w:eastAsia="仿宋" w:cs="仿宋"/>
          <w:i w:val="0"/>
          <w:caps w:val="0"/>
          <w:color w:val="auto"/>
          <w:spacing w:val="0"/>
          <w:sz w:val="32"/>
          <w:szCs w:val="32"/>
          <w:u w:val="none"/>
        </w:rPr>
        <w:t>各省、自治区、直辖市及新疆生产建设兵团应对新型冠状病毒感染的肺炎疫情联防联控机制（领导小组、指挥部）：</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新型冠状病毒感染的肺炎疫情发生以来，党中央、国务院高度重视，习近平总书记先后作出一系列重要指示批示。当前，疫情防控正处于关键期，农村防疫工作是当前防控工作重点之一，迫切需要采取更加有力有序、科学周密举措，防止疫情在农村地区扩散。为贯彻落实中央政治局常委会会议、中央应对新型冠状病毒感染的肺炎疫情工作领导小组会议和国务院有关会议部署安排，进一步做好农村地区新型冠状病毒感染的肺炎疫情防控工作，现就有关事项通知如下：</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一、充分认识做好农村地区疫情防控工作的重要性紧迫性。习近平总书记高度重视疫情防控工作，强调要把人民群众生命安全和身体健康放在第一位，把疫情防控工作作为当前最重要的工作来抓。李克强总理指出，要高度重视农村疫情防控。我国农村地区医疗卫生条件薄弱，农民工大批返乡可能增加疫情发生的风险。各级党委政府特别是县、乡党委政府，要认真学习领会习近平总书记重要指示精神，贯彻落实中央决策部署，增强“四个意识”、坚定“四个自信”、做到“两个维护”，充分认识农村地区疫情防控的重要性、复杂性和严峻性，提高政治站位，强化责任担当，积极履职尽责，全力以赴推动各项防控措施在农村落地落实，坚决打赢农村疫情防控阻击战。</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二、压实县乡党委政府和村“两委”责任。各地党委政府要在应对疫情工作领导小组和联防联控工作机制下，成立农村疫情防控专班，强化统一指挥调度，坚持农村和城市防控一体部署、一体推进，切实保障农村疫情防控工作物资、资金和人员需要。县、乡党委政府要把主要精力放在抓农村疫情防控上，充分发挥基层党组织、村民自治组织作用，引导动员广大农民群众积极参与群防群控，形成防控合力。</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三、充分发挥农村基层医疗卫生机构和村医作用。在县级卫生健康行政部门领导和疾控等专业机构指导下，乡镇卫生院、村卫生室人员要做好农村地区的筛查、医学追踪、预检分诊和转诊，实行日报告制度。发现发热患者和来自疫情发生地区的疑似感染者要及时转诊至上级医院发热门诊，分级分类做好防护和信息登记并按时上报。协助追踪、督促来自疫情发生地区和确诊病例、疑似病例的密切接触者，落实居家医学观察措施。基层党委政府要抓好农村地区消毒用品、口罩和防护服等防护用品、体温计等的调拨储备，确保农村基层医疗卫生机构物资供应。通过视频培训、发放技术指南等方式，加大对县乡村医疗卫生人员培训力度，提升疾病识别、初步处理、感染控制和防护能力。对人力不足的卫生院、卫生室要及时安排支持、支援人员，确保工作任务落实到位。</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四、强化返乡人员、流动人口健康管理。乡镇卫生院、村医协助做好对返乡人员、流动人口的追踪、筛查，加强健康管理。加强对武汉等重点疫情发生地区返回人员排查、登记、随访，做好健康状况监测，了解是否有发热、咳嗽等不适症状，做好登记，落实居家观察等措施，发现异常情况及时报告处置。督促休闲农业、农村旅游经营主体落实防控责任和防控措施，确保游客和工作人员健康安全。</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五、加强防控工作宣传引导。通过循环播放广播、编印宣传资料、印发倡议书和公开信、电话微信通知等多种方式，加强农村地区防控信息通报和防疫知识宣传，增强农民群众健康意识、防病意识，提高防病能力。结合村庄清洁行动，教育引导农民群众养成戴口罩、勤洗手等健康生活方式。积极倡导节庆文明新风，停办庙会集市、游园节庆等公众活动，劝说农民群众不大办婚丧嫁娶，尽量少摆席、少串门、少走动，避免人群聚集，降低疫情传播风险。</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both"/>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both"/>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国务院应对新型冠状病毒感染的</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肺炎疫情联防联控机制</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2020年1月30日 </w:t>
      </w:r>
    </w:p>
    <w:p>
      <w:pPr>
        <w:widowControl w:val="0"/>
        <w:wordWrap/>
        <w:spacing w:before="0" w:line="560" w:lineRule="exact"/>
        <w:ind w:firstLine="720" w:firstLineChars="200"/>
        <w:jc w:val="both"/>
        <w:textAlignment w:val="auto"/>
        <w:rPr>
          <w:rFonts w:hint="eastAsia" w:ascii="微软雅黑" w:hAnsi="微软雅黑" w:eastAsia="微软雅黑" w:cs="微软雅黑"/>
          <w:i w:val="0"/>
          <w:caps w:val="0"/>
          <w:color w:val="auto"/>
          <w:spacing w:val="0"/>
          <w:kern w:val="2"/>
          <w:sz w:val="36"/>
          <w:szCs w:val="36"/>
          <w:lang w:val="en-US" w:eastAsia="zh-CN" w:bidi="ar-SA"/>
        </w:rPr>
      </w:pPr>
    </w:p>
    <w:p>
      <w:pPr>
        <w:rPr>
          <w:rFonts w:hint="eastAsia" w:ascii="Times New Roman" w:hAnsi="Times New Roman" w:eastAsia="宋体"/>
          <w:b w:val="0"/>
          <w:color w:val="auto"/>
          <w:lang w:val="en-US" w:eastAsia="zh-CN"/>
        </w:rPr>
      </w:pPr>
      <w:r>
        <w:rPr>
          <w:rFonts w:hint="eastAsia" w:ascii="Times New Roman" w:hAnsi="Times New Roman" w:eastAsia="宋体"/>
          <w:b w:val="0"/>
          <w:color w:val="auto"/>
          <w:lang w:val="en-US" w:eastAsia="zh-CN"/>
        </w:rPr>
        <w:br w:type="page"/>
      </w:r>
    </w:p>
    <w:p>
      <w:pPr>
        <w:pStyle w:val="4"/>
        <w:wordWrap/>
        <w:spacing w:before="0" w:after="0" w:line="560" w:lineRule="exact"/>
        <w:jc w:val="center"/>
        <w:textAlignment w:val="auto"/>
        <w:rPr>
          <w:rFonts w:hint="eastAsia" w:ascii="Times New Roman" w:hAnsi="Times New Roman" w:eastAsia="宋体"/>
          <w:b w:val="0"/>
          <w:color w:val="auto"/>
          <w:lang w:val="en-US" w:eastAsia="zh-CN"/>
        </w:rPr>
      </w:pPr>
      <w:bookmarkStart w:id="356" w:name="_Toc26746"/>
      <w:r>
        <w:rPr>
          <w:rFonts w:hint="eastAsia" w:ascii="Times New Roman" w:hAnsi="Times New Roman" w:eastAsia="宋体"/>
          <w:b w:val="0"/>
          <w:color w:val="auto"/>
          <w:lang w:val="en-US" w:eastAsia="zh-CN"/>
        </w:rPr>
        <w:t>国家卫生健康委基层司</w:t>
      </w:r>
      <w:bookmarkEnd w:id="356"/>
    </w:p>
    <w:p>
      <w:pPr>
        <w:pStyle w:val="4"/>
        <w:wordWrap/>
        <w:spacing w:before="0" w:after="0" w:line="560" w:lineRule="exact"/>
        <w:jc w:val="center"/>
        <w:textAlignment w:val="auto"/>
        <w:rPr>
          <w:rFonts w:hint="eastAsia" w:ascii="Times New Roman" w:hAnsi="Times New Roman" w:eastAsia="宋体"/>
          <w:b w:val="0"/>
          <w:color w:val="auto"/>
          <w:lang w:val="en-US" w:eastAsia="zh-CN"/>
        </w:rPr>
      </w:pPr>
      <w:bookmarkStart w:id="357" w:name="_Toc25202"/>
      <w:r>
        <w:rPr>
          <w:rFonts w:hint="eastAsia" w:ascii="Times New Roman" w:hAnsi="Times New Roman" w:eastAsia="宋体"/>
          <w:b w:val="0"/>
          <w:color w:val="auto"/>
          <w:lang w:val="en-US" w:eastAsia="zh-CN"/>
        </w:rPr>
        <w:t>关于进一步做好基层医疗卫生机构防控新型</w:t>
      </w:r>
      <w:bookmarkEnd w:id="357"/>
    </w:p>
    <w:p>
      <w:pPr>
        <w:pStyle w:val="4"/>
        <w:wordWrap/>
        <w:spacing w:before="0" w:after="0" w:line="560" w:lineRule="exact"/>
        <w:jc w:val="center"/>
        <w:textAlignment w:val="auto"/>
        <w:rPr>
          <w:rFonts w:hint="eastAsia" w:ascii="Times New Roman" w:hAnsi="Times New Roman" w:eastAsia="宋体"/>
          <w:b w:val="0"/>
          <w:color w:val="auto"/>
          <w:lang w:val="en-US" w:eastAsia="zh-CN"/>
        </w:rPr>
      </w:pPr>
      <w:bookmarkStart w:id="358" w:name="_Toc1778"/>
      <w:r>
        <w:rPr>
          <w:rFonts w:hint="eastAsia" w:ascii="Times New Roman" w:hAnsi="Times New Roman" w:eastAsia="宋体"/>
          <w:b w:val="0"/>
          <w:color w:val="auto"/>
          <w:lang w:val="en-US" w:eastAsia="zh-CN"/>
        </w:rPr>
        <w:t>冠状病毒感染的肺炎疫情工作的通知</w:t>
      </w:r>
      <w:bookmarkEnd w:id="335"/>
      <w:bookmarkEnd w:id="336"/>
      <w:bookmarkEnd w:id="337"/>
      <w:bookmarkEnd w:id="338"/>
      <w:bookmarkEnd w:id="339"/>
      <w:bookmarkEnd w:id="340"/>
      <w:bookmarkEnd w:id="341"/>
      <w:bookmarkEnd w:id="342"/>
      <w:bookmarkEnd w:id="343"/>
      <w:bookmarkEnd w:id="358"/>
    </w:p>
    <w:p>
      <w:pPr>
        <w:widowControl w:val="0"/>
        <w:wordWrap/>
        <w:overflowPunct w:val="0"/>
        <w:adjustRightInd/>
        <w:snapToGrid/>
        <w:spacing w:beforeAutospacing="0" w:afterAutospacing="0" w:line="560" w:lineRule="exact"/>
        <w:ind w:right="0"/>
        <w:jc w:val="center"/>
        <w:textAlignment w:val="auto"/>
        <w:outlineLvl w:val="9"/>
        <w:rPr>
          <w:rFonts w:ascii="仿宋" w:hAnsi="仿宋" w:eastAsia="仿宋" w:cs="仿宋"/>
          <w:i w:val="0"/>
          <w:caps w:val="0"/>
          <w:color w:val="auto"/>
          <w:spacing w:val="0"/>
          <w:sz w:val="32"/>
          <w:szCs w:val="32"/>
        </w:rPr>
      </w:pPr>
    </w:p>
    <w:p>
      <w:pPr>
        <w:widowControl w:val="0"/>
        <w:wordWrap/>
        <w:overflowPunct w:val="0"/>
        <w:adjustRightInd/>
        <w:snapToGrid/>
        <w:spacing w:beforeAutospacing="0" w:afterAutospacing="0" w:line="560" w:lineRule="exact"/>
        <w:ind w:right="0"/>
        <w:jc w:val="center"/>
        <w:textAlignment w:val="auto"/>
        <w:outlineLvl w:val="9"/>
        <w:rPr>
          <w:rFonts w:hint="eastAsia" w:ascii="楷体" w:hAnsi="楷体" w:eastAsia="楷体" w:cs="楷体"/>
          <w:i w:val="0"/>
          <w:caps w:val="0"/>
          <w:color w:val="auto"/>
          <w:spacing w:val="0"/>
          <w:sz w:val="32"/>
          <w:szCs w:val="32"/>
        </w:rPr>
      </w:pPr>
      <w:r>
        <w:rPr>
          <w:rFonts w:hint="eastAsia" w:ascii="楷体" w:hAnsi="楷体" w:eastAsia="楷体" w:cs="楷体"/>
          <w:i w:val="0"/>
          <w:caps w:val="0"/>
          <w:color w:val="auto"/>
          <w:spacing w:val="0"/>
          <w:sz w:val="32"/>
          <w:szCs w:val="32"/>
        </w:rPr>
        <w:t>国卫基层运行便函〔2020〕1号</w:t>
      </w:r>
    </w:p>
    <w:p>
      <w:pPr>
        <w:widowControl w:val="0"/>
        <w:wordWrap/>
        <w:spacing w:before="0" w:line="560" w:lineRule="exact"/>
        <w:ind w:firstLine="640" w:firstLineChars="200"/>
        <w:jc w:val="both"/>
        <w:textAlignment w:val="auto"/>
        <w:rPr>
          <w:rFonts w:ascii="仿宋" w:hAnsi="仿宋" w:eastAsia="仿宋" w:cs="仿宋"/>
          <w:i w:val="0"/>
          <w:caps w:val="0"/>
          <w:color w:val="auto"/>
          <w:spacing w:val="0"/>
          <w:kern w:val="2"/>
          <w:sz w:val="32"/>
          <w:szCs w:val="32"/>
          <w:lang w:val="en-US" w:eastAsia="zh-CN" w:bidi="ar-SA"/>
        </w:rPr>
      </w:pPr>
    </w:p>
    <w:p>
      <w:pPr>
        <w:widowControl w:val="0"/>
        <w:wordWrap/>
        <w:overflowPunct w:val="0"/>
        <w:spacing w:beforeAutospacing="0" w:afterAutospacing="0" w:line="560" w:lineRule="exact"/>
        <w:textAlignment w:val="auto"/>
        <w:rPr>
          <w:rFonts w:ascii="仿宋" w:hAnsi="仿宋" w:eastAsia="仿宋" w:cs="仿宋"/>
          <w:i w:val="0"/>
          <w:caps w:val="0"/>
          <w:color w:val="auto"/>
          <w:spacing w:val="0"/>
          <w:sz w:val="32"/>
          <w:szCs w:val="32"/>
          <w:u w:val="none"/>
        </w:rPr>
      </w:pPr>
      <w:r>
        <w:rPr>
          <w:rFonts w:hint="eastAsia" w:ascii="宋体" w:hAnsi="宋体" w:eastAsia="仿宋_GB2312" w:cs="仿宋_GB2312"/>
          <w:color w:val="auto"/>
          <w:kern w:val="2"/>
          <w:sz w:val="32"/>
          <w:szCs w:val="32"/>
          <w:lang w:val="en-US" w:eastAsia="zh-CN" w:bidi="ar-SA"/>
        </w:rPr>
        <w:t>各省、自治区、直辖市及新疆生产建设兵团卫生健康委基层处：</w:t>
      </w:r>
      <w:r>
        <w:rPr>
          <w:rFonts w:hint="eastAsia" w:ascii="宋体" w:hAnsi="宋体" w:eastAsia="仿宋_GB2312" w:cs="仿宋_GB2312"/>
          <w:color w:val="auto"/>
          <w:kern w:val="2"/>
          <w:sz w:val="32"/>
          <w:szCs w:val="32"/>
          <w:lang w:val="en-US" w:eastAsia="zh-CN" w:bidi="ar-SA"/>
        </w:rPr>
        <w:br w:type="textWrapping"/>
      </w:r>
      <w:r>
        <w:rPr>
          <w:rFonts w:hint="eastAsia" w:ascii="宋体" w:hAnsi="宋体" w:eastAsia="仿宋_GB2312" w:cs="仿宋_GB2312"/>
          <w:color w:val="auto"/>
          <w:kern w:val="2"/>
          <w:sz w:val="32"/>
          <w:szCs w:val="32"/>
          <w:lang w:val="en-US" w:eastAsia="zh-CN" w:bidi="ar-SA"/>
        </w:rPr>
        <w:t>　　根据《关于加强新型冠状病毒感染的肺炎疫情社区防控工作的通知》（肺炎机制发〔2020〕5号）、《关于进一步做好农村地区新型冠状病毒感染的肺炎疫情防控工作的通知》（肺炎机制发〔2020〕14号）、《关于进一步动员城乡社区组织开展新型冠状病毒感染的肺炎疫情防控工作的紧急通知》（民发〔2020〕9号）等文件精神，为进一步做好基层医疗卫生机构防控新型冠状病毒感染的肺炎疫情等相关工作，切实保障人民群众和基层医务人员生命健康安全，现将有关工作通知如下：</w:t>
      </w:r>
      <w:r>
        <w:rPr>
          <w:rFonts w:hint="eastAsia" w:ascii="宋体" w:hAnsi="宋体" w:eastAsia="仿宋_GB2312" w:cs="仿宋_GB2312"/>
          <w:color w:val="auto"/>
          <w:kern w:val="2"/>
          <w:sz w:val="32"/>
          <w:szCs w:val="32"/>
          <w:lang w:val="en-US" w:eastAsia="zh-CN" w:bidi="ar-SA"/>
        </w:rPr>
        <w:br w:type="textWrapping"/>
      </w:r>
      <w:r>
        <w:rPr>
          <w:rFonts w:ascii="黑体" w:hAnsi="宋体" w:eastAsia="黑体" w:cs="黑体"/>
          <w:i w:val="0"/>
          <w:caps w:val="0"/>
          <w:color w:val="auto"/>
          <w:spacing w:val="0"/>
          <w:sz w:val="32"/>
          <w:szCs w:val="32"/>
          <w:u w:val="none"/>
        </w:rPr>
        <w:t>　　一、坚决做好疫情防控工作</w:t>
      </w:r>
      <w:r>
        <w:rPr>
          <w:rFonts w:hint="eastAsia" w:ascii="黑体" w:hAnsi="宋体" w:eastAsia="黑体" w:cs="黑体"/>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宋体" w:hAnsi="宋体" w:eastAsia="仿宋_GB2312" w:cs="仿宋_GB2312"/>
          <w:color w:val="auto"/>
          <w:sz w:val="32"/>
          <w:szCs w:val="32"/>
          <w:lang w:val="en-US" w:eastAsia="zh-CN"/>
        </w:rPr>
        <w:t>社区卫生服务中心（站）和乡镇卫生院、村卫生室（以下简称基层医疗卫生机构）要严格按照《关于加强基层医疗卫生机构新型冠状病毒感染的肺炎疫情防控工作的通知》（国卫办基层函〔2020〕72号）等文件要求，在地方党委政府、卫生健康行政部门的领导下，在疾控机构和其他专业机构的指导下，积极配合乡镇（街道）、村（居）委会做好城市社区、乡村和城乡结合部的疫情防控工作。基层医疗卫生机构要按照国家卫生健康委印发的新型冠状病毒感染的肺炎疫情防控相关技术规范和指南等要求，严格执行相关工作规范，科学开展宣传教育，扎实做好社区</w:t>
      </w:r>
      <w:r>
        <w:rPr>
          <w:rFonts w:hint="eastAsia" w:ascii="仿宋" w:hAnsi="仿宋" w:eastAsia="仿宋" w:cs="仿宋"/>
          <w:i w:val="0"/>
          <w:caps w:val="0"/>
          <w:color w:val="auto"/>
          <w:spacing w:val="0"/>
          <w:sz w:val="32"/>
          <w:szCs w:val="32"/>
          <w:u w:val="none"/>
        </w:rPr>
        <w:t>防控。基层医疗卫生机构要积极做好配合，对辖区居民实行“网格化”健康管理，发挥好家</w:t>
      </w:r>
      <w:r>
        <w:rPr>
          <w:rFonts w:hint="eastAsia" w:ascii="宋体" w:hAnsi="宋体" w:eastAsia="仿宋_GB2312" w:cs="仿宋_GB2312"/>
          <w:color w:val="auto"/>
          <w:sz w:val="32"/>
          <w:szCs w:val="32"/>
          <w:lang w:val="en-US" w:eastAsia="zh-CN"/>
        </w:rPr>
        <w:t>庭医生的作用，同时开展“地毯式”排查，重点强化对返乡（城</w:t>
      </w:r>
      <w:r>
        <w:rPr>
          <w:rFonts w:hint="eastAsia" w:ascii="仿宋" w:hAnsi="仿宋" w:eastAsia="仿宋" w:cs="仿宋"/>
          <w:i w:val="0"/>
          <w:caps w:val="0"/>
          <w:color w:val="auto"/>
          <w:spacing w:val="0"/>
          <w:sz w:val="32"/>
          <w:szCs w:val="32"/>
          <w:u w:val="none"/>
        </w:rPr>
        <w:t>）人员和流动人口的健康管理，织密织牢疫情防控的“网底”。</w:t>
      </w:r>
      <w:r>
        <w:rPr>
          <w:rFonts w:hint="eastAsia" w:ascii="仿宋" w:hAnsi="仿宋" w:eastAsia="仿宋" w:cs="仿宋"/>
          <w:i w:val="0"/>
          <w:caps w:val="0"/>
          <w:color w:val="auto"/>
          <w:spacing w:val="0"/>
          <w:sz w:val="32"/>
          <w:szCs w:val="32"/>
          <w:u w:val="none"/>
        </w:rPr>
        <w:br w:type="textWrapping"/>
      </w:r>
      <w:r>
        <w:rPr>
          <w:rFonts w:hint="eastAsia" w:ascii="黑体" w:hAnsi="宋体" w:eastAsia="黑体" w:cs="黑体"/>
          <w:i w:val="0"/>
          <w:caps w:val="0"/>
          <w:color w:val="auto"/>
          <w:spacing w:val="0"/>
          <w:sz w:val="32"/>
          <w:szCs w:val="32"/>
          <w:u w:val="none"/>
        </w:rPr>
        <w:t>　　二、不断强化疫情防控知识培训</w:t>
      </w:r>
      <w:r>
        <w:rPr>
          <w:rFonts w:hint="eastAsia" w:ascii="黑体" w:hAnsi="宋体" w:eastAsia="黑体" w:cs="黑体"/>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各地要加强学习、宣传和教育，针对疫情的变化并结合防控知识的更新，及时更新培训内容和最新进展，既通过培训加快提高基层防控疫情的能力，又使广大</w:t>
      </w:r>
      <w:r>
        <w:rPr>
          <w:rFonts w:hint="eastAsia" w:ascii="宋体" w:hAnsi="宋体" w:eastAsia="仿宋_GB2312" w:cs="仿宋_GB2312"/>
          <w:color w:val="auto"/>
          <w:sz w:val="32"/>
          <w:szCs w:val="32"/>
          <w:lang w:val="en-US" w:eastAsia="zh-CN"/>
        </w:rPr>
        <w:t>基层</w:t>
      </w:r>
      <w:r>
        <w:rPr>
          <w:rFonts w:hint="eastAsia" w:ascii="仿宋" w:hAnsi="仿宋" w:eastAsia="仿宋" w:cs="仿宋"/>
          <w:i w:val="0"/>
          <w:caps w:val="0"/>
          <w:color w:val="auto"/>
          <w:spacing w:val="0"/>
          <w:sz w:val="32"/>
          <w:szCs w:val="32"/>
          <w:u w:val="none"/>
        </w:rPr>
        <w:t>医务人员充分认识新型冠状病毒感染的肺炎疫情的危害性。当前，各地应主要利用线上培训的方式，加强对社区卫生服务中心（站）和乡镇卫生院医生、护士、管理人员以及乡村医生等全员培训。各地要及时将培训情况报送我司。</w:t>
      </w:r>
      <w:r>
        <w:rPr>
          <w:rFonts w:hint="eastAsia" w:ascii="仿宋" w:hAnsi="仿宋" w:eastAsia="仿宋" w:cs="仿宋"/>
          <w:i w:val="0"/>
          <w:caps w:val="0"/>
          <w:color w:val="auto"/>
          <w:spacing w:val="0"/>
          <w:sz w:val="32"/>
          <w:szCs w:val="32"/>
          <w:u w:val="none"/>
        </w:rPr>
        <w:br w:type="textWrapping"/>
      </w:r>
      <w:r>
        <w:rPr>
          <w:rFonts w:hint="eastAsia" w:ascii="黑体" w:hAnsi="宋体" w:eastAsia="黑体" w:cs="黑体"/>
          <w:i w:val="0"/>
          <w:caps w:val="0"/>
          <w:color w:val="auto"/>
          <w:spacing w:val="0"/>
          <w:sz w:val="32"/>
          <w:szCs w:val="32"/>
          <w:u w:val="none"/>
        </w:rPr>
        <w:t>　　三、切实做好基层医疗卫生机构感染控制</w:t>
      </w:r>
      <w:r>
        <w:rPr>
          <w:rFonts w:hint="eastAsia" w:ascii="黑体" w:hAnsi="宋体" w:eastAsia="黑体" w:cs="黑体"/>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各地要针对新型冠状病毒感染的肺炎疫情特点，健全基层医疗卫生机构感染控制管理制度，特别要指导基层医务人员做好个人防护。基层医务人员要提高自我保护意识，在开展防治、预检分诊、医学观察等过程中，应严格按照医务人员分级防护标准和相关技术规范做好个人防护、手卫生等防护工作，严格开展基层医疗卫生机构内部消毒、环境卫生工作，严防基层医务人员感染事件发生。各地要充分发挥县域医共体的作用，对防控力量薄弱的基层医疗卫生机构及时安排支持、支援人员，充实基层防控力量；要加强对设置发热门诊的基层医疗卫生机构的技术指导，规范发热门诊设置和流程，切实有效提高基层综合防控能力。</w:t>
      </w:r>
      <w:r>
        <w:rPr>
          <w:rFonts w:hint="eastAsia" w:ascii="仿宋" w:hAnsi="仿宋" w:eastAsia="仿宋" w:cs="仿宋"/>
          <w:i w:val="0"/>
          <w:caps w:val="0"/>
          <w:color w:val="auto"/>
          <w:spacing w:val="0"/>
          <w:sz w:val="32"/>
          <w:szCs w:val="32"/>
          <w:u w:val="none"/>
        </w:rPr>
        <w:br w:type="textWrapping"/>
      </w:r>
      <w:r>
        <w:rPr>
          <w:rFonts w:hint="eastAsia" w:ascii="黑体" w:hAnsi="宋体" w:eastAsia="黑体" w:cs="黑体"/>
          <w:i w:val="0"/>
          <w:caps w:val="0"/>
          <w:color w:val="auto"/>
          <w:spacing w:val="0"/>
          <w:sz w:val="32"/>
          <w:szCs w:val="32"/>
          <w:u w:val="none"/>
        </w:rPr>
        <w:t>　　四、进一步加大保障力度</w:t>
      </w:r>
      <w:r>
        <w:rPr>
          <w:rFonts w:hint="eastAsia" w:ascii="黑体" w:hAnsi="宋体" w:eastAsia="黑体" w:cs="黑体"/>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各级卫生健康行政部门要进一步提高认识，加强对基层医疗卫生机构开展新型冠状病毒感染的肺炎疫情防控工作的指导；要主动加强协调，为基层医疗卫生机构充足配备防控工作必需的检查、消毒和防护等用品或设备；要按照有关要求，将2020年人均基本公共卫生服务经费补助标准中新增5元全部落实到乡村和城市社区，统筹用于基层医疗卫生机构开展疫情防控的人员经费、公用经费等支出，确保相关补助经费及时足额到位。各地要深入挖掘和总结基层医疗卫生机构在防控疫情中涌现的先进事迹，采取多种渠道加大宣传报道力度，并及时将工作进展和典型案例报送我司。</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both"/>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both"/>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国家卫生健康委基层司</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2020年1月31日</w:t>
      </w:r>
    </w:p>
    <w:p>
      <w:pPr>
        <w:widowControl w:val="0"/>
        <w:wordWrap/>
        <w:spacing w:before="0" w:line="560" w:lineRule="exact"/>
        <w:ind w:firstLine="640" w:firstLineChars="200"/>
        <w:jc w:val="both"/>
        <w:textAlignment w:val="auto"/>
        <w:rPr>
          <w:rFonts w:hint="eastAsia" w:ascii="仿宋" w:hAnsi="仿宋" w:eastAsia="仿宋" w:cs="仿宋"/>
          <w:i w:val="0"/>
          <w:caps w:val="0"/>
          <w:color w:val="484848"/>
          <w:spacing w:val="0"/>
          <w:kern w:val="2"/>
          <w:sz w:val="32"/>
          <w:szCs w:val="32"/>
          <w:lang w:val="en-US" w:eastAsia="zh-CN" w:bidi="ar-SA"/>
        </w:rPr>
      </w:pPr>
    </w:p>
    <w:p>
      <w:pPr>
        <w:widowControl w:val="0"/>
        <w:wordWrap/>
        <w:spacing w:before="0" w:line="560" w:lineRule="exact"/>
        <w:ind w:firstLine="640" w:firstLineChars="200"/>
        <w:jc w:val="both"/>
        <w:textAlignment w:val="auto"/>
        <w:rPr>
          <w:rFonts w:hint="eastAsia" w:ascii="仿宋" w:hAnsi="仿宋" w:eastAsia="仿宋" w:cs="仿宋"/>
          <w:i w:val="0"/>
          <w:caps w:val="0"/>
          <w:color w:val="484848"/>
          <w:spacing w:val="0"/>
          <w:kern w:val="2"/>
          <w:sz w:val="32"/>
          <w:szCs w:val="32"/>
          <w:lang w:val="en-US" w:eastAsia="zh-CN" w:bidi="ar-SA"/>
        </w:rPr>
      </w:pPr>
    </w:p>
    <w:p>
      <w:pPr>
        <w:widowControl w:val="0"/>
        <w:wordWrap/>
        <w:spacing w:before="0" w:line="560" w:lineRule="exact"/>
        <w:ind w:firstLine="640" w:firstLineChars="200"/>
        <w:jc w:val="both"/>
        <w:textAlignment w:val="auto"/>
        <w:rPr>
          <w:rFonts w:hint="eastAsia" w:ascii="仿宋" w:hAnsi="仿宋" w:eastAsia="仿宋" w:cs="仿宋"/>
          <w:i w:val="0"/>
          <w:caps w:val="0"/>
          <w:color w:val="484848"/>
          <w:spacing w:val="0"/>
          <w:kern w:val="2"/>
          <w:sz w:val="32"/>
          <w:szCs w:val="32"/>
          <w:lang w:val="en-US" w:eastAsia="zh-CN" w:bidi="ar-SA"/>
        </w:rPr>
      </w:pPr>
    </w:p>
    <w:p>
      <w:pPr>
        <w:rPr>
          <w:rFonts w:hint="eastAsia" w:ascii="Times New Roman" w:hAnsi="Times New Roman" w:eastAsia="宋体" w:cs="Times New Roman"/>
          <w:bCs/>
          <w:color w:val="auto"/>
          <w:kern w:val="44"/>
          <w:sz w:val="44"/>
          <w:szCs w:val="44"/>
          <w:lang w:val="en-US" w:eastAsia="zh-CN" w:bidi="ar-SA"/>
        </w:rPr>
      </w:pPr>
      <w:bookmarkStart w:id="359" w:name="_Toc2896"/>
      <w:bookmarkStart w:id="360" w:name="_Toc23147"/>
      <w:bookmarkStart w:id="361" w:name="_Toc16460"/>
      <w:bookmarkStart w:id="362" w:name="_Toc17925"/>
      <w:bookmarkStart w:id="363" w:name="_Toc6036"/>
      <w:bookmarkStart w:id="364" w:name="_Toc23521"/>
      <w:bookmarkStart w:id="365" w:name="_Toc11078"/>
      <w:bookmarkStart w:id="366" w:name="_Toc31779"/>
      <w:bookmarkStart w:id="367" w:name="_Toc11587"/>
      <w:r>
        <w:rPr>
          <w:rFonts w:hint="eastAsia" w:ascii="Times New Roman" w:hAnsi="Times New Roman" w:eastAsia="宋体" w:cs="Times New Roman"/>
          <w:bCs/>
          <w:color w:val="auto"/>
          <w:kern w:val="44"/>
          <w:sz w:val="44"/>
          <w:szCs w:val="44"/>
          <w:lang w:val="en-US" w:eastAsia="zh-CN" w:bidi="ar-SA"/>
        </w:rPr>
        <w:br w:type="page"/>
      </w:r>
    </w:p>
    <w:bookmarkEnd w:id="359"/>
    <w:bookmarkEnd w:id="360"/>
    <w:bookmarkEnd w:id="361"/>
    <w:bookmarkEnd w:id="362"/>
    <w:bookmarkEnd w:id="363"/>
    <w:bookmarkEnd w:id="364"/>
    <w:bookmarkEnd w:id="365"/>
    <w:bookmarkEnd w:id="366"/>
    <w:bookmarkEnd w:id="367"/>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shd w:val="clear" w:color="090000" w:fill="FFFFFF"/>
        </w:rPr>
      </w:pPr>
      <w:bookmarkStart w:id="368" w:name="_Toc16617"/>
      <w:bookmarkStart w:id="369" w:name="_Toc11657"/>
      <w:bookmarkStart w:id="370" w:name="_Toc17625"/>
      <w:bookmarkStart w:id="371" w:name="_Toc2699"/>
      <w:bookmarkStart w:id="372" w:name="_Toc17951"/>
      <w:bookmarkStart w:id="373" w:name="_Toc5993"/>
      <w:bookmarkStart w:id="374" w:name="_Toc2455"/>
      <w:bookmarkStart w:id="375" w:name="_Toc24683"/>
      <w:bookmarkStart w:id="376" w:name="_Toc24779"/>
      <w:bookmarkStart w:id="377" w:name="_Toc20505"/>
      <w:bookmarkStart w:id="378" w:name="_Toc28421"/>
      <w:r>
        <w:rPr>
          <w:rFonts w:hint="eastAsia" w:ascii="宋体" w:hAnsi="宋体" w:eastAsia="宋体" w:cs="宋体"/>
          <w:b w:val="0"/>
          <w:bCs/>
          <w:i w:val="0"/>
          <w:caps w:val="0"/>
          <w:color w:val="333333"/>
          <w:spacing w:val="0"/>
          <w:sz w:val="44"/>
          <w:szCs w:val="44"/>
          <w:shd w:val="clear" w:color="090000" w:fill="FFFFFF"/>
          <w:lang w:val="en-US" w:eastAsia="zh-CN"/>
        </w:rPr>
        <w:t>中国人民银行 财政部 银保监会 证监会 外汇局</w:t>
      </w:r>
      <w:r>
        <w:rPr>
          <w:rFonts w:hint="eastAsia" w:ascii="宋体" w:hAnsi="宋体" w:eastAsia="宋体" w:cs="宋体"/>
          <w:b w:val="0"/>
          <w:bCs/>
          <w:i w:val="0"/>
          <w:caps w:val="0"/>
          <w:color w:val="333333"/>
          <w:spacing w:val="0"/>
          <w:sz w:val="44"/>
          <w:szCs w:val="44"/>
          <w:shd w:val="clear" w:color="090000" w:fill="FFFFFF"/>
        </w:rPr>
        <w:t>关于进一步强化金融支持防控新型冠状病毒感染肺炎疫情的通知</w:t>
      </w:r>
      <w:bookmarkEnd w:id="368"/>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br w:type="textWrapping"/>
      </w:r>
      <w:r>
        <w:rPr>
          <w:rFonts w:hint="eastAsia" w:ascii="楷体" w:hAnsi="楷体" w:eastAsia="楷体" w:cs="楷体"/>
          <w:i w:val="0"/>
          <w:caps w:val="0"/>
          <w:color w:val="333333"/>
          <w:spacing w:val="0"/>
          <w:sz w:val="32"/>
          <w:szCs w:val="32"/>
          <w:shd w:val="clear" w:color="070000" w:fill="FFFFFF"/>
        </w:rPr>
        <w:t>银发〔2020〕29号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新型冠状病毒感染的肺炎疫情发生以来，党中央、国务院高度重视，习近平总书记作出一系列重要指示。金融系统认真贯彻落实党中央、国务院决策部署，主动作为，确保金融服务畅通，支持各地疫情防控，发挥了积极作用。当前，疫情防控正处于关键阶段。为切实贯彻落实中共中央《关于加强党的领导、为打赢疫情防控阻击战提供坚强政治保证的通知》精神和中央应对新型冠状病毒感染肺炎疫情工作领导小组工作部署，进一步强化金融对疫情防控工作的支持，现就有关事宜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rPr>
      </w:pPr>
      <w:r>
        <w:rPr>
          <w:rFonts w:hint="eastAsia" w:ascii="黑体" w:hAnsi="黑体" w:eastAsia="黑体" w:cs="黑体"/>
          <w:b w:val="0"/>
          <w:bCs/>
          <w:i w:val="0"/>
          <w:caps w:val="0"/>
          <w:color w:val="333333"/>
          <w:spacing w:val="0"/>
          <w:sz w:val="32"/>
          <w:szCs w:val="32"/>
          <w:shd w:val="clear" w:color="090000" w:fill="FFFFFF"/>
        </w:rPr>
        <w:t>一、保持流动性合理充裕，加大货币信贷支持力度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一）保持流动性合理充裕。人民银行继续强化预期引导，通过公开市场操作、常备借贷便利、再贷款、再贴现等多种货币政策工具，提供充足流动性，保持金融市场流动性合理充裕，维护货币市场利率平稳运行。人民银行分支机构对因春节假期调整受到影响的金融机构，根据实际情况适当提高2020年1月下旬存款准备金考核的容忍度。引导金融机构加大信贷投放支持实体经济，促进货币信贷合理增长。</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加大对疫情防控相关领域的信贷支持力度。在疫情防控期间，人民银行会同发展改革委、工业和信息化部对生产、运输和销售应对疫情使用的医用防护服、医用口罩、医用护目镜、新型冠状病毒检测试剂盒、负压救护车、消毒机、84消毒液、红外测温仪和相关药品等重要医用物资，以及重要生活物资的骨干企业实行名单制管理。人民银行通过专项再贷款向金融机构提供低成本资金，支持金融机构对名单内的企业提供优惠利率的信贷支持。中央财政对疫情防控重点保障企业给予贴息支持。金融机构要主动加强与有关医院、医疗科研单位和相关企业的服务对接，提供足额信贷资源，全力满足相关单位和企业卫生防疫、医药用品制造及采购、公共卫生基础设施建设、科研攻关、技术改造等方面的合理融资需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三）为受疫情影响较大的地区、行业和企业提供差异化优惠的金融服务。金融机构要通过调整区域融资政策、内部资金转移定价、实施差异化的绩效考核办法等措施，提升受疫情影响严重地区的金融供给能力。对受疫情影响较大的批发零售、住宿餐饮、物流运输、文化旅游等行业，以及有发展前景但受疫情影响暂遇困难的企业，特别是小微企业，不得盲目抽贷、断贷、压贷。对受疫情影响严重的企业到期还款困难的，可予以展期或续贷。通过适当下调贷款利率、增加信用贷款和中长期贷款等方式，支持相关企业战胜疫情灾害影响。各级政府性融资担保再担保机构应取消反担保要求，降低担保和再担保费。对受疫情影响严重地区的融资担保再担保机构，国家融资担保基金减半收取再担保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四）完善受疫情影响的社会民生领域的金融服务。对因感染新型肺炎住院治疗或隔离人员、疫情防控需要隔离观察人员、参加疫情防控工作人员以及受疫情影响暂时失去收入来源的人群，金融机构要在信贷政策上予以适当倾斜，灵活调整住房按揭、信用卡等个人信贷还款安排，合理延后还款期限。感染新型肺炎的个人创业担保贷款可展期一年，继续享受财政贴息支持。对感染新型肺炎或受疫情影响受损的出险理赔客户，金融机构要优先处理，适当扩展责任范围，应赔尽赔。</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五）提高疫情期间金融服务的效率。对受疫情影响较大领域和地区的融资需求，金融机构要建立、启动快速审批通道，简化业务流程，切实提高业务办理效率。在受到交通管制的地区，金融机构要创新工作方式，采取在就近网点办公、召开视频会议等方式尽快为企业办理审批放款等业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六）支持开发性、政策性银行加大信贷支持力度。国家开发银行、进出口银行、农业发展银行要结合自身业务范围，加强统筹协调，合理调整信贷安排，加大对市场化融资有困难的防疫单位和企业的生产研发、医药用品进口采购，以及重要生活物资供应企业的生产、运输和销售的资金支持力度，合理满足疫情防控的需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七）加强制造业、小微企业、民营企业等重点领域信贷支持。金融机构要围绕内部资源配置、激励考核安排等加强服务能力建设，继续加大对小微企业、民营企业支持力度，要保持贷款增速，切实落实综合融资成本压降要求。增加制造业中长期贷款投放。</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（八）发挥金融租赁特色优势。对于在金融租赁公司办理疫情防控相关医疗设备的金融租赁业务，鼓励予以缓收或减收相关租金和利息，提供医疗设备租赁优惠金融服务。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二、合理调度金融资源，保障人民群众日常金融服务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九）保障基本金融服务畅通。金融机构要根据疫情防控工作需要，合理安排营业网点及营业时间，切实做好营业场所的清洁消毒，保障基本金融服务畅通。金融机构要加强全国范围特别是疫情严重地区的线上服务，引导企业和居民通过互联网、手机APP等线上方式办理金融业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加强流通中现金管理。合理调配现金资源，确保现金供应充足。加大对医院、居民社区以及应急建设项目等的现金供应，及时满足疫情物资采购相关单位和企业的大额现金需求。做好现金储存及业务办理场地的消毒工作。对外付出现金尽可能以新券为主，对收入的现金采取消毒措施后交存当地人民银行分支机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一）确保支付清算通畅运行。人民银行根据需要，放开小额支付系统业务限额，延长大额支付系统、中央银行会计核算数据集中系统运行时间，支持金融机构线上办理人民币交存款等业务。人民银行分支机构、清算机构及银行业金融机构要做好各类支付清算系统、中央银行会计核算数据集中系统的正常安全运营，开通疫情防控专用通道，保障境内外救援和捐赠资金及时划拨到位、社会资金流转高效顺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二）建立银行账户防疫“绿色通道”。银行业金融机构要在风险可控的前提下，做好与防控疫情相关的银行账户服务工作，简化开户流程，加快业务办理。要积极开辟捐款“绿色通道”，确保疫情防控款项第一时间到达指定收款人账户。减免银行业金融机构通过人民银行支付系统办理防控疫情相关款项汇划费用。鼓励清算机构、银行业金融机构对向慈善机构账户或疫区专用账户的转账汇款业务、对疫区的取现业务减免服务手续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三）加大电子支付服务保障力度。支持银行业金融机构、非银行支付机构在疫情防控期间，采用远程视频、电话等方式办理商户准入审核和日常巡检，通过交易监测强化风险防控。鼓励清算机构、银行业金融机构和非银行支付机构对特定领域或区域特约商户实行支付服务手续费优惠。银行业金融机构、非银行支付机构要强化电子渠道服务保障，灵活调整相关业务限额，引导客户通过电子商业汇票系统、个人网上银行、企业网上银行、手机银行、支付服务APP等电子化渠道在线办理支付结算业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四）切实保障公众征信相关权益。人民银行分支机构和金融信用信息基础数据库接入机构要妥善安排征信查询服务，引导公众通过互联网、自助查询机进行征信查询。要合理调整逾期信用记录报送，对因感染新型肺炎住院治疗或隔离人员、疫情防控需要隔离观察人员和参加疫情防控工作人员，因疫情影响未能及时还款的，经接入机构认定，相关逾期贷款可以不作逾期记录报送，已经报送的予以调整。对受疫情影响暂时失去收入来源的个人和企业，可依调整后的还款安排，报送信用记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五）畅通国库紧急拨款通道。建立财库银协同工作机制，及时了解财政部门疫情防控资金拨付安排，随时做好资金拨付工作。加强对商业银行相关业务的指导，建立信息反馈机制，及时跟踪资金拨付情况。人民银行和商业银行确保资金汇划渠道畅通和国库业务相关系统运行安全稳定，构建疫情防控拨款“绿色通道”。各级国库部门要简化业务处理流程和手续，确保疫情防控资金及时、安全、准确拨付到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六）切实保障消费者合法权益。金融机构要树立负责任金融理念，对受疫情影响临时停业或调整营业时间的网点，要提前向社会公布并主动说明临近正常营业的网点。金融机构要充分利用线上等方式保持投诉渠道畅通，优化客户咨询、投诉处理流程，及时妥善处理疫情相关的金融咨询和投诉。金融机构要切实加强行业自律，维护市场秩序，不得利用疫情进行不当金融营销宣传。</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三、保障金融基础设施安全，维护金融市场平稳有序运行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七）加强金融基础设施服务保障。金融市场基础设施要从工作机制、人员配备、办公场所、系统运维、技术支持等方面提升服务保障能力，确保发行、交易、清算、结算等业务正常运转，尽可能实施全流程、全链条线上操作。要制定应急预案，对突发事件快速响应、高效处理。要加强与主管部门、市场机构、其他金融基础设施的沟通，保持业务系统联通顺畅。对受疫情影响较大的地区，要开设“绿色通道”，必要时提供特别服务安排，并降低服务收费标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八）稳妥开展金融市场相关业务。金融机构要合理调配人员，稳妥开展金融市场相关交易、清算、结算、发行、承销等工作，加强流动性管理与风险应对。要合理引导投资者预期，确保金融市场各项业务平稳有序开展。对受疫情影响较大地区的金融机构，要保持正常业务往来，加大支持力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九）提高债券发行等服务效率。中国银行间市场交易商协会、上海证券交易所、深圳证券交易所等要优化公司信用类债券发行工作流程，鼓励金融机构线上提交公司信用类债券的发行申报材料，远程办理备案、注册等，减少疫情传播风险。对募集资金主要用于疫情防控以及疫情较重地区金融机构和企业发行的金融债券、资产支持证券、公司信用类债券建立注册发行“绿色通道”，证券市场自律组织对拟投资于防疫相关医疗设备、疫苗药品生产研发企业的私募股权投资基金，建立登记备案“绿色通道”，切实提高服务效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灵活妥善调整企业信息披露等监管事项。上市公司、挂牌公司、公司债券发行人受疫情影响，在法定期限内披露2019年年报或2020年第一季度季报有困难的，证监会、证券交易所、全国中小企业股份转让系统要依法妥善安排。上市公司受疫情影响，难以按期披露业绩预告或业绩快报的，可向证券交易所申请延期办理；难以在原预约日期披露2019年年报的，可向证券交易所申请延期至2020年4月30日前披露。湖北省证券基金经营机构可向当地证监局申请延期办理年度报告的审计、披露和报备。受疫情影响较大的证券基金经营机构管理的公募基金或其他资产管理产品，管理人可向当地证监局申请延期办理年报审计和披露。对疫情严重地区的证券基金期货经营机构，适当放宽相关风控指标监管标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一）适当放宽资本市场相关业务办理时限。适当延长上市公司并购重组行政许可财务资料有效期和重组预案披露后发布召开股东大会通知的时限。如因受疫情影响确实不能按期更新财务资料或发出股东大会通知的，公司可在充分披露疫情对本次重组的具体影响后，申请财务资料有效期延长或股东大会通知时间延期1个月，最多可申请延期3次。疫情期间，对股票发行人的反馈意见回复时限、告知函回复时限、财务报告到期终止时限，以及已核发的再融资批文有效期，自本通知发布之日起暂缓计算。已取得债券发行许可，因疫情影响未能在许可有效期内完成发行的，可向证监会申请延期发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二）减免疫情严重地区公司上市等部分费用。免收湖北省上市公司、挂牌公司应向证券交易所、全国中小企业股份转让系统缴纳的2020年度上市年费和挂牌年费。免除湖北省期货公司应向期货交易所缴纳的2020年度会费和席位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四、建立“绿色通道”，切实提高外汇及跨境人民币业务办理效率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三）便利防疫物资进口。银行应当为疫情防控相关物资进口、捐赠等跨境人民币业务开辟“绿色通道”。对有关部门和地方政府所需的疫情防控物资进口，外汇局各分支机构要指导辖区内银行简化进口购付汇业务流程与材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（二十四）便捷资金入账和结汇。对于境内外因支援疫情防控汇入的外汇捐赠资金业务，银行可直接通过受赠单位已有的经常项目外汇结算账户办理，暂停实施需开立捐赠外汇账户的要求。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五）支持企业跨境融资防控疫情。企业办理与疫情防控相关的资本项目收入结汇支付时，无需事前、逐笔提交单证材料，由银行加强对企业资金使用真实性的事后检查。对疫情防控确有需要的，可取消企业借用外债限额等，并可线上申请外债登记，便利企业开展跨境融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六）支持个人和企业合理用汇需求。银行应当密切关注个人用汇需求，鼓励通过手机银行等线上渠道办理个人外汇业务。与疫情防控有关的其他特殊外汇及人民币跨境业务，银行可先行办理、事后检查，并分别向所在地外汇局分支机构、人民银行分支机构报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七）简化疫情防控相关跨境人民币业务办理流程。支持银行在“展业三原则”基础上，凭企业提交的收付款指令，直接为其办理疫情防控相关进口跨境人民币结算业务以及资本项目下收入人民币资金在境内支付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五、加强金融系统党的领导，为打赢疫情防控阻击战提供坚强政治保证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（二十八）强化疫情防控的组织保障。金融管理部门和金融机构要增强“四个意识”</w:t>
      </w:r>
      <w:r>
        <w:rPr>
          <w:rFonts w:hint="eastAsia" w:ascii="仿宋" w:hAnsi="仿宋" w:eastAsia="仿宋" w:cs="仿宋"/>
          <w:i w:val="0"/>
          <w:caps w:val="0"/>
          <w:color w:val="333333"/>
          <w:spacing w:val="0"/>
          <w:sz w:val="32"/>
          <w:szCs w:val="32"/>
          <w:shd w:val="clear" w:color="070000" w:fill="FFFFFF"/>
          <w:lang w:eastAsia="zh-CN"/>
        </w:rPr>
        <w:t>、</w:t>
      </w:r>
      <w:r>
        <w:rPr>
          <w:rFonts w:hint="eastAsia" w:ascii="仿宋" w:hAnsi="仿宋" w:eastAsia="仿宋" w:cs="仿宋"/>
          <w:i w:val="0"/>
          <w:caps w:val="0"/>
          <w:color w:val="333333"/>
          <w:spacing w:val="0"/>
          <w:sz w:val="32"/>
          <w:szCs w:val="32"/>
          <w:shd w:val="clear" w:color="070000" w:fill="FFFFFF"/>
        </w:rPr>
        <w:t>坚定“四个自信”</w:t>
      </w:r>
      <w:r>
        <w:rPr>
          <w:rFonts w:hint="eastAsia" w:ascii="仿宋" w:hAnsi="仿宋" w:eastAsia="仿宋" w:cs="仿宋"/>
          <w:i w:val="0"/>
          <w:caps w:val="0"/>
          <w:color w:val="333333"/>
          <w:spacing w:val="0"/>
          <w:sz w:val="32"/>
          <w:szCs w:val="32"/>
          <w:shd w:val="clear" w:color="070000" w:fill="FFFFFF"/>
          <w:lang w:eastAsia="zh-CN"/>
        </w:rPr>
        <w:t>、</w:t>
      </w:r>
      <w:r>
        <w:rPr>
          <w:rFonts w:hint="eastAsia" w:ascii="仿宋" w:hAnsi="仿宋" w:eastAsia="仿宋" w:cs="仿宋"/>
          <w:i w:val="0"/>
          <w:caps w:val="0"/>
          <w:color w:val="333333"/>
          <w:spacing w:val="0"/>
          <w:sz w:val="32"/>
          <w:szCs w:val="32"/>
          <w:shd w:val="clear" w:color="070000" w:fill="FFFFFF"/>
        </w:rPr>
        <w:t>做到“两个维护”，切实把思想和行动统一到习近平总书记的重要指示精神上来，把打赢疫情防控阻击战作为当前重大政治任务，全力以赴做好各项金融服务工作。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九）做好自身的疫情防控工作。金融管理部门和金融机构要完善疫情应对工作机制，持续关注员工特别是从疫情较重地区返回员工的健康情况，建立日报制度，加大疫情排查力度，做好员工防疫安排，努力为员工提供必要的防疫用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三十）配合地方政府加强应急管理。金融管理部门和金融机构要按照属地原则，配合当地政府做好组织协调，及时处理突发事件。服从当地政府防疫安排，对防控疫情需要征用的人员车辆、设备设施等，不得推诿拒绝。各单位要继续严格执行应急值守制度，确保政令畅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各单位在执行中遇到的情况请及时报告。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中国人民银行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财政部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银保监会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证监会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国家外汇管理局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2020年1月31日</w:t>
      </w:r>
    </w:p>
    <w:p>
      <w:pPr>
        <w:rPr>
          <w:rFonts w:hint="eastAsia" w:ascii="宋体" w:hAnsi="宋体" w:eastAsia="宋体" w:cs="宋体"/>
          <w:color w:val="000000"/>
          <w:kern w:val="0"/>
          <w:sz w:val="44"/>
          <w:szCs w:val="44"/>
          <w:highlight w:val="none"/>
          <w:lang w:val="en-US" w:eastAsia="zh-CN"/>
        </w:rPr>
      </w:pPr>
      <w:r>
        <w:rPr>
          <w:rFonts w:hint="eastAsia" w:ascii="宋体" w:hAnsi="宋体" w:eastAsia="宋体" w:cs="宋体"/>
          <w:color w:val="000000"/>
          <w:kern w:val="0"/>
          <w:sz w:val="44"/>
          <w:szCs w:val="44"/>
          <w:highlight w:val="none"/>
          <w:lang w:val="en-US" w:eastAsia="zh-CN"/>
        </w:rPr>
        <w:br w:type="page"/>
      </w:r>
    </w:p>
    <w:p>
      <w:pPr>
        <w:widowControl w:val="0"/>
        <w:wordWrap/>
        <w:adjustRightInd/>
        <w:snapToGrid/>
        <w:spacing w:line="560" w:lineRule="exact"/>
        <w:ind w:right="0"/>
        <w:jc w:val="center"/>
        <w:textAlignment w:val="auto"/>
        <w:outlineLvl w:val="0"/>
        <w:rPr>
          <w:rFonts w:hint="eastAsia" w:ascii="宋体" w:hAnsi="宋体" w:eastAsia="宋体" w:cs="宋体"/>
          <w:color w:val="000000"/>
          <w:kern w:val="0"/>
          <w:sz w:val="44"/>
          <w:szCs w:val="44"/>
          <w:lang w:val="en-US" w:eastAsia="zh-CN"/>
        </w:rPr>
      </w:pPr>
      <w:bookmarkStart w:id="379" w:name="_Toc16525"/>
      <w:r>
        <w:rPr>
          <w:rFonts w:hint="eastAsia" w:ascii="宋体" w:hAnsi="宋体" w:eastAsia="宋体" w:cs="宋体"/>
          <w:color w:val="000000"/>
          <w:kern w:val="0"/>
          <w:sz w:val="44"/>
          <w:szCs w:val="44"/>
          <w:highlight w:val="none"/>
          <w:lang w:val="en-US" w:eastAsia="zh-CN"/>
        </w:rPr>
        <w:t>生态环境部办公厅关</w:t>
      </w:r>
      <w:r>
        <w:rPr>
          <w:rFonts w:hint="eastAsia" w:ascii="宋体" w:hAnsi="宋体" w:eastAsia="宋体" w:cs="宋体"/>
          <w:color w:val="000000"/>
          <w:kern w:val="0"/>
          <w:sz w:val="44"/>
          <w:szCs w:val="44"/>
          <w:lang w:val="en-US" w:eastAsia="zh-CN"/>
        </w:rPr>
        <w:t>于做好新型冠状病毒</w:t>
      </w:r>
      <w:bookmarkEnd w:id="379"/>
    </w:p>
    <w:p>
      <w:pPr>
        <w:widowControl w:val="0"/>
        <w:wordWrap/>
        <w:adjustRightInd/>
        <w:snapToGrid/>
        <w:spacing w:line="560" w:lineRule="exact"/>
        <w:ind w:right="0"/>
        <w:jc w:val="center"/>
        <w:textAlignment w:val="auto"/>
        <w:outlineLvl w:val="0"/>
        <w:rPr>
          <w:rFonts w:hint="eastAsia" w:ascii="宋体" w:hAnsi="宋体" w:eastAsia="宋体" w:cs="宋体"/>
          <w:color w:val="000000"/>
          <w:kern w:val="0"/>
          <w:sz w:val="44"/>
          <w:szCs w:val="44"/>
          <w:lang w:val="en-US" w:eastAsia="zh-CN"/>
        </w:rPr>
      </w:pPr>
      <w:bookmarkStart w:id="380" w:name="_Toc3386"/>
      <w:r>
        <w:rPr>
          <w:rFonts w:hint="eastAsia" w:ascii="宋体" w:hAnsi="宋体" w:eastAsia="宋体" w:cs="宋体"/>
          <w:color w:val="000000"/>
          <w:kern w:val="0"/>
          <w:sz w:val="44"/>
          <w:szCs w:val="44"/>
          <w:lang w:val="en-US" w:eastAsia="zh-CN"/>
        </w:rPr>
        <w:t>感染的肺炎疫情医疗污水和城镇污水监管工作</w:t>
      </w:r>
      <w:bookmarkEnd w:id="380"/>
    </w:p>
    <w:p>
      <w:pPr>
        <w:widowControl w:val="0"/>
        <w:wordWrap/>
        <w:adjustRightInd/>
        <w:snapToGrid/>
        <w:spacing w:line="560" w:lineRule="exact"/>
        <w:ind w:right="0"/>
        <w:jc w:val="center"/>
        <w:textAlignment w:val="auto"/>
        <w:outlineLvl w:val="0"/>
        <w:rPr>
          <w:rFonts w:hint="eastAsia" w:ascii="宋体" w:hAnsi="宋体" w:eastAsia="宋体" w:cs="宋体"/>
          <w:color w:val="000000"/>
          <w:kern w:val="0"/>
          <w:sz w:val="44"/>
          <w:szCs w:val="44"/>
          <w:lang w:val="en-US" w:eastAsia="zh-CN"/>
        </w:rPr>
      </w:pPr>
      <w:bookmarkStart w:id="381" w:name="_Toc2006"/>
      <w:r>
        <w:rPr>
          <w:rFonts w:hint="eastAsia" w:ascii="宋体" w:hAnsi="宋体" w:eastAsia="宋体" w:cs="宋体"/>
          <w:color w:val="000000"/>
          <w:kern w:val="0"/>
          <w:sz w:val="44"/>
          <w:szCs w:val="44"/>
          <w:lang w:val="en-US" w:eastAsia="zh-CN"/>
        </w:rPr>
        <w:t>的通知</w:t>
      </w:r>
      <w:bookmarkEnd w:id="381"/>
    </w:p>
    <w:p>
      <w:pPr>
        <w:widowControl w:val="0"/>
        <w:wordWrap/>
        <w:adjustRightInd/>
        <w:snapToGrid/>
        <w:spacing w:line="560"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640" w:firstLineChars="200"/>
        <w:jc w:val="center"/>
        <w:textAlignment w:val="auto"/>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环办水体函〔2020〕52号</w:t>
      </w:r>
    </w:p>
    <w:p>
      <w:pPr>
        <w:widowControl w:val="0"/>
        <w:wordWrap/>
        <w:adjustRightInd/>
        <w:snapToGrid/>
        <w:spacing w:line="560"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各省、自治区、直辖市生态环境厅（局），新疆生产建设兵团生态环境局：</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为有效应对新型冠状病毒感染的肺炎疫情（以下简称疫情），进一步加强医疗污水和城镇污水监管工作，防止新型冠状病毒通过污水传播扩散，现将有关事项通知如下。</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高度重视医疗污水和城镇污水监管工作，将其作为疫情防控工作的一项重要内容抓紧抓实。进一步加强医疗污水收集、污染治理设施运行、污染物排放等监督管理；主动加强与卫生健康、城镇排水等部门的协调配合，健全联动机制，形成工作合力。</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已发生疫情的地方，当地生态环境部门要指导督促接收新型冠状病毒感染的肺炎患者或疑似患者诊疗的定点医疗机构（医院、卫生院等）、相关临时隔离场所及研究机构，严格执行《医疗机构水污染物排放标准》（GB 18466-2005），参照《医院污水处理技术指南》（环发〔2003〕197号）、《医院污水处理工程技术规范》（HJ 2029-2013）和《新型冠状病毒污染的医疗污水应急处理技术方案（试行）》（见附件）等有关要求，对污水和废弃物进行分类收集和处理，确保稳定达标排放。对没有医疗污水处理设施或污水处理能力未达到相关要求的医院，应督促其参照《医院污水处理工程技术规范》及《医院污水处理技术指南》，因地制宜建设临时性污水处理罐（箱），采取加氯、过氧乙酸等措施进行杀菌消毒。切实加强对医疗污水消毒情况的监督检查，严禁未经消毒处理或处理未达标的医疗污水排放。对隔离区要指导其对外排粪便和污水进行必要的杀菌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地方生态环境部门要督促城镇污水处理厂切实加强消毒工作，结合实际，采取投加消毒剂或臭氧、紫外线消毒等措施，确保出水粪大肠菌群数指标达到《城镇污水处理厂污染物排放标准》（GB 18918-2002）要求。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当前公共场所和家庭为防控疫情多采用含氯消毒剂进行消毒，排入城镇污水处理厂的污水余氯量可能偏高，影响生化处理单元正常运行。地方生态环境部门要督促各城镇污水处理厂密切关注进水水质余氯指标的变化情况，及时采取有针对性的应对措施，确保出水达标。</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三、未发生疫情的地方，当地生态环境部门要密切关注疫情发展，指导督促本行政区域内医疗机构、接纳医疗污水的城镇污水处理机构等提前做好应对准备。</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加大农村医疗污水处置的监管力度，指导督促卫生院（所）因地制宜采取加氯、过氧乙酸等措施进行专门的灭菌消毒，防止病毒通过医疗污水扩散。严格污水灌溉的环境管理，禁止向农田灌溉渠道排放医疗污水。</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进一步加强饮用水水源地保护，做好水质监测，确保饮用水水源不受污染。加大对农贸市场、集贸市场、超市、车站、机场、码头等重点场所污水收集处理的现场监督检查力度，依法查处违法排污，严防发生污染事故。</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在当地党委政府统一领导下，做好本行政区域内医疗污水和城镇污水处理、污染物排放信息发布工作。按照生态环境部调度安排，及时准确统计报送当地医疗污水和城镇污水监管情况。要加强与卫生健康、城镇排水、农业农村、公安等部门信息共享，强化联防联控，严防疫情扩散蔓延，合力打赢疫情防控阻击战。</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特此通知。</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附件：新型冠状病毒污染的医疗污水应急处理技术方案（试行）</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生态环境部办公厅</w:t>
      </w:r>
    </w:p>
    <w:p>
      <w:pPr>
        <w:widowControl w:val="0"/>
        <w:wordWrap/>
        <w:adjustRightInd/>
        <w:snapToGrid/>
        <w:spacing w:line="560" w:lineRule="exact"/>
        <w:ind w:left="0" w:leftChars="0" w:right="0" w:firstLine="0" w:firstLineChars="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2020年2月1日</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p>
    <w:p>
      <w:pP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br w:type="page"/>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附件</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新型冠状病毒污染的医疗污水应急处理技术方案（试行）</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为了有效应对目前我国发生的新型冠状病毒感染的肺炎疫情（以下简称疫情）患者及治疗过程产生污水对环境的污染，规范医疗污水应急处理、杀菌消毒要求，保护生态环境和人体健康，特制定本方案。</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本方案适用于接收新型冠状病毒感染的肺炎患者（以下简称肺炎患者）或疑似患者诊疗的定点医疗机构（医院、卫生院等）、相关临时隔离场所以及研究机构等产生污水的处理。疫情期间，以上机构产生的污水应作为传染病医疗机构污水进行管控，强化杀菌消毒，确保出水粪大肠菌群数等各项指标达到《医疗机构水污染物排放标准》的相关要求。地方有更严格的地方污染物排放标准的，从其规定。</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一、编制依据</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（一）《中华人民共和国水污染防治法》</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（二）《中华人民共和国传染病防治法》</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 《突发公共卫生事件应急条例》（国务院令第 376 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（四）《国家突发环境事件应急预案》（国办函〔2014〕119 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 《医疗机构水污染物排放标准》（GB 18466-2005）</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 《城镇污水处理厂污染物排放标准》（GB 18918-2002）</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（七） 《医院污水处理工程技术规范》（HJ 2029-2013）</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（八） 《医院污水处理技术指南》（环发〔2003〕197号）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（九） 《“SARS”病毒污染的污水应急处理技术方案》（环明传〔2003〕3号）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（十） 《室外排水设计规范》（GB 50014-2006）</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（十一） 《氯气安全规程》（GB 11984-2008）</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（十二） 《疫源地消毒总则》（GB 19193-2015）</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二、总体要求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（一）加强分类管理，严防污染扩散</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接收肺炎患者或疑似患者诊疗的定点医疗机构（医院、卫生院等）以及相关单位产生的污水应加强杀菌消毒。对于已建设污水处理设施的，应强化工艺控制和运行管理，采取有效措施，确保达标排放；对于未建设污水处理设施的，应参照《医院污水处理技术指南》《医院污水处理工程技术规范》等，因地制宜建设临时性污水处理罐（箱），禁止污水直接排放或处理未达标排放。不得将固体传染性废物、各种化学废液弃置和倾倒排入下水道。</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（二）强化消毒灭菌，控制病毒扩散</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对于产生的污水最有效的消毒方法是投加消毒剂。目前消毒剂主要以强氧化剂为主，这些消毒剂的来源主要可分为两类。一类是化学药剂，另一类是产生消毒剂的设备。应根据不同情形选择适用的消毒剂种类和消毒方式，保证达到消毒效果。</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三、采用化学药剂的消毒处理应急方案</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（一）常用药剂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医院污水消毒常采用含氯消毒剂（如次氯酸钠、漂白粉、漂白精、液氯等）消毒、过氧化物类消毒剂消毒（如过氧乙酸等）、臭氧消毒等措施。</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（二）药剂配制</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所有化学药剂的配制均要求用塑料容器和塑料工具。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（三）投药技术</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采用含氯消毒剂消毒应遵守《室外排水设计规范》要求。投放液氯用真空加氯机，并将投氯管出口淹没在污水中，且应遵守《氯气安全规程》要求；二氧化氯用二氧化氯发生器；次氯酸钠用发生器或液体药剂；臭氧用臭氧发生器。加药设备至少为2套，1用1备。没有条件时，也可以在污水入口处直接投加。各医院污水处理可根据实际情况优化消毒剂的投加点或投加量。</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采用含氯消毒剂消毒且医院污水排至地表水体时，应采取脱氯措施。采用臭氧消毒时，在工艺末端必须设置尾气处理装置，反应后排出的臭氧尾气必须经过分解破坏，达到排放标准。</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四、采用专用设备的消毒处理应急方案</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（一）污水量测算</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国内市场上可提供的成套消毒剂制备设备主要是二氧化氯发生器和臭氧发生器，这些设备基本可以采用自动化操作方式，设备选型根据产生的污水量而定。污水量的计算方法包括按用水量计算法、按日均污水量和变化系数计算法等，计算公式和参数选择参照《医院污水处理工程技术规范》执行。</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（二）消毒剂投加量</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1.消毒剂消毒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接收肺炎患者或疑似患者诊疗的定点医疗机构（医院、卫生院等）以及相关单位，采用液氯、二氧化氯、氯酸钠、漂白粉或漂白精消毒时，参考有效氯投加量为50mg/L。消毒接触池的接触时间≥1.5小时，余氯量大于6.5mg/L（以游离氯计），粪大肠菌群数＜100个/L。若因现有氯化消毒设施能力限制难以达到前述接触时间要求，接触时间为1.0小时的，余氯大于10mg/L（以游离氯计），参考有效氯投加量为80mg/L，粪大肠菌群数＜100个/L；若接触时间不足1.0小时的，投氯量与余氯还需适当加大。</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2.臭氧消毒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采用臭氧消毒，污水悬浮物浓度应小于20mg/L，接触时间大于0.5小时，投加量大于50mg/L，大肠菌群去除率不小于99.99%，粪大肠菌群数＜100个/L。</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3.肺炎患者排泄物及污物消毒方法</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应按照《疫源地消毒总则》相关要求消毒。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五、污泥处理处置要求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（一）污泥在贮泥池中进行消毒，贮泥池有效容积应不小于处理系统24小时产泥量，且不宜小于1m3。贮泥池内需采取搅拌措施，以利于污泥加药消毒。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（二）应尽量避免进行与人体暴露的污泥脱水处理，尽可能采用离心脱水装置。</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（三）医院污泥应按危险废物处理处置要求，由具有危险废物处理处置资质的单位进行集中处置。</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（四）污泥清掏前应按照《医疗机构水污染物排放标准》表4的规定进行监测。</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六、其他要求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（一）污水应急处理的其他技术要点，可参照《医院污水处理技术指南》《医院污水处理工程技术规范》相关要求。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（二）严格按照《医疗机构水污染物排放标准》的规定，对相关处理设施排出口和单位污水外排口开展水质监测和评价。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以疫情暴发期集中收治区为重点，加强城镇污水处理厂出水的消毒工作，结合实际采取投加消毒剂或臭氧、紫外线消毒等措施，确保出水粪大肠菌群数指标达到《城镇污水处理厂污染物排放标准》要求，对剩余污泥采取必要的消毒措施，防止病毒扩散。</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（四）污水应急处理中要加强污水处理站废气、污泥排放的控制和管理，防止病原体在不同介质中转移。</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（五）位于室内的污水处理工程必须设有强制通风设备，并为工作人员配备工作服、手套、面罩、护目镜、防毒面具以及急救用品。</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（六）地方各级生态环境部门和医疗污水处理单位可参考本方案及相关标准规范，因地制宜确定疫情期间医疗污水应急处理的具体要求。</w:t>
      </w:r>
    </w:p>
    <w:p>
      <w:pPr>
        <w:widowControl w:val="0"/>
        <w:wordWrap/>
        <w:adjustRightInd/>
        <w:snapToGrid/>
        <w:ind w:firstLine="0" w:firstLineChars="0"/>
        <w:textAlignment w:val="auto"/>
        <w:rPr>
          <w:rFonts w:hint="eastAsia" w:ascii="Times New Roman" w:hAnsi="Times New Roman" w:eastAsia="宋体" w:cs="Times New Roman"/>
          <w:bCs/>
          <w:kern w:val="44"/>
          <w:sz w:val="44"/>
          <w:szCs w:val="44"/>
          <w:lang w:val="en-US" w:eastAsia="zh-CN" w:bidi="ar-SA"/>
        </w:rPr>
      </w:pPr>
    </w:p>
    <w:p>
      <w:pPr>
        <w:rPr>
          <w:rFonts w:hint="eastAsia" w:ascii="Times New Roman" w:hAnsi="Times New Roman" w:eastAsia="宋体" w:cs="Times New Roman"/>
          <w:bCs/>
          <w:kern w:val="44"/>
          <w:sz w:val="44"/>
          <w:szCs w:val="44"/>
          <w:lang w:val="en-US" w:eastAsia="zh-CN" w:bidi="ar-SA"/>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仿宋" w:hAnsi="仿宋" w:eastAsia="仿宋" w:cs="仿宋"/>
          <w:i w:val="0"/>
          <w:caps w:val="0"/>
          <w:color w:val="auto"/>
          <w:spacing w:val="0"/>
          <w:sz w:val="32"/>
          <w:szCs w:val="32"/>
          <w:shd w:val="clear" w:color="080000" w:fill="FFFFFF"/>
        </w:rPr>
      </w:pPr>
      <w:bookmarkStart w:id="382" w:name="_Toc27596"/>
      <w:r>
        <w:rPr>
          <w:rStyle w:val="23"/>
          <w:rFonts w:hint="eastAsia" w:ascii="宋体" w:hAnsi="宋体" w:eastAsia="宋体" w:cs="宋体"/>
          <w:b w:val="0"/>
          <w:bCs/>
          <w:i w:val="0"/>
          <w:caps w:val="0"/>
          <w:color w:val="auto"/>
          <w:spacing w:val="0"/>
          <w:sz w:val="44"/>
          <w:szCs w:val="44"/>
          <w:shd w:val="clear" w:color="0A0000" w:fill="FFFFFF"/>
        </w:rPr>
        <w:t>国务院应对新型冠状病毒肺炎疫情联防联控机制关于依法科学精准做好新冠肺炎疫情防控工作的通知</w:t>
      </w:r>
      <w:r>
        <w:rPr>
          <w:rStyle w:val="23"/>
          <w:rFonts w:hint="eastAsia" w:ascii="仿宋" w:hAnsi="仿宋" w:eastAsia="仿宋" w:cs="仿宋"/>
          <w:i w:val="0"/>
          <w:caps w:val="0"/>
          <w:color w:val="auto"/>
          <w:spacing w:val="0"/>
          <w:sz w:val="32"/>
          <w:szCs w:val="32"/>
          <w:shd w:val="clear" w:color="080000" w:fill="FFFFFF"/>
        </w:rPr>
        <w:br w:type="textWrapping"/>
      </w:r>
      <w:bookmarkEnd w:id="382"/>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sz w:val="32"/>
          <w:szCs w:val="32"/>
          <w:shd w:val="clear" w:color="070000" w:fill="FFFFFF"/>
        </w:rPr>
      </w:pPr>
      <w:r>
        <w:rPr>
          <w:rFonts w:hint="eastAsia" w:ascii="楷体" w:hAnsi="楷体" w:eastAsia="楷体" w:cs="楷体"/>
          <w:i w:val="0"/>
          <w:caps w:val="0"/>
          <w:color w:val="auto"/>
          <w:spacing w:val="0"/>
          <w:sz w:val="32"/>
          <w:szCs w:val="32"/>
          <w:shd w:val="clear" w:color="070000" w:fill="FFFFFF"/>
        </w:rPr>
        <w:t>联防联控机制发〔2020〕28号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各省、自治区、直辖市及新疆生产建设兵团应对新型冠状病毒肺炎疫情联防联控机制（领导小组、指挥部）：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为贯彻落实国务院应对新型冠状病毒肺炎疫情联防联控机制关于科学防治精准施策分区分级做好新冠肺炎疫情防控工作的指导意见，进一步提高新冠肺炎疫情防控工作的科学性、精准性，依据《中华人民共和国传染病防治法》、《突发公共卫生事件应急条例》等法律法规，现就做好防控工作有关事项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黑体" w:hAnsi="黑体" w:eastAsia="黑体" w:cs="黑体"/>
          <w:b w:val="0"/>
          <w:bCs/>
          <w:i w:val="0"/>
          <w:caps w:val="0"/>
          <w:color w:val="auto"/>
          <w:spacing w:val="0"/>
          <w:sz w:val="32"/>
          <w:szCs w:val="32"/>
        </w:rPr>
      </w:pPr>
      <w:r>
        <w:rPr>
          <w:rStyle w:val="23"/>
          <w:rFonts w:hint="eastAsia" w:ascii="黑体" w:hAnsi="黑体" w:eastAsia="黑体" w:cs="黑体"/>
          <w:b w:val="0"/>
          <w:bCs/>
          <w:i w:val="0"/>
          <w:caps w:val="0"/>
          <w:color w:val="auto"/>
          <w:spacing w:val="0"/>
          <w:sz w:val="32"/>
          <w:szCs w:val="32"/>
          <w:shd w:val="clear" w:color="0A0000" w:fill="FFFFFF"/>
        </w:rPr>
        <w:t>一、 总体要求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根据当前疫情防控形势发展趋势变化，突出重点、统筹兼顾、分类指导、分区施策，坚持依法防控、科学防治、精准施策，加强重点人群、重点场所管控，着力抓实抓细各项措施，提高疫情防控的科学性、精准性和针对性。</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Style w:val="23"/>
          <w:rFonts w:hint="eastAsia" w:ascii="黑体" w:hAnsi="黑体" w:eastAsia="黑体" w:cs="黑体"/>
          <w:b w:val="0"/>
          <w:bCs/>
          <w:i w:val="0"/>
          <w:caps w:val="0"/>
          <w:color w:val="auto"/>
          <w:spacing w:val="0"/>
          <w:sz w:val="32"/>
          <w:szCs w:val="32"/>
          <w:shd w:val="clear" w:color="0A0000" w:fill="FFFFFF"/>
        </w:rPr>
      </w:pPr>
      <w:r>
        <w:rPr>
          <w:rStyle w:val="23"/>
          <w:rFonts w:hint="eastAsia" w:ascii="黑体" w:hAnsi="黑体" w:eastAsia="黑体" w:cs="黑体"/>
          <w:b w:val="0"/>
          <w:bCs/>
          <w:i w:val="0"/>
          <w:caps w:val="0"/>
          <w:color w:val="auto"/>
          <w:spacing w:val="0"/>
          <w:sz w:val="32"/>
          <w:szCs w:val="32"/>
          <w:shd w:val="clear" w:color="0A0000" w:fill="FFFFFF"/>
        </w:rPr>
        <w:t>二、 具体措施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（一）加强人员社会管控，严防输入和扩散风险。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实行人员分类管理。根据居民近期旅行史或居住史、目前健康状况、病例密切接触史等判断其传播疾病风险，将居民划分为高风险、中风险、低风险人员，采取针对性的管控措施。高风险人员在定点医疗机构、定点医学观察机构或居家实施严格的隔离治疗或医学观察，相关机构和社区对其进行严格管控。中风险人员严格落实居家隔离医学观察要求，自觉接受社区管理。低风险人员体温检测正常可出行和复工。对疫情特别严重的湖北省继续采取最严格的防控措施，已实施交通管控的武汉市和湖北省其他地市，严控人员输出；未实施交通管控的地市，人员抵达目的地后一律集中隔离14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2.有效落实“四早”措施。有关部门、医疗卫生机构要认真落实传染病早发现、早报告、早隔离、早治疗的“四早”措施，切断传播途径，防止扩散。要做好新冠肺炎病例、聚集性疫情、社区疫情的监测和报告，鼓励单位和个人发现、报告相关病例和疫情。要强化实验室检测和诊断，切实提升检测质量和诊断时效。要综合运用流行病学调查和大数据分析方法，及时发现可疑病例、密切接触者并进行追踪管理。各地要指定发热门诊、定点收治医院开展发热病人筛查，及时诊断并隔离治疗新冠肺炎病例，做到“应检尽检”、“应收尽收”、“应治尽治”，防止漏诊、误诊，防止轻症转重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3.鼓励实行动态健康认证。鼓励有条件的地区推广个人健康码等信息平台，不具备信息化条件的地区可采用个人健康申报等方式，居民通过网络平台申领电子健康码或通过社区申领纸质版健康码（健康通行卡），获得出行、复工等资格。政府有关部门、用人单位、社区等综合判断个人健康风险等级，实现特殊时期动态健康认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（二）做好重点场所防控，严防扩散风险。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落实社区防控责任。充分发挥社区动员能力，实行网格化、地毯式管理，责任到人，联系到户，确保各项防控措施切实落实、不留死角。针对未发现病例的社区，实行“外防输入”的策略，做好组织动员、健康教育、信息告知、重点地区和高风险地区返回人员管理、环境卫生治理、物资准备等工作。针对出现病例或暴发疫情的社区，实行“内防扩散、外防输出”的策略，在采取上述措施基础上，还应当做好密切接触者管理和消毒等工作。针对出现疫情传播的社区，实行“内防蔓延、外防输出”的策略，进一步实行疫区封锁、限制人员聚集等措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2.落实用工单位防控责任。用工单位严格落实复工复产疫情防控要求，做好返岗员工登记报备并建立员工健康台账。对于需要接受隔离医学观察但无相关症状的员工，经检测筛查排除感染，可适当缩短隔离时间，在做好防护措施的情况下提前返岗。做好办公场所、工区及公共区域、职工宿舍的通风消毒、环境清理等工作，为员工配备必要的个人防护用品。实行“进出检”制度，做好员工日常体温检测和健康监测。实施分区作业、分散错峰就餐，控制会议频次和规模，尽量减少人员聚集。鼓励具备条件的企事业单位采取错时上下班、弹性工作制或居家办公方式。单位应当设立隔离观察区域，员工出现可疑症状时应当及时隔离并安排就近就医，配合当地疾控部门做好病例报告、流行病学调查、相关区域封闭消毒等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3.落实院校防控责任。各地根据疫情发展情况确定开学时间，严禁学生提前返校。院校开学前做好预案和监测设备准备、隔离空间预备、环境卫生改善等工作。开学后学校医务室加强监测，对来自疫情防控重点地区、和确诊病人有过接触以及有相应症状的学生，采取单独隔离措施。开展“晨午晚检”，实行“日报告”、“零报告”制度，加强因病缺勤管理，对因病缺勤学生和教职员工及时追访和上报。校园实行封闭管理，禁止校外人员进入，不组织大型集体活动。学生和教职员工如出现发热、乏力、干咳等可疑症状，应当及时隔离并安排就近就医，发现病例的院校，要及时向辖区疾控机构或医疗机构上报，积极配合做好流行病学调查，以班级为单位，确定防控管理场所，排查甄别密接人员，严格采取消毒隔离等针对性防控措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4.加强公共服务类场所防控。对农贸市场、商场、超市等生活必需类场所及酒店、宾馆等生活服务类场所，在精准有序推动开业的同时，严格落实环境卫生整治、消毒、通风、“进出检”、限流等措施，商超物品尽量提前包装标价，推荐顾客自助购物、自助结算，缩短排队等候时间。提供住宿服务的经营单位要如实登记旅客信息，对来自疫情防控重点地区的旅客进行排查并及时报告当地疾控机构，按照疾控机构的指导采取相应措施。对公共交通工具和机场、车站、码头等人员密集场所，按要求设立留验站，配备必要人员设备，严格落实体温筛检等防控措施，发现可疑人员应当劝阻其登乘，进行暂时隔离，并立即通知检疫部门或当地卫生健康部门及时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5.加强特殊场所疫情防控。对监管场所、养老机构、福利院、精神卫生医疗机构等特殊场所，重点防控输入性疫情和内部疾病传播。要开展预防性卫生措施，全面排查入监干警职工、养老机构、福利院、精神卫生医疗机构工作人员等，落实体温检测和健康监测制度，禁止有可疑症状的人员上岗。要密切关注服刑人员、机构老年人、儿童、精神障碍患者的健康状况，出现新冠肺炎可疑症状，应当立即隔离观察并及时送医排查。要做好防控物资配备，加强日常消毒和环境卫生，加强个人卫生防护。出现确诊、疑似病例，应对其可能活动场所开展全面消杀，规范处置个人物品，对其密切接触者按要求进行集中隔离医学观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6.加强农村疫情防控。充分发挥农村基层党组织、村民自治组织以及乡镇卫生院、村卫生室作用，组织动员农民群众开展群防群控。减少集市等人群聚集活动，做好出外打工人员防疫常识教育。对乡镇（涉农街道）和村组实行网格化管理，对发现病例的县，对疫点进行终末消毒和环境卫生清理，除有病例村组外，允许其他村组村民有序出行。具备条件且防控措施到位的乡村旅游场所，可逐步有序对外开放，经营主体落实防控责任，确保游客和工作人员健康安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Style w:val="23"/>
          <w:rFonts w:hint="eastAsia" w:ascii="黑体" w:hAnsi="黑体" w:eastAsia="黑体" w:cs="黑体"/>
          <w:b w:val="0"/>
          <w:bCs/>
          <w:i w:val="0"/>
          <w:caps w:val="0"/>
          <w:color w:val="auto"/>
          <w:spacing w:val="0"/>
          <w:sz w:val="32"/>
          <w:szCs w:val="32"/>
          <w:shd w:val="clear" w:color="0A0000" w:fill="FFFFFF"/>
        </w:rPr>
      </w:pPr>
      <w:r>
        <w:rPr>
          <w:rStyle w:val="23"/>
          <w:rFonts w:hint="eastAsia" w:ascii="黑体" w:hAnsi="黑体" w:eastAsia="黑体" w:cs="黑体"/>
          <w:b w:val="0"/>
          <w:bCs/>
          <w:i w:val="0"/>
          <w:caps w:val="0"/>
          <w:color w:val="auto"/>
          <w:spacing w:val="0"/>
          <w:sz w:val="32"/>
          <w:szCs w:val="32"/>
          <w:shd w:val="clear" w:color="0A0000" w:fill="FFFFFF"/>
        </w:rPr>
        <w:t>三、加强组织领导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一）强化责任落实。各地各级要增强大局意识，统筹抓好疫情防控和经济社会发展，压紧压实属地责任、部门责任、单位责任、家庭责任、个人责任，依法依规落实科学防控、精准施策总要求，推动由全面防控向精准防控、重点防控转变。</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二）强化信息通报。各省、自治区、直辖市人民政府要尽快公布当前本省低风险、中风险、高风险县（市、区、旗）名单，落实分区分级管控要求，并将动态调整的风险地区名单作为疫情防控工作措施日报告内容及时报送国家卫生健康委。</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三）强化宣传引导。切实加强传染病防治法等法律法规宣传，引导全社会在法治轨道上统筹推进各项防控措施。及时回应媒体关切，引导群众切身感受疫情发展的向好趋势。全面做好政策解读，进一步凝聚民心、坚定信心、稳定人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shd w:val="clear" w:color="070000" w:fill="FFFFFF"/>
        </w:rPr>
      </w:pPr>
      <w:r>
        <w:rPr>
          <w:rFonts w:hint="eastAsia" w:ascii="仿宋" w:hAnsi="仿宋" w:eastAsia="仿宋" w:cs="仿宋"/>
          <w:i w:val="0"/>
          <w:caps w:val="0"/>
          <w:color w:val="auto"/>
          <w:spacing w:val="0"/>
          <w:sz w:val="32"/>
          <w:szCs w:val="32"/>
          <w:shd w:val="clear" w:color="070000" w:fill="FFFFFF"/>
        </w:rPr>
        <w:t>（四）强化监测评估。动态评估防控成效，及时调整防控策略，全面提高建章立制规范性、风险识别合理性、措施落实精准性。</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附件：1.</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"http://www.gov.cn/xinwen/2020-02/25/5483024/files/a0a520167bcf4f7b840cd1b23b417bae.docx"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人员健康管理技术方案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2.</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"http://www.gov.cn/xinwen/2020-02/25/5483024/files/ee1e4f2dc5504b3d918f1d88763ec73e.docx"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新冠肺炎“四早”技术方案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3.</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"http://www.gov.cn/xinwen/2020-02/25/5483024/files/4eb534aec90c4102a0151840741880ab.docx"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医疗机构新冠肺炎防控技术方案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4.</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"http://www.gov.cn/xinwen/2020-02/25/5483024/files/c380cb57f0c2467ab4b378e3021106be.docx"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社区（乡镇、村）新冠肺炎防控技术方案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5.</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"http://www.gov.cn/xinwen/2020-02/25/5483024/files/cf707c686f2f497c9ae30a0dd215e63a.docx"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办公场所和公共场所新冠肺炎防控技术方案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6.</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"http://www.gov.cn/xinwen/2020-02/25/5483024/files/6f3b666c0dd2410cb59f44d1684025ba.docx"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工业企业和建筑施工企业新冠肺炎防控技术方案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7.</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"http://www.gov.cn/xinwen/2020-02/25/5483024/files/30a619c049dc4cbda0c379f51576a7d0.docx"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商场、超市等场所新冠肺炎防控技术方案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8.</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"http://www.gov.cn/xinwen/2020-02/25/5483024/files/3ba361ed67ee4775b40c2577aa98c8e9.docx"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客运场站及交通运输工具新冠肺炎防控技术方案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9.</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"http://www.gov.cn/xinwen/2020-02/25/5483024/files/2325308af24345f2a18ed67ffd13e050.docx"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托幼机构新冠肺炎防控技术方案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10.</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"http://www.gov.cn/xinwen/2020-02/25/5483024/files/10a541c8e9f445799ddadcd0a4321421.docx"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中小学校新冠肺炎防控技术方案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11.</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"http://www.gov.cn/xinwen/2020-02/25/5483024/files/1d54600955b545dca4b91407cba45b00.docx"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Fonts w:hint="eastAsia" w:ascii="仿宋" w:hAnsi="仿宋" w:eastAsia="仿宋" w:cs="仿宋"/>
          <w:i w:val="0"/>
          <w:caps w:val="0"/>
          <w:color w:val="auto"/>
          <w:spacing w:val="0"/>
          <w:sz w:val="32"/>
          <w:szCs w:val="32"/>
          <w:u w:val="none"/>
          <w:shd w:val="clear" w:color="080000" w:fill="FFFFFF"/>
        </w:rPr>
        <w:fldChar w:fldCharType="end"/>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"http://www.gov.cn/xinwen/2020-02/25/5483024/files/7d1090201f7845fea1aa4b68635b7060.docx"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大专院校新冠肺炎防控技术方案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12.</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"http://www.gov.cn/xinwen/2020-02/25/5483024/files/ce2970be44eb40559ead4367fe2ba034.docx"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Fonts w:hint="eastAsia" w:ascii="仿宋" w:hAnsi="仿宋" w:eastAsia="仿宋" w:cs="仿宋"/>
          <w:i w:val="0"/>
          <w:caps w:val="0"/>
          <w:color w:val="auto"/>
          <w:spacing w:val="0"/>
          <w:sz w:val="32"/>
          <w:szCs w:val="32"/>
          <w:u w:val="none"/>
          <w:shd w:val="clear" w:color="080000" w:fill="FFFFFF"/>
        </w:rPr>
        <w:fldChar w:fldCharType="end"/>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"http://www.gov.cn/xinwen/2020-02/25/5483024/files/334072b2b32a4faf817babb271d2efbc.docx"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监狱新冠肺炎防控技术方案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13.</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"http://www.gov.cn/xinwen/2020-02/25/5483024/files/a7411a866b6a4affb7655f41a6276d01.docx"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养老机构（老年福利院）老年人新冠肺炎防控技术方案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14.</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"http://www.gov.cn/xinwen/2020-02/25/5483024/files/e150979dd4954ea2911150cc674869d9.docx"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儿童福利院新冠肺炎防控技术方案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15.</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"http://www.gov.cn/xinwen/2020-02/25/5483024/files/400318f621084c33b5360a7aeaea7eb8.docx"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精神卫生医疗机构新冠肺炎防控技术方案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outlineLvl w:val="9"/>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outlineLvl w:val="9"/>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国务院应对新型冠状病毒肺炎疫情</w:t>
      </w:r>
      <w:r>
        <w:rPr>
          <w:rFonts w:hint="eastAsia" w:ascii="仿宋" w:hAnsi="仿宋" w:eastAsia="仿宋" w:cs="仿宋"/>
          <w:i w:val="0"/>
          <w:caps w:val="0"/>
          <w:color w:val="auto"/>
          <w:spacing w:val="0"/>
          <w:sz w:val="32"/>
          <w:szCs w:val="32"/>
          <w:shd w:val="clear" w:color="070000" w:fill="FFFFFF"/>
        </w:rPr>
        <w:br w:type="textWrapping"/>
      </w:r>
      <w:r>
        <w:rPr>
          <w:rFonts w:hint="eastAsia" w:ascii="仿宋" w:hAnsi="仿宋" w:eastAsia="仿宋" w:cs="仿宋"/>
          <w:i w:val="0"/>
          <w:caps w:val="0"/>
          <w:color w:val="auto"/>
          <w:spacing w:val="0"/>
          <w:sz w:val="32"/>
          <w:szCs w:val="32"/>
          <w:shd w:val="clear" w:color="070000" w:fill="FFFFFF"/>
        </w:rPr>
        <w:t>联防联控机制</w:t>
      </w:r>
      <w:r>
        <w:rPr>
          <w:rFonts w:hint="eastAsia" w:ascii="仿宋" w:hAnsi="仿宋" w:eastAsia="仿宋" w:cs="仿宋"/>
          <w:i w:val="0"/>
          <w:caps w:val="0"/>
          <w:color w:val="auto"/>
          <w:spacing w:val="0"/>
          <w:sz w:val="32"/>
          <w:szCs w:val="32"/>
          <w:shd w:val="clear" w:color="070000" w:fill="FFFFFF"/>
        </w:rPr>
        <w:br w:type="textWrapping"/>
      </w:r>
      <w:r>
        <w:rPr>
          <w:rFonts w:hint="eastAsia" w:ascii="仿宋" w:hAnsi="仿宋" w:eastAsia="仿宋" w:cs="仿宋"/>
          <w:i w:val="0"/>
          <w:caps w:val="0"/>
          <w:color w:val="auto"/>
          <w:spacing w:val="0"/>
          <w:sz w:val="32"/>
          <w:szCs w:val="32"/>
          <w:shd w:val="clear" w:color="070000" w:fill="FFFFFF"/>
        </w:rPr>
        <w:t>2020年2月24日</w:t>
      </w:r>
    </w:p>
    <w:p>
      <w:pPr>
        <w:wordWrap/>
        <w:adjustRightInd/>
        <w:snapToGrid/>
        <w:spacing w:line="560" w:lineRule="exact"/>
        <w:textAlignment w:val="auto"/>
        <w:outlineLvl w:val="9"/>
        <w:rPr>
          <w:rFonts w:hint="eastAsia" w:ascii="仿宋" w:hAnsi="仿宋" w:eastAsia="仿宋" w:cs="仿宋"/>
          <w:color w:val="auto"/>
          <w:sz w:val="32"/>
          <w:szCs w:val="32"/>
        </w:rPr>
      </w:pPr>
    </w:p>
    <w:p>
      <w:pPr>
        <w:wordWrap/>
        <w:adjustRightInd/>
        <w:snapToGrid/>
        <w:spacing w:line="560" w:lineRule="exact"/>
        <w:textAlignment w:val="auto"/>
        <w:outlineLvl w:val="9"/>
        <w:rPr>
          <w:rFonts w:hint="eastAsia" w:ascii="仿宋" w:hAnsi="仿宋" w:eastAsia="仿宋" w:cs="仿宋"/>
          <w:color w:val="auto"/>
          <w:sz w:val="32"/>
          <w:szCs w:val="32"/>
        </w:rPr>
      </w:pPr>
    </w:p>
    <w:p>
      <w:pPr>
        <w:wordWrap/>
        <w:spacing w:line="560" w:lineRule="exact"/>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widowControl/>
        <w:wordWrap/>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w:t>
      </w:r>
    </w:p>
    <w:p>
      <w:pPr>
        <w:widowControl w:val="0"/>
        <w:wordWrap/>
        <w:adjustRightInd/>
        <w:snapToGrid/>
        <w:spacing w:line="560" w:lineRule="exact"/>
        <w:jc w:val="both"/>
        <w:textAlignment w:val="auto"/>
        <w:rPr>
          <w:rFonts w:hint="eastAsia" w:ascii="宋体" w:hAnsi="宋体" w:eastAsia="宋体" w:cs="宋体"/>
          <w:color w:val="auto"/>
          <w:sz w:val="44"/>
          <w:szCs w:val="44"/>
        </w:rPr>
      </w:pPr>
    </w:p>
    <w:p>
      <w:pPr>
        <w:widowControl w:val="0"/>
        <w:wordWrap/>
        <w:adjustRightInd/>
        <w:snapToGrid/>
        <w:spacing w:line="560" w:lineRule="exact"/>
        <w:jc w:val="center"/>
        <w:textAlignment w:val="auto"/>
        <w:rPr>
          <w:rFonts w:hint="eastAsia" w:ascii="宋体" w:hAnsi="宋体" w:eastAsia="宋体" w:cs="宋体"/>
          <w:color w:val="auto"/>
          <w:sz w:val="44"/>
          <w:szCs w:val="44"/>
        </w:rPr>
      </w:pPr>
      <w:r>
        <w:rPr>
          <w:rFonts w:hint="eastAsia" w:ascii="宋体" w:hAnsi="宋体" w:eastAsia="宋体" w:cs="宋体"/>
          <w:color w:val="auto"/>
          <w:sz w:val="44"/>
          <w:szCs w:val="44"/>
        </w:rPr>
        <w:t>人员健康管理技术方案</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Style w:val="23"/>
          <w:rFonts w:hint="eastAsia" w:ascii="黑体" w:hAnsi="黑体" w:eastAsia="黑体" w:cs="黑体"/>
          <w:b w:val="0"/>
          <w:bCs/>
          <w:i w:val="0"/>
          <w:caps w:val="0"/>
          <w:color w:val="auto"/>
          <w:spacing w:val="0"/>
          <w:sz w:val="32"/>
          <w:szCs w:val="32"/>
          <w:shd w:val="clear" w:color="0A0000" w:fill="FFFFFF"/>
        </w:rPr>
      </w:pPr>
      <w:r>
        <w:rPr>
          <w:rStyle w:val="23"/>
          <w:rFonts w:hint="eastAsia" w:ascii="黑体" w:hAnsi="黑体" w:eastAsia="黑体" w:cs="黑体"/>
          <w:b w:val="0"/>
          <w:bCs/>
          <w:i w:val="0"/>
          <w:caps w:val="0"/>
          <w:color w:val="auto"/>
          <w:spacing w:val="0"/>
          <w:sz w:val="32"/>
          <w:szCs w:val="32"/>
          <w:shd w:val="clear" w:color="0A0000" w:fill="FFFFFF"/>
        </w:rPr>
        <w:t>一、健康风险判定标准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根据居民近期旅行史或居住史、目前健康状况、病例密切接触史等判断其传播疾病风险，将居民划分为三类：</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Style w:val="23"/>
          <w:rFonts w:hint="eastAsia" w:ascii="黑体" w:hAnsi="黑体" w:eastAsia="黑体" w:cs="黑体"/>
          <w:b w:val="0"/>
          <w:bCs/>
          <w:i w:val="0"/>
          <w:caps w:val="0"/>
          <w:color w:val="auto"/>
          <w:spacing w:val="0"/>
          <w:kern w:val="0"/>
          <w:sz w:val="32"/>
          <w:szCs w:val="32"/>
          <w:shd w:val="clear" w:color="0B0000" w:fill="FFFFFF"/>
          <w:lang w:val="en-US" w:eastAsia="zh-CN"/>
        </w:rPr>
        <w:t>（一）高风险人员。</w:t>
      </w:r>
      <w:r>
        <w:rPr>
          <w:rFonts w:hint="eastAsia" w:ascii="仿宋" w:hAnsi="仿宋" w:eastAsia="仿宋" w:cs="仿宋"/>
          <w:color w:val="auto"/>
          <w:sz w:val="32"/>
          <w:szCs w:val="32"/>
        </w:rPr>
        <w:t>来自疫情防控重点地区和高风险地区的人员；确诊病人；疑似病人；正在实施集中隔离医学观察的无症状感染者；正在实施集中或居家隔离医学观察的密切接触者；其他需要纳入高风险人员管理的人员。</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Style w:val="23"/>
          <w:rFonts w:hint="eastAsia" w:ascii="黑体" w:hAnsi="黑体" w:eastAsia="黑体" w:cs="黑体"/>
          <w:b w:val="0"/>
          <w:bCs/>
          <w:i w:val="0"/>
          <w:caps w:val="0"/>
          <w:color w:val="auto"/>
          <w:spacing w:val="0"/>
          <w:kern w:val="0"/>
          <w:sz w:val="32"/>
          <w:szCs w:val="32"/>
          <w:shd w:val="clear" w:color="0B0000" w:fill="FFFFFF"/>
          <w:lang w:val="en-US" w:eastAsia="zh-CN"/>
        </w:rPr>
        <w:t>（二）中风险人员。</w:t>
      </w:r>
      <w:r>
        <w:rPr>
          <w:rFonts w:hint="eastAsia" w:ascii="仿宋" w:hAnsi="仿宋" w:eastAsia="仿宋" w:cs="仿宋"/>
          <w:color w:val="auto"/>
          <w:sz w:val="32"/>
          <w:szCs w:val="32"/>
        </w:rPr>
        <w:t>来自疫情中风险地区的人员；有发热、干咳、气促、呼吸道症状的人员；实施居家观察未满14天的治愈出院确诊病人；解除医学隔离未满14天的无症状感染者；其他需要纳入中风险人员管理的人员。</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Style w:val="23"/>
          <w:rFonts w:hint="eastAsia" w:ascii="黑体" w:hAnsi="黑体" w:eastAsia="黑体" w:cs="黑体"/>
          <w:b w:val="0"/>
          <w:bCs/>
          <w:i w:val="0"/>
          <w:caps w:val="0"/>
          <w:color w:val="auto"/>
          <w:spacing w:val="0"/>
          <w:kern w:val="0"/>
          <w:sz w:val="32"/>
          <w:szCs w:val="32"/>
          <w:shd w:val="clear" w:color="0B0000" w:fill="FFFFFF"/>
          <w:lang w:val="en-US" w:eastAsia="zh-CN"/>
        </w:rPr>
        <w:t>（三）低风险人员。</w:t>
      </w:r>
      <w:r>
        <w:rPr>
          <w:rFonts w:hint="eastAsia" w:ascii="仿宋" w:hAnsi="仿宋" w:eastAsia="仿宋" w:cs="仿宋"/>
          <w:color w:val="auto"/>
          <w:sz w:val="32"/>
          <w:szCs w:val="32"/>
        </w:rPr>
        <w:t>来自疫情低风险地区的人员；高风险、中风险人员以外的人员。</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Style w:val="23"/>
          <w:rFonts w:hint="eastAsia" w:ascii="黑体" w:hAnsi="黑体" w:eastAsia="黑体" w:cs="黑体"/>
          <w:b w:val="0"/>
          <w:bCs/>
          <w:i w:val="0"/>
          <w:caps w:val="0"/>
          <w:color w:val="auto"/>
          <w:spacing w:val="0"/>
          <w:sz w:val="32"/>
          <w:szCs w:val="32"/>
          <w:shd w:val="clear" w:color="0A0000" w:fill="FFFFFF"/>
        </w:rPr>
      </w:pPr>
      <w:r>
        <w:rPr>
          <w:rStyle w:val="23"/>
          <w:rFonts w:hint="eastAsia" w:ascii="黑体" w:hAnsi="黑体" w:eastAsia="黑体" w:cs="黑体"/>
          <w:b w:val="0"/>
          <w:bCs/>
          <w:i w:val="0"/>
          <w:caps w:val="0"/>
          <w:color w:val="auto"/>
          <w:spacing w:val="0"/>
          <w:sz w:val="32"/>
          <w:szCs w:val="32"/>
          <w:shd w:val="clear" w:color="0A0000" w:fill="FFFFFF"/>
        </w:rPr>
        <w:t>二、管理措施</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Style w:val="23"/>
          <w:rFonts w:hint="eastAsia" w:ascii="黑体" w:hAnsi="黑体" w:eastAsia="黑体" w:cs="黑体"/>
          <w:b w:val="0"/>
          <w:bCs/>
          <w:i w:val="0"/>
          <w:caps w:val="0"/>
          <w:color w:val="auto"/>
          <w:spacing w:val="0"/>
          <w:kern w:val="0"/>
          <w:sz w:val="32"/>
          <w:szCs w:val="32"/>
          <w:shd w:val="clear" w:color="0B0000" w:fill="FFFFFF"/>
          <w:lang w:val="en-US" w:eastAsia="zh-CN"/>
        </w:rPr>
        <w:t>（一）高风险人员。</w:t>
      </w:r>
      <w:r>
        <w:rPr>
          <w:rFonts w:hint="eastAsia" w:ascii="仿宋" w:hAnsi="仿宋" w:eastAsia="仿宋" w:cs="仿宋"/>
          <w:color w:val="auto"/>
          <w:sz w:val="32"/>
          <w:szCs w:val="32"/>
        </w:rPr>
        <w:t>来自疫情特别严重的湖北省的人员应当自到达目的地开始实行集中隔离医学观察14天。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来自其他高风险地区的人员应当自到达目的地开始实行集中或居家隔离医学观察14天。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确诊病人、疑似病人应当在具备有效隔离条件和防护条件的定点医疗机构隔离治疗至符合出院标准。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无症状感染者应当实行集中隔离医学观察14天，原则上连续两次标本核酸检测阴性（采样时间至少间隔1天）后可解除隔离。</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密切接触者应当实行集中隔离医学观察，不具备条件的地区可采取居家隔离医学观察，医学观察期为与病例或无症状感染者末次接触后14天。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相关机构和社区负责对高风险人员进行严格管控。</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（二）中风险人员。</w:t>
      </w:r>
      <w:r>
        <w:rPr>
          <w:rFonts w:hint="eastAsia" w:ascii="仿宋" w:hAnsi="仿宋" w:eastAsia="仿宋" w:cs="仿宋"/>
          <w:color w:val="auto"/>
          <w:sz w:val="32"/>
          <w:szCs w:val="32"/>
        </w:rPr>
        <w:t>来自疫情中风险地区的人员应当自到达目的地开始居家隔离医学观察14天。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治愈出院的确诊病人、解除集中隔离的无症状感染者应当居家隔离医学观察14天。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中风险人员应当严格落实居家隔离医学观察要求，自觉接受社区管理。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（三）低风险人员。</w:t>
      </w:r>
      <w:r>
        <w:rPr>
          <w:rFonts w:hint="eastAsia" w:ascii="仿宋" w:hAnsi="仿宋" w:eastAsia="仿宋" w:cs="仿宋"/>
          <w:color w:val="auto"/>
          <w:sz w:val="32"/>
          <w:szCs w:val="32"/>
        </w:rPr>
        <w:t>体温检测正常可出行和复工。</w:t>
      </w:r>
    </w:p>
    <w:p>
      <w:pPr>
        <w:widowControl w:val="0"/>
        <w:wordWrap/>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三、健康认证申领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居民可通过申领个人健康码、健康通行卡等健康认证满足出行和复工需要。</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（一）个人健康码申领。</w:t>
      </w:r>
      <w:r>
        <w:rPr>
          <w:rFonts w:hint="eastAsia" w:ascii="仿宋" w:hAnsi="仿宋" w:eastAsia="仿宋" w:cs="仿宋"/>
          <w:color w:val="auto"/>
          <w:sz w:val="32"/>
          <w:szCs w:val="32"/>
        </w:rPr>
        <w:t>已建立个人健康码管理平台的地区，居民通过网络平台进行个人健康码申领，系统自动按照健康风险高低审核生成红、黄、绿等三色“健康码”。</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孤寡老人、远郊农村人员等没有条件通过网络平台申领的人员，可由社区人员负责代为申领并生成纸质“健康码”（有效期14天）。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（二）健康通行卡申领。</w:t>
      </w:r>
      <w:r>
        <w:rPr>
          <w:rFonts w:hint="eastAsia" w:ascii="仿宋" w:hAnsi="仿宋" w:eastAsia="仿宋" w:cs="仿宋"/>
          <w:color w:val="auto"/>
          <w:sz w:val="32"/>
          <w:szCs w:val="32"/>
        </w:rPr>
        <w:t>不具备条件建立个人信息码管理平台的地区，居民自行填写个人健康申报表（各地根据实际自行设计申报表样式），符合低风险人员条件的，经社区（村）审核通过，发放加盖社区（村）公章的健康通行卡（有效期14天）。</w:t>
      </w:r>
    </w:p>
    <w:p>
      <w:pPr>
        <w:wordWrap/>
        <w:adjustRightInd/>
        <w:snapToGrid/>
        <w:spacing w:line="560" w:lineRule="exact"/>
        <w:textAlignment w:val="auto"/>
        <w:rPr>
          <w:rFonts w:hint="eastAsia" w:ascii="仿宋" w:hAnsi="仿宋" w:eastAsia="仿宋" w:cs="仿宋"/>
          <w:color w:val="auto"/>
          <w:sz w:val="32"/>
          <w:szCs w:val="32"/>
        </w:rPr>
      </w:pPr>
    </w:p>
    <w:p>
      <w:pPr>
        <w:wordWrap/>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widowControl/>
        <w:wordWrap/>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附件2</w:t>
      </w:r>
    </w:p>
    <w:p>
      <w:pPr>
        <w:widowControl w:val="0"/>
        <w:wordWrap/>
        <w:adjustRightInd/>
        <w:snapToGrid/>
        <w:spacing w:line="560" w:lineRule="exact"/>
        <w:jc w:val="both"/>
        <w:textAlignment w:val="auto"/>
        <w:rPr>
          <w:rFonts w:hint="eastAsia" w:ascii="宋体" w:hAnsi="宋体" w:eastAsia="宋体" w:cs="宋体"/>
          <w:color w:val="auto"/>
          <w:sz w:val="44"/>
          <w:szCs w:val="44"/>
        </w:rPr>
      </w:pPr>
    </w:p>
    <w:p>
      <w:pPr>
        <w:widowControl w:val="0"/>
        <w:wordWrap/>
        <w:adjustRightInd/>
        <w:snapToGrid/>
        <w:spacing w:line="560" w:lineRule="exact"/>
        <w:jc w:val="center"/>
        <w:textAlignment w:val="auto"/>
        <w:rPr>
          <w:rFonts w:hint="eastAsia" w:ascii="宋体" w:hAnsi="宋体" w:eastAsia="宋体" w:cs="宋体"/>
          <w:color w:val="auto"/>
          <w:sz w:val="44"/>
          <w:szCs w:val="44"/>
        </w:rPr>
      </w:pPr>
      <w:r>
        <w:rPr>
          <w:rFonts w:hint="eastAsia" w:ascii="宋体" w:hAnsi="宋体" w:eastAsia="宋体" w:cs="宋体"/>
          <w:color w:val="auto"/>
          <w:sz w:val="44"/>
          <w:szCs w:val="44"/>
        </w:rPr>
        <w:t>新冠肺炎“四早”技术方案</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四早”（早发现、早报告、早隔离、早治疗）是传染病防控的重要手段。为有效推动“四早”落实，助力新冠肺炎疫情歼灭战，依据有关法律法规和预案，结合新冠肺炎疫情特点和发展趋势，在总结前期新冠肺炎疫情防控工作经验教训基础上，制定本技术方案。</w:t>
      </w:r>
    </w:p>
    <w:p>
      <w:pPr>
        <w:widowControl w:val="0"/>
        <w:wordWrap/>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一、早发现、早报告</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为进一步提高早期发现病例的能力，各省（区、市）应当设立新型冠状病毒肺炎监测网络，该监测网络成员单位包括各级各类医疗机构和疾病预防控制机构。</w:t>
      </w:r>
    </w:p>
    <w:p>
      <w:pPr>
        <w:widowControl w:val="0"/>
        <w:wordWrap/>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（一）病例监测报告。</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1.监测对象：发热（体温大于37.4℃），伴上呼吸道症状，有可疑接触史或旅行史者。</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2.监测时间：截至2020年12月，各级各类医疗机构和疾控机构每日开展病例监测排查工作。</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3.监测地点：所有门急诊、发热门诊和住院病房等相关诊室均开展病例监测工作。</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标本采集及实验室检测：医疗机构采集病例临床标本（详见《新型冠状病毒肺炎防控方案（第五版）》标本采集与检测部分），送当地指定的疾控机构或医疗机构或第三方检测机构实验室进行检测。承担检测工作的机构接到标本后应当立即开展检测，24小时内完成并反馈检测结果。</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5.环境标本监测和血清流行病学调查：根据实际需要适时开展。</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6.流行病学调查：疾控机构接到病例报告后应当立即开展流行病学调查，并于24小时内完成。同时，快速追踪密切接触者，防止疫情蔓延。</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病例报告：医疗机构发现病例后立即进行网络直报，疾控机构接到报告后应当立即调查核实，并于2小时内完成三级确认审核。无网络直报条件的填写传染病报告卡并在2小时内寄送疾控机构，由疾控机构进行网络直报。医疗机构需在24小时内，根据实验室检测结果，结合病情进展及时对病例分类、临床严重程度对网络直报病例进行订正。</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（二）聚集性疫情监测报告。</w:t>
      </w:r>
      <w:r>
        <w:rPr>
          <w:rFonts w:hint="eastAsia" w:ascii="仿宋" w:hAnsi="仿宋" w:eastAsia="仿宋" w:cs="仿宋"/>
          <w:color w:val="auto"/>
          <w:sz w:val="32"/>
          <w:szCs w:val="32"/>
        </w:rPr>
        <w:t>疾控机构接到聚集性疫情报告后2小时内在突发公共卫生事件报告管理信息系统进行网络直报，同时报告当地卫生健康行政部门，由当地卫生健康行政部门立即报告当地人民政府，同时报告上级卫生健康行政部门和国务院卫生健康主管部门。</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（三）社区疫情监测。</w:t>
      </w:r>
      <w:r>
        <w:rPr>
          <w:rFonts w:hint="eastAsia" w:ascii="仿宋" w:hAnsi="仿宋" w:eastAsia="仿宋" w:cs="仿宋"/>
          <w:color w:val="auto"/>
          <w:sz w:val="32"/>
          <w:szCs w:val="32"/>
        </w:rPr>
        <w:t>联防联控、群防群控，基层社区（村）、单位实行网格化管理，做好辖区和单位内人员往来摸排、健康监测登记和体温监测，发现可疑病例及时向附近的疾病预防控制机构或者医疗机构报告。</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（四）单位和个人监测。</w:t>
      </w:r>
      <w:r>
        <w:rPr>
          <w:rFonts w:hint="eastAsia" w:ascii="仿宋" w:hAnsi="仿宋" w:eastAsia="仿宋" w:cs="仿宋"/>
          <w:color w:val="auto"/>
          <w:sz w:val="32"/>
          <w:szCs w:val="32"/>
        </w:rPr>
        <w:t>鼓励单位和个人发现新冠肺炎病人或疑似新冠肺炎病人时，及时向附近的疾病预防控制机构或者医疗机构报告。新冠肺炎病人或疑似新冠肺炎病人拒绝配合的，依据《传染病防治法》中乙类甲管类条款，可强制执行。</w:t>
      </w:r>
    </w:p>
    <w:p>
      <w:pPr>
        <w:widowControl w:val="0"/>
        <w:wordWrap/>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二、早隔离、早治疗</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（一）隔离医学观察及密切接触者管理。</w:t>
      </w:r>
      <w:r>
        <w:rPr>
          <w:rFonts w:hint="eastAsia" w:ascii="仿宋" w:hAnsi="仿宋" w:eastAsia="仿宋" w:cs="仿宋"/>
          <w:color w:val="auto"/>
          <w:sz w:val="32"/>
          <w:szCs w:val="32"/>
        </w:rPr>
        <w:t>各省份应当设置集中医学隔离观察点。发现相关病例后，立即采取隔离措施，追踪密切接触者，落实可疑病例就地医疗救治和疫情防控的属地化管理，防止疫情扩散蔓延。同时，做好医务人员防护措施，严防院内感染。县（区）级卫生健康行政部门会同相关部门组织实施密切接触者追踪和管理，应当根据密切接触者管理方案（第五版）明确解除隔离标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（二）医疗救治。</w:t>
      </w:r>
      <w:r>
        <w:rPr>
          <w:rFonts w:hint="eastAsia" w:ascii="仿宋" w:hAnsi="仿宋" w:eastAsia="仿宋" w:cs="仿宋"/>
          <w:color w:val="auto"/>
          <w:sz w:val="32"/>
          <w:szCs w:val="32"/>
        </w:rPr>
        <w:t>各省份指定定点收治医院，并成立医疗救治专家组，在出现病例后，指导收治医院做好医疗救治工作，推进医疗救治关口前移，提早提供医疗服务，加强对轻症患者的医疗救治，减少轻症向重症的转化，重点加强重症病例救治，降低病死率。各医疗机构根据《诊疗方案》对病人进行分类治疗，采用对症和支持治疗、抗病毒、抗炎、中西医结合等方法综合施治，对符合解除隔离和出院标准的病人及时安排解除隔离或出院。</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p>
    <w:p>
      <w:pPr>
        <w:pStyle w:val="7"/>
        <w:wordWrap/>
        <w:spacing w:line="560" w:lineRule="exact"/>
        <w:ind w:firstLine="0" w:firstLineChars="0"/>
        <w:jc w:val="center"/>
        <w:textAlignment w:val="auto"/>
        <w:rPr>
          <w:sz w:val="28"/>
        </w:rPr>
      </w:pPr>
      <w:r>
        <w:rPr>
          <w:rFonts w:ascii="Calibri" w:hAnsi="Calibri" w:eastAsia="宋体" w:cs="Times New Roman"/>
          <w:kern w:val="2"/>
          <w:sz w:val="32"/>
          <w:szCs w:val="24"/>
          <w:lang w:val="en-US" w:eastAsia="zh-CN" w:bidi="ar-SA"/>
        </w:rPr>
        <w:pict>
          <v:rect id="文本框 11" o:spid="_x0000_s1026" o:spt="1" style="position:absolute;left:0pt;margin-left:18.35pt;margin-top:95pt;height:23.4pt;width:33pt;z-index:251659264;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w:txbxContent>
                <w:p/>
              </w:txbxContent>
            </v:textbox>
          </v:rect>
        </w:pict>
      </w:r>
      <w:r>
        <w:rPr>
          <w:rFonts w:ascii="Calibri" w:hAnsi="Calibri" w:eastAsia="宋体" w:cs="Times New Roman"/>
          <w:kern w:val="2"/>
          <w:sz w:val="32"/>
          <w:szCs w:val="24"/>
          <w:lang w:val="en-US" w:eastAsia="zh-CN" w:bidi="ar-SA"/>
        </w:rPr>
        <w:pict>
          <v:rect id="矩形 12" o:spid="_x0000_s1027" o:spt="1" style="position:absolute;left:0pt;margin-left:27.7pt;margin-top:109.35pt;height:20pt;width:20pt;z-index:251658240;mso-width-relative:page;mso-height-relative:page;" fillcolor="#FFFFFF" filled="t" o:preferrelative="t" stroked="t" coordsize="21600,21600">
            <v:path/>
            <v:fill on="t" focussize="0,0"/>
            <v:stroke weight="1.25pt" color="#FFFFFF" color2="#FFFFFF" miterlimit="2"/>
            <v:imagedata gain="65536f" blacklevel="0f" gamma="0" o:title=""/>
            <o:lock v:ext="edit" position="f" selection="f" grouping="f" rotation="f" cropping="f" text="f" aspectratio="f"/>
          </v:rect>
        </w:pict>
      </w:r>
    </w:p>
    <w:p>
      <w:pPr>
        <w:widowControl w:val="0"/>
        <w:wordWrap/>
        <w:adjustRightInd/>
        <w:snapToGrid/>
        <w:spacing w:line="560" w:lineRule="exact"/>
        <w:jc w:val="center"/>
        <w:textAlignment w:val="auto"/>
        <w:rPr>
          <w:sz w:val="28"/>
        </w:rPr>
      </w:pPr>
      <w:r>
        <w:rPr>
          <w:rFonts w:hint="eastAsia" w:ascii="仿宋" w:hAnsi="仿宋" w:eastAsia="仿宋" w:cs="仿宋"/>
          <w:color w:val="auto"/>
          <w:sz w:val="32"/>
          <w:szCs w:val="32"/>
        </w:rPr>
        <w:t>早发现早报告流程图</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略</w:t>
      </w:r>
      <w:r>
        <w:rPr>
          <w:rFonts w:hint="eastAsia" w:ascii="仿宋" w:hAnsi="仿宋" w:eastAsia="仿宋" w:cs="仿宋"/>
          <w:color w:val="auto"/>
          <w:sz w:val="32"/>
          <w:szCs w:val="32"/>
          <w:lang w:eastAsia="zh-CN"/>
        </w:rPr>
        <w:t>）</w:t>
      </w:r>
    </w:p>
    <w:p>
      <w:pPr>
        <w:pStyle w:val="18"/>
        <w:wordWrap/>
        <w:spacing w:before="0" w:beforeAutospacing="0" w:after="0" w:afterAutospacing="0" w:line="560" w:lineRule="exact"/>
        <w:textAlignment w:val="auto"/>
        <w:rPr>
          <w:rFonts w:hint="eastAsia" w:ascii="黑体" w:hAnsi="黑体" w:eastAsia="黑体"/>
          <w:sz w:val="32"/>
          <w:szCs w:val="32"/>
        </w:rPr>
      </w:pPr>
    </w:p>
    <w:p>
      <w:pPr>
        <w:pStyle w:val="18"/>
        <w:wordWrap/>
        <w:spacing w:before="0" w:beforeAutospacing="0" w:after="0" w:afterAutospacing="0" w:line="560" w:lineRule="exact"/>
        <w:textAlignment w:val="auto"/>
        <w:rPr>
          <w:rFonts w:hint="eastAsia" w:ascii="黑体" w:hAnsi="黑体" w:eastAsia="黑体"/>
          <w:sz w:val="32"/>
          <w:szCs w:val="32"/>
        </w:rPr>
      </w:pPr>
    </w:p>
    <w:p>
      <w:pPr>
        <w:wordWrap/>
        <w:spacing w:line="560" w:lineRule="exact"/>
        <w:textAlignment w:val="auto"/>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附件3</w:t>
      </w:r>
    </w:p>
    <w:p>
      <w:pPr>
        <w:widowControl w:val="0"/>
        <w:wordWrap/>
        <w:adjustRightInd/>
        <w:snapToGrid/>
        <w:spacing w:line="560" w:lineRule="exact"/>
        <w:jc w:val="both"/>
        <w:textAlignment w:val="auto"/>
        <w:rPr>
          <w:rFonts w:hint="eastAsia" w:ascii="宋体" w:hAnsi="宋体" w:eastAsia="宋体" w:cs="宋体"/>
          <w:color w:val="auto"/>
          <w:sz w:val="44"/>
          <w:szCs w:val="44"/>
        </w:rPr>
      </w:pPr>
    </w:p>
    <w:p>
      <w:pPr>
        <w:widowControl w:val="0"/>
        <w:wordWrap/>
        <w:adjustRightInd/>
        <w:snapToGrid/>
        <w:spacing w:line="560" w:lineRule="exact"/>
        <w:jc w:val="center"/>
        <w:textAlignment w:val="auto"/>
        <w:rPr>
          <w:rFonts w:hint="eastAsia" w:ascii="宋体" w:hAnsi="宋体" w:eastAsia="宋体" w:cs="宋体"/>
          <w:color w:val="auto"/>
          <w:sz w:val="44"/>
          <w:szCs w:val="44"/>
        </w:rPr>
      </w:pPr>
      <w:r>
        <w:rPr>
          <w:rFonts w:hint="eastAsia" w:ascii="宋体" w:hAnsi="宋体" w:eastAsia="宋体" w:cs="宋体"/>
          <w:color w:val="auto"/>
          <w:sz w:val="44"/>
          <w:szCs w:val="44"/>
        </w:rPr>
        <w:t>医疗机构新冠肺炎防控技术方案</w:t>
      </w:r>
    </w:p>
    <w:p>
      <w:pPr>
        <w:pStyle w:val="18"/>
        <w:wordWrap/>
        <w:spacing w:before="0" w:beforeAutospacing="0" w:after="0" w:afterAutospacing="0" w:line="560" w:lineRule="exact"/>
        <w:jc w:val="center"/>
        <w:textAlignment w:val="auto"/>
        <w:rPr>
          <w:rFonts w:ascii="黑体" w:hAnsi="黑体" w:eastAsia="黑体"/>
          <w:sz w:val="44"/>
          <w:szCs w:val="32"/>
        </w:rPr>
      </w:pPr>
    </w:p>
    <w:p>
      <w:pPr>
        <w:pStyle w:val="18"/>
        <w:wordWrap/>
        <w:spacing w:before="0" w:beforeAutospacing="0" w:after="0" w:afterAutospacing="0" w:line="560" w:lineRule="exact"/>
        <w:ind w:firstLine="645"/>
        <w:textAlignment w:val="auto"/>
        <w:rPr>
          <w:rFonts w:ascii="黑体" w:hAnsi="黑体" w:eastAsia="黑体"/>
          <w:sz w:val="32"/>
          <w:szCs w:val="32"/>
        </w:rPr>
      </w:pPr>
      <w:r>
        <w:rPr>
          <w:rFonts w:hint="eastAsia" w:ascii="黑体" w:hAnsi="黑体" w:eastAsia="黑体"/>
          <w:sz w:val="32"/>
          <w:szCs w:val="32"/>
        </w:rPr>
        <w:t>一、基本要求</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（一）制定应急预案和工作流程。医疗机构应当根据新型冠状病毒的病原学特点，结合传染源、传播途径、易感人群和诊疗条件等，建立预警机制，制定应急预案和工作流程。</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（二）开展全员培训。依据岗位职责确定针对不同人员的培训内容，使其熟练掌握新型冠状病毒感染的防控知识、方法与技能，做到早发现、早报告、早隔离、早诊断、早治疗、早控制。</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三）做好医务人员防护。医疗机构应当规范消毒、隔离和防护工作，储备质量合格、数量充足的防护物资，确保医务人员个人防护到位。在严格落实标准预防的基础上，强化接触传播、飞沫传播和空气传播的感染防控。</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（四）关注医务人员健康。医疗机构应当合理调配人力资源和班次安排，避免医务人员过度劳累。针对岗位特点和风险评估结果，开展主动健康监测。采取多种措施，保障医务人员健康地为患者提供医疗服务。</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五）加强感染监测。做好早期预警预报，加强对感染防控工作的监督与指导，发现隐患，及时改进。发现疑似或确诊新型冠状病毒感染的肺炎患者时，应当按照有关要求及时报告，并在2小时内上报信息，做好相应处置工作。</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六）做好清洁消毒管理。按照《医院空气净化管理规范》，加强诊疗环境的通风，有条件的医疗机构可进行空气消毒，也可配备循环风空气消毒设备。严格执行《医疗机构消毒技术规范》，做好诊疗环境、医疗器械、患者用物等的清洁消毒，严格患者呼吸道分泌物、排泄物、呕吐物的处理，严格终末消毒。</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七）加强患者就诊管理。医疗机构应当做好就诊患者的管理，尽量减少患者的拥挤，以减少医院感染的风险。发现疑似或确诊感染新型冠状病毒的患者时，依法采取隔离或者控制传播措施，并按照规定对患者的陪同人员和其他密切接触人员采取医学观察及其他必要的预防措施。不具备救治能力的，及时将患者转诊到具备救治能力的医疗机构诊疗。</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（八）加强患者教育。医疗机构应当积极开展就诊患者及其陪同人员的教育，使其了解新型冠状病毒的防护知识，指导其正确洗手、咳嗽礼仪、医学观察和居家隔离等。</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九）加强感染暴发管理。严格落实医疗机构感染预防与控制的各项规章制度，最大限度降低感染暴发的风险。增强敏感性，一旦发生新型冠状病毒感染疑似暴发或暴发，医疗机构必须按照规定及时报告，并依据相关标准和流程，启动应急预案，配合做好调查处置工作。</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（十）加强医疗废物管理。将新型冠状病毒感染确诊或疑似患者产生的医疗废物，纳入感染性医疗废物管理，严格按照《医疗废物管理条例》和《医疗卫生机构医疗废物管理办法》有关规定，进行规范处置。</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黑体" w:hAnsi="黑体" w:eastAsia="黑体"/>
          <w:sz w:val="32"/>
          <w:szCs w:val="32"/>
        </w:rPr>
        <w:t>二、重点部门管理</w:t>
      </w:r>
      <w:r>
        <w:rPr>
          <w:rFonts w:hint="eastAsia" w:ascii="黑体" w:hAnsi="黑体" w:eastAsia="黑体"/>
          <w:sz w:val="32"/>
          <w:szCs w:val="32"/>
        </w:rPr>
        <w:br w:type="textWrapping"/>
      </w:r>
      <w:r>
        <w:rPr>
          <w:rFonts w:hint="eastAsia" w:ascii="楷体" w:hAnsi="楷体" w:eastAsia="楷体"/>
          <w:sz w:val="32"/>
          <w:szCs w:val="32"/>
        </w:rPr>
        <w:t>　</w:t>
      </w:r>
      <w:r>
        <w:rPr>
          <w:rFonts w:hint="eastAsia" w:ascii="仿宋" w:hAnsi="仿宋" w:eastAsia="仿宋" w:cs="仿宋"/>
          <w:sz w:val="32"/>
          <w:szCs w:val="32"/>
        </w:rPr>
        <w:t>　（一）发热门诊。</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1.发热门诊建筑布局和工作流程应当符合《医院隔离技术规范》等有关要求。</w:t>
      </w:r>
      <w:r>
        <w:rPr>
          <w:rFonts w:hint="eastAsia" w:ascii="仿宋" w:hAnsi="仿宋" w:eastAsia="仿宋" w:cs="仿宋"/>
          <w:sz w:val="32"/>
          <w:szCs w:val="32"/>
        </w:rPr>
        <w:br w:type="textWrapping"/>
      </w:r>
      <w:r>
        <w:rPr>
          <w:rFonts w:hint="eastAsia" w:ascii="仿宋" w:hAnsi="仿宋" w:eastAsia="仿宋" w:cs="仿宋"/>
          <w:sz w:val="32"/>
          <w:szCs w:val="32"/>
        </w:rPr>
        <w:t>　　2.留观室或抢救室加强通风；如使用机械通风，应当控制气流方向，由清洁侧流向污染侧。</w:t>
      </w:r>
      <w:r>
        <w:rPr>
          <w:rFonts w:hint="eastAsia" w:ascii="仿宋" w:hAnsi="仿宋" w:eastAsia="仿宋" w:cs="仿宋"/>
          <w:sz w:val="32"/>
          <w:szCs w:val="32"/>
        </w:rPr>
        <w:br w:type="textWrapping"/>
      </w:r>
      <w:r>
        <w:rPr>
          <w:rFonts w:hint="eastAsia" w:ascii="仿宋" w:hAnsi="仿宋" w:eastAsia="仿宋" w:cs="仿宋"/>
          <w:sz w:val="32"/>
          <w:szCs w:val="32"/>
        </w:rPr>
        <w:t>　　3.配备符合要求、数量充足的医务人员防护用品，发热门诊出入口应当设有速干手消毒剂等手卫生设施。</w:t>
      </w:r>
      <w:r>
        <w:rPr>
          <w:rFonts w:hint="eastAsia" w:ascii="仿宋" w:hAnsi="仿宋" w:eastAsia="仿宋" w:cs="仿宋"/>
          <w:sz w:val="32"/>
          <w:szCs w:val="32"/>
        </w:rPr>
        <w:br w:type="textWrapping"/>
      </w:r>
      <w:r>
        <w:rPr>
          <w:rFonts w:hint="eastAsia" w:ascii="仿宋" w:hAnsi="仿宋" w:eastAsia="仿宋" w:cs="仿宋"/>
          <w:sz w:val="32"/>
          <w:szCs w:val="32"/>
        </w:rPr>
        <w:t>　　4.医务人员开展诊疗工作应当执行标准预防。要正确佩戴医用外科口罩或医用防护口罩，戴口罩前和摘口罩后应当进行洗手或手卫生消毒。进出发热门诊和留观病房，严格按照《医务人员穿脱防护用品的流程》要求，正确穿脱防护用品。</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5.医务人员应当掌握新型冠状病毒感染的流行病学特点与临床特征，按照诊疗规范进行患者筛查，对疑似或确诊患者立即采取隔离措施并及时报告。</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6.患者转出后按《医疗机构消毒技术规范》进行终末处理。</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7.医疗机构应当为患者及陪同人员提供口罩并指导其正确佩戴。</w:t>
      </w:r>
      <w:r>
        <w:rPr>
          <w:rFonts w:hint="eastAsia" w:ascii="仿宋" w:hAnsi="仿宋" w:eastAsia="仿宋" w:cs="仿宋"/>
          <w:sz w:val="32"/>
          <w:szCs w:val="32"/>
        </w:rPr>
        <w:br w:type="textWrapping"/>
      </w:r>
      <w:r>
        <w:rPr>
          <w:rFonts w:hint="eastAsia" w:ascii="仿宋" w:hAnsi="仿宋" w:eastAsia="仿宋" w:cs="仿宋"/>
          <w:sz w:val="32"/>
          <w:szCs w:val="32"/>
        </w:rPr>
        <w:t>　　（二）急诊。</w:t>
      </w:r>
      <w:r>
        <w:rPr>
          <w:rFonts w:hint="eastAsia" w:ascii="仿宋" w:hAnsi="仿宋" w:eastAsia="仿宋" w:cs="仿宋"/>
          <w:sz w:val="32"/>
          <w:szCs w:val="32"/>
        </w:rPr>
        <w:br w:type="textWrapping"/>
      </w:r>
      <w:r>
        <w:rPr>
          <w:rFonts w:hint="eastAsia" w:ascii="仿宋" w:hAnsi="仿宋" w:eastAsia="仿宋" w:cs="仿宋"/>
          <w:sz w:val="32"/>
          <w:szCs w:val="32"/>
        </w:rPr>
        <w:t>　　1.落实预检分诊制度，引导发热患者至发热门诊就诊，制定并完善重症患者的转出、救治应急预案并严格执行。</w:t>
      </w:r>
      <w:r>
        <w:rPr>
          <w:rFonts w:hint="eastAsia" w:ascii="仿宋" w:hAnsi="仿宋" w:eastAsia="仿宋" w:cs="仿宋"/>
          <w:sz w:val="32"/>
          <w:szCs w:val="32"/>
        </w:rPr>
        <w:br w:type="textWrapping"/>
      </w:r>
      <w:r>
        <w:rPr>
          <w:rFonts w:hint="eastAsia" w:ascii="仿宋" w:hAnsi="仿宋" w:eastAsia="仿宋" w:cs="仿宋"/>
          <w:sz w:val="32"/>
          <w:szCs w:val="32"/>
        </w:rPr>
        <w:t>　　2.合理设置隔离区域，满足疑似或确诊患者就地隔离和救治的需要。</w:t>
      </w:r>
      <w:r>
        <w:rPr>
          <w:rFonts w:hint="eastAsia" w:ascii="仿宋" w:hAnsi="仿宋" w:eastAsia="仿宋" w:cs="仿宋"/>
          <w:sz w:val="32"/>
          <w:szCs w:val="32"/>
        </w:rPr>
        <w:br w:type="textWrapping"/>
      </w:r>
      <w:r>
        <w:rPr>
          <w:rFonts w:hint="eastAsia" w:ascii="仿宋" w:hAnsi="仿宋" w:eastAsia="仿宋" w:cs="仿宋"/>
          <w:sz w:val="32"/>
          <w:szCs w:val="32"/>
        </w:rPr>
        <w:t>　　3.医务人员严格执行预防措施，做好个人防护和诊疗环境的管理。实施急诊气管插管等感染性职业暴露风险较高的诊疗措施时，应当按照接治确诊患者的要求采取预防措施。</w:t>
      </w:r>
      <w:r>
        <w:rPr>
          <w:rFonts w:hint="eastAsia" w:ascii="仿宋" w:hAnsi="仿宋" w:eastAsia="仿宋" w:cs="仿宋"/>
          <w:sz w:val="32"/>
          <w:szCs w:val="32"/>
        </w:rPr>
        <w:br w:type="textWrapping"/>
      </w:r>
      <w:r>
        <w:rPr>
          <w:rFonts w:hint="eastAsia" w:ascii="仿宋" w:hAnsi="仿宋" w:eastAsia="仿宋" w:cs="仿宋"/>
          <w:sz w:val="32"/>
          <w:szCs w:val="32"/>
        </w:rPr>
        <w:t>　　4.诊疗区域应当保持良好的通风并定时清洁消毒。</w:t>
      </w:r>
      <w:r>
        <w:rPr>
          <w:rFonts w:hint="eastAsia" w:ascii="仿宋" w:hAnsi="仿宋" w:eastAsia="仿宋" w:cs="仿宋"/>
          <w:sz w:val="32"/>
          <w:szCs w:val="32"/>
        </w:rPr>
        <w:br w:type="textWrapping"/>
      </w:r>
      <w:r>
        <w:rPr>
          <w:rFonts w:hint="eastAsia" w:ascii="仿宋" w:hAnsi="仿宋" w:eastAsia="仿宋" w:cs="仿宋"/>
          <w:sz w:val="32"/>
          <w:szCs w:val="32"/>
        </w:rPr>
        <w:t>　　5.采取设置等候区等有效措施，避免人群聚集。</w:t>
      </w:r>
      <w:r>
        <w:rPr>
          <w:rFonts w:hint="eastAsia" w:ascii="仿宋" w:hAnsi="仿宋" w:eastAsia="仿宋" w:cs="仿宋"/>
          <w:sz w:val="32"/>
          <w:szCs w:val="32"/>
        </w:rPr>
        <w:br w:type="textWrapping"/>
      </w:r>
      <w:r>
        <w:rPr>
          <w:rFonts w:hint="eastAsia" w:ascii="仿宋" w:hAnsi="仿宋" w:eastAsia="仿宋" w:cs="仿宋"/>
          <w:sz w:val="32"/>
          <w:szCs w:val="32"/>
        </w:rPr>
        <w:t>　　（三）普通病区（房）。</w:t>
      </w:r>
      <w:r>
        <w:rPr>
          <w:rFonts w:hint="eastAsia" w:ascii="仿宋" w:hAnsi="仿宋" w:eastAsia="仿宋" w:cs="仿宋"/>
          <w:sz w:val="32"/>
          <w:szCs w:val="32"/>
        </w:rPr>
        <w:br w:type="textWrapping"/>
      </w:r>
      <w:r>
        <w:rPr>
          <w:rFonts w:hint="eastAsia" w:ascii="仿宋" w:hAnsi="仿宋" w:eastAsia="仿宋" w:cs="仿宋"/>
          <w:sz w:val="32"/>
          <w:szCs w:val="32"/>
        </w:rPr>
        <w:t>　　1.应当设置应急隔离病室，用于疑似或确诊患者的隔离与救治，建立相关工作制度及流程，备有充足的应对急性呼吸道传染病的消毒和防护用品。</w:t>
      </w:r>
      <w:r>
        <w:rPr>
          <w:rFonts w:hint="eastAsia" w:ascii="仿宋" w:hAnsi="仿宋" w:eastAsia="仿宋" w:cs="仿宋"/>
          <w:sz w:val="32"/>
          <w:szCs w:val="32"/>
        </w:rPr>
        <w:br w:type="textWrapping"/>
      </w:r>
      <w:r>
        <w:rPr>
          <w:rFonts w:hint="eastAsia" w:ascii="仿宋" w:hAnsi="仿宋" w:eastAsia="仿宋" w:cs="仿宋"/>
          <w:sz w:val="32"/>
          <w:szCs w:val="32"/>
        </w:rPr>
        <w:t>　　2.病区（房）内发现疑似或确诊患者，启动相关应急预案和工作流程，按规范要求实施及时有效隔离、救治和转诊。</w:t>
      </w:r>
      <w:r>
        <w:rPr>
          <w:rFonts w:hint="eastAsia" w:ascii="仿宋" w:hAnsi="仿宋" w:eastAsia="仿宋" w:cs="仿宋"/>
          <w:sz w:val="32"/>
          <w:szCs w:val="32"/>
        </w:rPr>
        <w:br w:type="textWrapping"/>
      </w:r>
      <w:r>
        <w:rPr>
          <w:rFonts w:hint="eastAsia" w:ascii="仿宋" w:hAnsi="仿宋" w:eastAsia="仿宋" w:cs="仿宋"/>
          <w:sz w:val="32"/>
          <w:szCs w:val="32"/>
        </w:rPr>
        <w:t>　　3.疑似或确诊患者宜专人诊疗与护理，限制无关医务人员的出入，原则上不探视；有条件的可以安置在负压病房。</w:t>
      </w:r>
      <w:r>
        <w:rPr>
          <w:rFonts w:hint="eastAsia" w:ascii="仿宋" w:hAnsi="仿宋" w:eastAsia="仿宋" w:cs="仿宋"/>
          <w:sz w:val="32"/>
          <w:szCs w:val="32"/>
        </w:rPr>
        <w:br w:type="textWrapping"/>
      </w:r>
      <w:r>
        <w:rPr>
          <w:rFonts w:hint="eastAsia" w:ascii="仿宋" w:hAnsi="仿宋" w:eastAsia="仿宋" w:cs="仿宋"/>
          <w:sz w:val="32"/>
          <w:szCs w:val="32"/>
        </w:rPr>
        <w:t>　　4.不具备救治条件的非定点医院，应当及时转到有隔离和救治能力的定点医院。等候转诊期间对患者采取有效的隔离和救治措施。</w:t>
      </w:r>
      <w:r>
        <w:rPr>
          <w:rFonts w:hint="eastAsia" w:ascii="仿宋" w:hAnsi="仿宋" w:eastAsia="仿宋" w:cs="仿宋"/>
          <w:sz w:val="32"/>
          <w:szCs w:val="32"/>
        </w:rPr>
        <w:br w:type="textWrapping"/>
      </w:r>
      <w:r>
        <w:rPr>
          <w:rFonts w:hint="eastAsia" w:ascii="仿宋" w:hAnsi="仿宋" w:eastAsia="仿宋" w:cs="仿宋"/>
          <w:sz w:val="32"/>
          <w:szCs w:val="32"/>
        </w:rPr>
        <w:t>　　5.患者转出后按《医疗机构消毒技术规范》对其接触环境进行终末处理。</w:t>
      </w:r>
      <w:r>
        <w:rPr>
          <w:rFonts w:hint="eastAsia" w:ascii="仿宋" w:hAnsi="仿宋" w:eastAsia="仿宋" w:cs="仿宋"/>
          <w:sz w:val="32"/>
          <w:szCs w:val="32"/>
        </w:rPr>
        <w:br w:type="textWrapping"/>
      </w:r>
      <w:r>
        <w:rPr>
          <w:rFonts w:hint="eastAsia" w:ascii="仿宋" w:hAnsi="仿宋" w:eastAsia="仿宋" w:cs="仿宋"/>
          <w:sz w:val="32"/>
          <w:szCs w:val="32"/>
        </w:rPr>
        <w:t>　　（四）收治疑似或确诊新型冠状病毒感染的肺炎患者的病区（房）。</w:t>
      </w:r>
      <w:r>
        <w:rPr>
          <w:rFonts w:hint="eastAsia" w:ascii="仿宋" w:hAnsi="仿宋" w:eastAsia="仿宋" w:cs="仿宋"/>
          <w:sz w:val="32"/>
          <w:szCs w:val="32"/>
        </w:rPr>
        <w:br w:type="textWrapping"/>
      </w:r>
      <w:r>
        <w:rPr>
          <w:rFonts w:hint="eastAsia" w:ascii="仿宋" w:hAnsi="仿宋" w:eastAsia="仿宋" w:cs="仿宋"/>
          <w:sz w:val="32"/>
          <w:szCs w:val="32"/>
        </w:rPr>
        <w:t>　　1.建筑布局和工作流程应当符合《医院隔离技术规范》等有关要求，并配备符合要求、数量合适的医务人员防护用品。设置负压病区（房）的医疗机构应当按相关要求实施规范管理。</w:t>
      </w:r>
      <w:r>
        <w:rPr>
          <w:rFonts w:hint="eastAsia" w:ascii="仿宋" w:hAnsi="仿宋" w:eastAsia="仿宋" w:cs="仿宋"/>
          <w:sz w:val="32"/>
          <w:szCs w:val="32"/>
        </w:rPr>
        <w:br w:type="textWrapping"/>
      </w:r>
      <w:r>
        <w:rPr>
          <w:rFonts w:hint="eastAsia" w:ascii="仿宋" w:hAnsi="仿宋" w:eastAsia="仿宋" w:cs="仿宋"/>
          <w:sz w:val="32"/>
          <w:szCs w:val="32"/>
        </w:rPr>
        <w:t>　　2.对疑似或确诊患者应当及时采取隔离措施，疑似患者和确诊患者应当分开安置；疑似患者进行单间隔离，经病原学确诊的患者可以同室安置。</w:t>
      </w:r>
      <w:r>
        <w:rPr>
          <w:rFonts w:hint="eastAsia" w:ascii="仿宋" w:hAnsi="仿宋" w:eastAsia="仿宋" w:cs="仿宋"/>
          <w:sz w:val="32"/>
          <w:szCs w:val="32"/>
        </w:rPr>
        <w:br w:type="textWrapping"/>
      </w:r>
      <w:r>
        <w:rPr>
          <w:rFonts w:hint="eastAsia" w:ascii="仿宋" w:hAnsi="仿宋" w:eastAsia="仿宋" w:cs="仿宋"/>
          <w:sz w:val="32"/>
          <w:szCs w:val="32"/>
        </w:rPr>
        <w:t>　　3.在实施标准预防的基础上，采取接触隔离、飞沫隔离和空气隔离等措施。具体措施包括：</w:t>
      </w:r>
      <w:r>
        <w:rPr>
          <w:rFonts w:hint="eastAsia" w:ascii="仿宋" w:hAnsi="仿宋" w:eastAsia="仿宋" w:cs="仿宋"/>
          <w:sz w:val="32"/>
          <w:szCs w:val="32"/>
        </w:rPr>
        <w:br w:type="textWrapping"/>
      </w:r>
      <w:r>
        <w:rPr>
          <w:rFonts w:hint="eastAsia" w:ascii="仿宋" w:hAnsi="仿宋" w:eastAsia="仿宋" w:cs="仿宋"/>
          <w:sz w:val="32"/>
          <w:szCs w:val="32"/>
        </w:rPr>
        <w:t>　　（1）进出隔离病房，应当严格执行《医院隔离技术规范》《医务人员穿脱防护用品的流程》，正确实施手卫生及穿脱防护用品。</w:t>
      </w:r>
      <w:r>
        <w:rPr>
          <w:rFonts w:hint="eastAsia" w:ascii="仿宋" w:hAnsi="仿宋" w:eastAsia="仿宋" w:cs="仿宋"/>
          <w:sz w:val="32"/>
          <w:szCs w:val="32"/>
        </w:rPr>
        <w:br w:type="textWrapping"/>
      </w:r>
      <w:r>
        <w:rPr>
          <w:rFonts w:hint="eastAsia" w:ascii="仿宋" w:hAnsi="仿宋" w:eastAsia="仿宋" w:cs="仿宋"/>
          <w:sz w:val="32"/>
          <w:szCs w:val="32"/>
        </w:rPr>
        <w:t>　　（2）应当制定医务人员穿脱防护用品的流程；制作流程图和配置穿衣镜。配备熟练感染防控技术的人员督导医务人员防护用品的穿脱，防止污染。</w:t>
      </w:r>
      <w:r>
        <w:rPr>
          <w:rFonts w:hint="eastAsia" w:ascii="仿宋" w:hAnsi="仿宋" w:eastAsia="仿宋" w:cs="仿宋"/>
          <w:sz w:val="32"/>
          <w:szCs w:val="32"/>
        </w:rPr>
        <w:br w:type="textWrapping"/>
      </w:r>
      <w:r>
        <w:rPr>
          <w:rFonts w:hint="eastAsia" w:ascii="仿宋" w:hAnsi="仿宋" w:eastAsia="仿宋" w:cs="仿宋"/>
          <w:sz w:val="32"/>
          <w:szCs w:val="32"/>
        </w:rPr>
        <w:t>　　（3）用于诊疗疑似或确诊患者的听诊器、体温计、血压计等医疗器具及护理物品应当专人专用。若条件有限，不能保障医疗器具专人专用时，每次使用后应当进行规范的清洁和消毒。</w:t>
      </w:r>
      <w:r>
        <w:rPr>
          <w:rFonts w:hint="eastAsia" w:ascii="仿宋" w:hAnsi="仿宋" w:eastAsia="仿宋" w:cs="仿宋"/>
          <w:sz w:val="32"/>
          <w:szCs w:val="32"/>
        </w:rPr>
        <w:br w:type="textWrapping"/>
      </w:r>
      <w:r>
        <w:rPr>
          <w:rFonts w:hint="eastAsia" w:ascii="仿宋" w:hAnsi="仿宋" w:eastAsia="仿宋" w:cs="仿宋"/>
          <w:sz w:val="32"/>
          <w:szCs w:val="32"/>
        </w:rPr>
        <w:t>　　4.重症患者应当收治在重症监护病房或者具备监护和抢救条件的病室，收治重症患者的监护病房或者具备监护和抢救条件的病室不得收治其他患者。</w:t>
      </w:r>
      <w:r>
        <w:rPr>
          <w:rFonts w:hint="eastAsia" w:ascii="仿宋" w:hAnsi="仿宋" w:eastAsia="仿宋" w:cs="仿宋"/>
          <w:sz w:val="32"/>
          <w:szCs w:val="32"/>
        </w:rPr>
        <w:br w:type="textWrapping"/>
      </w:r>
      <w:r>
        <w:rPr>
          <w:rFonts w:hint="eastAsia" w:ascii="仿宋" w:hAnsi="仿宋" w:eastAsia="仿宋" w:cs="仿宋"/>
          <w:sz w:val="32"/>
          <w:szCs w:val="32"/>
        </w:rPr>
        <w:t>　　5.严格探视制度，原则上不设陪护。若患者病情危重等特殊情况必须探视的，探视者必须严格按照规定做好个人防护。</w:t>
      </w:r>
      <w:r>
        <w:rPr>
          <w:rFonts w:hint="eastAsia" w:ascii="仿宋" w:hAnsi="仿宋" w:eastAsia="仿宋" w:cs="仿宋"/>
          <w:sz w:val="32"/>
          <w:szCs w:val="32"/>
        </w:rPr>
        <w:br w:type="textWrapping"/>
      </w:r>
      <w:r>
        <w:rPr>
          <w:rFonts w:hint="eastAsia" w:ascii="仿宋" w:hAnsi="仿宋" w:eastAsia="仿宋" w:cs="仿宋"/>
          <w:sz w:val="32"/>
          <w:szCs w:val="32"/>
        </w:rPr>
        <w:t>　　6.按照《医院空气净化管理规范》规定，进行空气净化。</w:t>
      </w:r>
      <w:r>
        <w:rPr>
          <w:rFonts w:hint="eastAsia" w:ascii="仿宋_GB2312" w:hAnsi="仿宋_GB2312" w:eastAsia="仿宋_GB2312" w:cs="仿宋_GB2312"/>
          <w:sz w:val="32"/>
          <w:szCs w:val="32"/>
        </w:rPr>
        <w:br w:type="textWrapping"/>
      </w:r>
      <w:r>
        <w:rPr>
          <w:rFonts w:hint="eastAsia" w:ascii="黑体" w:hAnsi="黑体" w:eastAsia="黑体"/>
          <w:sz w:val="32"/>
          <w:szCs w:val="32"/>
        </w:rPr>
        <w:t>　　三、医务人员防护</w:t>
      </w:r>
      <w:r>
        <w:rPr>
          <w:rFonts w:hint="eastAsia" w:ascii="黑体" w:hAnsi="黑体" w:eastAsia="黑体"/>
          <w:sz w:val="32"/>
          <w:szCs w:val="32"/>
        </w:rPr>
        <w:br w:type="textWrapping"/>
      </w:r>
      <w:r>
        <w:rPr>
          <w:rFonts w:hint="eastAsia" w:ascii="仿宋" w:hAnsi="仿宋" w:eastAsia="仿宋"/>
          <w:sz w:val="32"/>
          <w:szCs w:val="32"/>
        </w:rPr>
        <w:t>　</w:t>
      </w:r>
      <w:r>
        <w:rPr>
          <w:rFonts w:hint="eastAsia" w:ascii="仿宋" w:hAnsi="仿宋" w:eastAsia="仿宋" w:cs="仿宋"/>
          <w:sz w:val="32"/>
          <w:szCs w:val="32"/>
        </w:rPr>
        <w:t>　（一）医疗机构和医务人员应当强化标准预防措施的落实，做好诊区、病区（房）的通风管理，严格落实《医务人员手卫生规范》要求，佩戴医用外科口罩/医用防护口罩，必要时戴乳胶手套。</w:t>
      </w:r>
      <w:r>
        <w:rPr>
          <w:rFonts w:hint="eastAsia" w:ascii="仿宋" w:hAnsi="仿宋" w:eastAsia="仿宋" w:cs="仿宋"/>
          <w:sz w:val="32"/>
          <w:szCs w:val="32"/>
        </w:rPr>
        <w:br w:type="textWrapping"/>
      </w:r>
      <w:r>
        <w:rPr>
          <w:rFonts w:hint="eastAsia" w:ascii="仿宋" w:hAnsi="仿宋" w:eastAsia="仿宋" w:cs="仿宋"/>
          <w:sz w:val="32"/>
          <w:szCs w:val="32"/>
        </w:rPr>
        <w:t>　　（二）采取飞沫隔离、接触隔离和空气隔离防护措施，根据不同情形，做到以下防护。</w:t>
      </w:r>
      <w:r>
        <w:rPr>
          <w:rFonts w:hint="eastAsia" w:ascii="仿宋" w:hAnsi="仿宋" w:eastAsia="仿宋" w:cs="仿宋"/>
          <w:sz w:val="32"/>
          <w:szCs w:val="32"/>
        </w:rPr>
        <w:br w:type="textWrapping"/>
      </w:r>
      <w:r>
        <w:rPr>
          <w:rFonts w:hint="eastAsia" w:ascii="仿宋" w:hAnsi="仿宋" w:eastAsia="仿宋" w:cs="仿宋"/>
          <w:sz w:val="32"/>
          <w:szCs w:val="32"/>
        </w:rPr>
        <w:t>　　1.接触患者的血液、体液、分泌物、排泄物、呕吐物及污染物品时：戴清洁手套，脱手套后洗手。</w:t>
      </w:r>
      <w:r>
        <w:rPr>
          <w:rFonts w:hint="eastAsia" w:ascii="仿宋" w:hAnsi="仿宋" w:eastAsia="仿宋" w:cs="仿宋"/>
          <w:sz w:val="32"/>
          <w:szCs w:val="32"/>
        </w:rPr>
        <w:br w:type="textWrapping"/>
      </w:r>
      <w:r>
        <w:rPr>
          <w:rFonts w:hint="eastAsia" w:ascii="仿宋" w:hAnsi="仿宋" w:eastAsia="仿宋" w:cs="仿宋"/>
          <w:sz w:val="32"/>
          <w:szCs w:val="32"/>
        </w:rPr>
        <w:t>　　2.可能受到患者血液、体液、分泌物等喷溅时：戴医用防护口罩、护目镜、穿防渗隔离衣。</w:t>
      </w:r>
      <w:r>
        <w:rPr>
          <w:rFonts w:hint="eastAsia" w:ascii="仿宋" w:hAnsi="仿宋" w:eastAsia="仿宋" w:cs="仿宋"/>
          <w:sz w:val="32"/>
          <w:szCs w:val="32"/>
        </w:rPr>
        <w:br w:type="textWrapping"/>
      </w:r>
      <w:r>
        <w:rPr>
          <w:rFonts w:hint="eastAsia" w:ascii="仿宋" w:hAnsi="仿宋" w:eastAsia="仿宋" w:cs="仿宋"/>
          <w:sz w:val="32"/>
          <w:szCs w:val="32"/>
        </w:rPr>
        <w:t>　　3.为疑似患者或确诊患者实施可能产生气溶胶的操作（如气管插管、无创通气、气管切开，心肺复苏，插管前手动通气和支气管镜检查等）时：</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（1）采取空气隔离措施；</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（2）佩戴医用防护口罩，并进行密闭性能检测；</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（3）眼部防护（如护目镜或面罩）；</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（4）穿防体液渗入的长袖隔离衣，戴手套；</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（5）操作应当在通风良好的房间内进行；</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（6）房间中人数限制在患者所需护理和支持的最低数量。</w:t>
      </w:r>
    </w:p>
    <w:p>
      <w:pPr>
        <w:pStyle w:val="18"/>
        <w:wordWrap/>
        <w:spacing w:before="0" w:beforeAutospacing="0" w:after="0" w:afterAutospacing="0" w:line="560" w:lineRule="exact"/>
        <w:ind w:firstLine="645"/>
        <w:textAlignment w:val="auto"/>
        <w:rPr>
          <w:rFonts w:hint="eastAsia" w:ascii="黑体" w:hAnsi="黑体" w:eastAsia="黑体" w:cs="黑体"/>
          <w:szCs w:val="32"/>
        </w:rPr>
      </w:pPr>
      <w:r>
        <w:rPr>
          <w:rFonts w:hint="eastAsia" w:ascii="仿宋" w:hAnsi="仿宋" w:eastAsia="仿宋" w:cs="仿宋"/>
          <w:sz w:val="32"/>
          <w:szCs w:val="32"/>
        </w:rPr>
        <w:t>（三）医务人员使用的防护用品应当符合国家有关标准。</w:t>
      </w:r>
      <w:r>
        <w:rPr>
          <w:rFonts w:hint="eastAsia" w:ascii="仿宋" w:hAnsi="仿宋" w:eastAsia="仿宋" w:cs="仿宋"/>
          <w:sz w:val="32"/>
          <w:szCs w:val="32"/>
        </w:rPr>
        <w:br w:type="textWrapping"/>
      </w:r>
      <w:r>
        <w:rPr>
          <w:rFonts w:hint="eastAsia" w:ascii="仿宋" w:hAnsi="仿宋" w:eastAsia="仿宋" w:cs="仿宋"/>
          <w:sz w:val="32"/>
          <w:szCs w:val="32"/>
        </w:rPr>
        <w:t>　　（四）医用外科口罩、医用防护口罩、护目镜、隔离衣等防护用品被患者血液、体液、分泌物等污染时应当及时更换。</w:t>
      </w:r>
      <w:r>
        <w:rPr>
          <w:rFonts w:hint="eastAsia" w:ascii="仿宋" w:hAnsi="仿宋" w:eastAsia="仿宋" w:cs="仿宋"/>
          <w:sz w:val="32"/>
          <w:szCs w:val="32"/>
        </w:rPr>
        <w:br w:type="textWrapping"/>
      </w:r>
      <w:r>
        <w:rPr>
          <w:rFonts w:hint="eastAsia" w:ascii="仿宋" w:hAnsi="仿宋" w:eastAsia="仿宋" w:cs="仿宋"/>
          <w:sz w:val="32"/>
          <w:szCs w:val="32"/>
        </w:rPr>
        <w:t>　　（五）正确使用防护用品，戴手套前应当洗手，脱去手套或隔离服后应当立即流动水洗手。</w:t>
      </w:r>
      <w:r>
        <w:rPr>
          <w:rFonts w:hint="eastAsia" w:ascii="仿宋" w:hAnsi="仿宋" w:eastAsia="仿宋" w:cs="仿宋"/>
          <w:sz w:val="32"/>
          <w:szCs w:val="32"/>
        </w:rPr>
        <w:br w:type="textWrapping"/>
      </w:r>
      <w:r>
        <w:rPr>
          <w:rFonts w:hint="eastAsia" w:ascii="仿宋" w:hAnsi="仿宋" w:eastAsia="仿宋" w:cs="仿宋"/>
          <w:sz w:val="32"/>
          <w:szCs w:val="32"/>
        </w:rPr>
        <w:t>　　（六）严格执行锐器伤防范措施。</w:t>
      </w:r>
      <w:r>
        <w:rPr>
          <w:rFonts w:hint="eastAsia" w:ascii="仿宋" w:hAnsi="仿宋" w:eastAsia="仿宋" w:cs="仿宋"/>
          <w:sz w:val="32"/>
          <w:szCs w:val="32"/>
        </w:rPr>
        <w:br w:type="textWrapping"/>
      </w:r>
      <w:r>
        <w:rPr>
          <w:rFonts w:hint="eastAsia" w:ascii="仿宋" w:hAnsi="仿宋" w:eastAsia="仿宋" w:cs="仿宋"/>
          <w:sz w:val="32"/>
          <w:szCs w:val="32"/>
        </w:rPr>
        <w:t>　　（七）每位患者用后的医疗器械、器具应当按照《医疗机构消毒技术规范》要求进行清洁与消毒。</w:t>
      </w:r>
      <w:r>
        <w:rPr>
          <w:rFonts w:hint="eastAsia" w:ascii="仿宋" w:hAnsi="仿宋" w:eastAsia="仿宋" w:cs="仿宋"/>
          <w:sz w:val="32"/>
          <w:szCs w:val="32"/>
        </w:rPr>
        <w:br w:type="textWrapping"/>
      </w:r>
      <w:r>
        <w:rPr>
          <w:rFonts w:hint="eastAsia" w:ascii="黑体" w:hAnsi="黑体" w:eastAsia="黑体"/>
          <w:sz w:val="32"/>
          <w:szCs w:val="32"/>
        </w:rPr>
        <w:t>　　四、加强患者管理</w:t>
      </w:r>
      <w:r>
        <w:rPr>
          <w:rFonts w:hint="eastAsia" w:ascii="黑体" w:hAnsi="黑体" w:eastAsia="黑体"/>
          <w:sz w:val="32"/>
          <w:szCs w:val="32"/>
        </w:rPr>
        <w:br w:type="textWrapping"/>
      </w:r>
      <w:r>
        <w:rPr>
          <w:rFonts w:hint="eastAsia" w:ascii="仿宋" w:hAnsi="仿宋" w:eastAsia="仿宋"/>
          <w:sz w:val="32"/>
          <w:szCs w:val="32"/>
        </w:rPr>
        <w:t>　</w:t>
      </w:r>
      <w:r>
        <w:rPr>
          <w:rFonts w:hint="eastAsia" w:ascii="仿宋" w:hAnsi="仿宋" w:eastAsia="仿宋" w:cs="仿宋"/>
          <w:sz w:val="32"/>
          <w:szCs w:val="32"/>
        </w:rPr>
        <w:t>　（一）对疑似或确诊患者及时进行隔离，并按照指定规范路线由专人引导进入隔离区。</w:t>
      </w:r>
      <w:r>
        <w:rPr>
          <w:rFonts w:hint="eastAsia" w:ascii="仿宋" w:hAnsi="仿宋" w:eastAsia="仿宋" w:cs="仿宋"/>
          <w:sz w:val="32"/>
          <w:szCs w:val="32"/>
        </w:rPr>
        <w:br w:type="textWrapping"/>
      </w:r>
      <w:r>
        <w:rPr>
          <w:rFonts w:hint="eastAsia" w:ascii="仿宋" w:hAnsi="仿宋" w:eastAsia="仿宋" w:cs="仿宋"/>
          <w:sz w:val="32"/>
          <w:szCs w:val="32"/>
        </w:rPr>
        <w:t>　　（二）患者进入病区前更换患者服，个人物品及换下的衣服集中消毒处理后，存放于指定地点由医疗机构统一保管。</w:t>
      </w:r>
      <w:r>
        <w:rPr>
          <w:rFonts w:hint="eastAsia" w:ascii="仿宋" w:hAnsi="仿宋" w:eastAsia="仿宋" w:cs="仿宋"/>
          <w:sz w:val="32"/>
          <w:szCs w:val="32"/>
        </w:rPr>
        <w:br w:type="textWrapping"/>
      </w:r>
      <w:r>
        <w:rPr>
          <w:rFonts w:hint="eastAsia" w:ascii="仿宋" w:hAnsi="仿宋" w:eastAsia="仿宋" w:cs="仿宋"/>
          <w:sz w:val="32"/>
          <w:szCs w:val="32"/>
        </w:rPr>
        <w:t>　　（三）指导患者正确选择、佩戴口罩，正确实施咳嗽礼仪和手卫生。</w:t>
      </w:r>
      <w:r>
        <w:rPr>
          <w:rFonts w:hint="eastAsia" w:ascii="仿宋" w:hAnsi="仿宋" w:eastAsia="仿宋" w:cs="仿宋"/>
          <w:sz w:val="32"/>
          <w:szCs w:val="32"/>
        </w:rPr>
        <w:br w:type="textWrapping"/>
      </w:r>
      <w:r>
        <w:rPr>
          <w:rFonts w:hint="eastAsia" w:ascii="仿宋" w:hAnsi="仿宋" w:eastAsia="仿宋" w:cs="仿宋"/>
          <w:sz w:val="32"/>
          <w:szCs w:val="32"/>
        </w:rPr>
        <w:t>　　（四）加强对患者探视或陪护人员的管理。</w:t>
      </w:r>
      <w:r>
        <w:rPr>
          <w:rFonts w:hint="eastAsia" w:ascii="仿宋" w:hAnsi="仿宋" w:eastAsia="仿宋" w:cs="仿宋"/>
          <w:sz w:val="32"/>
          <w:szCs w:val="32"/>
        </w:rPr>
        <w:br w:type="textWrapping"/>
      </w:r>
      <w:r>
        <w:rPr>
          <w:rFonts w:hint="eastAsia" w:ascii="仿宋" w:hAnsi="仿宋" w:eastAsia="仿宋" w:cs="仿宋"/>
          <w:sz w:val="32"/>
          <w:szCs w:val="32"/>
        </w:rPr>
        <w:t>　　（五）对被隔离的患者，原则上其活动限制在隔离病房内，减少患者的移动和转换病房，若确需离开隔离病房或隔离区域时，应当采取相应措施如佩戴医用外科口罩，防止患者对其他患者和环境造成污染。</w:t>
      </w:r>
      <w:r>
        <w:rPr>
          <w:rFonts w:hint="eastAsia" w:ascii="仿宋" w:hAnsi="仿宋" w:eastAsia="仿宋" w:cs="仿宋"/>
          <w:sz w:val="32"/>
          <w:szCs w:val="32"/>
        </w:rPr>
        <w:br w:type="textWrapping"/>
      </w:r>
      <w:r>
        <w:rPr>
          <w:rFonts w:hint="eastAsia" w:ascii="仿宋" w:hAnsi="仿宋" w:eastAsia="仿宋" w:cs="仿宋"/>
          <w:sz w:val="32"/>
          <w:szCs w:val="32"/>
        </w:rPr>
        <w:t>　　（六）疑似或确诊患者出院、转院时，应当更换干净衣服后方可离开，按《医疗机构消毒技术规范》对其接触环境进行终末消毒。</w:t>
      </w:r>
      <w:r>
        <w:rPr>
          <w:rFonts w:hint="eastAsia" w:ascii="仿宋" w:hAnsi="仿宋" w:eastAsia="仿宋" w:cs="仿宋"/>
          <w:sz w:val="32"/>
          <w:szCs w:val="32"/>
        </w:rPr>
        <w:br w:type="textWrapping"/>
      </w:r>
      <w:r>
        <w:rPr>
          <w:rFonts w:hint="eastAsia" w:ascii="仿宋" w:hAnsi="仿宋" w:eastAsia="仿宋" w:cs="仿宋"/>
          <w:sz w:val="32"/>
          <w:szCs w:val="32"/>
        </w:rPr>
        <w:t>　　（七）疑似或确诊患者死亡的，对尸体应当及时进行处理。处理方法为：用3000mg/L的含氯消毒剂或0.5%过氧乙酸棉球或纱布填塞患者口、鼻、耳、肛门等所有开放通道；用双层布单包裹尸体，装入双层尸体袋中，由专用车辆直接送至指定地点火化。患者住院期间使用的个人物品经消毒后方可随患者或家属带回家。</w:t>
      </w:r>
    </w:p>
    <w:p>
      <w:pPr>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附件4</w:t>
      </w:r>
    </w:p>
    <w:p>
      <w:pPr>
        <w:widowControl w:val="0"/>
        <w:wordWrap/>
        <w:adjustRightInd/>
        <w:snapToGrid/>
        <w:spacing w:line="560" w:lineRule="exact"/>
        <w:jc w:val="both"/>
        <w:textAlignment w:val="auto"/>
        <w:outlineLvl w:val="9"/>
        <w:rPr>
          <w:rFonts w:hint="eastAsia" w:ascii="宋体" w:hAnsi="宋体" w:eastAsia="宋体" w:cs="宋体"/>
          <w:color w:val="auto"/>
          <w:sz w:val="44"/>
          <w:szCs w:val="44"/>
        </w:rPr>
      </w:pP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社区（乡镇、村）新冠肺炎防控技术方案</w:t>
      </w:r>
    </w:p>
    <w:p>
      <w:pPr>
        <w:wordWrap/>
        <w:adjustRightInd w:val="0"/>
        <w:snapToGrid w:val="0"/>
        <w:spacing w:line="560" w:lineRule="exact"/>
        <w:ind w:firstLine="883" w:firstLineChars="200"/>
        <w:textAlignment w:val="auto"/>
        <w:outlineLvl w:val="9"/>
        <w:rPr>
          <w:rFonts w:ascii="宋体" w:hAnsi="宋体" w:eastAsia="仿宋_GB2312" w:cs="Times New Roman"/>
          <w:b/>
          <w:sz w:val="44"/>
          <w:szCs w:val="44"/>
        </w:rPr>
      </w:pPr>
    </w:p>
    <w:p>
      <w:pPr>
        <w:wordWrap/>
        <w:adjustRightInd w:val="0"/>
        <w:snapToGrid w:val="0"/>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一、落实责任</w:t>
      </w:r>
    </w:p>
    <w:p>
      <w:pPr>
        <w:wordWrap/>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kern w:val="0"/>
          <w:sz w:val="32"/>
          <w:szCs w:val="32"/>
        </w:rPr>
        <w:t>（一）落实主体责任。</w:t>
      </w:r>
      <w:r>
        <w:rPr>
          <w:rFonts w:hint="eastAsia" w:ascii="仿宋" w:hAnsi="仿宋" w:eastAsia="仿宋" w:cs="仿宋"/>
          <w:sz w:val="32"/>
          <w:szCs w:val="32"/>
        </w:rPr>
        <w:t>压实属地、部门、单位、个人“四方责任”，落实落细基层社区（乡镇、村）、单位网格化管理，指导做好辖区和单位内人员往来摸排和健康监测登记工作，对重点场所、重点人群和重点环节进行体温监测，尽早发现可疑病例。</w:t>
      </w:r>
    </w:p>
    <w:p>
      <w:pPr>
        <w:wordWrap/>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kern w:val="0"/>
          <w:sz w:val="32"/>
          <w:szCs w:val="32"/>
        </w:rPr>
        <w:t>（二）推进联防联控协同防控。</w:t>
      </w:r>
      <w:r>
        <w:rPr>
          <w:rFonts w:hint="eastAsia" w:ascii="仿宋" w:hAnsi="仿宋" w:eastAsia="仿宋" w:cs="仿宋"/>
          <w:sz w:val="32"/>
          <w:szCs w:val="32"/>
        </w:rPr>
        <w:t>部门通力协作，及时排查来自疫情高风险地区人员，提高社区摸排工作效率，快速追踪密切接触者。通过视频滚动播放、张贴宣传材料、广播等手段，播放疫情防范知识，提高社区居民防范认识。</w:t>
      </w: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Times New Roman"/>
          <w:sz w:val="32"/>
          <w:szCs w:val="32"/>
        </w:rPr>
        <w:t>二、</w:t>
      </w:r>
      <w:r>
        <w:rPr>
          <w:rFonts w:hint="eastAsia" w:ascii="黑体" w:hAnsi="黑体" w:eastAsia="黑体" w:cs="黑体"/>
          <w:sz w:val="32"/>
          <w:szCs w:val="32"/>
        </w:rPr>
        <w:t>社区未发现病例</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实施“外防输入”的策略，具体措施包括组织动员、健康教育、信息告知、重点地区和高风险地区返回人员管理、环境卫生治理、物资准备等。</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1.组织动员：社区要建立新冠肺炎疫情防控工作组织体系，以街道（乡镇）和社区（村）干部、社区卫生服务中心和家庭医生为主，鼓励居民和志愿者参与，组成专兼职结合的工作队伍，实施网格化、地毯式管理，责任落实到人，对社区（村）、楼栋（自然村）、家庭进行全覆盖，落实防控措施。</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2.健康教育：充分利用多种手段</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有针对性地开展新冠肺炎防控知识宣传</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积极倡导讲卫生、除陋习</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摒弃乱扔、乱吐等不文明行为</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营造“每个人是自己健康第一责任人”“我的健康我做主”的良好氛围。使群众充分了解健康知识</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掌握防护要点</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养成手卫生、多通风、保持清洁的良好习惯</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 xml:space="preserve"> 减少出行，避免参加集会、聚会，乘坐公共交通或前往人群密集场所时做好防护，戴口罩，避免接触动物（尤其是野生动物）、禽类或其粪便。</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3.信息告知：向公众发布就诊信息，出现呼吸道症状无发热者到社区卫生服务中心（乡镇卫生院）就诊，发热患者到发热门诊就诊，新型冠状病毒感染者到定点医院就诊。每日发布本地及本社区疫情信息，提示出行、旅行风险。</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4.重点地区和高风险地区返回人员管理：社区要发布告示，要求从疫情防控重点地区和高风险地区返回人员应当立即到所在村支部或社区进行登记，按规定接受集中或居家隔离14天。所有重点地区和高风险地区返乡的出现发热呼吸道症状者，及时就近就医排查，根据要求居家隔离或到政府指定地点或医院隔离。隔离期间请与本地医务人员或疾控中心保持联系，以便跟踪观察。</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5.环境卫生治理：社区（乡镇、村）开展以环境整治为主、药物消杀为辅的病媒生物综合防制</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对居民小区、垃圾中转站、建筑工地等重点场所进行卫生清理</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处理垃圾污物</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消除鼠、蟑、蚊、蝇等病媒生物孳生环境。及时组织开展全面的病媒生物防制与消杀</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有效降低病媒生物密度。</w:t>
      </w: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 w:hAnsi="仿宋" w:eastAsia="仿宋" w:cs="仿宋"/>
          <w:b w:val="0"/>
          <w:bCs w:val="0"/>
          <w:sz w:val="32"/>
          <w:szCs w:val="32"/>
        </w:rPr>
        <w:t>6.物资准备：医疗机构物资保障供应与管理，由专人负责，统一管理，统一调拨，做到日清月结、账实相符。各社区卫生服务中心（乡镇卫生院）按照“分级、分类、定额”的管理原则，根据社区或防控要求实施不同级别的防护措施，根据不同任务和工作人数定额发放相应防控物资。社区和家庭备置必需的防控物品和物资，如体温计、口罩、消毒用品等。社区居民物资保障，通过电商下单、供应商配送等多种方式保障物资的采购。鼓励开展露天广场交易日常物资，超市限时限流营业，避免居民集中采购、取送物资。组织专人做好孤寡老人、残疾人、单亲家庭等物资的采购与配送。</w:t>
      </w:r>
    </w:p>
    <w:p>
      <w:pPr>
        <w:wordWrap/>
        <w:adjustRightInd w:val="0"/>
        <w:snapToGrid w:val="0"/>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三、社区出现病例或暴发疫情</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采取“内防扩散、外防输出”的策略，具体包括上述6项措施，以及密切接触者管理、加强消毒。</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7.密切接触者管理：充分发挥社区预防保健医生、家庭签约医生、社区干部等网格管理员的作用，对新冠肺炎确诊病例的密切接触者开展排查并实施集中隔离医学观察，不具备条件的地区可采取居家隔离医学观察，并加强对居家观察对象的管理。每日随访密切接触者的健康状况，指导观察对象监测自身情况的变化，并随时做好记录。做好病人的隔离控制和转送定点医院等准备工作。</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8.消毒：社区要协助疾控机构，做好病例家庭、楼栋单元、单位办公室、会议室等疫点的消毒，以及公共场所清洁消毒。   </w:t>
      </w:r>
    </w:p>
    <w:p>
      <w:pPr>
        <w:wordWrap/>
        <w:adjustRightInd w:val="0"/>
        <w:snapToGrid w:val="0"/>
        <w:spacing w:line="560" w:lineRule="exact"/>
        <w:ind w:firstLine="640" w:firstLineChars="200"/>
        <w:textAlignment w:val="auto"/>
        <w:outlineLvl w:val="9"/>
        <w:rPr>
          <w:rFonts w:ascii="楷体" w:hAnsi="楷体" w:eastAsia="楷体" w:cs="Times New Roman"/>
          <w:sz w:val="32"/>
          <w:szCs w:val="32"/>
        </w:rPr>
      </w:pPr>
      <w:r>
        <w:rPr>
          <w:rFonts w:hint="eastAsia" w:ascii="黑体" w:hAnsi="黑体" w:eastAsia="黑体" w:cs="Times New Roman"/>
          <w:sz w:val="32"/>
          <w:szCs w:val="32"/>
        </w:rPr>
        <w:t>四、社区传播疫情</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采取“内防蔓延、外防输出”的策略，具体包括上述8项措施，以及疫区封锁、限制人员聚集等2项措施。</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9.疫区封锁：对划为疫区的社区，必要时可采取疫区封锁措施，限制人员进出，临时征用房屋、交通工具等。</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10.限制人员聚集：社区内限制或停止集市、集会等人群聚集的活动，关闭公共浴池、温泉、影院、网吧、商场等公共场所。必要时停工、停业、停课。</w:t>
      </w:r>
    </w:p>
    <w:p>
      <w:pPr>
        <w:wordWrap/>
        <w:adjustRightInd w:val="0"/>
        <w:snapToGrid w:val="0"/>
        <w:spacing w:line="560" w:lineRule="exact"/>
        <w:ind w:firstLine="640" w:firstLineChars="200"/>
        <w:textAlignment w:val="auto"/>
        <w:outlineLvl w:val="9"/>
        <w:rPr>
          <w:rFonts w:hint="eastAsia" w:ascii="黑体" w:hAnsi="黑体" w:eastAsia="黑体" w:cs="Times New Roman"/>
          <w:sz w:val="32"/>
          <w:szCs w:val="32"/>
        </w:rPr>
      </w:pPr>
      <w:r>
        <w:rPr>
          <w:rFonts w:hint="eastAsia" w:ascii="黑体" w:hAnsi="黑体" w:eastAsia="黑体" w:cs="Times New Roman"/>
          <w:sz w:val="32"/>
          <w:szCs w:val="32"/>
        </w:rPr>
        <w:t>五、居民健康指导</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11.保持家庭、楼内等室内场所空气流通。尽可能避免到封闭、空气不流通的公众场所和人员集中的场所，到人群聚集的公共场所或与人交谈时应当佩戴医用口罩。</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12.注意个人卫生。咳嗽或打喷嚏时，应当使用纸巾、弯曲手肘窝遮掩口鼻，防止飞沫传播。注意手卫生。咳嗽、饭前便后、接触公共物品（门把手或电梯按钮等）、处理动物排泄物后，要用流水洗手；或者使用含酒精成分的免洗洗手液；不用手触碰鼻腔和眼睛。污染的一次性物品（纸巾、口罩、手套等）应当放置在专门的垃圾袋内，绑紧袋口。避免共用日常生活物品（如牙刷、餐具、毛巾、床单等）。</w:t>
      </w:r>
    </w:p>
    <w:p>
      <w:pPr>
        <w:wordWrap/>
        <w:adjustRightInd w:val="0"/>
        <w:snapToGrid w:val="0"/>
        <w:spacing w:line="560" w:lineRule="exact"/>
        <w:ind w:firstLine="640" w:firstLineChars="200"/>
        <w:textAlignment w:val="auto"/>
        <w:outlineLvl w:val="9"/>
        <w:rPr>
          <w:rFonts w:hint="eastAsia" w:ascii="黑体" w:hAnsi="黑体" w:eastAsia="黑体" w:cs="黑体"/>
          <w:szCs w:val="32"/>
        </w:rPr>
      </w:pPr>
      <w:r>
        <w:rPr>
          <w:rFonts w:hint="eastAsia" w:ascii="仿宋" w:hAnsi="仿宋" w:eastAsia="仿宋" w:cs="仿宋"/>
          <w:b w:val="0"/>
          <w:bCs w:val="0"/>
          <w:sz w:val="32"/>
          <w:szCs w:val="32"/>
        </w:rPr>
        <w:t>13.特殊人群照顾。为老人、儿童、慢性病患者等特殊人群，提供24小时电话或者线上咨询服务。可根据社区条件，为独居或行动不便者，提供必要的上门医疗服务。</w:t>
      </w:r>
    </w:p>
    <w:p>
      <w:pPr>
        <w:wordWrap/>
        <w:spacing w:line="560" w:lineRule="exact"/>
        <w:textAlignment w:val="auto"/>
        <w:outlineLvl w:val="9"/>
      </w:pPr>
    </w:p>
    <w:p>
      <w:pPr>
        <w:outlineLvl w:val="9"/>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附件5</w:t>
      </w:r>
    </w:p>
    <w:p>
      <w:pPr>
        <w:widowControl w:val="0"/>
        <w:wordWrap/>
        <w:adjustRightInd/>
        <w:snapToGrid/>
        <w:spacing w:line="560" w:lineRule="exact"/>
        <w:jc w:val="both"/>
        <w:textAlignment w:val="auto"/>
        <w:outlineLvl w:val="9"/>
        <w:rPr>
          <w:rFonts w:hint="eastAsia" w:ascii="宋体" w:hAnsi="宋体" w:eastAsia="宋体" w:cs="宋体"/>
          <w:color w:val="auto"/>
          <w:sz w:val="44"/>
          <w:szCs w:val="44"/>
        </w:rPr>
      </w:pP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办公场所和公共场所新冠肺炎</w:t>
      </w: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防控技术方案</w:t>
      </w:r>
    </w:p>
    <w:p>
      <w:pPr>
        <w:wordWrap/>
        <w:spacing w:line="560" w:lineRule="exact"/>
        <w:textAlignment w:val="auto"/>
        <w:outlineLvl w:val="9"/>
        <w:rPr>
          <w:rFonts w:hint="eastAsia" w:ascii="黑体" w:hAnsi="黑体" w:eastAsia="黑体" w:cs="Times New Roman"/>
          <w:sz w:val="32"/>
          <w:szCs w:val="32"/>
        </w:rPr>
      </w:pPr>
      <w:r>
        <w:rPr>
          <w:rFonts w:hint="eastAsia" w:ascii="黑体" w:hAnsi="黑体" w:eastAsia="黑体" w:cs="Times New Roman"/>
          <w:sz w:val="32"/>
          <w:szCs w:val="32"/>
        </w:rPr>
        <w:t xml:space="preserve">  </w:t>
      </w:r>
    </w:p>
    <w:p>
      <w:pPr>
        <w:wordWrap/>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 xml:space="preserve">  一、工作前的准备</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Times New Roman"/>
          <w:sz w:val="32"/>
          <w:szCs w:val="32"/>
        </w:rPr>
        <w:t xml:space="preserve">    </w:t>
      </w:r>
      <w:r>
        <w:rPr>
          <w:rFonts w:hint="eastAsia" w:ascii="仿宋" w:hAnsi="仿宋" w:eastAsia="仿宋" w:cs="仿宋"/>
          <w:sz w:val="32"/>
          <w:szCs w:val="32"/>
        </w:rPr>
        <w:t xml:space="preserve">（一）保障防护物资配备。准备口罩、消毒剂、洗手液、速干手消毒剂、体温计等防控物资。强化人员培训。安排专人进行消毒操作规程和疫情防控措施的培训，提升疫情防控和应急处置能力。   </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（二）在办公场所和公共场所入口处要提醒人员，必要时佩戴口罩。在醒目位置张贴健康提示，利用各种显示屏宣传新冠肺炎及其他传染病防控知识。</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（三）可增设废弃口罩专用垃圾桶，用于投放使用过的口罩，并注意及时清理。</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（四）预防性消毒。日常以通风换气和清洁卫生为主，同时对接触较多的公用物品和部位进行预防性消毒。必要时对地面、墙壁等进行预防性消毒。</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（五）对员工进行健康监测。实行每日健康监测制度，建立体温监测登记本。外地返回工作人员需进行登记，并按属地管理原则进行管理。每天上班前应当对员工进行体温测量。</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（六）健康教育。对复工人员发放宣传手册，在办公场所和公共场所人流量大的地方张贴卫生防护海报，播放宣传视频，以及通过微信公众号、微博定向推送防护知识资料。</w:t>
      </w:r>
    </w:p>
    <w:p>
      <w:pPr>
        <w:wordWrap/>
        <w:spacing w:line="560" w:lineRule="exact"/>
        <w:textAlignment w:val="auto"/>
        <w:outlineLvl w:val="9"/>
        <w:rPr>
          <w:rFonts w:ascii="黑体" w:hAnsi="黑体" w:eastAsia="黑体" w:cs="Times New Roman"/>
          <w:sz w:val="32"/>
          <w:szCs w:val="32"/>
        </w:rPr>
      </w:pPr>
      <w:r>
        <w:rPr>
          <w:rFonts w:hint="eastAsia" w:ascii="Calibri" w:hAnsi="Calibri" w:eastAsia="仿宋_GB2312" w:cs="Times New Roman"/>
          <w:sz w:val="32"/>
          <w:szCs w:val="32"/>
        </w:rPr>
        <w:t xml:space="preserve">    </w:t>
      </w:r>
      <w:r>
        <w:rPr>
          <w:rFonts w:hint="eastAsia" w:ascii="黑体" w:hAnsi="黑体" w:eastAsia="黑体" w:cs="Times New Roman"/>
          <w:sz w:val="32"/>
          <w:szCs w:val="32"/>
        </w:rPr>
        <w:t>二、场所内的卫生要求</w:t>
      </w:r>
    </w:p>
    <w:p>
      <w:pPr>
        <w:wordWrap/>
        <w:spacing w:line="560" w:lineRule="exact"/>
        <w:textAlignment w:val="auto"/>
        <w:outlineLvl w:val="9"/>
        <w:rPr>
          <w:rFonts w:hint="eastAsia" w:ascii="仿宋" w:hAnsi="仿宋" w:eastAsia="仿宋" w:cs="仿宋"/>
          <w:sz w:val="32"/>
          <w:szCs w:val="32"/>
        </w:rPr>
      </w:pPr>
      <w:r>
        <w:rPr>
          <w:rFonts w:hint="eastAsia" w:ascii="楷体" w:hAnsi="楷体" w:eastAsia="楷体" w:cs="Times New Roman"/>
          <w:sz w:val="32"/>
          <w:szCs w:val="32"/>
        </w:rPr>
        <w:t xml:space="preserve">    </w:t>
      </w:r>
      <w:r>
        <w:rPr>
          <w:rFonts w:hint="eastAsia" w:ascii="仿宋" w:hAnsi="仿宋" w:eastAsia="仿宋" w:cs="仿宋"/>
          <w:sz w:val="32"/>
          <w:szCs w:val="32"/>
        </w:rPr>
        <w:t>（一）通风换气。</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1.优先打开窗户，采用自然通风。有条件的可以开启排风扇等抽气装置以加强室内空气流动。</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2.使用集中空调通风系统时，应当保证集中空调通风系统运转正常。应关闭回风，使用全新风运行，确保室内有足够的新风量。</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3.应当保证厢式电梯的排气扇、地下车库通风系统运转正常。</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（二）空调运行。</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1.采用全新风方式运行并关闭空调加湿功能，确保新风直接取自室外、进风口清洁、出风口通畅。</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2.定期对空调进风口、出风口消毒采用有效氯500 mg/L的消毒液擦拭；加强对风机盘管的凝结水盘、冷却水的清洁消毒；空调通风系统的清洗消毒按照《公共场所集中空调通风系统清洗消毒规范》进行。</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（三）垃圾收集处理。</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1.分类收集，及时清运。普通垃圾放入黑色塑料袋，口罩等防护用品垃圾按照生活垃圾分类处理。垃圾筒及垃圾点周围无散落，垃圾存放点各类垃圾及时清运，垃圾无超时超量堆放。</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2.清洁消毒。垃圾转运车和垃圾筒保持清洁，可定期用有效氯500mg/L的含氯消毒剂喷洒或擦拭消毒；垃圾点墙壁、地面应保持清洁，可定期用有效氯500mg/L的含氯消毒液喷洒。</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（四）自动扶梯、厢式电梯。</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1.建议尽量避免乘坐厢式电梯，乘坐时应当佩戴口罩。</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2.厢式电梯的地面、侧壁应当保持清洁，每日消毒2次。</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3.电梯按钮、自动扶梯扶手等经常接触部位每日消毒应当不少于3次。</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（五）地下车库。</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地下车库的地面应当保持清洁。停车取卡按键等人员经常接触部位每日消毒应当不少于3次。</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（六）会议室、办公室、多功能厅。</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1.保持办公区环境清洁，建议每日通风3次，每次20～30分钟，通风时注意保暖。</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2.工作人员应当佩戴口罩，交谈时保持1米以上距离。</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3.减少开会频次和会议时长，会议期间温度适宜时应当开窗或开门。建议采用网络视频会议等方式。</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（七）餐厅餐饮场所（区域）、食堂和茶水间。</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1.保持空气流通，以清洁为主，预防性消毒为辅。</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2.采取有效的分流措施，鼓励打包和外卖，避免人员密集和聚餐活动。</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3.餐厅每日消毒1次。</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（八）卫生间。</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1. 加强空气流通。确保洗手盆、地漏等水封隔离效果。</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2.每日随时进行卫生清洁，保持地面、墙壁清洁，洗手池无污垢，便池无粪便污物积累。</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3.物品表面消毒用有效氯500 mg/L的含氯消毒剂对公共台面、洗手池、门把手和卫生洁具等物体表面进行擦拭，30分钟后用清水擦拭干净。</w:t>
      </w:r>
    </w:p>
    <w:p>
      <w:pPr>
        <w:wordWrap/>
        <w:spacing w:line="560" w:lineRule="exact"/>
        <w:ind w:firstLine="648"/>
        <w:textAlignment w:val="auto"/>
        <w:outlineLvl w:val="9"/>
        <w:rPr>
          <w:rFonts w:ascii="黑体" w:hAnsi="黑体" w:eastAsia="黑体" w:cs="Times New Roman"/>
          <w:bCs/>
          <w:sz w:val="32"/>
          <w:szCs w:val="32"/>
        </w:rPr>
      </w:pPr>
      <w:r>
        <w:rPr>
          <w:rFonts w:hint="eastAsia" w:ascii="黑体" w:hAnsi="黑体" w:eastAsia="黑体" w:cs="Times New Roman"/>
          <w:bCs/>
          <w:sz w:val="32"/>
          <w:szCs w:val="32"/>
        </w:rPr>
        <w:t>三、疫情应对</w:t>
      </w:r>
    </w:p>
    <w:p>
      <w:pPr>
        <w:widowControl w:val="0"/>
        <w:wordWrap/>
        <w:adjustRightInd/>
        <w:snapToGrid/>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（一）设置应急区域。可在办公场所或公共场所内设立应急区域；当出现疑似症状人员时，及时到该区域进行暂时隔离，再按照相关规定处理。</w:t>
      </w:r>
    </w:p>
    <w:p>
      <w:pPr>
        <w:widowControl w:val="0"/>
        <w:wordWrap/>
        <w:adjustRightInd/>
        <w:snapToGrid/>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（二）加强健康监测。员工在岗期间注意自身健康状况监测，按照“早发现、早报告、早隔离、早治疗”的原则做好自我管理。经营单位应当合理安排员工轮休。</w:t>
      </w:r>
    </w:p>
    <w:p>
      <w:pPr>
        <w:widowControl w:val="0"/>
        <w:wordWrap/>
        <w:adjustRightInd/>
        <w:snapToGrid/>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出现疑似病例应对。当员工出现发热、乏力、干咳等可疑症状时，要及时安排就近就医，在专业人员指导下对其工作活动场所及使用的物品进行消毒处理。经营场所须及时向相关部门报告，在专业人员指导下对密切接触者开展排查，实施隔离观察。</w:t>
      </w:r>
    </w:p>
    <w:p>
      <w:pPr>
        <w:pStyle w:val="18"/>
        <w:wordWrap/>
        <w:spacing w:before="0" w:beforeAutospacing="0" w:after="0" w:afterAutospacing="0" w:line="560" w:lineRule="exact"/>
        <w:textAlignment w:val="auto"/>
        <w:outlineLvl w:val="9"/>
        <w:rPr>
          <w:rFonts w:hint="eastAsia" w:ascii="黑体" w:hAnsi="黑体" w:eastAsia="黑体"/>
          <w:sz w:val="32"/>
          <w:szCs w:val="32"/>
        </w:rPr>
      </w:pPr>
    </w:p>
    <w:p>
      <w:pPr>
        <w:outlineLvl w:val="9"/>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附件6</w:t>
      </w:r>
    </w:p>
    <w:p>
      <w:pPr>
        <w:widowControl w:val="0"/>
        <w:wordWrap/>
        <w:adjustRightInd/>
        <w:snapToGrid/>
        <w:spacing w:line="560" w:lineRule="exact"/>
        <w:jc w:val="both"/>
        <w:textAlignment w:val="auto"/>
        <w:outlineLvl w:val="9"/>
        <w:rPr>
          <w:rFonts w:hint="eastAsia" w:ascii="宋体" w:hAnsi="宋体" w:eastAsia="宋体" w:cs="宋体"/>
          <w:color w:val="auto"/>
          <w:sz w:val="44"/>
          <w:szCs w:val="44"/>
        </w:rPr>
      </w:pP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工业企业和建筑施工企业</w:t>
      </w: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新冠肺炎防控技术方案</w:t>
      </w:r>
    </w:p>
    <w:p>
      <w:pPr>
        <w:wordWrap/>
        <w:adjustRightInd w:val="0"/>
        <w:snapToGrid w:val="0"/>
        <w:spacing w:line="560" w:lineRule="exact"/>
        <w:ind w:left="-160" w:leftChars="-50" w:right="-160" w:rightChars="-50"/>
        <w:jc w:val="center"/>
        <w:textAlignment w:val="auto"/>
        <w:outlineLvl w:val="9"/>
        <w:rPr>
          <w:rFonts w:ascii="方正小标宋简体" w:hAnsi="方正小标宋简体" w:eastAsia="方正小标宋简体" w:cs="方正小标宋简体"/>
          <w:b/>
          <w:spacing w:val="-20"/>
          <w:sz w:val="28"/>
          <w:szCs w:val="16"/>
        </w:rPr>
      </w:pP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为指导工业企业和建筑施工企业落实好新冠肺炎疫情防控各项工作要求，做到稳步有序复工复产，根据《企事业单位复工复产疫情防控措施指南》，制定本方案。</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一、</w:t>
      </w:r>
      <w:r>
        <w:rPr>
          <w:rFonts w:ascii="黑体" w:hAnsi="黑体" w:eastAsia="黑体" w:cs="黑体"/>
          <w:sz w:val="32"/>
          <w:szCs w:val="32"/>
        </w:rPr>
        <w:t>加强疫情防控组织领导</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1.成立疫情防控机构。企业主要负责人是疫情防控第一责任人，要成立疫情防控组织机构，建立内部疫情防控体系，制定疫情防控工作方案，明确疫情防控应急措施和处置流程。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落实疫情防控责任。企业要将防控责任落实到部门、班组、岗位和个人，做好疫情防控、物资储备、生活保障、治安保卫等工作。配备专人负责体温检测、通风消毒、个人防护用品发放、宣传教育等工作，指定专人负责本单位疫情防控情况的收集和报送工作。</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二、</w:t>
      </w:r>
      <w:r>
        <w:rPr>
          <w:rFonts w:ascii="黑体" w:hAnsi="黑体" w:eastAsia="黑体" w:cs="黑体"/>
          <w:sz w:val="32"/>
          <w:szCs w:val="32"/>
        </w:rPr>
        <w:t>加强员工管理和健康监测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3.有序组织员工返岗。提前调度掌握返岗员工健康情况，对符合疫情防控要求的员工，合理组织分批次返岗。对返岗员工能够集中运送的，鼓励采取专车或包车等方式运送并做好防护。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4.严格返岗员工管理。建立员工健康台账，按照当地要求进行报备和分区分类进行健康管理。设立可疑症状报告电话，员工出现可疑症状时，要及时向本单位如实报告。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5.做好日常体温检测。每天在员工上下班时进行体温检测，并做好记录。指定专人每天汇总员工健康状况，向当地疾控部门报告，发现异常情况要立即报告并采取相应防控措施。</w:t>
      </w:r>
    </w:p>
    <w:p>
      <w:pPr>
        <w:widowControl/>
        <w:wordWrap/>
        <w:autoSpaceDE w:val="0"/>
        <w:adjustRightInd w:val="0"/>
        <w:snapToGrid w:val="0"/>
        <w:spacing w:line="560" w:lineRule="exact"/>
        <w:ind w:firstLine="640" w:firstLineChars="200"/>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三、工作场所</w:t>
      </w:r>
      <w:r>
        <w:rPr>
          <w:rFonts w:hint="eastAsia" w:ascii="Times New Roman" w:hAnsi="Times New Roman" w:eastAsia="黑体" w:cs="Times New Roman"/>
          <w:sz w:val="32"/>
          <w:szCs w:val="32"/>
        </w:rPr>
        <w:t>疫情</w:t>
      </w:r>
      <w:r>
        <w:rPr>
          <w:rFonts w:ascii="Times New Roman" w:hAnsi="Times New Roman" w:eastAsia="黑体" w:cs="Times New Roman"/>
          <w:sz w:val="32"/>
          <w:szCs w:val="32"/>
        </w:rPr>
        <w:t>防控和管理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（一）矿山企业。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厂区出入口登记与管理。对进出厂区的员工进行体温检测，发现体温异常人员立即将其转移至临时隔离区域，并按相关规定进行处置。加强外来人员登记与管理，尽可能减少不必要的外来人员进入；确需进入厂区的，需询问单位、健康状况、接触疫情发生地区人员等情况，体温检测符合要求并佩戴口罩，方可入厂。</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7.井工矿防控管理。按照采矿、掘进等不同工序作业特点，采取错时上下班制，合理分流，有效避免人员集中出入井。</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分时段、分批次乘坐罐笼、人车、架空乘人装置(猴车)和无轨胶轮车等运输工具，罐笼、人车和无轨胶轮车设定乘坐人数上限并分散乘坐，架空乘人装置(猴车)加大间距。</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缩短班前会时间，会议室保证通风良好，参会人员必须佩戴口罩，增大座位间隔。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采矿过程中如打眼、支护、瓦斯抽采等作业应当避免人员聚集，工作面回风侧应当尽量减少作业人员数量和工作时间。</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合理组织安排班中餐，确保分时段、分区域、分批次就餐。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在安全允许的条件下，使用有效的消毒剂（禁止使用酒精）每天定时对主要通风机、局部通风机、巷道路面、硐室和运输工具进行消毒处理。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井下作业前应当对频繁接触的设备设施和劳动工具等进行消毒。出井口设置洗手池，配备必要的洗消用品。人员出井交还的矿灯、自救器、人员定位卡等应当消毒后再归还。</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更衣洗澡分时段、分批次进行，应当使用淋浴，洗澡时增加与其他人距离，洗澡更衣后尽快离开。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8.露天矿防控管理。穿孔、装载、运输作业优先使用机械化、自动化程度高、带空调驾驶室的设备，司机换岗时应当对驾驶室进行消毒处理。车辆进出时，门卫室值班员和司机应当避免不必要的接触。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9.其他矿山开采防控管理。针对有多人操作的设备，应当定时对操作按钮、把手等人员接触频次高的物体或部件表面进行消毒，允许佩戴手套操作的岗位，员工尽量佩戴手套进行操作。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（二）制造业以及电力、热力、燃气及水生产和供应企业。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厂区出入口登记与管理。对进出厂区的员工进行体温检测，发现体温异常人员立即将其转移至临时隔离区域，并按相关规定进行处置。加强外来人员登记与管理，尽可能减少不必要的外来人员进入；确需进入厂区的，需询问单位、健康状况、接触疫情发生地区人员等情况，体温检测符合要求并佩戴口罩，方可入厂。</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11.工作场所清洁和消毒。保持工作环境整洁卫生，定期消毒。做好工作场所物体表面的清洁消毒，应当对操作按钮、把手等人员接触频次高的物体或部件表面定时消毒。操作岗位允许佩戴手套的，员工尽量佩戴手套进行操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12.工作场所通风换气。工作场所应当加强通风换气，保持室内空气流通，在工艺允许的情况下首选自然通风，在自然通风不能满足要求的情况下，辅以机械通风。采用机械通风的厂房，应当保证充足的新风输入，人均新风量应当≥30m3/h。使用中央空调通风时，要按照《新型冠状病毒肺炎流行期间办公场所和公共场所空调通风系统运行管理指南》对空调系统进行管理，定期对空调系统进行清洗，对空调回风口过滤网进行消毒。采用全新风模式时关闭回风系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（三）建筑施工企业。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13.实施封闭式管理。对建筑施工项目严格实施全封闭式管理，实行进出场登记和体温检测，24小时设岗。生活区远离工地的工程项目，鼓励专车接送员工。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14.减少人员聚集。控制活动单元人数，分散开展班前教育、技术交底等活动。优化工序衔接，控制施工现场不同作业队伍人员流动，减少人员聚集。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15.优化施工工艺。应当采用先进工艺技术，实现“机械化换人、自动化减人”。施工设备、试验器具等应当由专人使用，原则上“一人一机”，轮流使用的，要做好消毒处理。</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四、</w:t>
      </w:r>
      <w:r>
        <w:rPr>
          <w:rFonts w:ascii="黑体" w:hAnsi="黑体" w:eastAsia="黑体" w:cs="黑体"/>
          <w:sz w:val="32"/>
          <w:szCs w:val="32"/>
        </w:rPr>
        <w:t>公共区域疫情防控和管理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16.会议管理。控制会议频次和规模，尽量缩短会议时间。提倡采用视频、电话等线上会议。必须集中召开的会议，参会人员需做好个人防护。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17.就餐管理。员工食堂应当设置洗手设施和配备消毒用品，供就餐人员洗手消毒。做好炊具餐具消毒工作，不具备消毒条件的要使用一次性餐具，采取分餐、错峰用餐等措施，减少人员聚集，用餐时避免面对面就坐，不与他人交谈。</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18.宿舍管理。员工宿舍应当严控入住人数，设置可开启窗户，定时通风，对通风不畅的宿舍应当安装排风扇等机械通风设备。盥洗室配设洗手池和消毒用品，定时清洁。</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19.清洁消毒。安排专人对办公区域、会议场所、生活设施及其他人员活动场所和相关物品定时消毒，电梯按钮、门把手等频繁接触部位应当适当增加消毒次数。</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20.做好医务服务。设立医务室的企业要调配必要的药物和防护物资，配合疾控部门规范开展隔离观察和追踪管理。未设立医务室的企业要与就近医疗机构建立联系，确保员工及时得到救治或医疗服务。关心关爱员工心理健康，及时疏解员工心理压力。</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21.垃圾收集处理。在公共区域设置口罩专用回收箱，加强垃圾箱清洁，定期进行消毒处理。加强垃圾分类管理，及时收集并清运。</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五、指导员工做好个人防护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22.强化宣传教育。企业应当对员工进行疫情防控教育，让员工掌握正确佩戴口罩、清洁消毒等防护知识，增强自我防护意识。在厂区和生活区显著位置张贴卫生防疫宣传海报挂图等宣传品。</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23.加强个人防护。员工在进入厂区或施工现场后应当全程佩戴符合要求的口罩。接触粉尘的工作场所应当优先选用KN95/N95及以上可更换滤棉式半面罩、全面罩，定期消毒，更换滤芯，使用过程中应当有效防止因喷雾、水幕、湿式作业淋湿滤芯而降低防护性能。接触化学毒物的劳动者，除配备与职业病危害因素相适应的防毒面具（含滤毒盒）外，还应当根据工作场所人员情况，选配具有防颗粒功能的滤棉。在宿舍、食堂、澡堂、地面值班室、办公室、休息室等区域可佩戴一次性医用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24.保持良好卫生习惯。加强手部卫生，尤其是在佩戴和摘除口罩/面具、更换滤棉后，应当及时洗手。现场没有洗手设施时，可使用免洗消毒用品进行消毒。打喷嚏或咳嗽时要用纸巾、手绢、衣袖等遮挡，倡导合理膳食、适量运动、规律作息等健康生活方式。</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25.加强班后活动管理。休息期间，员工要减少不必要外出，避免去人群聚集尤其是空气流动性差的场所，不得聚集聊天、打牌等，降低聚集感染风险。</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六、</w:t>
      </w:r>
      <w:r>
        <w:rPr>
          <w:rFonts w:ascii="黑体" w:hAnsi="黑体" w:eastAsia="黑体" w:cs="黑体"/>
          <w:sz w:val="32"/>
          <w:szCs w:val="32"/>
        </w:rPr>
        <w:t>做好异常情况处置与报告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26.设立隔离观察区域。当员工出现可疑症状时，应当及时到该区域进行暂时隔离，并报告当地疾控部门，按照相关规范要求及时安排员工就近就医。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27.封闭相关区域并进行消毒。发现可疑症状员工后，立即隔离其工作岗位和宿舍，并根据医学观察情况进一步封闭其所在工作场所以及员工宿舍等生活场所，严禁无关人员进入，同时在专业人员指导下对其活动场所及使用物品进行消毒。配合有关方面做好密切接触者防控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28.做好发现病例后的应对处置。企业一旦发现病例，要实施内防扩散、外防输出的防控措施，配合有关部门开展流行病学调查、密切接触者追踪管理、疫点消毒等工作。根据疫情严重程度，暂时关闭工作场所，待疫情得到控制后再恢复生产。</w:t>
      </w:r>
    </w:p>
    <w:p>
      <w:pPr>
        <w:wordWrap/>
        <w:spacing w:line="560" w:lineRule="exact"/>
        <w:textAlignment w:val="auto"/>
        <w:outlineLvl w:val="9"/>
        <w:rPr>
          <w:rFonts w:ascii="Calibri" w:hAnsi="Calibri" w:eastAsia="仿宋_GB2312" w:cs="Times New Roman"/>
          <w:sz w:val="32"/>
        </w:rPr>
      </w:pP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附件7</w:t>
      </w:r>
    </w:p>
    <w:p>
      <w:pPr>
        <w:widowControl w:val="0"/>
        <w:wordWrap/>
        <w:adjustRightInd/>
        <w:snapToGrid/>
        <w:spacing w:line="560" w:lineRule="exact"/>
        <w:jc w:val="both"/>
        <w:textAlignment w:val="auto"/>
        <w:outlineLvl w:val="9"/>
        <w:rPr>
          <w:rFonts w:hint="eastAsia" w:ascii="宋体" w:hAnsi="宋体" w:eastAsia="宋体" w:cs="宋体"/>
          <w:color w:val="auto"/>
          <w:sz w:val="44"/>
          <w:szCs w:val="44"/>
        </w:rPr>
      </w:pP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商场、超市等场所新冠肺炎防控技术方案</w:t>
      </w:r>
    </w:p>
    <w:p>
      <w:pPr>
        <w:widowControl/>
        <w:wordWrap/>
        <w:spacing w:line="560" w:lineRule="exact"/>
        <w:ind w:firstLine="640" w:firstLineChars="200"/>
        <w:textAlignment w:val="auto"/>
        <w:outlineLvl w:val="9"/>
        <w:rPr>
          <w:rFonts w:hint="eastAsia" w:ascii="黑体" w:hAnsi="宋体" w:eastAsia="黑体" w:cs="黑体"/>
          <w:kern w:val="0"/>
          <w:sz w:val="32"/>
          <w:szCs w:val="32"/>
        </w:rPr>
      </w:pPr>
    </w:p>
    <w:p>
      <w:pPr>
        <w:widowControl/>
        <w:wordWrap/>
        <w:spacing w:line="560" w:lineRule="exact"/>
        <w:ind w:firstLine="640" w:firstLineChars="200"/>
        <w:textAlignment w:val="auto"/>
        <w:outlineLvl w:val="9"/>
        <w:rPr>
          <w:rFonts w:ascii="黑体" w:hAnsi="宋体" w:eastAsia="黑体" w:cs="黑体"/>
          <w:kern w:val="0"/>
          <w:sz w:val="32"/>
          <w:szCs w:val="32"/>
        </w:rPr>
      </w:pPr>
      <w:r>
        <w:rPr>
          <w:rFonts w:hint="eastAsia" w:ascii="黑体" w:hAnsi="宋体" w:eastAsia="黑体" w:cs="黑体"/>
          <w:kern w:val="0"/>
          <w:sz w:val="32"/>
          <w:szCs w:val="32"/>
        </w:rPr>
        <w:t>一、恢复营业前准备</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（一）落实主体责任。商场、超市等负责人是疫情防控第一责任人，制定应急预案，明确相关人员工作职责，做好员工信息采集工作。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（二）场内保洁清理。营业前打开门窗，加强通风。清理场所内积存的杂物垃圾，做到卫生无死角。有条件的，可对集中空调系统进行预防性清洗消毒。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（三）复岗人员培训。对负责体温检测、消毒液配制、防控知识宣教、应急隔离区管理的人员开展专业知识培训。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（四）防控物资配备。提前采购足够的口罩、消毒剂、洗手液、速干手消毒剂、体温计等防控物资。 </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（五）设置防控区域。在场所内明确标示体温检测区、应急隔离区、防控物资储备区、垃圾处理区等关键区域。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（六）掌握应急措施。提前了解当地定点收治医院，确保发现从业人员出现疑似症状时能及时送院诊治。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黑体" w:hAnsi="宋体" w:eastAsia="黑体" w:cs="黑体"/>
          <w:kern w:val="0"/>
          <w:sz w:val="32"/>
          <w:szCs w:val="32"/>
        </w:rPr>
        <w:t>二、营业中卫生管理</w:t>
      </w:r>
      <w:r>
        <w:rPr>
          <w:rFonts w:ascii="黑体" w:hAnsi="宋体" w:eastAsia="黑体" w:cs="黑体"/>
          <w:kern w:val="0"/>
          <w:sz w:val="32"/>
          <w:szCs w:val="32"/>
        </w:rPr>
        <w:br w:type="textWrapping"/>
      </w:r>
      <w:r>
        <w:rPr>
          <w:rFonts w:hint="eastAsia" w:ascii="楷体" w:hAnsi="楷体" w:eastAsia="楷体" w:cs="楷体"/>
          <w:kern w:val="0"/>
          <w:sz w:val="32"/>
          <w:szCs w:val="32"/>
        </w:rPr>
        <w:t xml:space="preserve">   </w:t>
      </w:r>
      <w:r>
        <w:rPr>
          <w:rFonts w:hint="eastAsia" w:ascii="仿宋" w:hAnsi="仿宋" w:eastAsia="仿宋" w:cs="仿宋"/>
          <w:sz w:val="32"/>
          <w:szCs w:val="32"/>
        </w:rPr>
        <w:t xml:space="preserve"> （一）实施人员体温检测。应当在经营场所门口设置专人对每位上岗员工和顾客测量体温，体温正常方可进入。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加强室内通风。加强室内空气流通，首选自然通风，尽可能打开门窗通风换气。运行的空调通风系统应当每周对开放式冷却塔、过滤网、过滤器、净化器、新风口、空气处理机组、表冷器、加热（湿）器、冷凝水盘等设备部件进行清洗、消毒或更换。空调通风系统需关闭回风系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（三）合理使用电梯。限制每次乘坐电梯的人数，乘梯时相互之间注意保持适当距离。尽量减少乘坐厢式电梯，低楼层购物推荐走安全通道，较高楼层优先使用扶梯并尽量避免与扶手直接接触。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（四）缩短顾客等候时间。应当控制高峰时期客流量，通过管控分流减少同时进入顾客人数。物品尽量提前包装标价，便于顾客直接结算。推荐顾客自助购物、自助结算，尽量减少排队时间。</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（五）卫生间保洁。使用卫生间时，应当打开排气扇。使用完毕后，应当盖上马桶盖再冲水。卫生间下水管存水弯应当维持一定的水封高度。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（六）垃圾清运处理。每天产生的垃圾应当在专门垃圾处理区域内分类管理、定点暂放、及时清理。垃圾暂存地周围应当保持清洁，每天至少进行一次消毒。</w:t>
      </w:r>
    </w:p>
    <w:p>
      <w:pPr>
        <w:widowControl/>
        <w:wordWrap/>
        <w:spacing w:line="560" w:lineRule="exact"/>
        <w:ind w:firstLine="640" w:firstLineChars="200"/>
        <w:textAlignment w:val="auto"/>
        <w:outlineLvl w:val="9"/>
        <w:rPr>
          <w:rFonts w:ascii="黑体" w:hAnsi="宋体" w:eastAsia="黑体" w:cs="黑体"/>
          <w:kern w:val="0"/>
          <w:sz w:val="32"/>
          <w:szCs w:val="32"/>
        </w:rPr>
      </w:pPr>
      <w:r>
        <w:rPr>
          <w:rFonts w:hint="eastAsia" w:ascii="黑体" w:hAnsi="黑体" w:eastAsia="黑体" w:cs="楷体"/>
          <w:kern w:val="0"/>
          <w:sz w:val="32"/>
          <w:szCs w:val="32"/>
        </w:rPr>
        <w:t>三、清洁与消毒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一）物体表面清洁消毒。应当保持环境整洁卫生，每天定期消毒，并做好清洁消毒记录。对高频接触的物体表面（如收银台、柜台、休息区、服务台、游戏机、电梯间按钮、扶手、门把手、公共桌椅座椅、购物篮、购物车、临时物品存储柜等），可用含有效氯250-500mg/L的含氯消毒剂进行擦拭。  </w:t>
      </w:r>
    </w:p>
    <w:p>
      <w:pPr>
        <w:widowControl/>
        <w:wordWrap/>
        <w:autoSpaceDE w:val="0"/>
        <w:adjustRightInd w:val="0"/>
        <w:snapToGrid w:val="0"/>
        <w:spacing w:line="560" w:lineRule="exact"/>
        <w:ind w:firstLine="640" w:firstLineChars="200"/>
        <w:textAlignment w:val="auto"/>
        <w:outlineLvl w:val="9"/>
        <w:rPr>
          <w:rFonts w:hint="eastAsia" w:ascii="Times New Roman" w:hAnsi="Times New Roman" w:eastAsia="仿宋_GB2312" w:cs="Times New Roman"/>
          <w:sz w:val="32"/>
          <w:szCs w:val="32"/>
        </w:rPr>
      </w:pPr>
      <w:r>
        <w:rPr>
          <w:rFonts w:hint="eastAsia" w:ascii="仿宋" w:hAnsi="仿宋" w:eastAsia="仿宋" w:cs="仿宋"/>
          <w:sz w:val="32"/>
          <w:szCs w:val="32"/>
        </w:rPr>
        <w:t>建议每天至少在营业前和结束后各消毒一次，可根据客流量情况适当增加消毒次数。</w:t>
      </w:r>
      <w:r>
        <w:rPr>
          <w:rFonts w:hint="eastAsia" w:ascii="仿宋" w:hAnsi="仿宋" w:eastAsia="仿宋" w:cs="仿宋"/>
          <w:sz w:val="32"/>
          <w:szCs w:val="32"/>
        </w:rPr>
        <w:br w:type="textWrapping"/>
      </w:r>
      <w:r>
        <w:rPr>
          <w:rFonts w:hint="eastAsia" w:ascii="仿宋" w:hAnsi="仿宋" w:eastAsia="仿宋" w:cs="仿宋"/>
          <w:sz w:val="32"/>
          <w:szCs w:val="32"/>
        </w:rPr>
        <w:t xml:space="preserve">    （二）垃圾桶消毒。可定期对垃圾桶等垃圾盛放容器进行清洁消毒处理。可用有效氯500mg/L的含氯消毒剂进行擦拭，也可采用消毒湿巾进行擦拭。</w:t>
      </w:r>
      <w:r>
        <w:rPr>
          <w:rFonts w:hint="eastAsia" w:ascii="仿宋" w:hAnsi="仿宋" w:eastAsia="仿宋" w:cs="仿宋"/>
          <w:sz w:val="32"/>
          <w:szCs w:val="32"/>
        </w:rPr>
        <w:br w:type="textWrapping"/>
      </w:r>
      <w:r>
        <w:rPr>
          <w:rFonts w:hint="eastAsia" w:ascii="仿宋" w:hAnsi="仿宋" w:eastAsia="仿宋" w:cs="仿宋"/>
          <w:sz w:val="32"/>
          <w:szCs w:val="32"/>
        </w:rPr>
        <w:t xml:space="preserve">    （三）卫生洁具消毒。卫生洁具可用有效氯500mg/L的含氯消毒剂擦拭消毒，作用30分钟后，清水冲洗干净。</w:t>
      </w:r>
      <w:r>
        <w:rPr>
          <w:rFonts w:hint="eastAsia" w:ascii="仿宋" w:hAnsi="仿宋" w:eastAsia="仿宋" w:cs="仿宋"/>
          <w:sz w:val="32"/>
          <w:szCs w:val="32"/>
        </w:rPr>
        <w:br w:type="textWrapping"/>
      </w:r>
      <w:r>
        <w:rPr>
          <w:rFonts w:hint="eastAsia" w:ascii="仿宋" w:hAnsi="仿宋" w:eastAsia="仿宋" w:cs="仿宋"/>
          <w:sz w:val="32"/>
          <w:szCs w:val="32"/>
        </w:rPr>
        <w:t xml:space="preserve">    （四）工作服消毒。定期更换工作服；可用流通蒸汽或煮沸消毒30分钟，或先用500mg/L的含氯消毒液浸泡30分钟，然后常规清洗。</w:t>
      </w:r>
      <w:r>
        <w:rPr>
          <w:rFonts w:hint="eastAsia" w:ascii="仿宋" w:hAnsi="仿宋" w:eastAsia="仿宋" w:cs="仿宋"/>
          <w:sz w:val="32"/>
          <w:szCs w:val="32"/>
        </w:rPr>
        <w:br w:type="textWrapping"/>
      </w:r>
      <w:r>
        <w:rPr>
          <w:rFonts w:hint="eastAsia" w:ascii="仿宋" w:hAnsi="仿宋" w:eastAsia="仿宋" w:cs="仿宋"/>
          <w:sz w:val="32"/>
          <w:szCs w:val="32"/>
        </w:rPr>
        <w:t xml:space="preserve">    （五）方便顾客洗手。确保经营场所内洗手设施运行正常，在问询台和收银台等处配备速干手消毒剂。有条件时可配备感应式手消毒设施。</w:t>
      </w:r>
      <w:r>
        <w:rPr>
          <w:rFonts w:hint="eastAsia" w:ascii="Times New Roman" w:hAnsi="Times New Roman" w:eastAsia="仿宋_GB2312" w:cs="Times New Roman"/>
          <w:sz w:val="32"/>
          <w:szCs w:val="32"/>
        </w:rPr>
        <w:t xml:space="preserve"> </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黑体" w:hAnsi="宋体" w:eastAsia="黑体" w:cs="黑体"/>
          <w:kern w:val="0"/>
          <w:sz w:val="32"/>
          <w:szCs w:val="32"/>
        </w:rPr>
        <w:t>四、人员防护</w:t>
      </w:r>
      <w:r>
        <w:rPr>
          <w:rFonts w:ascii="黑体" w:hAnsi="宋体" w:eastAsia="黑体" w:cs="黑体"/>
          <w:kern w:val="0"/>
          <w:sz w:val="32"/>
          <w:szCs w:val="32"/>
        </w:rPr>
        <w:br w:type="textWrapping"/>
      </w:r>
      <w:r>
        <w:rPr>
          <w:rFonts w:hint="eastAsia" w:ascii="仿宋" w:hAnsi="仿宋" w:eastAsia="仿宋" w:cs="仿宋"/>
          <w:kern w:val="0"/>
          <w:sz w:val="32"/>
          <w:szCs w:val="32"/>
        </w:rPr>
        <w:t xml:space="preserve">    </w:t>
      </w:r>
      <w:r>
        <w:rPr>
          <w:rFonts w:hint="eastAsia" w:ascii="仿宋" w:hAnsi="仿宋" w:eastAsia="仿宋" w:cs="仿宋"/>
          <w:sz w:val="32"/>
          <w:szCs w:val="32"/>
        </w:rPr>
        <w:t>（一）佩戴口罩。从业人员在岗时应当佩戴防护口罩。顾客也要佩戴口罩。从业人员与顾客服务交流时宜保持一定距离和避免直接接触。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（二）注意手卫生。工作人员在上岗期间应当经常洗手，可用有效的含醇速干手消毒剂。特殊条件下，也可使用含氯或过氧化氢手消毒剂。有肉眼可见污染物时，应当使用洗手液在流动水下洗手。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（三）员工错时就餐。员工用餐场所应当保持通风换气，员工应当采取错峰、打包的方式就餐。加强公用餐（饮）具的清洁消毒，餐（饮）具应当一人一具一用一消毒，每日对餐桌椅及地面进行清洁和消毒。</w:t>
      </w:r>
    </w:p>
    <w:p>
      <w:pPr>
        <w:widowControl/>
        <w:wordWrap/>
        <w:spacing w:line="560" w:lineRule="exact"/>
        <w:ind w:firstLine="640" w:firstLineChars="200"/>
        <w:textAlignment w:val="auto"/>
        <w:outlineLvl w:val="9"/>
        <w:rPr>
          <w:rFonts w:ascii="黑体" w:hAnsi="黑体" w:eastAsia="黑体" w:cs="楷体"/>
          <w:kern w:val="0"/>
          <w:sz w:val="32"/>
          <w:szCs w:val="32"/>
        </w:rPr>
      </w:pPr>
      <w:r>
        <w:rPr>
          <w:rFonts w:hint="eastAsia" w:ascii="黑体" w:hAnsi="黑体" w:eastAsia="黑体" w:cs="楷体"/>
          <w:kern w:val="0"/>
          <w:sz w:val="32"/>
          <w:szCs w:val="32"/>
        </w:rPr>
        <w:t>五、疫情应对</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（一）设置应急区域。可在经营场所内设立应急区域；当出现疑似症状人员时，及时到该区域进行暂时隔离，再按照相关规定处理。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（二）加强健康监测。员工在岗期间注意自身健康状况监测，按照“早发现、早报告、早隔离、早治疗”的原则做好自我管理。经营单位应当合理安排员工轮休。</w:t>
      </w:r>
    </w:p>
    <w:p>
      <w:pPr>
        <w:widowControl/>
        <w:wordWrap/>
        <w:autoSpaceDE w:val="0"/>
        <w:adjustRightInd w:val="0"/>
        <w:snapToGrid w:val="0"/>
        <w:spacing w:line="560" w:lineRule="exact"/>
        <w:ind w:firstLine="640" w:firstLineChars="200"/>
        <w:textAlignment w:val="auto"/>
        <w:outlineLvl w:val="9"/>
        <w:rPr>
          <w:rFonts w:ascii="仿宋_GB2312" w:hAnsi="Calibri" w:eastAsia="仿宋_GB2312" w:cs="Times New Roman"/>
          <w:kern w:val="2"/>
          <w:sz w:val="28"/>
          <w:szCs w:val="24"/>
          <w:lang w:val="en-US" w:eastAsia="zh-CN" w:bidi="ar-SA"/>
        </w:rPr>
      </w:pPr>
      <w:r>
        <w:rPr>
          <w:rFonts w:hint="eastAsia" w:ascii="仿宋" w:hAnsi="仿宋" w:eastAsia="仿宋" w:cs="仿宋"/>
          <w:sz w:val="32"/>
          <w:szCs w:val="32"/>
        </w:rPr>
        <w:t>（三）出现疑似病例应对。当员工出现发热、乏力、干咳等可疑症状时，要及时安排就近就医，在专业人员指导下对其工作活动场所及使用的物品进行消毒处理。经营场所须及时向相关部门报告，在专业人员指导下对密切接触者开展排查，实施隔离观察。</w:t>
      </w: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ordWrap/>
        <w:spacing w:line="560" w:lineRule="exact"/>
        <w:textAlignment w:val="auto"/>
        <w:outlineLvl w:val="9"/>
        <w:rPr>
          <w:rFonts w:ascii="Calibri" w:hAnsi="Calibri" w:eastAsia="仿宋_GB2312" w:cs="Times New Roman"/>
          <w:sz w:val="32"/>
        </w:rPr>
      </w:pP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附件8</w:t>
      </w:r>
    </w:p>
    <w:p>
      <w:pPr>
        <w:widowControl/>
        <w:wordWrap/>
        <w:adjustRightInd w:val="0"/>
        <w:snapToGrid w:val="0"/>
        <w:spacing w:line="560" w:lineRule="exact"/>
        <w:jc w:val="center"/>
        <w:textAlignment w:val="auto"/>
        <w:outlineLvl w:val="9"/>
        <w:rPr>
          <w:rFonts w:hint="eastAsia" w:ascii="宋体" w:hAnsi="宋体" w:eastAsia="宋体" w:cs="宋体"/>
          <w:b w:val="0"/>
          <w:bCs w:val="0"/>
          <w:kern w:val="0"/>
          <w:sz w:val="44"/>
          <w:szCs w:val="44"/>
        </w:rPr>
      </w:pPr>
    </w:p>
    <w:p>
      <w:pPr>
        <w:widowControl/>
        <w:wordWrap/>
        <w:adjustRightInd w:val="0"/>
        <w:snapToGrid w:val="0"/>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客运场站及交通运输工具新冠肺炎</w:t>
      </w:r>
    </w:p>
    <w:p>
      <w:pPr>
        <w:widowControl/>
        <w:wordWrap/>
        <w:adjustRightInd w:val="0"/>
        <w:snapToGrid w:val="0"/>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防控技术方案</w:t>
      </w:r>
    </w:p>
    <w:p>
      <w:pPr>
        <w:wordWrap/>
        <w:spacing w:line="560" w:lineRule="exact"/>
        <w:textAlignment w:val="auto"/>
        <w:outlineLvl w:val="9"/>
        <w:rPr>
          <w:rFonts w:ascii="Times New Roman" w:hAnsi="Times New Roman" w:eastAsia="仿宋" w:cs="Times New Roman"/>
          <w:b/>
          <w:sz w:val="28"/>
          <w:szCs w:val="28"/>
        </w:rPr>
      </w:pPr>
    </w:p>
    <w:p>
      <w:pPr>
        <w:wordWrap/>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一、运前准备工作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（一）做好物资保障。做好交通运输工具的检测维护，保证运力充足，优先选择安全技术状况良好的交通运输工具投入运营。为客运站场、交通运输工具工作人员配备消毒剂、手持体温检测仪。</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（二）强化人员培训。加强客运场站、交通运输工具消毒、通风等操作规程和疫情防控措施的培训，提升一线从业人员疫情防控和应急处置能力。</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做好乘客信息登记。对乘坐三类以上客运班线和客运包车、实行实名制管理的客运船舶、飞机等出行的乘客，相关交通运输经营者应当通过购票环节申报和扫描二维码网上申报等方式，采集乘客身份证件类型及号码、联系电话等信息。</w:t>
      </w:r>
    </w:p>
    <w:p>
      <w:pPr>
        <w:wordWrap/>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二、运行中卫生管理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（一）铁路。</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通过售票控制乘客数量，尽可能安排乘客隔位、分散就坐。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2.在火车站增加体温测量设备，对进出站乘客进行体温检测，高于37.3℃的乘客</w:t>
      </w:r>
      <w:bookmarkStart w:id="383" w:name="_Hlk31528189"/>
      <w:r>
        <w:rPr>
          <w:rFonts w:hint="eastAsia" w:ascii="仿宋" w:hAnsi="仿宋" w:eastAsia="仿宋" w:cs="仿宋"/>
          <w:sz w:val="32"/>
          <w:szCs w:val="32"/>
        </w:rPr>
        <w:t>应当在应急区域进行暂时隔离，</w:t>
      </w:r>
      <w:bookmarkEnd w:id="383"/>
      <w:r>
        <w:rPr>
          <w:rFonts w:hint="eastAsia" w:ascii="仿宋" w:hAnsi="仿宋" w:eastAsia="仿宋" w:cs="仿宋"/>
          <w:sz w:val="32"/>
          <w:szCs w:val="32"/>
        </w:rPr>
        <w:t>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增加候车室和旅客列车卫生间等公用设施清洗消毒频次，有条件时配备速干手消毒剂、感应式手消毒设施。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旅客列车载客前应当对车厢进行清洁消毒。座椅套等纺织物应当保持清洁，并定期洗涤、消毒处理。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保障候车室和旅客列车车厢空调系统正常，以最大新风量运行。</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乘客、乘务员佩戴口罩，乘客保持安静、减少交流，打喷嚏时用纸巾遮住口鼻，或采用肘臂遮挡等。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旅客列车宜配备手持体温检测仪、在适当位置设立应急区域，临时隔离出现发热、干呕等症状乘客。</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 旅客列车宜配备消毒剂，乘客呕吐时，采用消毒剂对呕吐物进行覆盖消毒，清除呕吐物并使用消毒剂进行物体表面消毒处理。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 在车站电子屏、旅客列车车厢滚动电子屏和广播等开展卫生防护知识宣传。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（二）道路客运。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合理组织运力，通过售票、包车团组人数限制，控制乘客数量，尽可能安排乘客隔位、分散就坐。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在汽车客运站增加体温测量设备，对进出站乘客进行体温检测，具备条件的汽车客运站设置应急区域，高于37.3℃的乘客应当在应急区域进行暂时隔离，再按照其他相关规范要求进行处理。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增加车站公用设施和公共区域的消毒频次，卫生间和洗手池配备消毒液。</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车辆每次出行载客前应当对车厢进行清洁消毒。座椅套等纺织物应当保持清洁，并定期洗涤、消毒处理。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在自然气温、行驶速度等条件允许的情况下，尽量关闭车内空调，开窗通风。若使用空调系统，应当增加清洗消毒频次。适当提高进入服务区停车休息的频次，对客车进行通风换气。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乘客、乘务员和驾驶员佩戴口罩，乘客保持安静、减少交流，打喷嚏时用纸巾遮住口鼻，或采用肘臂遮挡等。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三类以上客运班线客车和客运包车宜配备手持体温检测仪，将车厢后两排设置为应急区域，使用简易窗帘（盖布）遮挡，临时隔离出现发热、干呕等症状乘客。</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 三类以上客运班线客车和客运包车宜配备消毒剂，乘客呕吐时，采用消毒剂对呕吐物进行覆盖消毒，清除呕吐物并使用消毒剂进行物体表面消毒处理。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 在汽车客运站和客运车辆上通过广播、视频、海报等开展卫生防护知识宣传。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（三）水路客运。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合理组织运力，通过售票控制乘客数量，尽可能安排乘客隔位、分散就坐。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在客运码头增加体温测量设备，对进出站乘客进行体温检测，具备条件的客运码头设置应急区域，高于37.3℃的乘客应当在应急区域进行暂时隔离，再按照其他相关规范要求进行处理。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客运码头增加公用设施和公共区域的消毒频次，卫生间和洗手池配备消毒液，保持排风系统正常运行，定期对座椅等公用设施消毒。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有条件的船舶，可在内部咨询台或服务台配备速干手消毒剂；船舶每次出行载客前应当对船舱、驾驶台等重要场所表面进行清洁消毒。座椅套等纺织物应当保持清洁，并定期洗涤、消毒处理。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船舶行驶过程中，应当使用最大通风量；气温适合的，建议船舱开窗通风，保持室内空气流通。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乘客、船舶工作人员佩戴口罩，乘客保持安静、减少交流，打喷嚏时用纸巾遮住口鼻，或采用肘臂遮挡等。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优化服务流程，简化餐食供应。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 船舶宜配备手持体温检测仪，在适当位置设立应急区域，临时隔离出现发热、干呕等症状乘客。</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 船舶宜配备消毒剂，乘客呕吐时，采用消毒剂对呕吐物进行覆盖消毒，清除呕吐物并使用消毒剂进行物体表面消毒处理。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 在客运码头和船舶上通过广播、视频、海报等开展卫生防护知识宣传。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（四）民航。</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如条件允许，在乘客值机时，安排乘客隔位、分散就坐。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在机场增加体温测量设备，对进出港乘客进行体温检测，高于37.3℃的乘客应当在应急区域进行暂时隔离，再按照其他相关规范要求进行处理。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在值机柜台配备速干手消毒剂。</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增加客舱乘客经常接触的客舱内物体表面、盥洗室等公用设施擦拭清洁消毒频次。座椅套等纺织物应当保持清洁，并定期洗涤、消毒处理。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检修保障候机厅和机舱空调系统正常，加强空气流通。航空器飞行过程中，在保障安全的前提下，加强通风；地面运行期间，使用APU系统的气源进行通气。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客舱乘务员佩戴口罩，可携带含醇类消毒湿巾。乘客佩戴口罩，保持安静、减少交流，打喷嚏时用纸巾遮住口鼻，或采用肘臂遮挡等。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通过控制登机时间减少乘客在客舱等待时间。优化服务流程，简化餐食供应。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8. 机舱宜配备手持体温检测仪、在后舱设置应急区域，临时隔离出现发热、干呕等症状乘客。条件允许时，对发热乘客原座位周围前后左右排的乘客配发口罩，并禁止各舱位间人员流动。 </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 对乘客呕吐等状况，必要时使用机载防疫包，按程序进行操作。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 在候站楼电子屏、航空器客舱和座椅后面液晶屏等开展卫生防护知识宣传。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（五）城市公共汽电车。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根据客流情况，合理组织运力，降低车厢拥挤度。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在自然气温、行驶速度等条件允许的情况下，尽量关闭车内空调，开窗通风。若使用空调系统，应当增加清洗消毒频次。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车辆每次出行载客前应当对车厢进行清洁消毒。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乘客、乘务员和驾驶员佩戴口罩，乘客保持安静、减少交流，打喷嚏时用纸巾遮住口鼻，或采用肘臂遮挡等。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车辆宜配备消毒剂，乘客呕吐时，采用消毒剂对呕吐物进行覆盖消毒，清除呕吐物并使用消毒剂进行物体表面消毒处理。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在车厢通过广播、视频、海报等开展卫生防护知识宣传。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（六）城市轨道交通。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根据客流情况，合理组织运力，降低车厢拥挤度。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在城市轨道交通站增加体温测量设备，对进站乘客进行体温检测，高于37.3℃的乘客应当在应急区域进行暂时隔离，再按照其他相关规范要求进行处理。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增加城市轨道交通站公用设施和公共区域的消毒频次，卫生间和洗手池配备消毒液。站厅卫生间等公用设施配备速干手消毒剂，有条件时可配备感应式手消毒设施。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列车每次出行载客前应当对车厢进行清洁消毒。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加强设备巡检，保障站台和列车车厢通风系统正常运行。</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乘客、与乘客接触的城市轨道交通运营服务人员佩戴口罩，乘客保持安静、减少交流，打喷嚏时用纸巾遮住口鼻，或采用肘臂遮挡等。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城市轨道交通站宜配备消毒剂，站内或到站列车上的乘客呕吐时，采用消毒剂对呕吐物进行覆盖消毒，清除呕吐物并使用消毒剂进行物体表面消毒处理。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 在城市轨道交通站厅和列车车厢通过广播、视频、海报等开展卫生防护知识宣传。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（七）出租汽车。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车辆每日出行载客前应当对车辆内部进行清洁消毒。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司机携带含醇类消毒湿巾，增加车门把手等部位的清洗消毒频次。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在自然气温、行驶速度等条件允许的情况下，尽量关闭车内空调，开窗通风。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司机佩戴口罩，提醒车上的乘客佩戴口罩并减少交流，打喷嚏时用纸巾遮住口鼻，或采用肘臂遮挡等。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车辆宜配备消毒剂，乘客呕吐时，采用消毒剂对呕吐物进行覆盖消毒，清除呕吐物并使用消毒剂进行物体表面消毒处理。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ascii="Calibri" w:hAnsi="Calibri" w:eastAsia="仿宋_GB2312" w:cs="Times New Roman"/>
          <w:sz w:val="32"/>
        </w:rPr>
      </w:pPr>
      <w:r>
        <w:rPr>
          <w:rFonts w:hint="eastAsia" w:ascii="仿宋" w:hAnsi="仿宋" w:eastAsia="仿宋" w:cs="仿宋"/>
          <w:sz w:val="32"/>
          <w:szCs w:val="32"/>
        </w:rPr>
        <w:t>6. 通过车载广播、汽车座椅背面张贴宣传海报或提示性标语等方式开展卫生防护知识宣传。</w:t>
      </w: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附件9</w:t>
      </w:r>
    </w:p>
    <w:p>
      <w:pPr>
        <w:wordWrap/>
        <w:autoSpaceDE w:val="0"/>
        <w:autoSpaceDN w:val="0"/>
        <w:spacing w:line="560" w:lineRule="exact"/>
        <w:ind w:left="383" w:right="698"/>
        <w:jc w:val="center"/>
        <w:textAlignment w:val="auto"/>
        <w:outlineLvl w:val="9"/>
        <w:rPr>
          <w:rFonts w:hint="eastAsia" w:ascii="宋体" w:hAnsi="宋体" w:eastAsia="宋体" w:cs="宋体"/>
          <w:b w:val="0"/>
          <w:bCs w:val="0"/>
          <w:kern w:val="0"/>
          <w:sz w:val="44"/>
          <w:szCs w:val="44"/>
        </w:rPr>
      </w:pPr>
    </w:p>
    <w:p>
      <w:pPr>
        <w:wordWrap/>
        <w:autoSpaceDE w:val="0"/>
        <w:autoSpaceDN w:val="0"/>
        <w:spacing w:line="560" w:lineRule="exact"/>
        <w:ind w:left="383" w:right="698"/>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托幼机构新冠肺炎防控技术方案</w:t>
      </w:r>
    </w:p>
    <w:p>
      <w:pPr>
        <w:wordWrap/>
        <w:autoSpaceDE w:val="0"/>
        <w:autoSpaceDN w:val="0"/>
        <w:spacing w:line="560" w:lineRule="exact"/>
        <w:jc w:val="left"/>
        <w:textAlignment w:val="auto"/>
        <w:outlineLvl w:val="9"/>
        <w:rPr>
          <w:rFonts w:ascii="宋体" w:hAnsi="Arial Unicode MS" w:eastAsia="Arial Unicode MS" w:cs="Arial Unicode MS"/>
          <w:b/>
          <w:kern w:val="0"/>
          <w:sz w:val="50"/>
          <w:szCs w:val="31"/>
        </w:rPr>
      </w:pPr>
    </w:p>
    <w:p>
      <w:pPr>
        <w:wordWrap/>
        <w:adjustRightInd w:val="0"/>
        <w:snapToGrid w:val="0"/>
        <w:spacing w:line="560" w:lineRule="exact"/>
        <w:ind w:firstLine="640" w:firstLineChars="200"/>
        <w:textAlignment w:val="auto"/>
        <w:outlineLvl w:val="9"/>
        <w:rPr>
          <w:rFonts w:ascii="黑体" w:hAnsi="黑体" w:eastAsia="黑体" w:cs="黑体"/>
          <w:kern w:val="0"/>
          <w:sz w:val="32"/>
          <w:szCs w:val="32"/>
        </w:rPr>
      </w:pPr>
      <w:r>
        <w:rPr>
          <w:rFonts w:hint="eastAsia" w:ascii="黑体" w:hAnsi="黑体" w:eastAsia="黑体" w:cs="黑体"/>
          <w:kern w:val="0"/>
          <w:sz w:val="32"/>
          <w:szCs w:val="32"/>
        </w:rPr>
        <w:t>一、托幼机构开园前</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制定本园疫情防控工作方案，包括疫情防控工作领导小组、各岗位工作责任制度（第一责任人、各部门、各班级、各老师）、疫情防控工作流程、信息上报流程、家长沟通机制、应急处置预案等，制度明确，责任到人，并进行培训和演练。托幼机构主要负责人是本单位疫情防控第一责任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2.每日了解教职员工及儿童健康情况，实行“日报告”、“零报告”制度，每天根据防控要求向主管部门报告具体情况。</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3.根据上级主管部门要求和最新版新冠肺炎防控方案对全体教职员工进行制度、知识和技能培训。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4.开园前对园区进行卫生清洁和预防性消毒。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5.所有外出的教职员工和儿童，返回居住地后应当居家隔离14天，健康者方可入园。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6.做好防控工作的相关物资储备，准备充足的洗手液、手消毒剂、口罩、手套、酒精、消毒液、体温计、呕吐包、紫外线消毒灯等。</w:t>
      </w:r>
    </w:p>
    <w:p>
      <w:pPr>
        <w:widowControl/>
        <w:wordWrap/>
        <w:autoSpaceDE w:val="0"/>
        <w:adjustRightInd w:val="0"/>
        <w:snapToGrid w:val="0"/>
        <w:spacing w:line="560" w:lineRule="exact"/>
        <w:ind w:firstLine="640" w:firstLineChars="200"/>
        <w:textAlignment w:val="auto"/>
        <w:outlineLvl w:val="9"/>
        <w:rPr>
          <w:rFonts w:ascii="仿宋_GB2312" w:hAnsi="仿宋_GB2312" w:eastAsia="仿宋_GB2312" w:cs="仿宋_GB2312"/>
          <w:kern w:val="0"/>
          <w:sz w:val="32"/>
          <w:szCs w:val="32"/>
        </w:rPr>
      </w:pPr>
      <w:r>
        <w:rPr>
          <w:rFonts w:hint="eastAsia" w:ascii="仿宋" w:hAnsi="仿宋" w:eastAsia="仿宋" w:cs="仿宋"/>
          <w:sz w:val="32"/>
          <w:szCs w:val="32"/>
        </w:rPr>
        <w:t>7.设立（临时）隔离室，位置相对独立，以备人员出现发热等情况时立即进行隔离使用。</w:t>
      </w:r>
    </w:p>
    <w:p>
      <w:pPr>
        <w:wordWrap/>
        <w:adjustRightInd w:val="0"/>
        <w:snapToGrid w:val="0"/>
        <w:spacing w:line="560" w:lineRule="exact"/>
        <w:ind w:firstLine="640" w:firstLineChars="200"/>
        <w:jc w:val="left"/>
        <w:textAlignment w:val="auto"/>
        <w:outlineLvl w:val="9"/>
        <w:rPr>
          <w:rFonts w:ascii="黑体" w:hAnsi="黑体" w:eastAsia="黑体" w:cs="黑体"/>
          <w:kern w:val="0"/>
          <w:sz w:val="32"/>
          <w:szCs w:val="32"/>
        </w:rPr>
      </w:pPr>
      <w:r>
        <w:rPr>
          <w:rFonts w:hint="eastAsia" w:ascii="黑体" w:hAnsi="黑体" w:eastAsia="黑体" w:cs="黑体"/>
          <w:kern w:val="0"/>
          <w:sz w:val="32"/>
          <w:szCs w:val="32"/>
        </w:rPr>
        <w:t>二、托幼机构开园后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8.每日了解教职员工及儿童健康情况，实行“日报告”、“零报告”制度，每天根据防控要求向主管部门报告具体情况。</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9.对各类生活、学习、工作场所（如活动室、睡眠室、盥洗室、教师办公室、音乐室、洗手间等）加强通风换气，每日通风不少于3次，每次不少于30分钟。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10.对园区进行日常消毒。地面和公共区域设施可使用含氯消毒剂（有效氯250mg/L-500mg/L）擦拭，作用30分钟后用清水擦净。公共上课场所（如音乐室、舞蹈室、活动室等）每批学生进入之前都要进行一次消毒。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11.加强物体表面清洁消毒，每天定期消毒并记录。对门把手、水龙头、楼梯扶手、床围栏等高频接触表面，可用有效氯250~500mg/L的含氯消毒剂进行擦拭。每日“三餐两点”前对儿童就餐桌面常规消毒。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12.加强餐（饮）具的清洁消毒，餐（饮）具应当一人一具一消毒。餐（饮）具去残渣、清洗后，煮沸或流通蒸汽消毒15分钟；或采用热力消毒柜等消毒方式；或采用有效氯250mg/L的含氯消毒剂浸泡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13.卫生洁具可用500mg/L的含氯消毒剂浸泡或擦拭消毒，作用30分钟后，清水冲洗干净，晾干待用。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14.加强垃圾分类管理，及时收集清运，并做好垃圾盛装容器的清洁，可用有效氯500mg/L的含氯消毒剂定期对其进行消毒处理。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15.建议教师授课时佩戴医用口罩。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16.教职员工和儿童每天入园时测体温，严格落实儿童晨午晚检和全日观察制度。晨检时工作人员要佩戴口罩和一次性手套。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17.严格落实教职员工及儿童手卫生措施。儿童出现以下情况必须洗手：入园后、进食前、如厕前后、从户外进入室内、接触污渍后、擤鼻涕后、打喷嚏用手遮掩口鼻后、手弄脏后等。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18.严格执行家长接送儿童不入园制度。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19.加强因病缺勤管理。做好缺勤、早退、病事假记录，发现因病缺勤的教职员工和儿童及时进行追访、登记和上报。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20.不宜组织大型集体活动。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21.通过各种形式面向教职员工、儿童和家长开展新冠肺炎预防的宣传教育。教会儿童正确的洗手方法，培养儿童养成良好卫生习惯，咳嗽、打喷嚏时用纸巾、衣袖遮挡口鼻。指导家长在疫情防控期间不带儿童去人员密集和空间密闭场所。</w:t>
      </w:r>
    </w:p>
    <w:p>
      <w:pPr>
        <w:wordWrap/>
        <w:adjustRightInd w:val="0"/>
        <w:snapToGrid w:val="0"/>
        <w:spacing w:line="560" w:lineRule="exact"/>
        <w:ind w:firstLine="640" w:firstLineChars="200"/>
        <w:jc w:val="left"/>
        <w:textAlignment w:val="auto"/>
        <w:outlineLvl w:val="9"/>
        <w:rPr>
          <w:rFonts w:ascii="黑体" w:hAnsi="黑体" w:eastAsia="黑体" w:cs="黑体"/>
          <w:kern w:val="0"/>
          <w:sz w:val="32"/>
          <w:szCs w:val="32"/>
        </w:rPr>
      </w:pPr>
      <w:r>
        <w:rPr>
          <w:rFonts w:hint="eastAsia" w:ascii="黑体" w:hAnsi="黑体" w:eastAsia="黑体" w:cs="黑体"/>
          <w:kern w:val="0"/>
          <w:sz w:val="32"/>
          <w:szCs w:val="32"/>
        </w:rPr>
        <w:t>三、出现疑似感染症状应急处置</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22.教职员工出现发热、干咳、乏力等症状，嘱其立即佩戴口罩去辖区内发热门诊就诊。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23.儿童出现发热、干咳、乏力等症状，应当立即使用（临时）隔离室，对该儿童采取有效的隔离措施，同时通知家长领返，带儿童去辖区内设有儿科发热门诊的医疗机构就诊，并做好防护。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24.对共同生活、学习的一般接触者进行健康风险告知，如出现发热、干咳等呼吸道症状以及腹泻、结膜充血等症状时要及时就医。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25.安排专人负责与接受隔离的教职员工或儿童的家长进行联系，了解教职员工或儿童每日健康状况。</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附件10</w:t>
      </w:r>
    </w:p>
    <w:p>
      <w:pPr>
        <w:wordWrap/>
        <w:autoSpaceDE w:val="0"/>
        <w:autoSpaceDN w:val="0"/>
        <w:spacing w:line="560" w:lineRule="exact"/>
        <w:ind w:left="115"/>
        <w:jc w:val="left"/>
        <w:textAlignment w:val="auto"/>
        <w:outlineLvl w:val="9"/>
        <w:rPr>
          <w:rFonts w:hint="eastAsia" w:ascii="宋体" w:hAnsi="宋体" w:eastAsia="宋体" w:cs="宋体"/>
          <w:b w:val="0"/>
          <w:bCs w:val="0"/>
          <w:kern w:val="0"/>
          <w:sz w:val="44"/>
          <w:szCs w:val="44"/>
        </w:rPr>
      </w:pPr>
    </w:p>
    <w:p>
      <w:pPr>
        <w:wordWrap/>
        <w:autoSpaceDE w:val="0"/>
        <w:autoSpaceDN w:val="0"/>
        <w:spacing w:line="560" w:lineRule="exact"/>
        <w:ind w:left="115"/>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中小学校新冠肺炎防控技术方案</w:t>
      </w: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一、中小学校开学前</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1.学校每日掌握教职员工及学生健康情况，实行“日报告”、“零报告”制度，并向主管部门报告。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2.学校对全体教职员工开展防控制度、个人防护与消毒等知识和技能培训。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3.开学前对学校进行彻底清洁，对物体表面进行预防性消毒处理，教室开窗通风。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4.所有外出或外地的教职员工和学生，返回居住地后应当居家隔离14天后方可返校。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5.做好洗手液、手消毒剂、口罩、手套、消毒剂等防控物资的储备。</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6.设立（临时）隔离室，位置相对独立，以备人员出现发热等症状时立即进行暂时隔离。</w:t>
      </w:r>
    </w:p>
    <w:p>
      <w:pPr>
        <w:widowControl/>
        <w:wordWrap/>
        <w:autoSpaceDE w:val="0"/>
        <w:adjustRightInd w:val="0"/>
        <w:snapToGrid w:val="0"/>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 w:hAnsi="仿宋" w:eastAsia="仿宋" w:cs="仿宋"/>
          <w:sz w:val="32"/>
          <w:szCs w:val="32"/>
        </w:rPr>
        <w:t>7.制定疫情防控应急预案，制度明确，责任到人，并进行培训、演练，校长是本单位疫情防控第一责任人。</w:t>
      </w: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二、中小学校开学后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8.每日掌握教职员工及学生健康情况，加强对学生及教职员工的晨、午检工作，实行“日报告”、“零报告”制度，并向主管部门报告。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9.妥善保管消毒剂，标识明确，避免误食或灼伤。实施消毒处理时，操作人员应当采取有效防护措施。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各类生活、学习、工作场所（如教室、宿舍、图书馆、学生实验室、体育活动场所、餐厅、教师办公室、洗手间等）加强通风换气。每日通风不少于3次，每次不少于30分钟。课间尽量开窗通风，也可采用机械排风。如使用空调，应当保证空调系统供风安全，保证充足的新风输入，所有排风直接排到室外。</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11.加强物体表面清洁消毒。应当保持教室、宿舍、图书馆、餐厅等场所环境整洁卫生，每天定期消毒并记录。对门把手、水龙头、楼梯扶手、宿舍床围栏、室内健身器材等高频接触表面，可用有效氯250～500mg/L的含氯消毒剂进行擦拭，也可采用消毒湿巾进行擦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12.加强餐（饮）具的清洁消毒，餐（饮）具应当一人一具一用一消毒，建议学生自带餐具。餐（饮）具去残渣、清洗后，煮沸或流通蒸汽消毒15分钟；或采用热力消毒柜等消毒方式；或采用有效氯250mg/L的含氯消毒剂浸泡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13.卫生洁具可用有效氯500mg/L的含氯消毒剂浸泡或擦拭消毒，作用30分钟后，清水冲洗干净。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14.确保学校洗手设施运行正常，中小学校每40～45人设一个洗手盆或0.6m长盥洗槽，并备有洗手液、肥皂等，配备速干手消毒剂，有条件时可配备感应式手消毒设施。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15.加强垃圾分类管理，及时收集清运，并做好垃圾盛装容器的清洁，可用有效氯500mg/L的含氯消毒剂定期对其进行消毒处理。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16.建议教师授课时佩戴医用口罩。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17.严格落实教职员工及学生手卫生措施。餐前、便前便后、接触垃圾后、外出归来、使用体育器材、学校电脑等公用物品后、接触动物后、触摸眼睛等“易感”部位之前，接触污染物品之后，均要洗手。洗手时应当采用洗手液或肥皂，在流动水下按照正确洗手法彻底洗净双手，也可使用速干手消毒剂揉搓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18.加强因病缺勤管理。做好缺勤、早退、请假记录，对因病缺勤的教职员工和学生及时追访和上报。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19.不应组织大型集体活动。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20.对教职员工、学生和家长开展个人防护与消毒等防控知识宣传和指导。示范学生正确的洗手方法，培养学生养成良好卫生习惯，咳嗽、打喷嚏时用纸巾、衣袖遮挡口鼻。</w:t>
      </w:r>
    </w:p>
    <w:p>
      <w:pPr>
        <w:wordWrap/>
        <w:adjustRightInd w:val="0"/>
        <w:snapToGrid w:val="0"/>
        <w:spacing w:line="560" w:lineRule="exact"/>
        <w:ind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三、出现疑似感染症状应急处置</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21.教职员工如出现发热、干咳、乏力、鼻塞、流涕、咽痛、腹泻等症状，应当立即上报学校负责人，并及时按规定去定点医院就医。尽量避免乘坐公交、地铁等公共交通工具，前往医院路上和医院内应当全程佩戴医用外科口罩（或其他更高级别的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22.学生如出现发热、干咳、乏力、鼻塞、流涕、咽痛、腹泻等症状，应当及时向学校反馈并采取相应措施。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23.教职员工或学生中如出现新冠肺炎疑似病例，应当立即向辖区疾病预防控制部门报告，并配合相关部门做好密切接触者的管理。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24.对共同生活、学习的一般接触者进行风险告知，如出现发热、干咳等疑似症状时及时就医。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25.专人负责与接受隔离的教职员工或学生的家长联系，掌握其健康状况。</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p>
    <w:p>
      <w:pPr>
        <w:wordWrap/>
        <w:spacing w:line="560" w:lineRule="exact"/>
        <w:textAlignment w:val="auto"/>
        <w:outlineLvl w:val="9"/>
        <w:rPr>
          <w:rFonts w:ascii="Calibri" w:hAnsi="Calibri" w:eastAsia="仿宋_GB2312" w:cs="Times New Roman"/>
          <w:sz w:val="32"/>
        </w:rPr>
      </w:pP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附件11</w:t>
      </w:r>
    </w:p>
    <w:p>
      <w:pPr>
        <w:wordWrap/>
        <w:spacing w:line="560" w:lineRule="exact"/>
        <w:jc w:val="center"/>
        <w:textAlignment w:val="auto"/>
        <w:outlineLvl w:val="9"/>
        <w:rPr>
          <w:rFonts w:hint="eastAsia" w:ascii="宋体" w:hAnsi="宋体" w:eastAsia="宋体" w:cs="宋体"/>
          <w:b w:val="0"/>
          <w:bCs w:val="0"/>
          <w:kern w:val="0"/>
          <w:sz w:val="44"/>
          <w:szCs w:val="44"/>
        </w:rPr>
      </w:pPr>
    </w:p>
    <w:p>
      <w:pPr>
        <w:wordWrap/>
        <w:spacing w:line="560" w:lineRule="exact"/>
        <w:jc w:val="center"/>
        <w:textAlignment w:val="auto"/>
        <w:outlineLvl w:val="9"/>
        <w:rPr>
          <w:rFonts w:hint="eastAsia" w:ascii="宋体" w:hAnsi="宋体" w:eastAsia="宋体" w:cs="宋体"/>
          <w:b w:val="0"/>
          <w:bCs w:val="0"/>
          <w:sz w:val="44"/>
          <w:szCs w:val="44"/>
        </w:rPr>
      </w:pPr>
      <w:r>
        <w:rPr>
          <w:rFonts w:hint="eastAsia" w:ascii="宋体" w:hAnsi="宋体" w:eastAsia="宋体" w:cs="宋体"/>
          <w:b w:val="0"/>
          <w:bCs w:val="0"/>
          <w:kern w:val="0"/>
          <w:sz w:val="44"/>
          <w:szCs w:val="44"/>
        </w:rPr>
        <w:t>大专院校</w:t>
      </w:r>
      <w:r>
        <w:rPr>
          <w:rFonts w:hint="eastAsia" w:ascii="宋体" w:hAnsi="宋体" w:eastAsia="宋体" w:cs="宋体"/>
          <w:b w:val="0"/>
          <w:bCs w:val="0"/>
          <w:sz w:val="44"/>
          <w:szCs w:val="44"/>
        </w:rPr>
        <w:t>新冠肺炎</w:t>
      </w:r>
      <w:r>
        <w:rPr>
          <w:rFonts w:hint="eastAsia" w:ascii="宋体" w:hAnsi="宋体" w:eastAsia="宋体" w:cs="宋体"/>
          <w:b w:val="0"/>
          <w:bCs w:val="0"/>
          <w:kern w:val="0"/>
          <w:sz w:val="44"/>
          <w:szCs w:val="44"/>
        </w:rPr>
        <w:t>防控</w:t>
      </w:r>
      <w:r>
        <w:rPr>
          <w:rFonts w:hint="eastAsia" w:ascii="宋体" w:hAnsi="宋体" w:eastAsia="宋体" w:cs="宋体"/>
          <w:b w:val="0"/>
          <w:bCs w:val="0"/>
          <w:sz w:val="44"/>
          <w:szCs w:val="44"/>
        </w:rPr>
        <w:t>技术方案</w:t>
      </w:r>
    </w:p>
    <w:p>
      <w:pPr>
        <w:wordWrap/>
        <w:adjustRightInd w:val="0"/>
        <w:snapToGrid w:val="0"/>
        <w:spacing w:line="560" w:lineRule="exact"/>
        <w:ind w:firstLine="640" w:firstLineChars="200"/>
        <w:textAlignment w:val="auto"/>
        <w:outlineLvl w:val="9"/>
        <w:rPr>
          <w:rFonts w:ascii="黑体" w:hAnsi="黑体" w:eastAsia="黑体" w:cs="黑体"/>
          <w:sz w:val="32"/>
          <w:szCs w:val="32"/>
        </w:rPr>
      </w:pPr>
    </w:p>
    <w:p>
      <w:pPr>
        <w:wordWrap/>
        <w:adjustRightInd w:val="0"/>
        <w:snapToGrid w:val="0"/>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一、大专院校开学前</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1.学校每日掌握教职员工及学生健康情况，实行“日报告”、“零报告”制度，并向主管部门报告。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2.学校对全体教职员工开展防控制度、个人防护与消毒等知识和技能培训。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3.开学前对学校进行彻底清洁，对物体表面进行预防性消毒处理，教室开窗通风。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4.所有外出的教职员工和学生，返回居住地后应当居家隔离14天，健康者方可返校。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5.做好洗手液、手消毒剂、口罩、手套、消毒剂等防控物资的储备。</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6.设立（临时）隔离室，位置相对独立，以备人员出现发热等症状时立即进行暂时隔离。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7.制定疫情防控应急预案，制度明确，责任到人，并进行培训、演练，校长是本单位疫情防控第一责任人。</w:t>
      </w:r>
    </w:p>
    <w:p>
      <w:pPr>
        <w:wordWrap/>
        <w:adjustRightInd w:val="0"/>
        <w:snapToGrid w:val="0"/>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二、大专院校开学后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8.每日掌握教职员工及学生健康情况，加强对学生及教职员工的晨、午检工作，实行“日报告”、“零报告”制度，并向主管部门报告。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加强物体表面清洁消毒。应当保持教室、宿舍、图书馆、学生实验室、体育活动场所、餐厅等场所环境卫生整洁，每日定期消毒并记录。对门把手、课桌椅、讲台、电脑键盘、鼠标、水龙头、楼梯扶手、宿舍床围栏、室内健身器材、电梯间按钮等高频接触表面，可用有效氯250～500mg/L的含氯消毒剂进行喷洒或擦拭，也可采用消毒湿巾进行擦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10.加强重点场所地面清洁消毒。应当加强学校食堂、浴室及宿舍地面的清洁，定期消毒并记录。可使用有效氯500mg/L的含氯消毒液擦拭消毒。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11.各类生活、学习、工作场所（如教室、宿舍、图书馆、学生实验室、体育活动场所、餐厅、教师办公室、洗手间等）加强通风换气。每日通风不少于3次，每次不少于30分钟。课间尽量开窗通风，也可采用机械排风。如使用空调，应当保证空调系统供风安全，保证充足的新风输入，所有排风直接排到室外。</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12.加强餐（饮）具的清洁消毒，餐（饮）具应当一人一具一用一消毒，建议学生自带餐具。餐（饮）具去残渣、清洗后，煮沸或流通蒸汽消毒15分钟；或采用热力消毒柜等消毒方式；或采用有效氯250mg/L的含氯消毒剂浸泡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13.宿舍要定期清洁，做好个人卫生。被褥及个人衣物要定期晾晒、定期洗涤。如需消毒处理，可煮沸消毒30分钟，或先用有效氯500mg/L的含氯消毒液浸泡30分钟后，再常规清洗。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14.加强垃圾分类管理，及时收集清运，并做好垃圾盛装容器的清洁，可用有效氯500mg/L的含氯消毒剂定期对其进行消毒处理。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15.加强个人防护。校门值守人员、清洁人员及食堂工作人员等应当佩戴一次性使用医用口罩或医用外科口罩。食堂工作人员还应穿工作服，并保持工作服清洁，工作服应当定期洗涤、消毒。可煮沸消毒30分钟，或先用500mg/L的含氯消毒液浸泡30分钟，然后常规清洗。清洁消毒人员在配制和使用化学消毒剂时，还应做好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16.严格落实教职员工及学生手卫生措施。餐前、便前便后、接触垃圾、外出归来、使用体育器材、学校电脑等公用物品后、接触动物后、触摸眼睛等“易感”部位之前，接触污染物品之后，均要洗手。洗手时应当采用洗手液或肥皂，在流动水下按照正确洗手法彻底洗净双手，也可使用速干手消毒剂揉搓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17.加强因病缺勤管理。做好缺勤、早退、请假记录，对因病缺勤的教职员工和学生及时追访和上报。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18.不应组织大型集体活动。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19.设立健康宣教课堂，由专人定期对学校内的教职员工和学生进行个人防护与消毒等防控知识宣传和指导。指导教职员工和学生在疫情防控期间避免到人群聚集尤其是空气流动性差的场所，减少不必要的外出。如果外出，应当做好个人防护和手卫生，去人口较为密集的公共场所、乘坐公共交通工具、厢式电梯等必须正确佩戴医用口罩。</w:t>
      </w:r>
    </w:p>
    <w:p>
      <w:pPr>
        <w:wordWrap/>
        <w:adjustRightInd w:val="0"/>
        <w:snapToGrid w:val="0"/>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三、出现疑似感染症状应急处置</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20.教职员工如出现发热、干咳、乏力、鼻塞、流涕、咽痛、腹泻等症状，应当立即上报学校负责人，并及时按规定去定点医院就医。尽量避免乘坐公交、地铁等公共交通工具，前往医院路上和医院内应当全程佩戴医用外科口罩（或其他更高级别的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21.如学生出现发热、干咳、乏力、鼻塞、流涕、咽痛、腹泻等症状，及时向学校报告并采取相应措施。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22.教职员工或学生中如出现新冠肺炎疑似病例，应当立即向辖区疾病预防控制部门报告，并配合相关部门做好密切接触者的管理。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23.对共同生活、学习的一般接触者进行风险告知，如出现发热、干咳等呼吸道症状以及腹泻、结膜充血等症状时要及时就医。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24.专人负责与接受隔离的教职员工或学生的家长进行联系，掌握其健康状况。</w:t>
      </w:r>
    </w:p>
    <w:p>
      <w:pPr>
        <w:widowControl/>
        <w:wordWrap/>
        <w:autoSpaceDE w:val="0"/>
        <w:adjustRightInd w:val="0"/>
        <w:snapToGrid w:val="0"/>
        <w:spacing w:line="560" w:lineRule="exact"/>
        <w:ind w:firstLine="640" w:firstLineChars="200"/>
        <w:textAlignment w:val="auto"/>
        <w:outlineLvl w:val="9"/>
        <w:rPr>
          <w:rFonts w:ascii="Calibri" w:hAnsi="Calibri" w:eastAsia="仿宋_GB2312" w:cs="Times New Roman"/>
          <w:sz w:val="32"/>
        </w:rPr>
      </w:pPr>
    </w:p>
    <w:p>
      <w:pPr>
        <w:pStyle w:val="18"/>
        <w:wordWrap/>
        <w:spacing w:before="0" w:beforeAutospacing="0" w:after="0" w:afterAutospacing="0" w:line="560" w:lineRule="exact"/>
        <w:textAlignment w:val="auto"/>
        <w:outlineLvl w:val="9"/>
        <w:rPr>
          <w:rFonts w:hint="eastAsia" w:ascii="黑体" w:hAnsi="黑体" w:eastAsia="黑体"/>
          <w:sz w:val="32"/>
          <w:szCs w:val="32"/>
        </w:rPr>
      </w:pPr>
    </w:p>
    <w:p>
      <w:pPr>
        <w:outlineLvl w:val="9"/>
        <w:rPr>
          <w:rFonts w:hint="eastAsia" w:ascii="黑体" w:hAnsi="黑体" w:eastAsia="黑体" w:cs="黑体"/>
          <w:kern w:val="0"/>
          <w:sz w:val="32"/>
          <w:szCs w:val="32"/>
        </w:rPr>
      </w:pPr>
      <w:r>
        <w:rPr>
          <w:rFonts w:hint="eastAsia" w:ascii="黑体" w:hAnsi="黑体" w:eastAsia="黑体" w:cs="黑体"/>
          <w:kern w:val="0"/>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附件12</w:t>
      </w:r>
    </w:p>
    <w:p>
      <w:pPr>
        <w:widowControl/>
        <w:wordWrap/>
        <w:spacing w:line="560" w:lineRule="exact"/>
        <w:jc w:val="center"/>
        <w:textAlignment w:val="auto"/>
        <w:outlineLvl w:val="9"/>
        <w:rPr>
          <w:rFonts w:hint="eastAsia" w:ascii="宋体" w:hAnsi="宋体" w:eastAsia="宋体" w:cs="宋体"/>
          <w:b w:val="0"/>
          <w:bCs w:val="0"/>
          <w:kern w:val="0"/>
          <w:sz w:val="44"/>
          <w:szCs w:val="44"/>
        </w:rPr>
      </w:pPr>
    </w:p>
    <w:p>
      <w:pPr>
        <w:widowControl/>
        <w:wordWrap/>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监狱新冠肺炎防控技术方案</w:t>
      </w:r>
    </w:p>
    <w:p>
      <w:pPr>
        <w:widowControl/>
        <w:wordWrap/>
        <w:spacing w:line="560" w:lineRule="exact"/>
        <w:jc w:val="center"/>
        <w:textAlignment w:val="auto"/>
        <w:outlineLvl w:val="9"/>
        <w:rPr>
          <w:rFonts w:hint="eastAsia" w:ascii="宋体" w:hAnsi="宋体" w:eastAsia="宋体" w:cs="宋体"/>
          <w:b/>
          <w:kern w:val="0"/>
          <w:sz w:val="44"/>
          <w:szCs w:val="44"/>
        </w:rPr>
      </w:pPr>
    </w:p>
    <w:p>
      <w:pPr>
        <w:wordWrap/>
        <w:adjustRightInd w:val="0"/>
        <w:snapToGrid w:val="0"/>
        <w:spacing w:line="560" w:lineRule="exact"/>
        <w:ind w:firstLine="640"/>
        <w:textAlignment w:val="auto"/>
        <w:outlineLvl w:val="9"/>
        <w:rPr>
          <w:rFonts w:ascii="黑体" w:hAnsi="黑体" w:eastAsia="黑体" w:cs="仿宋"/>
          <w:sz w:val="32"/>
          <w:szCs w:val="32"/>
        </w:rPr>
      </w:pPr>
      <w:r>
        <w:rPr>
          <w:rFonts w:hint="eastAsia" w:ascii="黑体" w:hAnsi="黑体" w:eastAsia="黑体" w:cs="黑体"/>
          <w:sz w:val="32"/>
          <w:szCs w:val="32"/>
        </w:rPr>
        <w:t>一、监狱卫生管理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84" w:name="bookmark3"/>
      <w:r>
        <w:rPr>
          <w:rFonts w:hint="eastAsia" w:ascii="仿宋" w:hAnsi="仿宋" w:eastAsia="仿宋" w:cs="仿宋"/>
          <w:sz w:val="32"/>
          <w:szCs w:val="32"/>
        </w:rPr>
        <w:t>（</w:t>
      </w:r>
      <w:bookmarkEnd w:id="384"/>
      <w:r>
        <w:rPr>
          <w:rFonts w:hint="eastAsia" w:ascii="仿宋" w:hAnsi="仿宋" w:eastAsia="仿宋" w:cs="仿宋"/>
          <w:sz w:val="32"/>
          <w:szCs w:val="32"/>
        </w:rPr>
        <w:t>一）建立工作人员和服刑人员健康监测制度。由专人负责每天对进入单位的人员进行测量。</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（二）有班车的单位，应当设专人在上班车前对上车人员进行体温测量，发热症状者禁止乘坐班车。对出现发热、咳嗽等症状的工作人员，禁止进入单位，并立即指导及时就医。</w:t>
      </w:r>
      <w:bookmarkStart w:id="385" w:name="bookmark5"/>
    </w:p>
    <w:bookmarkEnd w:id="385"/>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86" w:name="bookmark6"/>
      <w:r>
        <w:rPr>
          <w:rFonts w:hint="eastAsia" w:ascii="仿宋" w:hAnsi="仿宋" w:eastAsia="仿宋" w:cs="仿宋"/>
          <w:sz w:val="32"/>
          <w:szCs w:val="32"/>
        </w:rPr>
        <w:t>（</w:t>
      </w:r>
      <w:bookmarkEnd w:id="386"/>
      <w:r>
        <w:rPr>
          <w:rFonts w:hint="eastAsia" w:ascii="仿宋" w:hAnsi="仿宋" w:eastAsia="仿宋" w:cs="仿宋"/>
          <w:sz w:val="32"/>
          <w:szCs w:val="32"/>
        </w:rPr>
        <w:t>三）应当采取全封闭管理，禁止人员探视，减少狱警和工作人员的进出，限制监狱内人员流动生活必需品可以采用送货上门的方式</w:t>
      </w:r>
      <w:r>
        <w:rPr>
          <w:rFonts w:hint="eastAsia" w:ascii="仿宋" w:hAnsi="仿宋" w:eastAsia="仿宋" w:cs="仿宋"/>
          <w:sz w:val="32"/>
          <w:szCs w:val="32"/>
          <w:lang w:val="zh-CN"/>
        </w:rPr>
        <w:t>。新入监人员</w:t>
      </w:r>
      <w:r>
        <w:rPr>
          <w:rFonts w:hint="eastAsia" w:ascii="仿宋" w:hAnsi="仿宋" w:eastAsia="仿宋" w:cs="仿宋"/>
          <w:sz w:val="32"/>
          <w:szCs w:val="32"/>
        </w:rPr>
        <w:t>应当隔离观察14天，无异常后方可入监。</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87" w:name="bookmark7"/>
      <w:r>
        <w:rPr>
          <w:rFonts w:hint="eastAsia" w:ascii="仿宋" w:hAnsi="仿宋" w:eastAsia="仿宋" w:cs="仿宋"/>
          <w:sz w:val="32"/>
          <w:szCs w:val="32"/>
        </w:rPr>
        <w:t>（</w:t>
      </w:r>
      <w:bookmarkEnd w:id="387"/>
      <w:r>
        <w:rPr>
          <w:rFonts w:hint="eastAsia" w:ascii="仿宋" w:hAnsi="仿宋" w:eastAsia="仿宋" w:cs="仿宋"/>
          <w:sz w:val="32"/>
          <w:szCs w:val="32"/>
        </w:rPr>
        <w:t>四）防控物资储备。注意调配必要的药物和防护物资，以满足疫情防控需要。配合疾控机构规范开展病例流行病 学调查和密切接触者的隔离观察，追踪管理。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（五）按照监狱情况，预估并配备各类防疫物资，如口罩、防护服、护目镜、消毒工具、消毒剂等。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（六）加强防控知识培训。结合健康培训教育、警示告知等制度，组织开展多种形式的新冠肺炎防控知识培训和宣传教育，提高狱警和服刑人员自我防护意识和</w:t>
      </w:r>
      <w:r>
        <w:rPr>
          <w:rFonts w:hint="eastAsia" w:ascii="仿宋" w:hAnsi="仿宋" w:eastAsia="仿宋" w:cs="仿宋"/>
          <w:sz w:val="32"/>
          <w:szCs w:val="32"/>
          <w:lang w:val="zh-CN"/>
        </w:rPr>
        <w:t>能力。</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88" w:name="bookmark25"/>
      <w:r>
        <w:rPr>
          <w:rFonts w:hint="eastAsia" w:ascii="仿宋" w:hAnsi="仿宋" w:eastAsia="仿宋" w:cs="仿宋"/>
          <w:sz w:val="32"/>
          <w:szCs w:val="32"/>
        </w:rPr>
        <w:t>（</w:t>
      </w:r>
      <w:bookmarkEnd w:id="388"/>
      <w:r>
        <w:rPr>
          <w:rFonts w:hint="eastAsia" w:ascii="仿宋" w:hAnsi="仿宋" w:eastAsia="仿宋" w:cs="仿宋"/>
          <w:sz w:val="32"/>
          <w:szCs w:val="32"/>
        </w:rPr>
        <w:t>七）鼓励开展心理健康服务。了解受到疫情影响人员及服刑人员的心理健康状况，疏解在严峻疫情下的焦虑恐惧情绪。</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（八）设立隔离观察区域。当工作人员或服刑人员出现发热、乏力、干咳等可疑症状时，及时到该区域进行暂时隔离，再按照相关规范要求进行处理。</w:t>
      </w:r>
    </w:p>
    <w:p>
      <w:pPr>
        <w:wordWrap/>
        <w:adjustRightInd w:val="0"/>
        <w:snapToGrid w:val="0"/>
        <w:spacing w:line="560" w:lineRule="exact"/>
        <w:ind w:firstLine="640"/>
        <w:textAlignment w:val="auto"/>
        <w:outlineLvl w:val="9"/>
        <w:rPr>
          <w:rFonts w:hint="eastAsia" w:ascii="黑体" w:hAnsi="黑体" w:eastAsia="黑体" w:cs="黑体"/>
          <w:sz w:val="32"/>
          <w:szCs w:val="32"/>
        </w:rPr>
      </w:pPr>
      <w:bookmarkStart w:id="389" w:name="bookmark31"/>
      <w:r>
        <w:rPr>
          <w:rFonts w:hint="eastAsia" w:ascii="黑体" w:hAnsi="黑体" w:eastAsia="黑体" w:cs="黑体"/>
          <w:sz w:val="32"/>
          <w:szCs w:val="32"/>
        </w:rPr>
        <w:t>二、预防性卫生措施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（一）通风</w:t>
      </w:r>
      <w:r>
        <w:rPr>
          <w:rFonts w:hint="eastAsia" w:ascii="仿宋" w:hAnsi="仿宋" w:eastAsia="仿宋" w:cs="仿宋"/>
          <w:sz w:val="32"/>
          <w:szCs w:val="32"/>
          <w:lang w:val="zh-CN"/>
        </w:rPr>
        <w:t>换气。</w:t>
      </w:r>
      <w:r>
        <w:rPr>
          <w:rFonts w:hint="eastAsia" w:ascii="仿宋" w:hAnsi="仿宋" w:eastAsia="仿宋" w:cs="仿宋"/>
          <w:sz w:val="32"/>
          <w:szCs w:val="32"/>
        </w:rPr>
        <w:t>加强监管区和行政办公区的通风换气，保持室内空气流通，在气温状况允许的情况下首选开窗自然通风。每天早、中和晚开窗各1次，每次通风时间至少30分钟。应当采取错峰放风和休息，尽可能避免或减少人员聚集和集体</w:t>
      </w:r>
      <w:r>
        <w:rPr>
          <w:rFonts w:hint="eastAsia" w:ascii="仿宋" w:hAnsi="仿宋" w:eastAsia="仿宋" w:cs="仿宋"/>
          <w:sz w:val="32"/>
          <w:szCs w:val="32"/>
          <w:lang w:val="zh-CN"/>
        </w:rPr>
        <w:t>活动</w:t>
      </w:r>
      <w:r>
        <w:rPr>
          <w:rFonts w:hint="eastAsia" w:ascii="仿宋" w:hAnsi="仿宋" w:eastAsia="仿宋" w:cs="仿宋"/>
          <w:sz w:val="32"/>
          <w:szCs w:val="32"/>
        </w:rPr>
        <w:t>。</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0" w:name="bookmark10"/>
      <w:r>
        <w:rPr>
          <w:rFonts w:hint="eastAsia" w:ascii="仿宋" w:hAnsi="仿宋" w:eastAsia="仿宋" w:cs="仿宋"/>
          <w:sz w:val="32"/>
          <w:szCs w:val="32"/>
        </w:rPr>
        <w:t>（</w:t>
      </w:r>
      <w:bookmarkEnd w:id="390"/>
      <w:r>
        <w:rPr>
          <w:rFonts w:hint="eastAsia" w:ascii="仿宋" w:hAnsi="仿宋" w:eastAsia="仿宋" w:cs="仿宋"/>
          <w:sz w:val="32"/>
          <w:szCs w:val="32"/>
        </w:rPr>
        <w:t>二）卫生防护设施。确保工作场所内洗手、洗眼、喷淋设施运行正常。</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1" w:name="bookmark11"/>
      <w:r>
        <w:rPr>
          <w:rFonts w:hint="eastAsia" w:ascii="仿宋" w:hAnsi="仿宋" w:eastAsia="仿宋" w:cs="仿宋"/>
          <w:sz w:val="32"/>
          <w:szCs w:val="32"/>
        </w:rPr>
        <w:t>（</w:t>
      </w:r>
      <w:bookmarkEnd w:id="391"/>
      <w:r>
        <w:rPr>
          <w:rFonts w:hint="eastAsia" w:ascii="仿宋" w:hAnsi="仿宋" w:eastAsia="仿宋" w:cs="仿宋"/>
          <w:sz w:val="32"/>
          <w:szCs w:val="32"/>
        </w:rPr>
        <w:t>三）清洁与消毒。</w:t>
      </w:r>
      <w:bookmarkStart w:id="392" w:name="bookmark12"/>
      <w:bookmarkEnd w:id="392"/>
      <w:r>
        <w:rPr>
          <w:rFonts w:hint="eastAsia" w:ascii="仿宋" w:hAnsi="仿宋" w:eastAsia="仿宋" w:cs="仿宋"/>
          <w:sz w:val="32"/>
          <w:szCs w:val="32"/>
        </w:rPr>
        <w:t>做好监管区和行政办公区物体表面的清洁消毒</w:t>
      </w:r>
      <w:r>
        <w:rPr>
          <w:rFonts w:hint="eastAsia" w:ascii="仿宋" w:hAnsi="仿宋" w:eastAsia="仿宋" w:cs="仿宋"/>
          <w:sz w:val="32"/>
          <w:szCs w:val="32"/>
          <w:lang w:val="zh-CN"/>
        </w:rPr>
        <w:t>。保</w:t>
      </w:r>
      <w:r>
        <w:rPr>
          <w:rFonts w:hint="eastAsia" w:ascii="仿宋" w:hAnsi="仿宋" w:eastAsia="仿宋" w:cs="仿宋"/>
          <w:sz w:val="32"/>
          <w:szCs w:val="32"/>
        </w:rPr>
        <w:t>持环境整洁卫生</w:t>
      </w:r>
      <w:r>
        <w:rPr>
          <w:rFonts w:hint="eastAsia" w:ascii="仿宋" w:hAnsi="仿宋" w:eastAsia="仿宋" w:cs="仿宋"/>
          <w:sz w:val="32"/>
          <w:szCs w:val="32"/>
          <w:lang w:eastAsia="zh-CN"/>
        </w:rPr>
        <w:t>，</w:t>
      </w:r>
      <w:r>
        <w:rPr>
          <w:rFonts w:hint="eastAsia" w:ascii="仿宋" w:hAnsi="仿宋" w:eastAsia="仿宋" w:cs="仿宋"/>
          <w:sz w:val="32"/>
          <w:szCs w:val="32"/>
        </w:rPr>
        <w:t>定期消毒并做好清洁消毒记录。加强场所、餐（饮）具定期</w:t>
      </w:r>
      <w:r>
        <w:rPr>
          <w:rFonts w:hint="eastAsia" w:ascii="仿宋" w:hAnsi="仿宋" w:eastAsia="仿宋" w:cs="仿宋"/>
          <w:sz w:val="32"/>
          <w:szCs w:val="32"/>
          <w:lang w:val="zh-CN"/>
        </w:rPr>
        <w:t>消毒。</w:t>
      </w:r>
      <w:r>
        <w:rPr>
          <w:rFonts w:hint="eastAsia" w:ascii="仿宋" w:hAnsi="仿宋" w:eastAsia="仿宋" w:cs="仿宋"/>
          <w:sz w:val="32"/>
          <w:szCs w:val="32"/>
        </w:rPr>
        <w:t>对高频接触的物体表面，可用含氯消毒剂进行喷洒或擦拭，或采用消毒湿巾</w:t>
      </w:r>
      <w:r>
        <w:rPr>
          <w:rFonts w:hint="eastAsia" w:ascii="仿宋" w:hAnsi="仿宋" w:eastAsia="仿宋" w:cs="仿宋"/>
          <w:sz w:val="32"/>
          <w:szCs w:val="32"/>
          <w:lang w:val="zh-CN"/>
        </w:rPr>
        <w:t>擦拭。</w:t>
      </w:r>
      <w:r>
        <w:rPr>
          <w:rFonts w:hint="eastAsia" w:ascii="仿宋" w:hAnsi="仿宋" w:eastAsia="仿宋" w:cs="仿宋"/>
          <w:sz w:val="32"/>
          <w:szCs w:val="32"/>
        </w:rPr>
        <w:t>配备手消毒剂。</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物表清洁消毒。保持地面的整洁卫生。使用含氯消毒剂（有效氯250mg/L～500mg/L）湿式拖布拖拭。发现呕吐物时，应当立即使用一次性吸水材料加足量消毒剂（如含氯消毒剂）或有效的消毒干巾对呕吐物进行覆盖消毒。清除呕吐物后，使用季铵盐类消毒剂或含氯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3" w:name="bookmark13"/>
      <w:bookmarkEnd w:id="393"/>
      <w:bookmarkStart w:id="394" w:name="bookmark14"/>
      <w:bookmarkEnd w:id="394"/>
      <w:r>
        <w:rPr>
          <w:rFonts w:hint="eastAsia" w:ascii="仿宋" w:hAnsi="仿宋" w:eastAsia="仿宋" w:cs="仿宋"/>
          <w:sz w:val="32"/>
          <w:szCs w:val="32"/>
        </w:rPr>
        <w:t>2.空调通风系统。定期对空调进风口、出风口消毒采用含有效氯500mg/L的消毒液擦拭；加强对风机盘管的凝结水盘、冷却水的清洁消毒；空调通风系统的清洗消毒按照《公共场所集中空调通风系统清洗消毒规范》（WS/T 396）进行。</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3.公共卫生间。</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（1）卫生间应当保持清洁和干爽，空气流通，提供洗手液，并保证水龙头等设施正常使用。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（2）应当增加卫生间的巡查频次，视情况增加消毒次数。</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（3）为防止空气气溶胶污染，洗手盆、淋浴等排水管道要勤冲洗，确保∪型管道和下水道的水封隔离效果。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（4）公共台面、洗手池、门把手、马桶按键等物体表面进行消毒，用含有效氯500mg/L的消毒液进行喷洒或擦拭，30分钟后清水擦拭干净。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4.学习用房、文体活动用房、技能培训用房、劳动改造用房及其他服务用房。</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（1）保持环境清洁，建议每日通风3次，每次20-30分钟，通风时注意保暖。</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（2）处于单人环境下的人员原则上可以不佩戴口罩。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（3）处于多人聚集环境下的工作人员应当佩戴医用口罩，人与人之间保持1米以上距离。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（4）进入服务用房前洗手消毒。人员间隔1米以上。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（5）尽量减少集体活动，控制集体活动时间，集体活动时间过长时，开窗通风1次。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（6）活动结束后场地、家具须进行消毒。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5.厨房与餐厅（监管区）、食堂与餐厅（行政办公区）。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（1）保持空气流通，以清洁为主，预防性消毒为辅。</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（2）采取有效的分流措施，鼓励错峰用餐，避免人员密集和聚餐活动。</w:t>
      </w:r>
    </w:p>
    <w:bookmarkEnd w:id="389"/>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（3）餐厅每日消毒3次，早中和晚上各1次。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加强餐（饮）具的清洁消毒，餐（饮）具应当一人一具一用一消毒。餐（饮）具去残渣、清洗后，可煮沸或流通蒸汽消毒15分钟；或采用热力消毒柜等消毒方式；或采用有效氯250mg/L的含氯消毒剂浸泡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（4）严禁生食和熟食用品混用，避免肉类生食。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5" w:name="bookmark16"/>
      <w:r>
        <w:rPr>
          <w:rFonts w:hint="eastAsia" w:ascii="仿宋" w:hAnsi="仿宋" w:eastAsia="仿宋" w:cs="仿宋"/>
          <w:sz w:val="32"/>
          <w:szCs w:val="32"/>
        </w:rPr>
        <w:t>（</w:t>
      </w:r>
      <w:bookmarkEnd w:id="395"/>
      <w:r>
        <w:rPr>
          <w:rFonts w:hint="eastAsia" w:ascii="仿宋" w:hAnsi="仿宋" w:eastAsia="仿宋" w:cs="仿宋"/>
          <w:sz w:val="32"/>
          <w:szCs w:val="32"/>
        </w:rPr>
        <w:t>四）垃圾</w:t>
      </w:r>
      <w:r>
        <w:rPr>
          <w:rFonts w:hint="eastAsia" w:ascii="仿宋" w:hAnsi="仿宋" w:eastAsia="仿宋" w:cs="仿宋"/>
          <w:sz w:val="32"/>
          <w:szCs w:val="32"/>
          <w:lang w:val="zh-CN"/>
        </w:rPr>
        <w:t>处理。</w:t>
      </w:r>
      <w:r>
        <w:rPr>
          <w:rFonts w:hint="eastAsia" w:ascii="仿宋" w:hAnsi="仿宋" w:eastAsia="仿宋" w:cs="仿宋"/>
          <w:sz w:val="32"/>
          <w:szCs w:val="32"/>
        </w:rPr>
        <w:t>加强垃圾分类收集，及时清运。增加垃圾桶等垃圾盛装容器的清洁消毒频次。可用含有效氯500mg/L的含氯消毒剂进行喷洒或擦拭。</w:t>
      </w:r>
    </w:p>
    <w:p>
      <w:pPr>
        <w:wordWrap/>
        <w:adjustRightInd w:val="0"/>
        <w:snapToGrid w:val="0"/>
        <w:spacing w:line="560" w:lineRule="exact"/>
        <w:ind w:firstLine="640"/>
        <w:textAlignment w:val="auto"/>
        <w:outlineLvl w:val="9"/>
        <w:rPr>
          <w:rFonts w:ascii="黑体" w:hAnsi="黑体" w:eastAsia="黑体" w:cs="仿宋"/>
          <w:sz w:val="32"/>
          <w:szCs w:val="32"/>
        </w:rPr>
      </w:pPr>
      <w:r>
        <w:rPr>
          <w:rFonts w:hint="eastAsia" w:ascii="黑体" w:hAnsi="黑体" w:eastAsia="黑体" w:cs="仿宋"/>
          <w:sz w:val="32"/>
          <w:szCs w:val="32"/>
        </w:rPr>
        <w:t>三、个人防护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6" w:name="bookmark27"/>
      <w:r>
        <w:rPr>
          <w:rFonts w:hint="eastAsia" w:ascii="仿宋" w:hAnsi="仿宋" w:eastAsia="仿宋" w:cs="仿宋"/>
          <w:sz w:val="32"/>
          <w:szCs w:val="32"/>
        </w:rPr>
        <w:t>（</w:t>
      </w:r>
      <w:bookmarkEnd w:id="396"/>
      <w:r>
        <w:rPr>
          <w:rFonts w:hint="eastAsia" w:ascii="仿宋" w:hAnsi="仿宋" w:eastAsia="仿宋" w:cs="仿宋"/>
          <w:sz w:val="32"/>
          <w:szCs w:val="32"/>
        </w:rPr>
        <w:t>一）干警、工作人员。</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1.干警、工作人员正确佩戴口罩，加强手卫生措施，随时进行手卫生。洗手或使用速干手消毒剂，有肉眼可见污染物时，应当用洗手液在流动水下洗手。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2.打喷嚏和咳嗽时应当用纸巾或手肘部位（不是双手）遮蔽口鼻，将打喷嚏和咳嗽时使用过的纸巾放入有盖的垃圾桶内，打喷嚏和咳嗽后应当用肥皂或洗手液彻底清洗双手。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3.与监狱内其他工作人员减少交流，必须交流时不得摘下口罩，并保持一定距离。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4.注意身体状况。在岗期间注意身体状况，当出现发热、咳嗽等症状时，要及时按规定去定点医院就医，尽量避免乘坐公交、地铁等公共交通工具，前往医院路上和医院内应当全程佩戴口罩。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（二）服刑人员。</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w:t>
      </w:r>
      <w:bookmarkStart w:id="397" w:name="bookmark28"/>
      <w:r>
        <w:rPr>
          <w:rFonts w:hint="eastAsia" w:ascii="仿宋" w:hAnsi="仿宋" w:eastAsia="仿宋" w:cs="仿宋"/>
          <w:sz w:val="32"/>
          <w:szCs w:val="32"/>
        </w:rPr>
        <w:t>服刑人员应当佩戴口罩</w:t>
      </w:r>
      <w:bookmarkEnd w:id="397"/>
      <w:r>
        <w:rPr>
          <w:rFonts w:hint="eastAsia" w:ascii="仿宋" w:hAnsi="仿宋" w:eastAsia="仿宋" w:cs="仿宋"/>
          <w:sz w:val="32"/>
          <w:szCs w:val="32"/>
        </w:rPr>
        <w:t>，加强手卫生，养成勤洗手的习惯。</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2.打喷嚏和咳嗽时应当用手肘部位（不是双手）遮蔽口鼻，避免喷向其他服刑人员，打喷嚏和咳嗽后应当用肥皂或洗手液彻底清洗双手。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3.与探视人员交流时不得摘下口罩，保持一定距离并避免直接接触。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4.服刑人员放风或休息时应当佩戴口罩，减少与其他服刑人员直接接触，条件允许时，尽量与他人保持一定距离。</w:t>
      </w:r>
      <w:r>
        <w:rPr>
          <w:rFonts w:hint="eastAsia" w:ascii="仿宋" w:hAnsi="仿宋" w:eastAsia="仿宋" w:cs="仿宋"/>
          <w:sz w:val="32"/>
          <w:szCs w:val="32"/>
        </w:rPr>
        <w:br w:type="textWrapping"/>
      </w:r>
      <w:r>
        <w:rPr>
          <w:rFonts w:hint="eastAsia" w:ascii="仿宋" w:hAnsi="仿宋" w:eastAsia="仿宋" w:cs="仿宋"/>
          <w:sz w:val="32"/>
          <w:szCs w:val="32"/>
        </w:rPr>
        <w:t xml:space="preserve">    5.服刑期间注意身体状况，当出现发热、咳嗽等症状时，要及时向干警汇报，并在干警监护下就医排查。</w:t>
      </w:r>
    </w:p>
    <w:p>
      <w:pPr>
        <w:wordWrap/>
        <w:adjustRightInd w:val="0"/>
        <w:snapToGrid w:val="0"/>
        <w:spacing w:line="560" w:lineRule="exact"/>
        <w:ind w:firstLine="640"/>
        <w:textAlignment w:val="auto"/>
        <w:outlineLvl w:val="9"/>
        <w:rPr>
          <w:rFonts w:ascii="黑体" w:hAnsi="黑体" w:eastAsia="黑体" w:cs="仿宋"/>
          <w:sz w:val="32"/>
          <w:szCs w:val="32"/>
        </w:rPr>
      </w:pPr>
      <w:r>
        <w:rPr>
          <w:rFonts w:hint="eastAsia" w:ascii="黑体" w:hAnsi="黑体" w:eastAsia="黑体" w:cs="仿宋"/>
          <w:sz w:val="32"/>
          <w:szCs w:val="32"/>
        </w:rPr>
        <w:t>四、</w:t>
      </w:r>
      <w:bookmarkStart w:id="398" w:name="bookmark9"/>
      <w:r>
        <w:rPr>
          <w:rFonts w:hint="eastAsia" w:ascii="黑体" w:hAnsi="黑体" w:eastAsia="黑体" w:cs="仿宋"/>
          <w:sz w:val="32"/>
          <w:szCs w:val="32"/>
        </w:rPr>
        <w:t>疫情应对</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（一）发现病例监狱。</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症状筛查。尽快组织开展针对全体服刑人员、干警的症状筛查，发现有发热（腋下体温高于37.3℃）、咳嗽、气促等症状之一者，登记异常症状者名单。对异常症状的干警和服刑人员进行CT检查，有肺部磨玻璃样变化或斑片样变化的，进行临床诊断和实验室病原学诊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2.疏散服刑人员。将密切接触者尽快分流到其他羁押场所，阻断传染途径，减少交叉感染风险，切实落实隔离要求。加强对流转人员的症状监测，异常者转回本部监狱。</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3.建立病人区、隔离区、隔离观察区和一般区域。配发一次性口罩，每天每人2只，加强防护。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4.抽调监狱行政和后勤等人员组建干警后备队。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5.重点防控措施。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（1）加强调通风、正确戴口罩、勤洗手、减少不必要的人员流动和接触、加强日常消毒。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（2）监舍开窗，并去掉塑料薄膜通风。工区可采用电风扇机械通风。在监区现有水龙头旁边配发肥皂或洗手液，增加洗手效果。如果实在无法洗手，可用75%酒精擦拭双手。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（3）对病人曾经居住过的场所需进行终末消毒，由专业人员负责监狱终末消毒。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（二）疫情扩散监狱。</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1.人员筛查。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（1）症状筛查：对接触确诊病例的干警和服刑人员进行症状筛查，有发热（腋下体温高于37.3℃）、咳嗽、气促等症状之一者，登记异常症状者名单。</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（2）CT筛查和病原学监测：对异常症状的干警和服刑人员进行CT检查，有肺部磨玻璃样变化或斑片样变化的，进行临床诊断和实验室病原学诊断。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2.分区管理（分干警和服刑人员）。</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按以下四类人员情况进行分区管理：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（1）待转诊的重症和普通新冠病人区。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（2）轻型确诊病人（咽拭子核酸检测阳性，肺部CT无明显异常）隔离区。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（3）疑似病例、异常症状者（发热、咳嗽、气促之一者）隔离观察区。密切接触者在隔离观察区进行医学观察。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（4）无症状者。服刑人员，可在现有监号和监区。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现有其他疾病的患者的诊疗区，要与上述隔离区分隔，避免交叉感染。</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3.不具备隔离、诊疗条件的监狱，应当及时将重症病例（确诊和疑似病例）转入重症定点救治医院，普通新冠肺炎病人（确诊和疑似病例）转入定点收治医院，并加强就诊期间监管。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4.终末消毒。对病人曾经居住过的场所应当进行终末消毒，由专业人员负责监狱终末消毒。</w:t>
      </w:r>
    </w:p>
    <w:p>
      <w:pPr>
        <w:wordWrap/>
        <w:adjustRightInd w:val="0"/>
        <w:snapToGrid w:val="0"/>
        <w:spacing w:line="560" w:lineRule="exact"/>
        <w:ind w:firstLine="640"/>
        <w:textAlignment w:val="auto"/>
        <w:outlineLvl w:val="9"/>
        <w:rPr>
          <w:rFonts w:ascii="仿宋" w:hAnsi="仿宋" w:eastAsia="仿宋" w:cs="仿宋"/>
          <w:sz w:val="32"/>
          <w:szCs w:val="32"/>
        </w:rPr>
      </w:pPr>
    </w:p>
    <w:bookmarkEnd w:id="398"/>
    <w:p>
      <w:pPr>
        <w:widowControl/>
        <w:wordWrap/>
        <w:spacing w:beforeAutospacing="0" w:afterAutospacing="0" w:line="560" w:lineRule="exact"/>
        <w:jc w:val="left"/>
        <w:textAlignment w:val="auto"/>
        <w:outlineLvl w:val="9"/>
        <w:rPr>
          <w:rFonts w:hint="eastAsia" w:ascii="仿宋_GB2312" w:hAnsi="仿宋_GB2312" w:eastAsia="仿宋_GB2312" w:cs="仿宋_GB2312"/>
          <w:kern w:val="0"/>
          <w:sz w:val="32"/>
          <w:szCs w:val="32"/>
          <w:lang w:val="en-US" w:eastAsia="zh-CN" w:bidi="ar-SA"/>
        </w:rPr>
      </w:pPr>
    </w:p>
    <w:p>
      <w:pPr>
        <w:widowControl/>
        <w:wordWrap/>
        <w:spacing w:line="560" w:lineRule="exact"/>
        <w:textAlignment w:val="auto"/>
        <w:outlineLvl w:val="9"/>
        <w:rPr>
          <w:rFonts w:hint="eastAsia" w:ascii="黑体" w:hAnsi="黑体" w:eastAsia="黑体" w:cs="黑体"/>
          <w:sz w:val="32"/>
          <w:szCs w:val="32"/>
        </w:rPr>
      </w:pPr>
    </w:p>
    <w:p>
      <w:pPr>
        <w:widowControl/>
        <w:wordWrap/>
        <w:spacing w:line="560" w:lineRule="exact"/>
        <w:textAlignment w:val="auto"/>
        <w:outlineLvl w:val="9"/>
        <w:rPr>
          <w:rFonts w:hint="eastAsia" w:ascii="黑体" w:hAnsi="黑体" w:eastAsia="黑体" w:cs="黑体"/>
          <w:sz w:val="32"/>
          <w:szCs w:val="32"/>
        </w:rPr>
      </w:pPr>
    </w:p>
    <w:p>
      <w:pPr>
        <w:widowControl/>
        <w:wordWrap/>
        <w:spacing w:line="560" w:lineRule="exact"/>
        <w:textAlignment w:val="auto"/>
        <w:outlineLvl w:val="9"/>
        <w:rPr>
          <w:rFonts w:hint="eastAsia" w:ascii="黑体" w:hAnsi="黑体" w:eastAsia="黑体" w:cs="黑体"/>
          <w:sz w:val="32"/>
          <w:szCs w:val="32"/>
        </w:rPr>
      </w:pPr>
    </w:p>
    <w:p>
      <w:pPr>
        <w:wordWrap/>
        <w:spacing w:line="560" w:lineRule="exact"/>
        <w:textAlignment w:val="auto"/>
        <w:outlineLvl w:val="9"/>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附件13</w:t>
      </w:r>
    </w:p>
    <w:p>
      <w:pPr>
        <w:widowControl/>
        <w:wordWrap/>
        <w:spacing w:line="560" w:lineRule="exact"/>
        <w:jc w:val="center"/>
        <w:textAlignment w:val="auto"/>
        <w:outlineLvl w:val="9"/>
        <w:rPr>
          <w:rFonts w:hint="eastAsia" w:ascii="宋体" w:hAnsi="宋体" w:eastAsia="宋体" w:cs="宋体"/>
          <w:b w:val="0"/>
          <w:bCs w:val="0"/>
          <w:kern w:val="0"/>
          <w:sz w:val="44"/>
          <w:szCs w:val="44"/>
        </w:rPr>
      </w:pPr>
    </w:p>
    <w:p>
      <w:pPr>
        <w:widowControl/>
        <w:wordWrap/>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养老机构（老年福利院）老年人新冠肺炎</w:t>
      </w:r>
    </w:p>
    <w:p>
      <w:pPr>
        <w:widowControl/>
        <w:wordWrap/>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防控技术方案</w:t>
      </w:r>
    </w:p>
    <w:p>
      <w:pPr>
        <w:widowControl/>
        <w:wordWrap/>
        <w:spacing w:line="560" w:lineRule="exact"/>
        <w:textAlignment w:val="auto"/>
        <w:outlineLvl w:val="9"/>
        <w:rPr>
          <w:rFonts w:ascii="仿宋" w:hAnsi="仿宋" w:eastAsia="仿宋" w:cs="仿宋"/>
          <w:kern w:val="0"/>
          <w:sz w:val="32"/>
          <w:szCs w:val="32"/>
        </w:rPr>
      </w:pPr>
    </w:p>
    <w:p>
      <w:pPr>
        <w:widowControl/>
        <w:wordWrap/>
        <w:spacing w:line="560" w:lineRule="exact"/>
        <w:ind w:firstLine="660"/>
        <w:textAlignment w:val="auto"/>
        <w:outlineLvl w:val="9"/>
        <w:rPr>
          <w:rFonts w:hint="eastAsia" w:ascii="仿宋_GB2312" w:hAnsi="仿宋_GB2312" w:eastAsia="仿宋_GB2312" w:cs="仿宋_GB2312"/>
          <w:kern w:val="0"/>
          <w:sz w:val="32"/>
          <w:szCs w:val="32"/>
        </w:rPr>
      </w:pPr>
      <w:r>
        <w:rPr>
          <w:rFonts w:hint="eastAsia" w:ascii="黑体" w:hAnsi="黑体" w:eastAsia="黑体" w:cs="仿宋"/>
          <w:kern w:val="0"/>
          <w:sz w:val="32"/>
          <w:szCs w:val="32"/>
        </w:rPr>
        <w:t>一、密切关注老年人健康状况</w:t>
      </w:r>
      <w:r>
        <w:rPr>
          <w:rFonts w:hint="eastAsia" w:ascii="仿宋" w:hAnsi="仿宋" w:eastAsia="仿宋" w:cs="仿宋"/>
          <w:kern w:val="0"/>
          <w:sz w:val="32"/>
          <w:szCs w:val="32"/>
        </w:rPr>
        <w:br w:type="textWrapping"/>
      </w:r>
      <w:r>
        <w:rPr>
          <w:rFonts w:hint="eastAsia" w:ascii="仿宋" w:hAnsi="仿宋" w:eastAsia="仿宋" w:cs="仿宋"/>
          <w:kern w:val="0"/>
          <w:sz w:val="32"/>
          <w:szCs w:val="32"/>
        </w:rPr>
        <w:t xml:space="preserve">   </w:t>
      </w:r>
      <w:r>
        <w:rPr>
          <w:rFonts w:hint="eastAsia" w:ascii="楷体_GB2312" w:hAnsi="楷体_GB2312" w:eastAsia="楷体_GB2312" w:cs="楷体_GB2312"/>
          <w:sz w:val="32"/>
          <w:szCs w:val="32"/>
        </w:rPr>
        <w:t xml:space="preserve"> </w:t>
      </w:r>
      <w:r>
        <w:rPr>
          <w:rFonts w:hint="eastAsia" w:ascii="仿宋" w:hAnsi="仿宋" w:eastAsia="仿宋" w:cs="仿宋"/>
          <w:sz w:val="32"/>
          <w:szCs w:val="32"/>
        </w:rPr>
        <w:t>（一）测量体温。每天早晚各为老年人测量1次体温（接触式体温计要做到个人专用，若不能做到个人专用，则需彻底消毒后再用。非接触式体温枪应当按照使用要求定期消毒），随时询问老年人身体情况。</w:t>
      </w:r>
      <w:r>
        <w:rPr>
          <w:rFonts w:hint="eastAsia" w:ascii="仿宋" w:hAnsi="仿宋" w:eastAsia="仿宋" w:cs="仿宋"/>
          <w:sz w:val="32"/>
          <w:szCs w:val="32"/>
        </w:rPr>
        <w:br w:type="textWrapping"/>
      </w:r>
      <w:r>
        <w:rPr>
          <w:rFonts w:hint="eastAsia" w:ascii="仿宋" w:hAnsi="仿宋" w:eastAsia="仿宋" w:cs="仿宋"/>
          <w:sz w:val="32"/>
          <w:szCs w:val="32"/>
        </w:rPr>
        <w:t xml:space="preserve">    （二）慢性疾病老年人管理。提醒慢性病长期服药老年人，要规律服药，不轻易自行换药或停药，有身体不适要及时告知护理人员。有条件的养老机构应当通过检测血压、血糖、呼吸状况、体重等方式，观察慢性病老年人身体状况，注意有无用药不足或过量的表现，以及药物不良反应（特别是体位性低血压、低血糖），预防跌倒。</w:t>
      </w:r>
      <w:r>
        <w:rPr>
          <w:rFonts w:hint="eastAsia" w:ascii="仿宋" w:hAnsi="仿宋" w:eastAsia="仿宋" w:cs="仿宋"/>
          <w:sz w:val="32"/>
          <w:szCs w:val="32"/>
        </w:rPr>
        <w:br w:type="textWrapping"/>
      </w:r>
      <w:r>
        <w:rPr>
          <w:rFonts w:hint="eastAsia" w:ascii="仿宋" w:hAnsi="仿宋" w:eastAsia="仿宋" w:cs="仿宋"/>
          <w:sz w:val="32"/>
          <w:szCs w:val="32"/>
        </w:rPr>
        <w:t xml:space="preserve">    （三）加强新冠肺炎知识宣教。告知老年人，目前针对新冠肺炎，没有确认有效的抗病毒治疗方法，切勿擅自预防性服药。</w:t>
      </w:r>
      <w:r>
        <w:rPr>
          <w:rFonts w:hint="eastAsia" w:ascii="仿宋" w:hAnsi="仿宋" w:eastAsia="仿宋" w:cs="仿宋"/>
          <w:sz w:val="32"/>
          <w:szCs w:val="32"/>
        </w:rPr>
        <w:br w:type="textWrapping"/>
      </w:r>
      <w:r>
        <w:rPr>
          <w:rFonts w:hint="eastAsia" w:ascii="仿宋_GB2312" w:hAnsi="仿宋_GB2312" w:eastAsia="仿宋_GB2312" w:cs="仿宋_GB2312"/>
          <w:kern w:val="0"/>
          <w:sz w:val="32"/>
          <w:szCs w:val="32"/>
        </w:rPr>
        <w:t xml:space="preserve">    </w:t>
      </w:r>
      <w:r>
        <w:rPr>
          <w:rFonts w:hint="eastAsia" w:ascii="黑体" w:hAnsi="黑体" w:eastAsia="黑体" w:cs="黑体"/>
          <w:kern w:val="0"/>
          <w:sz w:val="32"/>
          <w:szCs w:val="32"/>
        </w:rPr>
        <w:t>二、就医指南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老年人身体出现不适或疾病发作，养老机构应当及时与老年人和家属沟通商量，达成一致后，通过机构内医务人员处置、电话求助医疗机构、请医疗机构医生出诊、拨打120急救电话就医或由家属送医。有条件的或根据入住服务协议，由养老机构工作人员随同协助就医。</w:t>
      </w:r>
      <w:r>
        <w:rPr>
          <w:rFonts w:hint="eastAsia" w:ascii="仿宋" w:hAnsi="仿宋" w:eastAsia="仿宋" w:cs="仿宋"/>
          <w:sz w:val="32"/>
          <w:szCs w:val="32"/>
        </w:rPr>
        <w:br w:type="textWrapping"/>
      </w:r>
      <w:r>
        <w:rPr>
          <w:rFonts w:hint="eastAsia" w:ascii="仿宋" w:hAnsi="仿宋" w:eastAsia="仿宋" w:cs="仿宋"/>
          <w:sz w:val="32"/>
          <w:szCs w:val="32"/>
        </w:rPr>
        <w:t xml:space="preserve">    （一）慢性基础疾病（高血压、糖尿病等）、皮肤病、一般过敏、轻微扭伤擦伤、普通牙科治疗、常规康复等，可采取上门诊视等方式保守治疗，不建议外出就医。老年人常用药物由家属、机构通过委托取药、代购等方式解决。</w:t>
      </w:r>
      <w:r>
        <w:rPr>
          <w:rFonts w:hint="eastAsia" w:ascii="仿宋" w:hAnsi="仿宋" w:eastAsia="仿宋" w:cs="仿宋"/>
          <w:sz w:val="32"/>
          <w:szCs w:val="32"/>
        </w:rPr>
        <w:br w:type="textWrapping"/>
      </w:r>
      <w:r>
        <w:rPr>
          <w:rFonts w:hint="eastAsia" w:ascii="仿宋" w:hAnsi="仿宋" w:eastAsia="仿宋" w:cs="仿宋"/>
          <w:sz w:val="32"/>
          <w:szCs w:val="32"/>
        </w:rPr>
        <w:t xml:space="preserve">    （二）出现咳嗽、咳痰、咽痛、头痛等症状且无加重，没有流行病学史的老年人（14天内没有接触过新冠肺炎确诊患者或疑似患者、没有出入有确诊或疑似患者社区或活动场所），可在机构内按一般感冒治疗，暂不外出就医；有慢性呼吸道疾病（慢性阻塞性肺疾病、支气管哮喘等），病情稳定的老年人可在医生指导下常规用药，若病情加重危及生命则须立即联系医疗机构进行转诊。</w:t>
      </w:r>
      <w:r>
        <w:rPr>
          <w:rFonts w:hint="eastAsia" w:ascii="仿宋" w:hAnsi="仿宋" w:eastAsia="仿宋" w:cs="仿宋"/>
          <w:sz w:val="32"/>
          <w:szCs w:val="32"/>
        </w:rPr>
        <w:br w:type="textWrapping"/>
      </w:r>
      <w:r>
        <w:rPr>
          <w:rFonts w:hint="eastAsia" w:ascii="仿宋" w:hAnsi="仿宋" w:eastAsia="仿宋" w:cs="仿宋"/>
          <w:sz w:val="32"/>
          <w:szCs w:val="32"/>
        </w:rPr>
        <w:t xml:space="preserve">    （三）急性发热，如确无流行病学史，可先在机构内隔离观察，按一般感冒发热进行治疗；如机构内有条件，可完善血常规、肝肾功能、CRP等常规检查（或抽血送附近医疗机构检验）。同时咨询相关医疗机构，有必要再送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（四）急危重症患者应当及时就医。老年人一旦出现慢性病急性加重或突发急病，养老机构应当立即实施力所能及的抢救措施，同时拨打120急救电话送医，并及时通知老年人家属。</w:t>
      </w:r>
    </w:p>
    <w:p>
      <w:pPr>
        <w:widowControl/>
        <w:wordWrap/>
        <w:autoSpaceDE w:val="0"/>
        <w:adjustRightInd w:val="0"/>
        <w:snapToGrid w:val="0"/>
        <w:spacing w:line="560" w:lineRule="exact"/>
        <w:ind w:firstLine="640" w:firstLineChars="200"/>
        <w:textAlignment w:val="auto"/>
        <w:outlineLvl w:val="9"/>
        <w:rPr>
          <w:rFonts w:hint="eastAsia" w:ascii="仿宋_GB2312" w:hAnsi="仿宋_GB2312" w:eastAsia="仿宋_GB2312" w:cs="仿宋_GB2312"/>
          <w:kern w:val="0"/>
          <w:sz w:val="32"/>
          <w:szCs w:val="32"/>
        </w:rPr>
      </w:pPr>
      <w:r>
        <w:rPr>
          <w:rFonts w:hint="eastAsia" w:ascii="仿宋" w:hAnsi="仿宋" w:eastAsia="仿宋" w:cs="仿宋"/>
          <w:sz w:val="32"/>
          <w:szCs w:val="32"/>
        </w:rPr>
        <w:t>急危重症包括但不限于急性心衰、卒中、心肌梗塞、心跳呼吸骤停、急性损伤创伤、急性中毒、急性胸痛腹痛、消化道出血、肠梗阻、重症肺炎、严重腹泻脱水等疾病，以及神经、心脏、呼吸、消化、泌尿等系统的危急重情况。</w:t>
      </w:r>
      <w:r>
        <w:rPr>
          <w:rFonts w:hint="eastAsia" w:ascii="仿宋" w:hAnsi="仿宋" w:eastAsia="仿宋" w:cs="仿宋"/>
          <w:sz w:val="32"/>
          <w:szCs w:val="32"/>
        </w:rPr>
        <w:br w:type="textWrapping"/>
      </w:r>
      <w:r>
        <w:rPr>
          <w:rFonts w:hint="eastAsia" w:ascii="仿宋_GB2312" w:hAnsi="仿宋_GB2312" w:eastAsia="仿宋_GB2312" w:cs="仿宋_GB2312"/>
          <w:kern w:val="0"/>
          <w:sz w:val="32"/>
          <w:szCs w:val="32"/>
        </w:rPr>
        <w:t xml:space="preserve">    </w:t>
      </w:r>
      <w:r>
        <w:rPr>
          <w:rFonts w:hint="eastAsia" w:ascii="黑体" w:hAnsi="黑体" w:eastAsia="黑体" w:cs="黑体"/>
          <w:kern w:val="0"/>
          <w:sz w:val="32"/>
          <w:szCs w:val="32"/>
        </w:rPr>
        <w:t>三、疫情应对</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（一）老年人出现新冠肺炎可疑症状（包括发热、干咳、乏力、鼻塞、流涕、咽痛、腹泻等），不排除有流行病学史的，应当立即执行隔离观察，并及时送医疗机构排查。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被确诊为疑似病例或确诊病例的，应当立即送定点医疗机构就诊；养老机构须及时向相关部门报告，在当地卫生健康、民政部门指导下对密切接触者（接触的其他老年人及工作人员等）开展排查，实施14天隔离观察；机构开展全面消杀、规范处置个人物品等相关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（三）在医疗机构就诊后返回养老机构的老年人和陪同工作人员，应当隔离观察14天，无异常后方可入住和工作。新冠肺炎老年人治愈后需返回养老机构的，应当隔离观察14天，无异常后方可入住。</w:t>
      </w:r>
    </w:p>
    <w:p>
      <w:pPr>
        <w:wordWrap/>
        <w:spacing w:line="560" w:lineRule="exact"/>
        <w:textAlignment w:val="auto"/>
        <w:outlineLvl w:val="9"/>
        <w:rPr>
          <w:rFonts w:ascii="Calibri" w:hAnsi="Calibri" w:eastAsia="仿宋_GB2312" w:cs="Times New Roman"/>
          <w:sz w:val="32"/>
        </w:rPr>
      </w:pPr>
    </w:p>
    <w:p>
      <w:pPr>
        <w:widowControl/>
        <w:wordWrap/>
        <w:spacing w:line="560" w:lineRule="exact"/>
        <w:textAlignment w:val="auto"/>
        <w:outlineLvl w:val="9"/>
        <w:rPr>
          <w:rFonts w:hint="eastAsia" w:ascii="黑体" w:hAnsi="黑体" w:eastAsia="黑体" w:cs="黑体"/>
          <w:sz w:val="32"/>
          <w:szCs w:val="32"/>
        </w:rPr>
      </w:pPr>
    </w:p>
    <w:p>
      <w:pPr>
        <w:widowControl/>
        <w:wordWrap/>
        <w:spacing w:line="560" w:lineRule="exact"/>
        <w:textAlignment w:val="auto"/>
        <w:outlineLvl w:val="9"/>
        <w:rPr>
          <w:rFonts w:hint="eastAsia" w:ascii="黑体" w:hAnsi="黑体" w:eastAsia="黑体" w:cs="黑体"/>
          <w:sz w:val="32"/>
          <w:szCs w:val="32"/>
        </w:rPr>
      </w:pPr>
    </w:p>
    <w:p>
      <w:pPr>
        <w:widowControl/>
        <w:wordWrap/>
        <w:spacing w:line="560" w:lineRule="exact"/>
        <w:textAlignment w:val="auto"/>
        <w:outlineLvl w:val="9"/>
        <w:rPr>
          <w:rFonts w:hint="eastAsia" w:ascii="黑体" w:hAnsi="黑体" w:eastAsia="黑体" w:cs="黑体"/>
          <w:sz w:val="32"/>
          <w:szCs w:val="32"/>
        </w:rPr>
      </w:pPr>
    </w:p>
    <w:p>
      <w:pPr>
        <w:outlineLvl w:val="9"/>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附件14</w:t>
      </w:r>
    </w:p>
    <w:p>
      <w:pPr>
        <w:widowControl/>
        <w:wordWrap/>
        <w:spacing w:line="560" w:lineRule="exact"/>
        <w:textAlignment w:val="auto"/>
        <w:outlineLvl w:val="9"/>
        <w:rPr>
          <w:rFonts w:hint="eastAsia" w:ascii="宋体" w:hAnsi="宋体" w:eastAsia="宋体" w:cs="宋体"/>
          <w:b w:val="0"/>
          <w:bCs w:val="0"/>
          <w:sz w:val="44"/>
          <w:szCs w:val="44"/>
          <w:lang w:val="en-US" w:eastAsia="zh-CN"/>
        </w:rPr>
      </w:pPr>
    </w:p>
    <w:p>
      <w:pPr>
        <w:widowControl/>
        <w:wordWrap/>
        <w:spacing w:line="560" w:lineRule="exact"/>
        <w:jc w:val="center"/>
        <w:textAlignment w:val="auto"/>
        <w:outlineLvl w:val="9"/>
        <w:rPr>
          <w:rFonts w:hint="eastAsia" w:ascii="宋体" w:hAnsi="宋体" w:eastAsia="宋体" w:cs="宋体"/>
          <w:b w:val="0"/>
          <w:bCs w:val="0"/>
          <w:sz w:val="44"/>
          <w:szCs w:val="44"/>
          <w:lang w:val="en-US" w:eastAsia="zh-CN"/>
        </w:rPr>
      </w:pPr>
      <w:r>
        <w:rPr>
          <w:rFonts w:hint="eastAsia" w:ascii="宋体" w:hAnsi="宋体" w:eastAsia="宋体" w:cs="宋体"/>
          <w:b w:val="0"/>
          <w:bCs w:val="0"/>
          <w:sz w:val="44"/>
          <w:szCs w:val="44"/>
          <w:lang w:val="en-US" w:eastAsia="zh-CN"/>
        </w:rPr>
        <w:t>儿童福利院新冠肺炎防控技术方案</w:t>
      </w:r>
    </w:p>
    <w:p>
      <w:pPr>
        <w:widowControl w:val="0"/>
        <w:wordWrap/>
        <w:adjustRightInd w:val="0"/>
        <w:snapToGrid w:val="0"/>
        <w:spacing w:line="560" w:lineRule="exact"/>
        <w:ind w:left="672" w:leftChars="210" w:firstLine="433" w:firstLineChars="98"/>
        <w:jc w:val="left"/>
        <w:textAlignment w:val="auto"/>
        <w:outlineLvl w:val="9"/>
        <w:rPr>
          <w:rFonts w:ascii="黑体" w:hAnsi="黑体" w:eastAsia="黑体" w:cs="仿宋"/>
          <w:b w:val="0"/>
          <w:bCs/>
          <w:kern w:val="2"/>
          <w:sz w:val="32"/>
          <w:szCs w:val="32"/>
          <w:lang w:val="en-US" w:eastAsia="zh-CN" w:bidi="ar-SA"/>
        </w:rPr>
      </w:pPr>
      <w:r>
        <w:rPr>
          <w:rFonts w:ascii="宋体" w:hAnsi="宋体" w:eastAsia="宋体" w:cs="黑体"/>
          <w:b/>
          <w:bCs/>
          <w:kern w:val="2"/>
          <w:sz w:val="44"/>
          <w:szCs w:val="44"/>
          <w:lang w:val="en-US" w:eastAsia="zh-CN" w:bidi="ar-SA"/>
        </w:rPr>
        <w:br w:type="textWrapping"/>
      </w:r>
      <w:r>
        <w:rPr>
          <w:rFonts w:hint="eastAsia" w:ascii="黑体" w:hAnsi="黑体" w:eastAsia="黑体" w:cs="仿宋"/>
          <w:b w:val="0"/>
          <w:bCs/>
          <w:kern w:val="2"/>
          <w:sz w:val="32"/>
          <w:szCs w:val="32"/>
          <w:lang w:val="en-US" w:eastAsia="zh-CN" w:bidi="ar-SA"/>
        </w:rPr>
        <w:t>　一、卫生管理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（一）落实主体责任。儿童福利院负责人是疫情防控第一责任人，建立防控制度，组织院内护理人员、医务人员、后勤人员制定应急方案，做好相关人员的信息采集工作。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建立健康监测制度。安排专人对福利院中的工作人员和儿童进行体温监测，每日实行晨检和晚检，体温异常者或有咳嗽、乏力等症状的人员应当及时就医排查，做到“早发现、早报告、早诊断、早隔离、早治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三）加强防控知识宣教。用健康提示、张贴宣传画、视频播放等多种方式（不可聚集性学习），加强新冠肺炎防治知识科学宣传普及，引导儿童充分了解新冠肺炎防治知识，学会正确的洗手方法，养成良好卫生习惯。 </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（四）建立进出人员登记制度。在新冠肺炎流行期间，尽可能减少不必要人员的访视。所有人员进入福利院前进行体温监测，异常者不得入内；减少后勤采购人员等物资采购频次，尽量采取送货上门等方式。</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（五）发挥医务室的作用。注意配备相关药物、各类防护用品和消毒物资，如口罩、防护服、护目镜、洗手液、消毒工具、消毒剂等。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（六）鼓励开展心理健康服务。了解受疫情影响儿童的心理健康状况，疏解儿童的焦虑恐惧情绪。</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（七）合理控制人员密度。充分利用福利院内空间，合理控制居住房间、活动室、盥洗室、洗浴间、游戏区、图书阅览区、办公区等区域内护理人员和儿童数量，人与人之间保持1米以上距离。</w:t>
      </w:r>
    </w:p>
    <w:p>
      <w:pPr>
        <w:widowControl w:val="0"/>
        <w:wordWrap/>
        <w:adjustRightInd w:val="0"/>
        <w:snapToGrid w:val="0"/>
        <w:spacing w:line="560" w:lineRule="exact"/>
        <w:ind w:firstLine="640" w:firstLineChars="200"/>
        <w:jc w:val="left"/>
        <w:textAlignment w:val="auto"/>
        <w:outlineLvl w:val="9"/>
        <w:rPr>
          <w:rFonts w:ascii="黑体" w:hAnsi="黑体" w:eastAsia="黑体" w:cs="仿宋"/>
          <w:b w:val="0"/>
          <w:bCs/>
          <w:kern w:val="2"/>
          <w:sz w:val="32"/>
          <w:szCs w:val="32"/>
          <w:lang w:val="en-US" w:eastAsia="zh-CN" w:bidi="ar-SA"/>
        </w:rPr>
      </w:pPr>
      <w:r>
        <w:rPr>
          <w:rFonts w:hint="eastAsia" w:ascii="黑体" w:hAnsi="黑体" w:eastAsia="黑体" w:cs="仿宋"/>
          <w:b w:val="0"/>
          <w:bCs/>
          <w:kern w:val="2"/>
          <w:sz w:val="32"/>
          <w:szCs w:val="32"/>
          <w:lang w:val="en-US" w:eastAsia="zh-CN" w:bidi="ar-SA"/>
        </w:rPr>
        <w:t>二、预防性卫生措施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（一）通风换气。保持室内空气流通，采取切实可行的措施加强空气流通。在气温状况允许的情况下，可开门开窗。每日开窗2-3次，每次时间30分钟，同时注意保暖，避免室温改变引起儿童着凉感冒。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（二）清洁消毒。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做好物体表面和地面清洁消毒。保持室内各区域环境整洁卫生，每天定期消毒，并做好清洁消毒记录。对日常高频接触的物体表面，可用含氯消毒剂（有效氯浓度250mg/L-500mg/L）擦拭；保持地面整洁卫生，可用含氯消毒剂（有效氯浓度250mg/L-500mg/L）湿式拖布拖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2.呕吐物处理。当发现人呕吐物时，应当立即用一次性吸水材料加足量消毒液或有效的消毒干巾对呕吐物进行覆盖消毒，清除呕吐物后，再使用季铵盐类消毒剂或含氯消毒剂进行物体表面消毒处理。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3.餐（饮）具清洁消毒。餐（饮）具去残渣、清洗后，煮沸或流通蒸汽消毒15分钟；或采用热力消毒柜等消毒方式；或采用有效氯含量为250 mg/L溶液，浸泡消毒30分钟，消毒后应当将残留消毒剂冲净。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4.纺织品的清洁消毒。保持衣服、被褥、床单等纺织物清洁，定期洗涤。如需消毒处理，可用流通蒸汽或煮沸消毒30分钟，或先用含有效氯500mg/L的消毒液浸泡30分钟，然后常规清洗。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5.公共卫生间、洗浴间清洁消毒。对福利院内公共卫生间、洗浴间（更衣室、洗浴室）的卫生洁具每日消毒，可用含有效氯500mg/L的消毒剂浸泡或擦拭，作用30分钟后，清水冲洗待用。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（三）餐厅和食堂防护。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1.保持空气流通，以清洁为主，预防性消毒为辅。</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2.采取有效的分流措施，鼓励错峰用餐，保持1米以上距离，避免人员密集和聚餐活动。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3.餐厅每日消毒3次，餐桌椅使用后进行消毒。食饮具一人一用一消毒。</w:t>
      </w:r>
    </w:p>
    <w:p>
      <w:pPr>
        <w:widowControl w:val="0"/>
        <w:wordWrap/>
        <w:adjustRightInd w:val="0"/>
        <w:snapToGrid w:val="0"/>
        <w:spacing w:line="560" w:lineRule="exact"/>
        <w:ind w:firstLine="640" w:firstLineChars="200"/>
        <w:jc w:val="left"/>
        <w:textAlignment w:val="auto"/>
        <w:outlineLvl w:val="9"/>
        <w:rPr>
          <w:rFonts w:ascii="黑体" w:hAnsi="黑体" w:eastAsia="黑体" w:cs="仿宋"/>
          <w:b w:val="0"/>
          <w:bCs/>
          <w:kern w:val="2"/>
          <w:sz w:val="32"/>
          <w:szCs w:val="32"/>
          <w:lang w:val="en-US" w:eastAsia="zh-CN" w:bidi="ar-SA"/>
        </w:rPr>
      </w:pPr>
      <w:r>
        <w:rPr>
          <w:rFonts w:hint="eastAsia" w:ascii="黑体" w:hAnsi="黑体" w:eastAsia="黑体" w:cs="仿宋"/>
          <w:b w:val="0"/>
          <w:bCs/>
          <w:kern w:val="2"/>
          <w:sz w:val="32"/>
          <w:szCs w:val="32"/>
          <w:lang w:val="en-US" w:eastAsia="zh-CN" w:bidi="ar-SA"/>
        </w:rPr>
        <w:t>三、个人防护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（一）护理人员个人防护。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1.加强手卫生。护理人员在上岗期间应当经常洗手，或用有效的速干手消毒剂揉搓双手；有肉眼可见污染物时，应当使用洗手液在流动水下洗手。在工作中避免用手或手套触碰眼睛。</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2.佩戴口罩。护理人员应当佩戴防护口罩，在护理儿童和婴幼儿的时候不得摘下口罩。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3.保持良好卫生习惯。不要对着儿童和婴幼儿打喷嚏、呼气。如果咳嗽和打喷嚏时，要用纸巾捂住口鼻，如果来不及就用手肘捂住口鼻，然后再去清洗手肘。另外，先丢弃捂住口鼻的纸巾，再洗手。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（二）儿童个人防护。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1.尽量佩戴口罩。引导儿童在集体活动时正确佩戴口罩。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2.儿童出现以下情况必须洗手：吃东西前、上厕所前后、从户外进入室内、玩玩具前后、玩耍后、擤鼻涕后、打喷嚏用手遮掩口鼻后、手弄脏后等。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3.打喷嚏和咳嗽时应当用纸巾或手肘部位遮蔽口鼻，将打喷嚏和咳嗽时使用过的纸巾放入有盖的垃圾桶内，打喷嚏和咳嗽后应当用肥皂或洗手液彻底清洗双手。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（三）婴幼儿的卫生防护。婴幼儿主要是以被动防护为主，即靠护理人员的防护来间接保护婴幼儿。</w:t>
      </w:r>
    </w:p>
    <w:p>
      <w:pPr>
        <w:widowControl w:val="0"/>
        <w:wordWrap/>
        <w:adjustRightInd w:val="0"/>
        <w:snapToGrid w:val="0"/>
        <w:spacing w:line="560" w:lineRule="exact"/>
        <w:ind w:firstLine="640" w:firstLineChars="200"/>
        <w:jc w:val="left"/>
        <w:textAlignment w:val="auto"/>
        <w:outlineLvl w:val="9"/>
        <w:rPr>
          <w:rFonts w:ascii="黑体" w:hAnsi="黑体" w:eastAsia="黑体" w:cs="仿宋"/>
          <w:b w:val="0"/>
          <w:bCs/>
          <w:kern w:val="2"/>
          <w:sz w:val="32"/>
          <w:szCs w:val="32"/>
          <w:lang w:val="en-US" w:eastAsia="zh-CN" w:bidi="ar-SA"/>
        </w:rPr>
      </w:pPr>
      <w:r>
        <w:rPr>
          <w:rFonts w:hint="eastAsia" w:ascii="黑体" w:hAnsi="黑体" w:eastAsia="黑体" w:cs="仿宋"/>
          <w:b w:val="0"/>
          <w:bCs/>
          <w:kern w:val="2"/>
          <w:sz w:val="32"/>
          <w:szCs w:val="32"/>
          <w:lang w:val="en-US" w:eastAsia="zh-CN" w:bidi="ar-SA"/>
        </w:rPr>
        <w:t>四、防控措施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（一）一般措施。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1.设立隔离观察区域。当护理人员、儿童出现发热、乏力、干咳等可疑症状时，及时到该区域进行暂时隔离，再按照相关规范要求进行处理。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2.加强健康监测。护理人员应当注意自身健康状况监测，福利院应当合理安排工作人员轮休。</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3.加强室外环境整治。加强对院内公共区域清扫力度，彻底清除院内以及角落散落的堆积物和垃圾，做到日产日清，卫生无死角。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4.加强物体表面清洁消毒。应当保持居住房间、食堂或餐厅、澡堂、公共活动区等场所环境卫生整洁，每日定期消毒并记录。</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5.加强重点场所地面清洁消毒。应当加强居住房间、食堂或餐厅、澡堂、公共活动区等场所地面的清洁，每日定期消毒并记录。可使用有效氯500mg/L的含氯消毒液擦拭消毒。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6.加强垃圾分类管理，及时收集清运，并做好垃圾盛装容器的清洁，可用有效氯500mg/L的含氯消毒剂定期对其进行消毒处理。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sz w:val="32"/>
          <w:szCs w:val="32"/>
          <w:lang w:val="en-US" w:eastAsia="zh-CN"/>
        </w:rPr>
        <w:tab/>
      </w:r>
      <w:r>
        <w:rPr>
          <w:rFonts w:hint="eastAsia" w:ascii="仿宋" w:hAnsi="仿宋" w:eastAsia="仿宋" w:cs="仿宋"/>
          <w:sz w:val="32"/>
          <w:szCs w:val="32"/>
          <w:lang w:val="en-US" w:eastAsia="zh-CN"/>
        </w:rPr>
        <w:t>发现病例。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1.护理人员和儿童出现新冠肺炎可疑症状（包括发热、干咳、乏力、鼻塞、流涕、咽痛、腹泻等），不排除有流行病学史的，应当立即在隔离区执行隔离观察。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被确诊为疑似病例或确诊病例的，应当立即送定点医疗机构就诊；福利机构须及时向相关部门报告，在当地卫生健康、民政部门指导下对密切接触者开展排查，实施14天隔离观察；机构开展全面消杀、规范处置个人物品等相关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3.在医疗机构就诊后返回福利机构的儿童及陪同工作人员，应当隔离观察14天，无异常后方可入住和工作。新冠肺炎儿童治愈后需返回福利机构的，应当隔离观察14天，无异常后方可入住。</w:t>
      </w:r>
    </w:p>
    <w:p>
      <w:pPr>
        <w:widowControl w:val="0"/>
        <w:wordWrap/>
        <w:adjustRightInd w:val="0"/>
        <w:snapToGrid w:val="0"/>
        <w:spacing w:line="560" w:lineRule="exact"/>
        <w:ind w:firstLine="640" w:firstLineChars="200"/>
        <w:jc w:val="left"/>
        <w:textAlignment w:val="auto"/>
        <w:outlineLvl w:val="9"/>
        <w:rPr>
          <w:rFonts w:ascii="仿宋" w:hAnsi="仿宋" w:eastAsia="仿宋" w:cs="宋体"/>
          <w:b w:val="0"/>
          <w:bCs/>
          <w:kern w:val="0"/>
          <w:sz w:val="32"/>
          <w:szCs w:val="32"/>
          <w:lang w:val="en-US" w:eastAsia="zh-CN" w:bidi="ar-SA"/>
        </w:rPr>
      </w:pPr>
      <w:r>
        <w:rPr>
          <w:rFonts w:hint="eastAsia" w:ascii="仿宋" w:hAnsi="仿宋" w:eastAsia="仿宋" w:cs="仿宋"/>
          <w:b w:val="0"/>
          <w:bCs/>
          <w:kern w:val="2"/>
          <w:sz w:val="32"/>
          <w:szCs w:val="32"/>
          <w:lang w:val="en-US" w:eastAsia="zh-CN" w:bidi="ar-SA"/>
        </w:rPr>
        <w:t>　</w:t>
      </w: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ordWrap/>
        <w:spacing w:line="560" w:lineRule="exact"/>
        <w:textAlignment w:val="auto"/>
        <w:outlineLvl w:val="9"/>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附件15</w:t>
      </w:r>
    </w:p>
    <w:p>
      <w:pPr>
        <w:widowControl/>
        <w:wordWrap/>
        <w:spacing w:line="560" w:lineRule="exact"/>
        <w:textAlignment w:val="auto"/>
        <w:outlineLvl w:val="9"/>
        <w:rPr>
          <w:rFonts w:hint="eastAsia" w:ascii="宋体" w:hAnsi="宋体" w:eastAsia="宋体" w:cs="宋体"/>
          <w:b w:val="0"/>
          <w:bCs w:val="0"/>
          <w:sz w:val="44"/>
          <w:szCs w:val="44"/>
          <w:lang w:val="en-US" w:eastAsia="zh-CN"/>
        </w:rPr>
      </w:pPr>
    </w:p>
    <w:p>
      <w:pPr>
        <w:widowControl/>
        <w:wordWrap/>
        <w:spacing w:line="560" w:lineRule="exact"/>
        <w:jc w:val="center"/>
        <w:textAlignment w:val="auto"/>
        <w:outlineLvl w:val="9"/>
        <w:rPr>
          <w:rFonts w:hint="eastAsia" w:ascii="宋体" w:hAnsi="宋体" w:eastAsia="宋体" w:cs="宋体"/>
          <w:b w:val="0"/>
          <w:bCs w:val="0"/>
          <w:sz w:val="44"/>
          <w:szCs w:val="44"/>
          <w:lang w:val="en-US" w:eastAsia="zh-CN"/>
        </w:rPr>
      </w:pPr>
      <w:r>
        <w:rPr>
          <w:rFonts w:hint="eastAsia" w:ascii="宋体" w:hAnsi="宋体" w:eastAsia="宋体" w:cs="宋体"/>
          <w:b w:val="0"/>
          <w:bCs w:val="0"/>
          <w:sz w:val="44"/>
          <w:szCs w:val="44"/>
          <w:lang w:val="en-US" w:eastAsia="zh-CN"/>
        </w:rPr>
        <w:t>精神卫生医疗机构新冠肺炎防控技术方案</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Times New Roman"/>
          <w:sz w:val="32"/>
          <w:szCs w:val="32"/>
        </w:rPr>
      </w:pPr>
    </w:p>
    <w:p>
      <w:pPr>
        <w:wordWrap/>
        <w:spacing w:line="560" w:lineRule="exact"/>
        <w:ind w:left="640" w:leftChars="200" w:firstLine="217" w:firstLineChars="68"/>
        <w:textAlignment w:val="auto"/>
        <w:outlineLvl w:val="9"/>
        <w:rPr>
          <w:rFonts w:ascii="黑体" w:hAnsi="黑体" w:eastAsia="黑体"/>
          <w:b w:val="0"/>
          <w:bCs w:val="0"/>
          <w:sz w:val="32"/>
          <w:szCs w:val="48"/>
        </w:rPr>
      </w:pPr>
      <w:r>
        <w:rPr>
          <w:rFonts w:hint="eastAsia" w:ascii="黑体" w:hAnsi="黑体" w:eastAsia="黑体"/>
          <w:b w:val="0"/>
          <w:bCs w:val="0"/>
          <w:sz w:val="32"/>
          <w:szCs w:val="48"/>
        </w:rPr>
        <w:t>一、卫生管理</w:t>
      </w:r>
      <w:r>
        <w:rPr>
          <w:rFonts w:ascii="黑体" w:hAnsi="黑体" w:eastAsia="黑体"/>
          <w:b w:val="0"/>
          <w:bCs w:val="0"/>
          <w:sz w:val="32"/>
          <w:szCs w:val="48"/>
        </w:rPr>
        <w:t>要求</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1.制定新冠肺炎疫情期间门诊、住院诊疗相关应急预案与工作流程，制定院内感染应对预案，储备防护用品和消毒物资。</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与当地具有新冠肺炎诊疗能力的综合性医疗机构建立联络会诊机制；精神专科医院设立观察隔离病区，综合医院精神科设置应急隔离病室，新入院的精神障碍患者在此病区/病室观察14天后再转入普通病区/病室。有条件的机构，设立发热病区，在院感专家的指导下，改造门诊和病房隔离区，科学设置医务人员和患者通道及医疗垃圾转运通道，降低交叉感染风险。</w:t>
      </w:r>
    </w:p>
    <w:p>
      <w:pPr>
        <w:wordWrap/>
        <w:spacing w:line="560" w:lineRule="exact"/>
        <w:ind w:firstLine="640" w:firstLineChars="200"/>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3.开展新冠肺炎防控知识全员培训，掌握新冠肺炎的临床特征、诊断标准、治疗原则和防护措施，及时发现患者并转介到定点医院治疗，为定点医院提供精神科联络会诊工作，做到早隔离、早诊断、早治疗。</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4.采取严格的门诊和住院限制措施，科学有序开展医疗工作，尽量减少门诊患者复诊次数，并尽量缩短住院时间。减少并严格管理医院出入口，暂停家属探视，限制陪诊人员数量。</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5.各部门密切协作，落实院内感染各项防范措施，确保消毒隔离和防护措施落实到位，所有区域均要注意环境卫生和通风换气，做好做实病区清洁和消毒管理，指定专人进行督导检查。</w:t>
      </w:r>
    </w:p>
    <w:p>
      <w:pPr>
        <w:pStyle w:val="18"/>
        <w:shd w:val="clear" w:color="auto" w:fill="FFFFFF"/>
        <w:wordWrap/>
        <w:spacing w:before="0" w:beforeAutospacing="0" w:after="0" w:afterAutospacing="0" w:line="560" w:lineRule="exact"/>
        <w:ind w:firstLine="640" w:firstLineChars="200"/>
        <w:jc w:val="both"/>
        <w:textAlignment w:val="auto"/>
        <w:outlineLvl w:val="9"/>
        <w:rPr>
          <w:rFonts w:ascii="黑体" w:hAnsi="黑体" w:eastAsia="黑体" w:cs="Times New Roman"/>
          <w:sz w:val="32"/>
          <w:szCs w:val="32"/>
        </w:rPr>
      </w:pPr>
      <w:r>
        <w:rPr>
          <w:rFonts w:hint="eastAsia" w:ascii="黑体" w:hAnsi="黑体" w:eastAsia="黑体"/>
          <w:sz w:val="32"/>
          <w:szCs w:val="32"/>
        </w:rPr>
        <w:t>二</w:t>
      </w:r>
      <w:r>
        <w:rPr>
          <w:rFonts w:ascii="黑体" w:hAnsi="黑体" w:eastAsia="黑体"/>
          <w:sz w:val="32"/>
          <w:szCs w:val="32"/>
        </w:rPr>
        <w:t>、预防性卫生措施</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加强诊疗环境的通风换气，可采取排风（包括自然通风和机械排风）措施，保持室内空气流通。每日通风2～3次，每次不少于30分钟，并根据气候条件适时调节；或安装排风设备，加强排风；也可使用合法有效的循环风空气消毒机。</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加强院区和人员管理，在医院入口处设置非接触式测温仪，在门诊大厅、电梯间、候诊室等人员较为密集的场所，放置速干手消毒剂。就诊者、陪诊人员及相关人员进入门诊诊疗区域前均须佩戴口罩，同时加强手卫生。</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3.加强住院患者，特别是严重精神障碍患者的管理治疗和照护，尽量减少外出活动，降低冲动行为发生的风险。</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加强住院患者的饮食管理，病房采用送餐制。餐（饮）具应当一人一具一用一消毒，餐（饮）具去残渣、清洗后，煮沸或流通蒸汽消毒15分钟；或采用热力消毒柜等消毒方式；或采用有效氯浓度250mg/L含氯消毒剂溶液，浸泡消毒30分钟，消毒后应当将残留消毒剂冲净。</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门（急）诊的医务人员接诊不同患者时应当加强手卫生，严格洗手和/或手消毒。可选用含醇速干手消毒剂或醇类复配速干手消毒剂，或直接用75%乙醇进行擦拭消毒；醇类过敏者，可选择季铵盐类等有效的非醇类手消毒剂；特殊条件下，也可使用3%过氧化氢消毒剂、0.5%碘伏或0.05%含氯消毒剂等擦拭或浸泡双手，并适当延长消毒作用时间。有肉眼可见污染物时应当先使用洗手液在流动水下洗手，然后按上述方法消毒。</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6.新冠肺炎流行期间，所有诊疗用品、物体表面和环境等均应当加强日常清洁消毒。尽量选择一次性诊疗用品，非一次性诊疗用品应当首选压力蒸汽灭菌，不耐热物品可选择化学消毒剂或低温灭菌设备进行消毒或灭菌；环境物体表面可选择含氯消毒剂、二氧化氯等消毒剂擦拭、喷洒或浸泡消毒。 </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7.加强医院感染管理与监测。对医务人员及后勤人员开展新冠肺炎诊疗、传染病分级防护、手卫生、医疗垃圾处理、环境卫生和消毒隔离等医院感染知识的系统培训。</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8.加强重点人群管理（包括物业、保安、食堂人员），与相关服务企业建立联防联控责任，严格管理派遣服务人员，规范手卫生、环境保洁和消毒操作流程。</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9.指导基层组织做好居家严重精神障碍患者的管理治疗和社区照护，对在封闭管理区居住的患者，采取送药上门、网络诊疗等方式，保障患者居家治疗。对于出现明显精神症状、情绪暴躁、或行为冲动等病情不稳定患者，有条件的要及时收治到隔离病区/病室，没有条件的要及时送至定点医院。</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黑体" w:hAnsi="黑体" w:eastAsia="黑体"/>
          <w:sz w:val="32"/>
          <w:szCs w:val="32"/>
        </w:rPr>
      </w:pPr>
      <w:r>
        <w:rPr>
          <w:rFonts w:hint="eastAsia" w:ascii="黑体" w:hAnsi="黑体" w:eastAsia="黑体"/>
          <w:sz w:val="32"/>
          <w:szCs w:val="32"/>
        </w:rPr>
        <w:t>三、个人防护</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隔离病区/病室工作人员应当加强个人防护，严格评估并采取相应的防护等级。穿戴相应的工作服、一次性工作帽、一次性手套、医用一次性防护服、医用防护口罩或动力送风过滤式呼吸器、防护面屏或护目镜、工作鞋或胶靴、防水靴套等。</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2.其他工作医护人员需做好标准预防，严格做好手卫生，尽量避免与患者近距离接触。</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3.严格按照“两前三后”的指征做好手卫生，用速干手消毒剂揉搓双手；有肉眼可见污染物时，先用洗手液在流动水下洗手后再进行手消毒，洗手严格按照“六步洗手法”操作进行。</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4.科学排班，避免过度劳累，杜绝带病工作；密切注意自身健康状况，出现不适及时采取应对措施，并及时隔离和就医。</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黑体" w:hAnsi="黑体" w:eastAsia="黑体"/>
          <w:sz w:val="32"/>
          <w:szCs w:val="32"/>
        </w:rPr>
      </w:pPr>
      <w:r>
        <w:rPr>
          <w:rFonts w:hint="eastAsia" w:ascii="黑体" w:hAnsi="黑体" w:eastAsia="黑体"/>
          <w:sz w:val="32"/>
          <w:szCs w:val="32"/>
        </w:rPr>
        <w:t>四、疫情防控策略</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1.成立疫情防控领导小组。党政主要负责人任组长，其他院领导任副组长，成员包括各相关职能部门负责人。负责领导、组织、协调院内新冠肺炎疫情防控的各项工作。</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2.细化防控方案，加强就诊患者风险评估，调整常规诊疗服务，按照岗位风险和防护标准，严格细化医务人员分级防护和环境、物表消毒等防控方案。</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3.根据现状，制定应急预案，对病房可能发生新冠肺炎疑似病例的情况，制定《新型冠状病毒肺炎疑似病例应急处置方案》，并进行实操演练，确保各环节衔接通畅，及时对可疑病例进行有效研判、处置与转运。 </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4.对新入院患者应当进行门诊筛查，详细询问新冠肺炎流行病学接触史，做好相关检查，对新入院患者，设置隔离观察病房，并制定相关工作的制度和规范。</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对住院的精神障碍患者发现有疑似或者确诊新冠肺炎的，应当立即采取隔离措施，将患者转诊到定点医院治疗，并及时向当地卫生健康行政部门报告。对暂时无法转出到定点医院的确诊患者，精神卫生医疗机构应当立即设置发热病区，请具有新冠肺炎诊疗能力的综合性医疗机构派员会诊。同时，精神卫生医疗机构应当立即采取措施，隔离密切接触的医务人员和患者医学观察14天，并彻底消毒病房。</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黑体" w:hAnsi="黑体" w:eastAsia="黑体"/>
          <w:sz w:val="32"/>
          <w:szCs w:val="32"/>
        </w:rPr>
      </w:pPr>
      <w:r>
        <w:rPr>
          <w:rFonts w:hint="eastAsia" w:ascii="黑体" w:hAnsi="黑体" w:eastAsia="黑体"/>
          <w:sz w:val="32"/>
          <w:szCs w:val="32"/>
        </w:rPr>
        <w:t>五、疫情防控措施</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加强门诊入口管理。设立门诊入口唯一通道，门诊入口和出口分列，工作人员和就诊人员通道分列。就诊者、陪诊人员及相关人员进入门诊诊疗区域前均须佩戴口罩和配合测量体温。有发热或呼吸道症状的陪同人员，引导至发热门诊就诊（如有），或建议去当地定点医疗机构发热门诊就诊。</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严格预检分诊制度。门诊应当设置独立的预检分诊台，就诊患者进行手卫生和打喷嚏的健康宣教，就诊过程要求佩戴口腔，避免人群聚集。预检护士须询问所有就诊者的新冠肺炎相关流行病学史，同时询问是否有咳嗽、乏力、肌痛、腹泻等临床症状。无发热、临床症状及相关流行病学史的患者，在合理防护基础上，按门诊常规流程就诊。</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设立隔离诊室。疫情期间建议设立隔离诊室，用于满足有发热或流行病学重点监控对象的患者隔离和救治需要，隔离区域及诊室须与其他普通诊室区域相区分，设置从预检至隔离诊室的独立通道，避免穿过人群相对密集的候诊区。完成诊疗后由门诊部按照医院感染要求对隔离诊室及通道进行清洁消毒，医疗废物按规定处理。</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4.设置隔离病区/病室。设置观察隔离病区/病室，有条件的医院建议设置应急隔离病区，用于新入院患者的观察与隔离，建立相关工作制度及流程，备有充足的应对急性呼吸道传染病的消毒和防护用品。</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5.加强病房管理，严格把握患者住院适应症，尽量缩短住院时间。疫情期间暂停现场探视，有条件的医院暂停病房医生出诊，减少交叉感染的风险。原则上不设陪护遵守医院规定每日进行健康监测。</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6.复诊、随访可以适当调整时限，或鼓励采用互联网医院等远程诊治途径。对于病情稳定的患者，适当延长处方药物时间，最长可开具3个月药量。</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7.疑似或确诊新冠肺炎的精神障碍患者须收治在所在地的定点医疗机构，精神病医院应当配合提供相应的联络会诊服务。</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kern w:val="2"/>
          <w:sz w:val="32"/>
          <w:szCs w:val="32"/>
          <w:lang w:val="en-US" w:eastAsia="zh-CN" w:bidi="ar-SA"/>
        </w:rPr>
        <w:t>8.出现疑似或确诊新冠肺炎的精神障碍患者所在精神病医院应当进行终末消毒，由医疗机构安排专人进行，疾病预防控制机构做好技术指导。非专业人员开展消毒工作前应当接受当地疾病预防控制机构专业培训，采取正确的消毒方法并做好个人防护。</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wordWrap/>
        <w:adjustRightInd/>
        <w:snapToGrid/>
        <w:spacing w:line="560" w:lineRule="exact"/>
        <w:jc w:val="center"/>
        <w:textAlignment w:val="auto"/>
        <w:outlineLvl w:val="0"/>
        <w:rPr>
          <w:rFonts w:hint="eastAsia"/>
          <w:sz w:val="44"/>
          <w:szCs w:val="44"/>
        </w:rPr>
      </w:pPr>
      <w:bookmarkStart w:id="399" w:name="_Toc9080"/>
      <w:r>
        <w:rPr>
          <w:rFonts w:hint="eastAsia"/>
          <w:sz w:val="44"/>
          <w:szCs w:val="44"/>
        </w:rPr>
        <w:t>国务院应对新型冠状病毒肺炎疫情联防联控机制关于印发公众科学戴口罩指引</w:t>
      </w:r>
      <w:bookmarkEnd w:id="399"/>
    </w:p>
    <w:p>
      <w:pPr>
        <w:wordWrap/>
        <w:adjustRightInd/>
        <w:snapToGrid/>
        <w:spacing w:line="560" w:lineRule="exact"/>
        <w:jc w:val="center"/>
        <w:textAlignment w:val="auto"/>
        <w:outlineLvl w:val="0"/>
        <w:rPr>
          <w:rFonts w:hint="eastAsia"/>
          <w:sz w:val="44"/>
          <w:szCs w:val="44"/>
        </w:rPr>
      </w:pPr>
      <w:bookmarkStart w:id="400" w:name="_Toc29945"/>
      <w:r>
        <w:rPr>
          <w:rFonts w:hint="eastAsia"/>
          <w:sz w:val="44"/>
          <w:szCs w:val="44"/>
        </w:rPr>
        <w:t>的通知</w:t>
      </w:r>
      <w:bookmarkEnd w:id="400"/>
    </w:p>
    <w:p>
      <w:pPr>
        <w:wordWrap/>
        <w:adjustRightInd/>
        <w:snapToGrid/>
        <w:spacing w:line="560" w:lineRule="exact"/>
        <w:jc w:val="center"/>
        <w:textAlignment w:val="auto"/>
        <w:rPr>
          <w:rFonts w:hint="eastAsia"/>
          <w:sz w:val="44"/>
          <w:szCs w:val="44"/>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84848"/>
          <w:spacing w:val="0"/>
          <w:sz w:val="32"/>
          <w:szCs w:val="32"/>
          <w:u w:val="none"/>
        </w:rPr>
      </w:pPr>
      <w:r>
        <w:rPr>
          <w:rFonts w:hint="eastAsia" w:ascii="楷体" w:hAnsi="楷体" w:eastAsia="楷体" w:cs="楷体"/>
          <w:i w:val="0"/>
          <w:caps w:val="0"/>
          <w:color w:val="484848"/>
          <w:spacing w:val="0"/>
          <w:sz w:val="32"/>
          <w:szCs w:val="32"/>
          <w:u w:val="none"/>
        </w:rPr>
        <w:t>联防联控机制发〔2020〕33号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各省、自治区、直辖市及新疆生产建设兵团应对新型冠状病毒肺炎疫情联防联控机制（领导小组、指挥部）：</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根据当前防控形势和全面有序恢复正常生产生活秩序需要，我们组织编制了《公众科学戴口罩指引》。本指引从普通公众、特定场所人员、重点人员以及职业暴露人员进行分类，并对不同场景下戴口罩提出科学建议。现印发给你们，请参照执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国务院应对新型冠状病毒肺炎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疫情联防联控机制 </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2020年3月17日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rPr>
          <w:rStyle w:val="23"/>
          <w:rFonts w:ascii="微软雅黑" w:hAnsi="微软雅黑" w:eastAsia="微软雅黑" w:cs="微软雅黑"/>
          <w:i w:val="0"/>
          <w:caps w:val="0"/>
          <w:color w:val="484848"/>
          <w:spacing w:val="0"/>
          <w:sz w:val="44"/>
          <w:szCs w:val="44"/>
          <w:u w:val="none"/>
        </w:rPr>
      </w:pPr>
      <w:r>
        <w:rPr>
          <w:rStyle w:val="23"/>
          <w:rFonts w:ascii="微软雅黑" w:hAnsi="微软雅黑" w:eastAsia="微软雅黑" w:cs="微软雅黑"/>
          <w:i w:val="0"/>
          <w:caps w:val="0"/>
          <w:color w:val="484848"/>
          <w:spacing w:val="0"/>
          <w:sz w:val="44"/>
          <w:szCs w:val="44"/>
          <w:u w:val="none"/>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宋体" w:hAnsi="宋体" w:eastAsia="宋体" w:cs="宋体"/>
          <w:b w:val="0"/>
          <w:bCs/>
          <w:i w:val="0"/>
          <w:caps w:val="0"/>
          <w:color w:val="484848"/>
          <w:spacing w:val="0"/>
          <w:sz w:val="44"/>
          <w:szCs w:val="44"/>
          <w:u w:val="none"/>
        </w:rPr>
      </w:pPr>
      <w:r>
        <w:rPr>
          <w:rStyle w:val="23"/>
          <w:rFonts w:hint="eastAsia" w:ascii="宋体" w:hAnsi="宋体" w:eastAsia="宋体" w:cs="宋体"/>
          <w:b w:val="0"/>
          <w:bCs/>
          <w:i w:val="0"/>
          <w:caps w:val="0"/>
          <w:color w:val="484848"/>
          <w:spacing w:val="0"/>
          <w:sz w:val="44"/>
          <w:szCs w:val="44"/>
          <w:u w:val="none"/>
        </w:rPr>
        <w:t>公众科学戴口罩指引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科学戴口罩，对于新冠肺炎、流感等呼吸道传染病具有预防作用，既保护自己，又有益于公众健康。目前，在抗击新冠肺炎疫情形势下，为引导公众科学戴口罩，有效防控疫情，保护公众健康，特提出以下指引。  </w:t>
      </w:r>
      <w:r>
        <w:rPr>
          <w:rFonts w:hint="eastAsia" w:ascii="仿宋" w:hAnsi="仿宋" w:eastAsia="仿宋" w:cs="仿宋"/>
          <w:i w:val="0"/>
          <w:caps w:val="0"/>
          <w:color w:val="484848"/>
          <w:spacing w:val="0"/>
          <w:sz w:val="32"/>
          <w:szCs w:val="32"/>
          <w:u w:val="none"/>
        </w:rPr>
        <w:br w:type="textWrapping"/>
      </w:r>
      <w:r>
        <w:rPr>
          <w:rFonts w:ascii="黑体" w:hAnsi="宋体" w:eastAsia="黑体" w:cs="黑体"/>
          <w:i w:val="0"/>
          <w:caps w:val="0"/>
          <w:color w:val="484848"/>
          <w:spacing w:val="0"/>
          <w:sz w:val="32"/>
          <w:szCs w:val="32"/>
          <w:u w:val="none"/>
        </w:rPr>
        <w:t>　　一、普通公众</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（一）居家、户外，无人员聚集、通风良好。</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防护建议：不戴口罩。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（二）处于人员密集场所，如办公、购物、餐厅、会议室、车间等；或乘坐厢式电梯、公共交通工具等。</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防护建议：在中、低风险地区，应随身备用口罩（一次性使用医用口罩或医用外科口罩），在与其他人近距离接触（小于等于1米）时戴口罩。在高风险地区，戴一次性使用医用口罩。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（三）对于咳嗽或打喷嚏等感冒症状者。</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防护建议：戴一次性使用医用口罩或医用外科口罩。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（四）对于与居家隔离、出院康复人员共同生活的人员。</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防护建议：戴一次性使用医用口罩或医用外科口罩。</w:t>
      </w:r>
      <w:r>
        <w:rPr>
          <w:rFonts w:hint="eastAsia" w:ascii="仿宋" w:hAnsi="仿宋" w:eastAsia="仿宋" w:cs="仿宋"/>
          <w:i w:val="0"/>
          <w:caps w:val="0"/>
          <w:color w:val="484848"/>
          <w:spacing w:val="0"/>
          <w:sz w:val="32"/>
          <w:szCs w:val="32"/>
          <w:u w:val="none"/>
        </w:rPr>
        <w:br w:type="textWrapping"/>
      </w:r>
      <w:r>
        <w:rPr>
          <w:rFonts w:hint="eastAsia" w:ascii="黑体" w:hAnsi="宋体" w:eastAsia="黑体" w:cs="黑体"/>
          <w:i w:val="0"/>
          <w:caps w:val="0"/>
          <w:color w:val="484848"/>
          <w:spacing w:val="0"/>
          <w:sz w:val="32"/>
          <w:szCs w:val="32"/>
          <w:u w:val="none"/>
        </w:rPr>
        <w:t>　　二、特定场所人员</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（一）处于人员密集的医院、汽车站、火车站、地铁站、机场、超市、餐馆、公共交通工具以及社区和单位进出口等场所。</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防护建议：在中、低风险地区，工作人员戴一次性使用医用口罩或医用外科口罩。在高风险地区，工作人员戴医用外科口罩或符合KN95/N95及以上级别的防护口罩。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（二）在监狱、养老院、福利院、精神卫生医疗机构，以及学校的教室、工地宿舍等人员密集场所。</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在中、低风险地区，日常应随身备用口罩（一次性使用医用口罩或医用外科口罩），在人员聚集或与其他人近距离接触（小于等于1米）时戴口罩。在高风险地区，工作人员戴医用外科口罩或符合KN95/N95及以上级别的防护口罩；其他人员戴一次性使用医用口罩。</w:t>
      </w:r>
      <w:r>
        <w:rPr>
          <w:rFonts w:hint="eastAsia" w:ascii="仿宋" w:hAnsi="仿宋" w:eastAsia="仿宋" w:cs="仿宋"/>
          <w:i w:val="0"/>
          <w:caps w:val="0"/>
          <w:color w:val="484848"/>
          <w:spacing w:val="0"/>
          <w:sz w:val="32"/>
          <w:szCs w:val="32"/>
          <w:u w:val="none"/>
        </w:rPr>
        <w:br w:type="textWrapping"/>
      </w:r>
      <w:r>
        <w:rPr>
          <w:rFonts w:hint="eastAsia" w:ascii="黑体" w:hAnsi="宋体" w:eastAsia="黑体" w:cs="黑体"/>
          <w:i w:val="0"/>
          <w:caps w:val="0"/>
          <w:color w:val="484848"/>
          <w:spacing w:val="0"/>
          <w:sz w:val="32"/>
          <w:szCs w:val="32"/>
          <w:u w:val="none"/>
        </w:rPr>
        <w:t>　　三、重点人员</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新型冠状病毒肺炎疑似病例、确诊病例和无症状感染者；新型冠状病毒肺炎密切接触者；入境人员(从入境开始到隔离结束)。</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防护建议：戴医用外科口罩或无呼气阀符合KN95/N95及以上级别的防护口罩。</w:t>
      </w:r>
      <w:r>
        <w:rPr>
          <w:rFonts w:hint="eastAsia" w:ascii="仿宋" w:hAnsi="仿宋" w:eastAsia="仿宋" w:cs="仿宋"/>
          <w:i w:val="0"/>
          <w:caps w:val="0"/>
          <w:color w:val="484848"/>
          <w:spacing w:val="0"/>
          <w:sz w:val="32"/>
          <w:szCs w:val="32"/>
          <w:u w:val="none"/>
        </w:rPr>
        <w:br w:type="textWrapping"/>
      </w:r>
      <w:r>
        <w:rPr>
          <w:rFonts w:hint="eastAsia" w:ascii="黑体" w:hAnsi="宋体" w:eastAsia="黑体" w:cs="黑体"/>
          <w:i w:val="0"/>
          <w:caps w:val="0"/>
          <w:color w:val="484848"/>
          <w:spacing w:val="0"/>
          <w:sz w:val="32"/>
          <w:szCs w:val="32"/>
          <w:u w:val="none"/>
        </w:rPr>
        <w:t>　　四、职业暴露人员</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（一）普通门诊、病房等医务人员；低风险地区医疗机构急诊医务人员；从事疫情防控相关的行政管理人员、警察、保安、保洁等。</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防护建议：戴医用外科口罩。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二）在新型冠状病毒肺炎确诊病例、疑似病例患者的病房、ICU工作的人员；指定医疗机构发热门诊的医务人员；中、高风险地区医疗机构急诊科的医务人员；流行病学调查、实验室检测、环境消毒人员；转运确诊和疑似病例人员。</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防护建议：戴医用防护口罩。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（三）从事呼吸道标本采集的操作人员；进行新型冠状病毒肺炎患者气管切开、气管插管、气管镜检查、吸痰、心肺复苏操作，或肺移植手术、病理解剖的工作人员。</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头罩式（或全面型）动力送风过滤式呼吸防护器，或半面型动力送风过滤式呼吸防护器加戴护目镜或全面屏；两种呼吸防护器均需选用P100防颗粒物过滤元件，过滤元件不可重复使用，防护器具消毒后使用。</w:t>
      </w:r>
      <w:r>
        <w:rPr>
          <w:rFonts w:hint="eastAsia" w:ascii="仿宋" w:hAnsi="仿宋" w:eastAsia="仿宋" w:cs="仿宋"/>
          <w:i w:val="0"/>
          <w:caps w:val="0"/>
          <w:color w:val="484848"/>
          <w:spacing w:val="0"/>
          <w:sz w:val="32"/>
          <w:szCs w:val="32"/>
          <w:u w:val="none"/>
        </w:rPr>
        <w:br w:type="textWrapping"/>
      </w:r>
      <w:r>
        <w:rPr>
          <w:rFonts w:hint="eastAsia" w:ascii="黑体" w:hAnsi="宋体" w:eastAsia="黑体" w:cs="黑体"/>
          <w:i w:val="0"/>
          <w:caps w:val="0"/>
          <w:color w:val="484848"/>
          <w:spacing w:val="0"/>
          <w:sz w:val="32"/>
          <w:szCs w:val="32"/>
          <w:u w:val="none"/>
        </w:rPr>
        <w:t>　　五、使用注意事项</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（一）呼吸防护用品包括口罩和面具，佩戴前、脱除后应洗手。</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（二）佩戴口罩时注意正反和上下，口罩应遮盖口鼻，调整鼻夹至贴合面部。</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（三）佩戴过程中避免用手触摸口罩内外侧，应通过摘取两端线绳脱去口罩。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（四）佩戴多个口罩不能有效增加防护效果，反而增加呼吸阻力，并可能破坏密合性。</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（五）各种对口罩的清洗、消毒等措施均无证据证明其有效性。</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（六）一次性使用医用口罩和医用外科口罩均为限次使用，累计使用不超过8小时。职业暴露人员使用口罩不超过4小时，不可重复使用。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auto" w:fill="FFFFFF"/>
        <w:spacing w:before="225" w:beforeAutospacing="0" w:after="0" w:afterAutospacing="0"/>
        <w:ind w:left="0" w:right="0" w:firstLine="0"/>
        <w:jc w:val="center"/>
        <w:rPr>
          <w:rFonts w:hint="eastAsia" w:ascii="楷体" w:hAnsi="楷体" w:eastAsia="楷体" w:cs="楷体"/>
          <w:color w:val="000000"/>
          <w:kern w:val="0"/>
          <w:sz w:val="32"/>
          <w:szCs w:val="32"/>
          <w:lang w:val="en-US" w:eastAsia="zh-CN" w:bidi="ar-SA"/>
        </w:rPr>
      </w:pPr>
      <w:r>
        <w:rPr>
          <w:rFonts w:hint="eastAsia" w:ascii="Times New Roman" w:hAnsi="Times New Roman" w:eastAsia="宋体" w:cs="Times New Roman"/>
          <w:bCs/>
          <w:kern w:val="44"/>
          <w:sz w:val="44"/>
          <w:szCs w:val="44"/>
          <w:lang w:val="en-US" w:eastAsia="zh-CN" w:bidi="ar-SA"/>
        </w:rPr>
        <w:t>关于进一步做好冷链食品追溯管理工作的通知</w:t>
      </w:r>
      <w:r>
        <w:rPr>
          <w:rFonts w:hint="eastAsia" w:ascii="Times New Roman" w:hAnsi="Times New Roman" w:eastAsia="宋体" w:cs="Times New Roman"/>
          <w:bCs/>
          <w:kern w:val="44"/>
          <w:sz w:val="44"/>
          <w:szCs w:val="44"/>
          <w:lang w:val="en-US" w:eastAsia="zh-CN" w:bidi="ar-SA"/>
        </w:rPr>
        <w:br w:type="textWrapping"/>
      </w:r>
      <w:r>
        <w:rPr>
          <w:rFonts w:hint="eastAsia" w:ascii="楷体" w:hAnsi="楷体" w:eastAsia="楷体" w:cs="楷体"/>
          <w:color w:val="000000"/>
          <w:kern w:val="0"/>
          <w:sz w:val="32"/>
          <w:szCs w:val="32"/>
          <w:lang w:val="en-US" w:eastAsia="zh-CN" w:bidi="ar-SA"/>
        </w:rPr>
        <w:t>联防联控机制综发〔2020〕263号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各省、自治区、直辖市及新疆生产建设兵团应对新型冠状病毒肺炎疫情联防联控机制（领导小组、指挥部）: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为做好“外防输入、内防反弹”常态化疫情防控工作，突出加强关键环节、重点领域防控措施，严防新冠肺炎疫情输入风险，按照国务院联防联控机制部署，市场监管总局会同海关总署制定了进一步做好冷链食品追溯管理工作措施。现就有关事项通知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一、工作目标</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建立和完善由国家级平台、省级平台和企业级平台组成的冷链食品追溯管理系统，以畜禽肉、水产品等为重点，实现重点冷链食品从海关进口查验到贮存分销、生产加工、批发零售、餐饮服务全链条信息化追溯，完善人物同查、人物共防措施，建立问题产品的快速精准反应机制，严格管控疫情风险，维护公众身体健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二、工作任务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（一）加快追溯平台建设。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1. 建设国家指挥平台。由市场监管总局开发建设，定位为指挥预警。通过“异构识别”机制，依据各地现有工作基础，在不统一制定标准、不统一编码赋码、不改变各地系统的情况下，实现追溯信息省际互认互通。力争在2020年11月底建成上线。</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2. 优化完善省级平台。省级平台定位为追溯信息管理和公共服务，帮助重点冷链食品生产经营者实现信息化追溯和数据对接。由各省（区、市）市场监管部门负责建设或在原有追溯信息化系统基础上进行优化改造，并按照统一数据对接规程（见附件）接入国家级平台。北京、天津、辽宁、上海、江苏、浙江、福建、山东、广东、重庆等有条件的省份应当于2020年12月中旬完成建设改造和试运行，12月底前实现与国家平台对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3. 实现企业数据对接。按照属地管理原则，各省（区、市）市场监管部门应当会同有关部门制定发布省级平台接口标准规范，指导督促重点冷链食品供应链各个企业与省级平台对接追溯关键信息。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（二）广泛推广应用。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4. 全面摸清底数。各地要对重点冷链食品进口商、生产经营企业、第三方冷库、食用农产品批发市场入场销售者、商场超市、生鲜电商和餐饮企业等进行排摸，全面掌握底数和实际情况。</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5. 明确主体责任。重点冷链食品生产经营者应当按照《食品安全法》以及《食品药品监管总局关于发布食品生产经营企业建立食品安全追溯体系若干规定的公告》（2017年第39号）、《市场监管总局关于加强冷藏冷冻食品质量安全管理的公告》（2020年第10号）等要求，严格执行进货查验、出厂销售记录等制度，建立食品安全追溯体系。生产经营企业应当及时、准确记录每批次重点冷链食品的检验检疫信息、核酸检测结果、业经消毒的证明、货物来源去向和数量、位置等关键数据。</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6. 加强培训指导。各地要加强对重点冷链食品生产经营者的培训指导，引导重点冷链食品生产经营企业进行自我承诺，落实专人联络。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（三）强化信息通报和应急处置。</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7. 强化信息管理。各地要重点核查重点冷链食品生产经营企业进出库台账记录、索证索票情况，指导相关生产经营者准确填写、记录数据信息，及时报告发现的问题。各地海关要与市场监管部门对接重点冷链食品进口相关信息，实现信息共享和校验，具体实现方式由海关总署和市场监管总局研究确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8. 实现追踪溯源。各地市场监管部门接到重点冷链食品新冠病毒检测阳性通报后，应当立即利用省级平台对同批次食品的流向进行溯源倒查和精准定位，并利用国家平台上报食品关键信息，迅速组织力量按相关规定开展排查核实。对于流向外省（区、市）的同批次食品，根据追溯清查情况，原则上由省级市场监管部门及时提请当地联防联控机制向涉疫食品流出地及流入地省级联防联控机制通报涉疫食品及相关生产经营者情况，包括涉疫食品名称、批号、数量、销售日期、销售者及联系方式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三、工作要求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（一）快速精准追溯。鼓励企业采用信息化手段自动识别产品信息，实时反映重点冷链食品关键信息，实现正向可追踪，逆向可溯源，发生问题时产品可处置、原因可查清、风险可管控。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二）严格信息发布。各省级市场监管部门要加强信息审核，确保数据真实准确。未经省级市场监管部门许可不得擅自发布冷链食品追溯相关信息。针对突发情况及人民群众关注度较高的新闻事件和舆情热点，会同相关部门通过公告、召开新闻发布会等形式及时回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（三）确保信息安全。按照“必要性”、“需要时”和“最小限度”原则访问和获取企业追溯信息数据，科学设置访问权限，保护企业商业秘密，进行必要的脱敏处理。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四）加强组织领导。各省（区、市）联防联控机制要落实疫情防控属地责任，强化进口冷链食品输入风险防控措施，建立相关部门协作机制。按照国务院联防联控机制有关文件要求，加大投入保障和工作力度，组织精干力量集中攻坚、专班推进追溯平台建设。有关工作情况将纳入食品安全工作评议考核。</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请于11月30日前将各省（区、市）市场监管部门业务联系人和技术联系人名单报送市场监管总局。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4800" w:leftChars="1400" w:right="0" w:hanging="320" w:hangingChars="1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国务院应对新型冠状病毒肺炎</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疫情联防联控机制综合组</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（代章）</w:t>
      </w:r>
      <w:r>
        <w:rPr>
          <w:rFonts w:hint="eastAsia" w:ascii="宋体" w:hAnsi="宋体" w:eastAsia="宋体" w:cs="宋体"/>
          <w:i w:val="0"/>
          <w:caps w:val="0"/>
          <w:color w:val="333333"/>
          <w:spacing w:val="0"/>
          <w:sz w:val="24"/>
          <w:szCs w:val="24"/>
          <w:shd w:val="clear" w:color="auto" w:fill="FFFFFF"/>
        </w:rPr>
        <w:br w:type="textWrapping"/>
      </w:r>
      <w:r>
        <w:rPr>
          <w:rFonts w:hint="eastAsia" w:ascii="宋体" w:hAnsi="宋体" w:eastAsia="宋体" w:cs="宋体"/>
          <w:i w:val="0"/>
          <w:caps w:val="0"/>
          <w:color w:val="333333"/>
          <w:spacing w:val="0"/>
          <w:sz w:val="24"/>
          <w:szCs w:val="24"/>
          <w:shd w:val="clear" w:color="auto" w:fill="FFFFFF"/>
          <w:lang w:val="en-US" w:eastAsia="zh-CN"/>
        </w:rPr>
        <w:t xml:space="preserve">    </w:t>
      </w:r>
      <w:r>
        <w:rPr>
          <w:rFonts w:hint="eastAsia" w:ascii="仿宋" w:hAnsi="仿宋" w:eastAsia="仿宋" w:cs="仿宋"/>
          <w:i w:val="0"/>
          <w:caps w:val="0"/>
          <w:color w:val="484848"/>
          <w:spacing w:val="0"/>
          <w:sz w:val="32"/>
          <w:szCs w:val="32"/>
          <w:u w:val="none"/>
        </w:rPr>
        <w:t>2020年11月27日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4800" w:leftChars="1400" w:right="0" w:hanging="320" w:hangingChars="10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关于保障群众基本就医需求并做好医疗机构感染防控工作的通知</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楷体" w:hAnsi="楷体" w:eastAsia="楷体" w:cs="楷体"/>
          <w:color w:val="000000"/>
          <w:kern w:val="0"/>
          <w:sz w:val="32"/>
          <w:szCs w:val="32"/>
          <w:lang w:val="en-US" w:eastAsia="zh-CN" w:bidi="ar-SA"/>
        </w:rPr>
      </w:pPr>
      <w:r>
        <w:rPr>
          <w:rFonts w:hint="eastAsia" w:ascii="Times New Roman" w:hAnsi="Times New Roman" w:eastAsia="宋体" w:cs="Times New Roman"/>
          <w:bCs/>
          <w:kern w:val="44"/>
          <w:sz w:val="44"/>
          <w:szCs w:val="44"/>
          <w:lang w:val="en-US" w:eastAsia="zh-CN" w:bidi="ar-SA"/>
        </w:rPr>
        <w:br w:type="textWrapping"/>
      </w:r>
      <w:r>
        <w:rPr>
          <w:rFonts w:hint="eastAsia" w:ascii="楷体" w:hAnsi="楷体" w:eastAsia="楷体" w:cs="楷体"/>
          <w:color w:val="000000"/>
          <w:kern w:val="0"/>
          <w:sz w:val="32"/>
          <w:szCs w:val="32"/>
          <w:lang w:val="en-US" w:eastAsia="zh-CN" w:bidi="ar-SA"/>
        </w:rPr>
        <w:t>联防联控机制医疗发〔2021〕25号</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楷体" w:hAnsi="楷体" w:eastAsia="楷体" w:cs="楷体"/>
          <w:color w:val="000000"/>
          <w:kern w:val="0"/>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各省、自治区、直辖市及新疆生产建设兵团卫生健康委：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当前，新冠肺炎疫情防控形势严峻复杂，个别地区存在医疗机构感染防控措施落实不到位、发生院内聚集性疫情的情况。这引起了医疗机构进一步强化感控要求的落实，同时，也给部分群众就医带来影响，甚至基本就医需求不能得到满足。为指导各地做好医疗服务，保障群众基本就医需求，同时，落实好常态化疫情防控下感控措施，现将有关要求通知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一、充分认识保障医疗服务和做好感染防控的关系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提供医疗服务是医疗机构的首要职责，做好感染防控是保障医疗质量安全的基本要求。在做好感染防控的前提下，为群众提供优质医疗服务，是医疗机构具有较高管理水平的重要体现。医疗机构在保障群众基本医疗服务的同时，必须做好感染防控工作，不得因为感染防控采取一关了之、一封了之、一停了之等“一刀切”手段，影响群众获得基本医疗服务。保障基本医疗服务和做好感染防控，是医疗机构日常诊疗的两个方面，二者并不矛盾，应当共同做好、协同推进。</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二、切实保障患者基本医疗需求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医疗机构要根据不同患者的医疗需求，进行分类救治，满足患者基本就医需求。对于急危重症患者，应当及时有效救治，医务人员做好防护，不得推诿拒诊。对于门诊慢性病患者，视患者病情可将处方用量延长至12周，并发挥基层医疗卫生机构作用，加强家庭医生团队对慢性病患者的日常管理。对于血液透析患者、放化疗等肿瘤患者以及其他需要维持定期治疗的重症患者，以及孕产妇和新生儿等特殊群体，要切实保障连续的医疗服务。对于择期手术患者，要加强与患者的解释沟通，结合疫情防控形势和患者病情需要确定手术时间。同时，利用“互联网+医疗”的优势作用，做好互联网诊疗咨询服务。积极推进分级诊疗，发挥医联体整体效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三、落实各项感染防控措施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医疗机构要按照《关于进一步做好常态化疫情防控下医疗机构感染防控工作的通知》（联防联控机制综发〔2020〕269号）等要求，全面落实各项感控措施。进一步完善预约诊疗和预检分诊，按时段安排好患者就诊时间，减少人员聚集。严格落实首诊负责制，对发热门诊患者以及普通门诊疑似新冠肺炎患者，要加强核酸检测等检验检查，在排除新冠病毒感染前不得允许患者离开医院。对新入院患者和陪护人员落实“应检尽检”，设置并利用好隔离区域或过渡病室，通过核酸筛查和隔离降低感染风险。合理确定床位使用比例，禁止加床收治患者。严格患者陪护及探视管理，新冠肺炎救治定点医疗机构原则上不探视、不陪护，非定点医疗机构非必须不陪护、不探视，确需陪护的，要固定陪护人员并进行核酸检测。持续开展全员培训，严格执行标准预防等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四、加强现场指导和督导检查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地方卫生健康行政部门要强化日常监管，要求医疗机构做好医疗服务，不得以等待核酸检测结果、开展感染防控等为由，延误患者治疗或推诿拖延。对群众反映基本就医需求不能得到满足的情况，要及时进行核查，造成严重后果的，要追究相关医疗机构和人员的责任。同时，各级感控质控中心、院感专家组要为医疗机构做好感染防控提供技术指导，加强人员培训和现场指导，提高医疗机构和医务人员感控意识和能力水平。</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5440" w:leftChars="1400" w:right="0" w:hanging="960" w:hangingChars="3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lang w:val="en-US" w:eastAsia="zh-CN"/>
        </w:rPr>
        <w:t>国务院应对新冠肺炎疫情联防联控机制医疗救治组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4800" w:leftChars="1500" w:right="0" w:firstLine="960" w:firstLineChars="3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lang w:val="en-US" w:eastAsia="zh-CN"/>
        </w:rPr>
        <w:t>2021年1月21日</w:t>
      </w:r>
    </w:p>
    <w:p/>
    <w:p>
      <w:pPr>
        <w:pStyle w:val="4"/>
      </w:pPr>
    </w:p>
    <w:p/>
    <w:p>
      <w:pPr>
        <w:pStyle w:val="4"/>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关于印发全员新型冠状病毒核酸检测组织</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实施指南的通知</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楷体" w:hAnsi="楷体" w:eastAsia="楷体" w:cs="楷体"/>
          <w:color w:val="000000"/>
          <w:kern w:val="0"/>
          <w:sz w:val="32"/>
          <w:szCs w:val="32"/>
          <w:lang w:val="en-US" w:eastAsia="zh-CN" w:bidi="ar-SA"/>
        </w:rPr>
      </w:pPr>
      <w:r>
        <w:rPr>
          <w:rFonts w:hint="eastAsia" w:ascii="Times New Roman" w:hAnsi="Times New Roman" w:eastAsia="宋体" w:cs="Times New Roman"/>
          <w:bCs/>
          <w:kern w:val="44"/>
          <w:sz w:val="44"/>
          <w:szCs w:val="44"/>
          <w:lang w:val="en-US" w:eastAsia="zh-CN" w:bidi="ar-SA"/>
        </w:rPr>
        <w:br w:type="textWrapping"/>
      </w:r>
      <w:r>
        <w:rPr>
          <w:rFonts w:hint="eastAsia" w:ascii="楷体" w:hAnsi="楷体" w:eastAsia="楷体" w:cs="楷体"/>
          <w:color w:val="000000"/>
          <w:kern w:val="0"/>
          <w:sz w:val="32"/>
          <w:szCs w:val="32"/>
          <w:lang w:val="en-US" w:eastAsia="zh-CN" w:bidi="ar-SA"/>
        </w:rPr>
        <w:t>联防联控机制综发〔2021〕27号</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各省、自治区、直辖市及新疆生产建设兵团应对新冠肺炎疫情联防联控机制（领导小组、指挥部）：</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为全面做好新冠肺炎疫情防控，落实“四早”关键措施，指导各地开展新冠病毒全员核酸检测，科学高效完成人群筛查工作，我们组织制定了《全员新型冠状病毒核酸检测组织实施指南》（可在国家卫生健康委网站“医政医管”栏目下载）。现印发你们，请参照执行。</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jc w:val="right"/>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国务院应对新型冠状病毒肺炎疫情联防联控机制综合组</w:t>
      </w:r>
      <w:r>
        <w:rPr>
          <w:rFonts w:hint="eastAsia" w:ascii="仿宋" w:hAnsi="仿宋" w:eastAsia="仿宋" w:cs="仿宋"/>
          <w:color w:val="000000"/>
          <w:kern w:val="0"/>
          <w:sz w:val="32"/>
          <w:szCs w:val="32"/>
          <w:lang w:val="en-US" w:eastAsia="zh-CN" w:bidi="ar-SA"/>
        </w:rPr>
        <w:br w:type="textWrapping"/>
      </w:r>
      <w:r>
        <w:rPr>
          <w:rFonts w:hint="eastAsia" w:ascii="仿宋" w:hAnsi="仿宋" w:eastAsia="仿宋" w:cs="仿宋"/>
          <w:color w:val="000000"/>
          <w:kern w:val="0"/>
          <w:sz w:val="32"/>
          <w:szCs w:val="32"/>
          <w:lang w:val="en-US" w:eastAsia="zh-CN" w:bidi="ar-SA"/>
        </w:rPr>
        <w:t>2021年2月7日</w:t>
      </w:r>
    </w:p>
    <w:p>
      <w:pPr>
        <w:wordWrap/>
        <w:adjustRightInd/>
        <w:snapToGrid/>
        <w:spacing w:line="560" w:lineRule="exact"/>
        <w:textAlignment w:val="auto"/>
        <w:outlineLvl w:val="9"/>
        <w:rPr>
          <w:rFonts w:hint="eastAsia" w:ascii="仿宋" w:hAnsi="仿宋" w:eastAsia="仿宋" w:cs="仿宋"/>
          <w:color w:val="000000"/>
          <w:kern w:val="0"/>
          <w:sz w:val="32"/>
          <w:szCs w:val="32"/>
          <w:lang w:val="en-US" w:eastAsia="zh-CN" w:bidi="ar-SA"/>
        </w:rPr>
      </w:pPr>
    </w:p>
    <w:p>
      <w:pPr>
        <w:pStyle w:val="4"/>
        <w:rPr>
          <w:rFonts w:hint="eastAsia" w:ascii="仿宋" w:hAnsi="仿宋" w:eastAsia="仿宋" w:cs="仿宋"/>
          <w:color w:val="000000"/>
          <w:kern w:val="0"/>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关于做好在内地的港澳同胞接种新冠病毒疫苗有关工作的通知</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各省、自治区、直辖市及新疆生产建设兵团应对新冠病毒肺炎疫情联防联控机制（领导小组、指挥部），国务院应对新冠病毒肺炎疫情联防联控机制各成员单位：</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按照国务院联防联控机制关于新冠病毒疫苗接种的总体部署安排，现就做好在内地的港澳同胞接种新冠病毒疫苗有关工作通知如下：</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一、在内地工作和生活的港澳同胞可在知情自愿的前提下，凭公安部门制发的港澳居民居住证或内地医保参保凭证免费接种疫苗。有关保障政策与内地居民保持一致。</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二、在内地各类学校工作和学习的港澳籍师生接种疫苗政策与内地师生一视同仁，同等对待。</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三、港澳同胞在内地接种疫苗后出现异常反应的，有关救治和补偿政策原则上与内地居民保持一致。</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四、不在第一、二项接种范围内的港澳同胞原则上不纳入在内地免费接种疫苗范围。如今后开放自费接种疫苗，可在知情自愿的前提下参加自费接种。</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请各地切实做好组织实施工作，重要工作情况及时上报。</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jc w:val="right"/>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国务院应对新冠病毒肺炎疫情联防联控机制综合组</w:t>
      </w:r>
      <w:r>
        <w:rPr>
          <w:rFonts w:hint="eastAsia" w:ascii="仿宋" w:hAnsi="仿宋" w:eastAsia="仿宋" w:cs="仿宋"/>
          <w:color w:val="000000"/>
          <w:kern w:val="0"/>
          <w:sz w:val="32"/>
          <w:szCs w:val="32"/>
          <w:lang w:val="en-US" w:eastAsia="zh-CN" w:bidi="ar-SA"/>
        </w:rPr>
        <w:br w:type="textWrapping"/>
      </w:r>
      <w:r>
        <w:rPr>
          <w:rFonts w:hint="eastAsia" w:ascii="仿宋" w:hAnsi="仿宋" w:eastAsia="仿宋" w:cs="仿宋"/>
          <w:color w:val="000000"/>
          <w:kern w:val="0"/>
          <w:sz w:val="32"/>
          <w:szCs w:val="32"/>
          <w:lang w:val="en-US" w:eastAsia="zh-CN" w:bidi="ar-SA"/>
        </w:rPr>
        <w:t>2021年4月6日</w:t>
      </w:r>
    </w:p>
    <w:p>
      <w:pPr>
        <w:wordWrap/>
        <w:adjustRightInd/>
        <w:snapToGrid/>
        <w:spacing w:line="560" w:lineRule="exact"/>
        <w:textAlignment w:val="auto"/>
        <w:outlineLvl w:val="9"/>
        <w:rPr>
          <w:rFonts w:hint="eastAsia" w:ascii="仿宋" w:hAnsi="仿宋" w:eastAsia="仿宋" w:cs="仿宋"/>
          <w:color w:val="000000"/>
          <w:kern w:val="0"/>
          <w:sz w:val="32"/>
          <w:szCs w:val="32"/>
          <w:lang w:val="en-US" w:eastAsia="zh-CN" w:bidi="ar-SA"/>
        </w:rPr>
      </w:pPr>
    </w:p>
    <w:p>
      <w:pPr>
        <w:pStyle w:val="4"/>
        <w:rPr>
          <w:rFonts w:hint="eastAsia" w:ascii="仿宋" w:hAnsi="仿宋" w:eastAsia="仿宋" w:cs="仿宋"/>
          <w:color w:val="000000"/>
          <w:kern w:val="0"/>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wordWrap/>
        <w:adjustRightInd/>
        <w:snapToGrid/>
        <w:spacing w:line="560" w:lineRule="exact"/>
        <w:jc w:val="left"/>
        <w:textAlignment w:val="auto"/>
        <w:rPr>
          <w:rFonts w:hint="eastAsia" w:ascii="仿宋" w:hAnsi="仿宋" w:eastAsia="仿宋" w:cs="仿宋"/>
          <w:sz w:val="32"/>
          <w:szCs w:val="32"/>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01" w:name="_Toc27996"/>
      <w:r>
        <w:rPr>
          <w:rFonts w:hint="eastAsia" w:ascii="Times New Roman" w:hAnsi="Times New Roman" w:eastAsia="宋体" w:cs="Times New Roman"/>
          <w:bCs/>
          <w:kern w:val="44"/>
          <w:sz w:val="44"/>
          <w:szCs w:val="44"/>
          <w:lang w:val="en-US" w:eastAsia="zh-CN" w:bidi="ar-SA"/>
        </w:rPr>
        <w:t>市场监管总局关于坚决维护防疫用品市场价格秩序的公告</w:t>
      </w:r>
      <w:bookmarkEnd w:id="369"/>
      <w:bookmarkEnd w:id="370"/>
      <w:bookmarkEnd w:id="371"/>
      <w:bookmarkEnd w:id="372"/>
      <w:bookmarkEnd w:id="373"/>
      <w:bookmarkEnd w:id="374"/>
      <w:bookmarkEnd w:id="375"/>
      <w:bookmarkEnd w:id="376"/>
      <w:bookmarkEnd w:id="377"/>
      <w:bookmarkEnd w:id="378"/>
      <w:bookmarkEnd w:id="401"/>
    </w:p>
    <w:p>
      <w:pPr>
        <w:widowControl w:val="0"/>
        <w:wordWrap/>
        <w:adjustRightInd/>
        <w:snapToGrid/>
        <w:spacing w:line="560" w:lineRule="exact"/>
        <w:ind w:left="0" w:leftChars="0" w:right="0"/>
        <w:jc w:val="center"/>
        <w:textAlignment w:val="auto"/>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left="0" w:leftChars="0" w:right="0"/>
        <w:jc w:val="center"/>
        <w:textAlignment w:val="auto"/>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2020年第3号</w:t>
      </w:r>
    </w:p>
    <w:p>
      <w:pPr>
        <w:widowControl w:val="0"/>
        <w:wordWrap/>
        <w:adjustRightInd/>
        <w:snapToGrid/>
        <w:spacing w:line="560" w:lineRule="exact"/>
        <w:ind w:left="0" w:leftChars="0" w:right="0" w:firstLine="560" w:firstLineChars="200"/>
        <w:jc w:val="both"/>
        <w:textAlignment w:val="auto"/>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left="0" w:leftChars="0" w:right="0" w:firstLine="640" w:firstLineChars="200"/>
        <w:jc w:val="both"/>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新型冠状病毒肺炎疫情发生以来，市场监管部门加强价格监督检查和指导，广大经营者恪守商业道德、依法诚信经营，积极组织防疫用品生产、保障销售，与全社会一道众志成城、抗击疫情，保持防疫用品市场价格秩序总体平稳。但也有少数经营者借防疫用品需求激增之机，哄抬口罩等相关商品价格，严重违背商业道德，严重违反价格法律法规。为打赢抗击疫情攻坚战、保护广大群众和合法经营者正当权益，依据《价格法》《价格违法行为行政处罚规定》等法律法规，现就加强口罩、消毒杀菌用品、抗病毒药品及相关医疗器械等防疫用品市场价格监管，维护防疫用品市场价格秩序有关事项公告如下：</w:t>
      </w:r>
    </w:p>
    <w:p>
      <w:pPr>
        <w:widowControl w:val="0"/>
        <w:wordWrap/>
        <w:adjustRightInd/>
        <w:snapToGrid/>
        <w:spacing w:line="560" w:lineRule="exact"/>
        <w:ind w:left="0" w:leftChars="0" w:right="0" w:firstLine="640" w:firstLineChars="200"/>
        <w:jc w:val="lef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一、凡捏造、散布涨价信息，大量囤积市场供应紧张的防疫用品，大幅度提高销售价格，串通涨价，以及其他违反价格法律法规的行为，各级市场监管部门要依法从严从重从快查处，典型案例及时予以公开曝光。</w:t>
      </w:r>
    </w:p>
    <w:p>
      <w:pPr>
        <w:widowControl w:val="0"/>
        <w:wordWrap/>
        <w:adjustRightInd/>
        <w:snapToGrid/>
        <w:spacing w:line="560" w:lineRule="exact"/>
        <w:ind w:left="0" w:leftChars="0" w:right="0" w:firstLine="640" w:firstLineChars="200"/>
        <w:jc w:val="lef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二、广大经营者要切实履行社会责任，严格依法经营，合法合理行使自主定价权，严格执行政府依法制定的价格干预措施和紧急措施，做到明码标价、诚信经营。</w:t>
      </w:r>
    </w:p>
    <w:p>
      <w:pPr>
        <w:widowControl w:val="0"/>
        <w:wordWrap/>
        <w:adjustRightInd/>
        <w:snapToGrid/>
        <w:spacing w:line="560" w:lineRule="exact"/>
        <w:ind w:left="0" w:leftChars="0" w:right="0" w:firstLine="640" w:firstLineChars="200"/>
        <w:jc w:val="lef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三、广大群众积极监督，发现串通涨价、哄抬价格或者其他价格违法行为的，及时拨打12315举报。</w:t>
      </w:r>
    </w:p>
    <w:p>
      <w:pPr>
        <w:widowControl w:val="0"/>
        <w:wordWrap/>
        <w:adjustRightInd/>
        <w:snapToGrid/>
        <w:spacing w:line="560" w:lineRule="exact"/>
        <w:ind w:left="0" w:leftChars="0" w:right="0" w:firstLine="640" w:firstLineChars="200"/>
        <w:jc w:val="lef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四、各地市场监管部门要加强价格监管工作力度，维护好市场秩序。</w:t>
      </w:r>
    </w:p>
    <w:p>
      <w:pPr>
        <w:widowControl w:val="0"/>
        <w:wordWrap/>
        <w:adjustRightInd/>
        <w:snapToGrid/>
        <w:spacing w:line="560" w:lineRule="exact"/>
        <w:ind w:left="0" w:leftChars="0" w:right="0" w:firstLine="5440" w:firstLineChars="1700"/>
        <w:jc w:val="right"/>
        <w:textAlignment w:val="auto"/>
        <w:rPr>
          <w:rFonts w:hint="eastAsia" w:ascii="仿宋" w:hAnsi="仿宋" w:eastAsia="仿宋" w:cs="仿宋"/>
          <w:color w:val="000000"/>
          <w:kern w:val="0"/>
          <w:sz w:val="32"/>
          <w:szCs w:val="32"/>
          <w:lang w:val="en-US" w:eastAsia="zh-CN"/>
        </w:rPr>
      </w:pPr>
    </w:p>
    <w:p>
      <w:pPr>
        <w:widowControl w:val="0"/>
        <w:wordWrap/>
        <w:adjustRightInd/>
        <w:snapToGrid/>
        <w:spacing w:line="560" w:lineRule="exact"/>
        <w:ind w:left="0" w:leftChars="0" w:right="0" w:firstLine="5440" w:firstLineChars="1700"/>
        <w:jc w:val="righ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市场监管总局</w:t>
      </w:r>
    </w:p>
    <w:p>
      <w:pPr>
        <w:wordWrap/>
        <w:adjustRightInd/>
        <w:snapToGrid/>
        <w:spacing w:line="560" w:lineRule="exact"/>
        <w:ind w:right="0"/>
        <w:jc w:val="righ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color w:val="000000"/>
          <w:kern w:val="0"/>
          <w:sz w:val="32"/>
          <w:szCs w:val="32"/>
          <w:lang w:val="en-US" w:eastAsia="zh-CN"/>
        </w:rPr>
        <w:t xml:space="preserve">                        2020年1月25日</w:t>
      </w: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rPr>
          <w:rFonts w:hint="eastAsia" w:ascii="Times New Roman" w:hAnsi="Times New Roman" w:eastAsia="宋体" w:cs="Times New Roman"/>
          <w:bCs/>
          <w:kern w:val="44"/>
          <w:sz w:val="44"/>
          <w:szCs w:val="44"/>
          <w:lang w:val="en-US" w:eastAsia="zh-CN" w:bidi="ar-SA"/>
        </w:rPr>
      </w:pPr>
      <w:bookmarkStart w:id="402" w:name="_Toc24631"/>
      <w:bookmarkStart w:id="403" w:name="_Toc22650"/>
      <w:bookmarkStart w:id="404" w:name="_Toc4113"/>
      <w:bookmarkStart w:id="405" w:name="_Toc30613"/>
      <w:bookmarkStart w:id="406" w:name="_Toc19223"/>
      <w:bookmarkStart w:id="407" w:name="_Toc32727"/>
      <w:bookmarkStart w:id="408" w:name="_Toc2518"/>
      <w:bookmarkStart w:id="409" w:name="_Toc13900"/>
      <w:bookmarkStart w:id="410" w:name="_Toc15884"/>
      <w:bookmarkStart w:id="411" w:name="_Toc30728"/>
      <w:r>
        <w:rPr>
          <w:rFonts w:hint="eastAsia" w:ascii="Times New Roman" w:hAnsi="Times New Roman" w:eastAsia="宋体" w:cs="Times New Roman"/>
          <w:bCs/>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2" w:name="_Toc31276"/>
      <w:r>
        <w:rPr>
          <w:rFonts w:hint="eastAsia" w:ascii="Times New Roman" w:hAnsi="Times New Roman" w:eastAsia="宋体" w:cs="Times New Roman"/>
          <w:bCs/>
          <w:kern w:val="44"/>
          <w:sz w:val="44"/>
          <w:szCs w:val="44"/>
          <w:lang w:val="en-US" w:eastAsia="zh-CN" w:bidi="ar-SA"/>
        </w:rPr>
        <w:t>市场监管总局关于新型冠状病毒感染肺炎疫情防控期间查处哄抬价格违法行为的指导意见</w:t>
      </w:r>
      <w:bookmarkEnd w:id="412"/>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jc w:val="center"/>
        <w:textAlignment w:val="auto"/>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国市监竞争﹝2020﹞21号</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各省、自治区、直辖市及新疆生产建设兵团市场监督管理局（厅、委）：</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为确保新型冠状病毒感染肺炎疫情（以下简称疫情）防控期间口罩、抗病毒药品、消毒杀菌用品、相关医疗器械等防疫用品以及与群众日常生活相关的粮油肉蛋菜奶等基本民生商品市场价格秩序稳定，强化和规范各级市场监管部门查处哄抬价格违法行为，依照《价格法》《价格违法行为行政处罚规定》等法律法规，现提出如下指导意见：</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一、经营者不得捏造、散布防疫用品、民生商品涨价信息。经营者有捏造或者散布的任意一项行为，即可认定构成《价格违法行为行政处罚规定》第六条第（一）项所规定的哄抬价格违法行为。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二、经营者存在以下情形的，可以认定为捏造涨价信息。</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（一）虚构购进成本的；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（二）虚构本地区货源紧张或者市场需求激增的；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（三）虚构其他经营者已经或者准备提价的；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（四）虚构可能推高防疫用品、民生商品价格预期的其他信息的。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三、经营者存在以下情形的，可以认定为散布涨价信息。</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（一）散布捏造的涨价信息的；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（二）散布的信息虽不属于捏造信息，但使用“严重缺货”“即将全线提价”等紧迫性用语或者诱导性用语，推高价格预期的；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（三）散布言论，号召或者诱导其他经营者提高价格的；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（四）散布可能推高防疫用品、民生商品价格预期的其他信息的。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四、经营者有以下情形之一，可以认定构成《价格违法行为行政处罚规定》第六条第（二）项所规定的哄抬价格违法行为。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（一）生产防疫用品及防疫用品原材料的经营者，不及时将已生产的产品投放市场，经市场监管部门告诫仍继续囤积的；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（二）批发环节经营者，不及时将防疫用品、民生商品流转至消费终端，经市场监管部门告诫仍继续囤积的；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（三）零售环节经营者除为保持经营连续性保留必要库存外，不及时将相关商品对外销售，经市场监管部门告诫仍继续囤积的。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生产环节、批发环节经营者能够证明其出现本条第（一）项、第（二）项情形，属于按照政府或者政府有关部门要求，为防疫需要进行物资储备或者计划调拨的，不构成哄抬价格违法行为。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对于零售领域经营者，市场监管部门已经通过公告、发放提醒告诫书等形式，统一向经营者告诫不得非法囤积的，视为已依法履行告诫程序，可以不再进行告诫，直接认定具有囤积行为的经营者构成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五、经营者出现下列情形之一，可以认定构成《价格违法行为行政处罚规定》第六条第（三）项所规定的哄抬价格违法行为。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（一）在销售防疫用品过程中，强制搭售其他商品，变相提高防疫用品价格的；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（二）未提高防疫用品或者民生商品价格，但大幅度提高配送费用或者收取其他费用的；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（三）经营者销售同品种商品，超过1月19日前（含当日，下同）最后一次实际交易的进销差价率的；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（四）疫情发生前未实际销售，或者1月19日前实际交易情况无法查证的，经营者在购进成本基础上大幅提高价格对外销售，经市场监管部门告诫，仍不立即改正的。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经营者有本条第（三）项情形，未造成实际危害后果，经市场监管部门告诫立即改正的，可以依法从轻、减轻或者免予处罚。</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本条第（四）项“大幅度提高”，由市场监管部门综合考虑经营者的实际经营状况、主观恶性和违法行为社会危害程度等因素，在案件查办过程中结合实际具体认定。</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六、出现下列情形，对于哄抬价格违法行为，市场监管部门可以按无违法所得论处。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（一）无合法销售或者收费票据的；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（二）隐匿、销毁销售或者收费票据的；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（三）隐瞒销售或收费票据数量、账簿与票据金额不符导致计算违法所得金额无依据的；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（四）实际成交金额过低但违法行为情节恶劣的；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（五）其他违法所得无法准确核定的情形。</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七、出现下列情形，对于无违法所得或者视为无违法所得的哄抬价格违法行为，市场监管部门应当依据《价格违法行为行政处罚规定》第六条规定的情节较重或者情节严重的罚则进行处罚；经营者违法所得能够明确计算的，应当依法从重处罚。</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（一）捏造或者散布疫情扩散、防治方面的虚假信息，引发群众恐慌，进而推高价格预期的；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（二）同时使用多种手段哄抬价格的；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（三）哄抬价格行为持续时间长、影响范围广的；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（四）哄抬价格之外还有其他价格违法行为的；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（五）疫情防控期间，有两次以上哄抬价格违法行为的；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（六）隐匿、毁损相关证据材料或者提供虚假资料的；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（七）拒不配合依法开展的价格监督检查的；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（八）其他应当被认定为情节较重或者情节严重的情形。</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八、经营者违反省级人民政府依法实施的价格干预措施关于限定差价率、利润率或者限价相关规定的，构成不执行价格干预措施的违法行为，不按哄抬价格违法行为进行查处。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九、市场监管部门发现经营者哄抬价格违法行为构成犯罪的，应当依法移送公安机关。</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十、各省 、自治区、直辖市市场监管部门可根据本意见，报经省级人民政府同意，出台认定哄抬价格违法行为的具体标准以及依法简化相关执法程序的细化措施，并向市场监管总局（价监竞争局）备案。在本意见出台前，省级市场监管部门或者其他有关部门经省级人民政府同意，已经就认定哄抬价格违法行为作出具体规定的，继续执行。</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十一、国家有关部门宣布疫情结束之日起，本意见自动停止实施。</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firstLine="0" w:firstLineChars="0"/>
        <w:jc w:val="right"/>
        <w:textAlignment w:val="auto"/>
        <w:outlineLvl w:val="9"/>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firstLine="0" w:firstLineChars="0"/>
        <w:jc w:val="right"/>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市场监管总局</w:t>
      </w:r>
    </w:p>
    <w:p>
      <w:pPr>
        <w:widowControl w:val="0"/>
        <w:wordWrap/>
        <w:adjustRightInd/>
        <w:snapToGrid/>
        <w:spacing w:line="560" w:lineRule="exact"/>
        <w:ind w:right="0" w:firstLine="0" w:firstLineChars="0"/>
        <w:jc w:val="right"/>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2020年2月1日</w:t>
      </w:r>
    </w:p>
    <w:p>
      <w:pPr>
        <w:widowControl w:val="0"/>
        <w:wordWrap/>
        <w:adjustRightInd/>
        <w:snapToGrid/>
        <w:spacing w:line="560" w:lineRule="exact"/>
        <w:ind w:right="0" w:firstLine="640" w:firstLineChars="200"/>
        <w:jc w:val="both"/>
        <w:textAlignment w:val="auto"/>
        <w:outlineLvl w:val="9"/>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auto"/>
          <w:kern w:val="0"/>
          <w:sz w:val="32"/>
          <w:szCs w:val="32"/>
          <w:lang w:val="en-US" w:eastAsia="zh-CN"/>
        </w:rPr>
      </w:pPr>
    </w:p>
    <w:p>
      <w:pPr>
        <w:rPr>
          <w:rFonts w:hint="eastAsia" w:ascii="Times New Roman" w:hAnsi="Times New Roman" w:eastAsia="宋体" w:cs="Times New Roman"/>
          <w:bCs/>
          <w:color w:val="auto"/>
          <w:kern w:val="44"/>
          <w:sz w:val="44"/>
          <w:szCs w:val="44"/>
          <w:lang w:val="en-US" w:eastAsia="zh-CN" w:bidi="ar-SA"/>
        </w:rPr>
      </w:pPr>
    </w:p>
    <w:p>
      <w:pPr>
        <w:rPr>
          <w:rFonts w:hint="eastAsia" w:ascii="Times New Roman" w:hAnsi="Times New Roman" w:eastAsia="宋体" w:cs="Times New Roman"/>
          <w:bCs/>
          <w:color w:val="auto"/>
          <w:kern w:val="44"/>
          <w:sz w:val="44"/>
          <w:szCs w:val="44"/>
          <w:lang w:val="en-US" w:eastAsia="zh-CN" w:bidi="ar-SA"/>
        </w:rPr>
      </w:pPr>
      <w:r>
        <w:rPr>
          <w:rFonts w:hint="eastAsia" w:ascii="Times New Roman" w:hAnsi="Times New Roman" w:eastAsia="宋体" w:cs="Times New Roman"/>
          <w:bCs/>
          <w:color w:val="auto"/>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3" w:name="_Toc31680"/>
      <w:r>
        <w:rPr>
          <w:rFonts w:hint="eastAsia" w:ascii="Times New Roman" w:hAnsi="Times New Roman" w:eastAsia="宋体" w:cs="Times New Roman"/>
          <w:bCs/>
          <w:kern w:val="44"/>
          <w:sz w:val="44"/>
          <w:szCs w:val="44"/>
          <w:lang w:val="en-US" w:eastAsia="zh-CN" w:bidi="ar-SA"/>
        </w:rPr>
        <w:t>国家药监局关于严厉打击制售假劣药品医疗器械违法行为切实保障新型冠状病毒感染肺炎疫情防控药品医疗器械安全的通知</w:t>
      </w:r>
      <w:bookmarkEnd w:id="413"/>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auto"/>
          <w:kern w:val="0"/>
          <w:sz w:val="32"/>
          <w:szCs w:val="32"/>
          <w:lang w:val="en-US" w:eastAsia="zh-CN"/>
        </w:rPr>
      </w:pPr>
      <w:r>
        <w:rPr>
          <w:rFonts w:hint="eastAsia" w:ascii="楷体" w:hAnsi="楷体" w:eastAsia="楷体" w:cs="楷体"/>
          <w:color w:val="auto"/>
          <w:kern w:val="0"/>
          <w:sz w:val="32"/>
          <w:szCs w:val="32"/>
          <w:lang w:val="en-US" w:eastAsia="zh-CN"/>
        </w:rPr>
        <w:t>国药监法〔2020〕3号</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各省、自治区、直辖市药品监督管理局，新疆生产建设兵团药品监督管理局：</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新型冠状病毒感染肺炎疫情发生以来，在党中央国务院坚强领导下，各地各部门和社会各界众志成城，全力奋战，防控工作有力有序开展。2月3日，中共中央政治局常务委员会召开会议，研究加强疫情防控工作，习近平总书记发表重要讲话，就下一步疫情防控工作作出部署安排，并明确指出，要严厉打击制售假劣药品、医疗器械、医用卫生材料等违法犯罪行为。为切实落实总书记要求和中央政治局常委会会议精神，保障疫情防控所需药品、医疗器械产品安全，有效维护医务工作者和患者合法权益，现就加强疫情防控期间监管执法，严厉打击制售假劣药品医疗器械违法行为通知如下：</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一、统一思想认识，坚决落实党中央要求</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做好疫情防控工作直接关系人民生命安全和身体健康，直接关系经济发展、社会稳定和改革开放大局。党中央高度重视，多次召开会议进行专题研究部署，习近平总书记就疫情防控工作作出重要批示指示，提出明确要求。确保疫情防控所需药品医疗器械质量安全，是落实习近平总书记“把落实工作抓实抓细”重要指示的要求，是各级药品监管部门义不容辞的责任，是打赢疫情防控阻击战的重要保障。各地要把加强药品医疗器械领域监管执法作为落实中共中央《关于加强党的领导、为打赢疫情防控阻击战提供坚强政治保证的通知》的重要任务和当前最重要的工作，切实增强“四个意识”</w:t>
      </w:r>
      <w:r>
        <w:rPr>
          <w:rFonts w:hint="eastAsia" w:ascii="仿宋_GB2312" w:hAnsi="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lang w:val="en-US" w:eastAsia="zh-CN"/>
        </w:rPr>
        <w:t>坚定“四个自信”</w:t>
      </w:r>
      <w:r>
        <w:rPr>
          <w:rFonts w:hint="eastAsia" w:ascii="仿宋_GB2312" w:hAnsi="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lang w:val="en-US" w:eastAsia="zh-CN"/>
        </w:rPr>
        <w:t>做到“两个维护”，认真贯彻落实党中央决策部署，进一步强化监督检查和案件查办工作，严厉打击各类违法犯罪行为，切实维护疫情防控期间药品医疗器械市场秩序。</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二、突出重点产品，加大监督检查力度</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对国务院规定的疫情防控重点物资中的药品、新型冠状病毒感染的肺炎诊疗方案中的药品及疫情防控相关的其他药品，医用防护服、医用口罩及相关诊断试剂、呼吸机等医疗器械，切实加大监督检查力度。对生产企业重点加强药品和医疗器械生产质量管理规范执行情况的监督检查，督促落实全过程合规的主体责任和严格出厂检验与放行的各项要求。对经营企业重点检查药品医疗器械的注册证明文件、进货渠道、储运条件，督促严格落实从合法渠道购入药品医疗器械，按照法规规定和说明书要求储存运输，督促零售企业执业药师履行处方审核和用药指导责任，对购买抗病毒类、抗生素类药品的顾客进行科学引导，防止盲目抢购和囤积。强化药品、医疗器械网络销售的监管，督促相关企业严格质量管理，确保网售药品、医疗器械可追溯。严格监督网络销售第三方服务平台切实履行责任，加强对入驻药品医疗器械网络销售企业的登记核查和信息发布的审核。</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要加强对疫情防控所需药品和医疗器械的抽查检验力度，发现可能危害人体健康的药品、不符合法定要求的医疗器械，要立即采取依法查封扣押等措施，第一时间控制问题产品，严防继续流入市场造成危害。</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　三、发挥协同优势，加强联合执法</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要充分发挥联防联控机制作用，进一步加强部门联动和区域协作。各级药品监督管理部门要与公安、市场监管等部门密切沟通协作，依法联合打击药品医疗器械领域违法犯罪行为。检查中发现疫情防控药品涉嫌垄断、虚假广告等违法行为的，要及时移交市场监管部门查处。要加大线上线下检查巡查力度，协调配合网络监管部门及时做好违法网站关闭等工作。要加强与公安机关的协作，形成打击合力，坚决捣毁非法生产窝点，摧毁非法销售链条，依法严惩犯罪分子。对阻碍执法、拒不配合等违法行为，协调公安部门依法处理。要强化行政执法与刑事司法的衔接，涉嫌犯罪的，及时依法移送公安机关追究刑事责任。对跨区域的案件，要协调合作依法查办，涉及疫情防控的药品医疗器械案件，协查部门要快速核实，及时回复，不得拖延。</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四、狠抓案件查办，严惩重处各类违法行为</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严格落实“四个最严”要求，对疫情防控期间各类违法行为，要依照《药品管理法》《医疗器械监督管理条例》等法律法规规定，从严从重从快查处，做到利剑高悬、以儆效尤。药品领域重点查处生产销售标明的适应症或者功能主治超出规定范围的药品以及过期药品等假药、劣药和生产销售未取得药品批准证明文件的药品等违法行为。医疗器械领域重点查处以普通或者工业用防尘口罩冒充医用口罩、回收利用过期失效或者已使用医用口罩等非法制售医用口罩、医用防护服等防护产品，以及生产销售未经注册、不符合国家强制性标准或者产品技术要求的医疗器械等违法行为。</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要充分发挥投诉举报、监督检查、互联网监测、部门通报等渠道的作用，广泛收集线索，周密筹划，及时查处。对排查出的假劣药和其他案件线索，要及时做好取证、产品定性等工作，为深挖窝点奠定基础。发现标明的适应症或者功能主治超出规定范围的药品、过期药品、未标明或者更改有效期、产品批号的药品以及其他有充分证据证明其为假药或者劣药的，无需送药品检验机构检验，依法直接立案查处；涉嫌犯罪的，依法及时移送公安机关。</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对防控期间查处的各类违法案件，要依法及时向社会公布。对牵涉面广，可能涉及系统性、区域性风险，或者敏感性强、易被舆论炒作的重大涉案事项，要及时协调沟通，进行风险分析，必要时按规定报告上级机关。发布重大案件信息前，要按程序通报相关部门；联合督办的重大案件的信息发布，要商联合督办部门同意。案件查办过程中涉及重大药品安全事件等需要由国家或者省统一发布的药品安全信息的，应当按规定及时报告上级机关并通报相关部门。</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　五、加强组织保障，严格责任追究</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各级药品监管部门要把新型冠状病毒感染的肺炎疫情防控作为当前重大政治任务来抓，切实加强组织领导，明确任务分工，逐级落实责任。要引导和激励广大党员干部坚决贯彻党中央国务院部署，主要领导干部要靠前指挥，身先士卒，切实履行岗位职责。要坚决反对形式主义、官僚主义，进一步加强监管执法队伍建设，强化技术支撑，做好后勤保障，将监管干部更多的部署在监管执法第一线，让基层干部把更多精力投入到疫情防控第一线。要注重在疫情防控第一线考察、识别、评价、使用干部，把党员干部在疫情防控期间的实际表现作为考察其政治素质、宗旨意识、全局观念、驾驭能力、担当精神的重要内容，对表现突出的干部及时予以表彰。要严肃纪律，严格责任追究，对不敢担当、作风飘浮、履职不力的，除追究直接责任人责任外，情节严重的还要对主要领导进行问责；失职渎职的，要依法依纪严肃查处。</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p>
    <w:p>
      <w:pPr>
        <w:pStyle w:val="7"/>
        <w:rPr>
          <w:rFonts w:hint="eastAsia" w:ascii="仿宋_GB2312" w:hAnsi="仿宋_GB2312" w:eastAsia="仿宋_GB2312" w:cs="仿宋_GB2312"/>
          <w:color w:val="000000"/>
          <w:kern w:val="0"/>
          <w:sz w:val="32"/>
          <w:szCs w:val="32"/>
          <w:lang w:val="en-US" w:eastAsia="zh-CN"/>
        </w:rPr>
      </w:pPr>
    </w:p>
    <w:p>
      <w:pPr>
        <w:pStyle w:val="7"/>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0" w:firstLineChars="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国家药监局</w:t>
      </w:r>
    </w:p>
    <w:p>
      <w:pPr>
        <w:widowControl w:val="0"/>
        <w:wordWrap/>
        <w:adjustRightInd/>
        <w:snapToGrid/>
        <w:spacing w:line="560" w:lineRule="exact"/>
        <w:ind w:right="0" w:firstLine="0" w:firstLineChars="0"/>
        <w:jc w:val="right"/>
        <w:textAlignment w:val="auto"/>
        <w:outlineLvl w:val="9"/>
        <w:rPr>
          <w:rFonts w:hint="eastAsia" w:ascii="Times New Roman" w:hAnsi="Times New Roman" w:eastAsia="宋体" w:cs="Times New Roman"/>
          <w:bCs/>
          <w:kern w:val="44"/>
          <w:sz w:val="44"/>
          <w:szCs w:val="44"/>
          <w:lang w:val="en-US" w:eastAsia="zh-CN" w:bidi="ar-SA"/>
        </w:rPr>
      </w:pPr>
      <w:r>
        <w:rPr>
          <w:rFonts w:hint="eastAsia" w:ascii="仿宋_GB2312" w:hAnsi="仿宋_GB2312" w:eastAsia="仿宋_GB2312" w:cs="仿宋_GB2312"/>
          <w:color w:val="000000"/>
          <w:kern w:val="0"/>
          <w:sz w:val="32"/>
          <w:szCs w:val="32"/>
          <w:lang w:val="en-US" w:eastAsia="zh-CN"/>
        </w:rPr>
        <w:t>2020年2月4日</w:t>
      </w:r>
    </w:p>
    <w:p>
      <w:pPr>
        <w:rPr>
          <w:rFonts w:hint="eastAsia" w:ascii="Times New Roman" w:hAnsi="Times New Roman" w:eastAsia="宋体" w:cs="Times New Roman"/>
          <w:bCs/>
          <w:kern w:val="44"/>
          <w:sz w:val="44"/>
          <w:szCs w:val="44"/>
          <w:lang w:val="en-US" w:eastAsia="zh-CN" w:bidi="ar-SA"/>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4" w:name="_Toc8492"/>
      <w:r>
        <w:rPr>
          <w:rFonts w:hint="eastAsia" w:ascii="Times New Roman" w:hAnsi="Times New Roman" w:eastAsia="宋体" w:cs="Times New Roman"/>
          <w:bCs/>
          <w:kern w:val="44"/>
          <w:sz w:val="44"/>
          <w:szCs w:val="44"/>
          <w:lang w:val="en-US" w:eastAsia="zh-CN" w:bidi="ar-SA"/>
        </w:rPr>
        <w:t>市场监管总局关于疫情防控期间严厉打击口罩等防控物资生产领域价格违法行为的紧急通知</w:t>
      </w:r>
      <w:bookmarkEnd w:id="414"/>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auto"/>
          <w:kern w:val="0"/>
          <w:sz w:val="32"/>
          <w:szCs w:val="32"/>
          <w:lang w:val="en-US" w:eastAsia="zh-CN"/>
        </w:rPr>
      </w:pPr>
      <w:r>
        <w:rPr>
          <w:rFonts w:hint="eastAsia" w:ascii="楷体" w:hAnsi="楷体" w:eastAsia="楷体" w:cs="楷体"/>
          <w:color w:val="auto"/>
          <w:kern w:val="0"/>
          <w:sz w:val="32"/>
          <w:szCs w:val="32"/>
          <w:lang w:val="en-US" w:eastAsia="zh-CN"/>
        </w:rPr>
        <w:t>国市监竞争﹝2020﹞24号</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各省、自治区、直辖市及计划单列市、副省级城市、新疆生产建设兵团市场监管局（厅、委）：</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为进一步加强口罩等防控物资生产领域价格监管、严厉打击该领域价格违法行为，维护市场价格秩序、保障防控物资供应，现就有关事项通知如下：</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一、提高政治站位，坚决贯彻落实习近平总书记重要指示批示精神</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当前，全国各地、各行业、各领域都在贯彻落实党中央决策部署，把疫情防控工作作为当前最重要的工作来抓，按照坚定信心、同舟共济、科学防治、精准施策的要求，不断找差距、补短板，扎实做好各项防控工作，坚决打赢疫情防控阻击战。各级市场监管部门要在党委、政府领导下，不断增强大局观念和全局意识，坚决贯彻落实习近平总书记重要指示批示精神，充分认识做好防控物资保供稳价工作的极端重要性和万分紧迫性，坚决服从中央应对疫情工作领导小组及国务院联防联控机制安排，扎实履行市场监管职责，积极支持增产扩能，全力保障口罩等防控物资生产供应，坚决维护市场价格秩序。</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二、突出工作重点，全面加强口罩等防控物资生产领域市场价格监管</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一）摸清底数，加快排查，切实提高口罩等防控物资生产领域价格监管工作针对性和有效性。各级市场监管部门要主动与有关部门、行业协会和企业加强沟通协调，加强调查研究，摸清辖区口罩等防控物资生产设备和原辅材料供应企业等基本情况，做到底数清、情况明，为提高价格监管效率筑牢基础。</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二）依法从重从严从快，严厉打击口罩等防控物资生产领域价格违法行为。各级市场监管部门不仅要加强口罩等防控物资销售环节的价格监管，还要加强生产设备和原辅材料供应全链条价格行为监管，加大执法力度，按照《市场监管总局关于新型冠状病毒感染肺炎疫情防控期间查处哄抬价格违法行为的指导意见》（国市监竞争〔2020〕21号）要求尽快作出处罚，做到露头就打，绝不姑息。相关案例及时报总局，总局将在全国范围进一步加大公开曝光力度，形成震慑。</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三）积极倡议，引导企业主动承担社会责任参与社会共治。各级市场监管部门在严格执法过程中要秉持宽严相济的原则，引导辖区口罩等防控物资生产设备和原辅材料供应企业加强自律，依法合规经营，积极参与总局开展的“保价格、保质量、保供应”系列行动，主动向社会作出承诺，在疫情防控期间全力支援防疫工作，做到价格不涨、质量不降、供应不断，自觉接受社会监督，发挥社会共治积极作用。</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三、明确责任分工，确保口罩等防控物资生产领域价格监管取得实效</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一）强化组织领导，迅速部署行动。各级市场监管部门要迅速行动起来，把打击口罩等防控物资生产领域价格违法行为、加强防控物资市场价格监管纳入全国市场监管系统疫情防控工作总体部署，研究制定细化措施和行动方案，组织精干力量全面加大执法力度。</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二）加强协同联动，提升工作合力。各级市场监管部门加强监管执法的同时，也要注重发挥职能优势，上下联动、各方协同、形成合力，在服务口罩等防控物资生产、供应方面主动担当作为，对新增产能的市场准入要特事特办、开通绿色通道，确保企业尽快开工生产。要灵活运用行政指导、行政约谈、提醒告诫等手段，督促企业守法诚信经营。要强化质量抽查结果运用，与价格监管同等发力，助力保供。各级市场监管部门对同一企业的监管要加强统筹，科学合理整合开展，减少对企业正常生产经营秩序的干预。</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各级市场监管部门要统一思想，充分认识口罩等防控物资生产领域保供稳价工作的重要性，增强使命感和责任担当，按通知要求切实做好本职工作，用实际行动增强人民群众夺取抗击疫情胜利的信心和决心。</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市场监管总局</w:t>
      </w: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2020年2月5日</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i w:val="0"/>
          <w:caps w:val="0"/>
          <w:color w:val="333333"/>
          <w:spacing w:val="0"/>
          <w:sz w:val="44"/>
          <w:szCs w:val="44"/>
        </w:rPr>
      </w:pPr>
      <w:bookmarkStart w:id="415" w:name="_Toc3041"/>
      <w:r>
        <w:rPr>
          <w:rFonts w:hint="eastAsia" w:ascii="宋体" w:hAnsi="宋体" w:eastAsia="宋体" w:cs="宋体"/>
          <w:i w:val="0"/>
          <w:caps w:val="0"/>
          <w:color w:val="333333"/>
          <w:spacing w:val="-11"/>
          <w:kern w:val="0"/>
          <w:sz w:val="44"/>
          <w:szCs w:val="44"/>
          <w:shd w:val="clear" w:color="080000" w:fill="FFFFFF"/>
          <w:lang w:val="en-US" w:eastAsia="zh-CN"/>
        </w:rPr>
        <w:t>市场监管总局 农业农村部 国家林草局</w:t>
      </w:r>
      <w:bookmarkEnd w:id="415"/>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i w:val="0"/>
          <w:caps w:val="0"/>
          <w:color w:val="333333"/>
          <w:spacing w:val="0"/>
          <w:sz w:val="44"/>
          <w:szCs w:val="44"/>
        </w:rPr>
      </w:pPr>
      <w:bookmarkStart w:id="416" w:name="_Toc28295"/>
      <w:r>
        <w:rPr>
          <w:rFonts w:hint="eastAsia" w:ascii="宋体" w:hAnsi="宋体" w:eastAsia="宋体" w:cs="宋体"/>
          <w:i w:val="0"/>
          <w:caps w:val="0"/>
          <w:color w:val="333333"/>
          <w:spacing w:val="0"/>
          <w:kern w:val="0"/>
          <w:sz w:val="44"/>
          <w:szCs w:val="44"/>
          <w:shd w:val="clear" w:color="080000" w:fill="FFFFFF"/>
          <w:lang w:val="en-US" w:eastAsia="zh-CN"/>
        </w:rPr>
        <w:t>关于加强野生动物市场监管 积极做好疫情防控工作的紧急通知</w:t>
      </w:r>
      <w:bookmarkEnd w:id="416"/>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Fonts w:hint="eastAsia" w:ascii="楷体" w:hAnsi="楷体" w:eastAsia="楷体" w:cs="楷体"/>
          <w:sz w:val="32"/>
          <w:szCs w:val="32"/>
        </w:rPr>
      </w:pPr>
      <w:r>
        <w:rPr>
          <w:rFonts w:hint="eastAsia" w:ascii="楷体" w:hAnsi="楷体" w:eastAsia="楷体" w:cs="楷体"/>
          <w:i w:val="0"/>
          <w:caps w:val="0"/>
          <w:color w:val="333333"/>
          <w:spacing w:val="0"/>
          <w:sz w:val="32"/>
          <w:szCs w:val="32"/>
          <w:shd w:val="clear" w:color="070000" w:fill="FFFFFF"/>
        </w:rPr>
        <w:t>国市监明电〔2020〕2号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各省、自治区、直辖市及新疆生产建设兵团市场监管局（厅、委）、农业农村（农牧）厅（局、委）、林草主管部门：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近期，湖北省武汉市等多个地区发生新型冠状病毒感染的肺炎疫情。党中央、国务院高度重视，习近平总书记作出重要指示，李克强总理作出批示。按照国务院常务会议、国务院联防联控机制电视电话会议和联防联控机制会议精神，现就加强野生动物市场监管，做好疫情防控工作通知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一、切实增强疫情防控工作的责任感使命感。各地各部门要把人民群众生命安全和身体健康放在第一位，充分认识当前加强野生动物市场监管的重要性，在当地党委、政府的统一领导下，积极发挥各自职能作用，研究制定针对性强的具体措施，全力以赴做好市场监管工作，切实维护人民群众生命健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二、加强重点环节重点场所监管。各地林草、农业农村和市场监管部门要依照《野生动物保护法》规定和职责分工，突出饲养、繁育、运输、出售、购买等环节，加强检验检疫力度，对竹鼠、獾等可能携带新型冠状病毒的野生动物，在其饲养繁育场所实施封控隔离，严禁对外扩散，禁止转运贩卖。对其他未经检疫合格的野生动物，一律严禁进入市场。突出农贸市场、超市、餐饮等重点场所以及网站，开展联合检查，加强隐患排查，严厉打击野生动物违法违规交易，涉嫌犯罪的，及时移送司法机关。各地要根据实际情况，及时调整优化需要重点监管的环节和场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三、武汉市相关部门要在当地党委、政府的领导下，加强农（集）贸市场、超市、餐饮等各类野生动物经营场所的整治，严格落实野生动物交易市场关闭措施，严禁野生动物交易，严禁野生动物转运贩卖进出武汉市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四、加强科普宣传，倡导健康饮食。各相关部门要大力宣传非法经营野生动物的法律后果，增强经营者法律意识。要加强食用野生动物健康风险提示，增强消费者自我保护意识，为强化野生动物市场监管和疫情防控营造良好氛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五、各地各部门根据联防联控机制的具体安排，密切协作配合，加强值班值守，形成监管合力，要及时处置群众投诉举报，提高整体防控效果。监管执法人员在工作中要做好自身安全防范。工作中遇到重大紧急情况，及时报告当地党委、政府和上级部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right"/>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市场监管总局    农业农村部　　国家林草局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right"/>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2020年1月21日  </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7" w:name="_Toc822"/>
      <w:r>
        <w:rPr>
          <w:rFonts w:hint="eastAsia" w:ascii="Times New Roman" w:hAnsi="Times New Roman" w:eastAsia="宋体" w:cs="Times New Roman"/>
          <w:bCs/>
          <w:kern w:val="44"/>
          <w:sz w:val="44"/>
          <w:szCs w:val="44"/>
          <w:lang w:val="en-US" w:eastAsia="zh-CN" w:bidi="ar-SA"/>
        </w:rPr>
        <w:t>市场监管总局 农业农村部 国家林草局</w:t>
      </w:r>
      <w:bookmarkEnd w:id="417"/>
      <w:r>
        <w:rPr>
          <w:rFonts w:hint="eastAsia" w:ascii="Times New Roman" w:hAnsi="Times New Roman" w:eastAsia="宋体" w:cs="Times New Roman"/>
          <w:bCs/>
          <w:kern w:val="44"/>
          <w:sz w:val="44"/>
          <w:szCs w:val="44"/>
          <w:lang w:val="en-US" w:eastAsia="zh-CN" w:bidi="ar-SA"/>
        </w:rPr>
        <w:t xml:space="preserve"> </w:t>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8" w:name="_Toc24692"/>
      <w:r>
        <w:rPr>
          <w:rFonts w:hint="eastAsia" w:ascii="Times New Roman" w:hAnsi="Times New Roman" w:eastAsia="宋体" w:cs="Times New Roman"/>
          <w:bCs/>
          <w:kern w:val="44"/>
          <w:sz w:val="44"/>
          <w:szCs w:val="44"/>
          <w:lang w:val="en-US" w:eastAsia="zh-CN" w:bidi="ar-SA"/>
        </w:rPr>
        <w:t>关于禁止野生动物交易的公告</w:t>
      </w:r>
      <w:bookmarkEnd w:id="402"/>
      <w:bookmarkEnd w:id="403"/>
      <w:bookmarkEnd w:id="404"/>
      <w:bookmarkEnd w:id="405"/>
      <w:bookmarkEnd w:id="406"/>
      <w:bookmarkEnd w:id="407"/>
      <w:bookmarkEnd w:id="408"/>
      <w:bookmarkEnd w:id="409"/>
      <w:bookmarkEnd w:id="410"/>
      <w:bookmarkEnd w:id="411"/>
      <w:bookmarkEnd w:id="418"/>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2020年第4号</w:t>
      </w:r>
    </w:p>
    <w:p>
      <w:pPr>
        <w:widowControl w:val="0"/>
        <w:wordWrap/>
        <w:adjustRightInd/>
        <w:snapToGrid/>
        <w:spacing w:line="560" w:lineRule="exact"/>
        <w:ind w:right="0" w:firstLine="560" w:firstLineChars="200"/>
        <w:jc w:val="both"/>
        <w:textAlignment w:val="auto"/>
        <w:outlineLvl w:val="9"/>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为严防新型冠状病毒感染的肺炎疫情，阻断可能的传染源和传播途径，市场监管总局、农业农村部、国家林草局决定，自本公告发布之日起至全国疫情解除期间，禁止野生动物交易活动。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一、各地饲养繁育野生动物场所实施隔离，严禁野生动物对外扩散和转运贩卖。</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二、各地农（集）贸市场、超市、餐饮单位、电商平台等经营场所，严禁任何形式的野生动物交易活动。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三、社会各界发现违法违规交易野生动物的，可通过 12315 热线或平台举报。</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四、各地各相关部门要加强检查，发现有违反本公告规定的，要依法依规严肃查处，对经营者、经营场所分别予以停业整顿、查封，涉嫌犯罪的，移送公安机关。</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五、消费者要充分认识食用野生动物的健康风险，远离“野味”，健康饮食。</w:t>
      </w:r>
    </w:p>
    <w:p>
      <w:pPr>
        <w:widowControl w:val="0"/>
        <w:wordWrap/>
        <w:spacing w:before="0" w:line="560" w:lineRule="exact"/>
        <w:jc w:val="both"/>
        <w:textAlignment w:val="auto"/>
        <w:rPr>
          <w:rFonts w:hint="eastAsia" w:ascii="仿宋_GB2312" w:hAnsi="仿宋_GB2312" w:eastAsia="仿宋_GB2312" w:cs="仿宋_GB2312"/>
          <w:color w:val="000000"/>
          <w:kern w:val="0"/>
          <w:sz w:val="32"/>
          <w:szCs w:val="32"/>
          <w:lang w:val="en-US" w:eastAsia="zh-CN" w:bidi="ar-SA"/>
        </w:rPr>
      </w:pPr>
    </w:p>
    <w:p>
      <w:pPr>
        <w:widowControl w:val="0"/>
        <w:wordWrap/>
        <w:spacing w:before="0" w:line="560" w:lineRule="exact"/>
        <w:jc w:val="both"/>
        <w:textAlignment w:val="auto"/>
        <w:rPr>
          <w:rFonts w:hint="eastAsia" w:ascii="仿宋_GB2312" w:hAnsi="仿宋_GB2312" w:eastAsia="仿宋_GB2312" w:cs="仿宋_GB2312"/>
          <w:color w:val="000000"/>
          <w:kern w:val="0"/>
          <w:sz w:val="32"/>
          <w:szCs w:val="32"/>
          <w:lang w:val="en-US" w:eastAsia="zh-CN" w:bidi="ar-SA"/>
        </w:rPr>
      </w:pP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xml:space="preserve">市场监管总局 农业农村部 国家林草局 </w:t>
      </w:r>
    </w:p>
    <w:p>
      <w:pPr>
        <w:widowControl w:val="0"/>
        <w:wordWrap/>
        <w:adjustRightInd/>
        <w:snapToGrid/>
        <w:spacing w:line="560" w:lineRule="exact"/>
        <w:ind w:right="0" w:firstLine="4800" w:firstLineChars="15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2020年1月26日</w:t>
      </w:r>
    </w:p>
    <w:p>
      <w:pPr>
        <w:rPr>
          <w:rFonts w:hint="eastAsia" w:ascii="宋体" w:hAnsi="宋体" w:eastAsia="宋体" w:cs="Arial"/>
          <w:bCs/>
          <w:sz w:val="44"/>
          <w:szCs w:val="44"/>
          <w:lang w:val="en-US" w:eastAsia="zh-CN"/>
        </w:rPr>
      </w:pPr>
      <w:r>
        <w:rPr>
          <w:rFonts w:hint="eastAsia" w:ascii="宋体" w:hAnsi="宋体" w:eastAsia="宋体" w:cs="Arial"/>
          <w:bCs/>
          <w:sz w:val="44"/>
          <w:szCs w:val="44"/>
          <w:lang w:val="en-US" w:eastAsia="zh-CN"/>
        </w:rPr>
        <w:br w:type="page"/>
      </w:r>
    </w:p>
    <w:p>
      <w:pPr>
        <w:pStyle w:val="4"/>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000000"/>
          <w:spacing w:val="0"/>
          <w:sz w:val="44"/>
          <w:szCs w:val="44"/>
        </w:rPr>
      </w:pPr>
      <w:bookmarkStart w:id="419" w:name="_Toc17232"/>
      <w:r>
        <w:rPr>
          <w:rFonts w:hint="eastAsia" w:ascii="宋体" w:hAnsi="宋体" w:eastAsia="宋体" w:cs="宋体"/>
          <w:b w:val="0"/>
          <w:bCs/>
          <w:i w:val="0"/>
          <w:caps w:val="0"/>
          <w:color w:val="000000"/>
          <w:spacing w:val="0"/>
          <w:sz w:val="44"/>
          <w:szCs w:val="44"/>
        </w:rPr>
        <w:t>农业农村部农产品质量安全监管司</w:t>
      </w:r>
      <w:bookmarkEnd w:id="419"/>
    </w:p>
    <w:p>
      <w:pPr>
        <w:pStyle w:val="4"/>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000000"/>
          <w:spacing w:val="0"/>
          <w:sz w:val="44"/>
          <w:szCs w:val="44"/>
        </w:rPr>
      </w:pPr>
      <w:bookmarkStart w:id="420" w:name="_Toc1445"/>
      <w:r>
        <w:rPr>
          <w:rFonts w:hint="eastAsia" w:ascii="宋体" w:hAnsi="宋体" w:eastAsia="宋体" w:cs="宋体"/>
          <w:b w:val="0"/>
          <w:bCs/>
          <w:i w:val="0"/>
          <w:caps w:val="0"/>
          <w:color w:val="000000"/>
          <w:spacing w:val="0"/>
          <w:sz w:val="44"/>
          <w:szCs w:val="44"/>
        </w:rPr>
        <w:t>关于进一步加强新冠肺炎疫情防控期间</w:t>
      </w:r>
      <w:bookmarkEnd w:id="420"/>
    </w:p>
    <w:p>
      <w:pPr>
        <w:pStyle w:val="4"/>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000000"/>
          <w:spacing w:val="0"/>
          <w:sz w:val="44"/>
          <w:szCs w:val="44"/>
        </w:rPr>
      </w:pPr>
      <w:bookmarkStart w:id="421" w:name="_Toc11734"/>
      <w:r>
        <w:rPr>
          <w:rFonts w:hint="eastAsia" w:ascii="宋体" w:hAnsi="宋体" w:eastAsia="宋体" w:cs="宋体"/>
          <w:b w:val="0"/>
          <w:bCs/>
          <w:i w:val="0"/>
          <w:caps w:val="0"/>
          <w:color w:val="000000"/>
          <w:spacing w:val="0"/>
          <w:sz w:val="44"/>
          <w:szCs w:val="44"/>
        </w:rPr>
        <w:t>农产品质量安全工作的通知</w:t>
      </w:r>
      <w:bookmarkEnd w:id="421"/>
    </w:p>
    <w:p>
      <w:pPr>
        <w:wordWrap/>
        <w:adjustRightInd/>
        <w:snapToGrid/>
        <w:spacing w:line="560" w:lineRule="exact"/>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各省、自治区、直辖市及计划单列市农业农村（农牧）、畜牧兽医、海洋渔业厅（局、委），新疆生产建设兵团农业农村局；相关农产品质量安全检测机构：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近日，国务院应对新冠肺炎疫情联防联控机制印发《关于压实</w:t>
      </w:r>
      <w:r>
        <w:rPr>
          <w:rFonts w:hint="eastAsia" w:ascii="仿宋" w:hAnsi="仿宋" w:eastAsia="仿宋" w:cs="仿宋"/>
          <w:i w:val="0"/>
          <w:caps w:val="0"/>
          <w:color w:val="000000"/>
          <w:spacing w:val="0"/>
          <w:sz w:val="32"/>
          <w:szCs w:val="32"/>
          <w:lang w:val="en-US"/>
        </w:rPr>
        <w:t>“</w:t>
      </w:r>
      <w:r>
        <w:rPr>
          <w:rFonts w:hint="eastAsia" w:ascii="仿宋" w:hAnsi="仿宋" w:eastAsia="仿宋" w:cs="仿宋"/>
          <w:i w:val="0"/>
          <w:caps w:val="0"/>
          <w:color w:val="000000"/>
          <w:spacing w:val="0"/>
          <w:sz w:val="32"/>
          <w:szCs w:val="32"/>
        </w:rPr>
        <w:t>菜篮子</w:t>
      </w:r>
      <w:r>
        <w:rPr>
          <w:rFonts w:hint="eastAsia" w:ascii="仿宋" w:hAnsi="仿宋" w:eastAsia="仿宋" w:cs="仿宋"/>
          <w:i w:val="0"/>
          <w:caps w:val="0"/>
          <w:color w:val="000000"/>
          <w:spacing w:val="0"/>
          <w:sz w:val="32"/>
          <w:szCs w:val="32"/>
          <w:lang w:val="en-US"/>
        </w:rPr>
        <w:t>”</w:t>
      </w:r>
      <w:r>
        <w:rPr>
          <w:rFonts w:hint="eastAsia" w:ascii="仿宋" w:hAnsi="仿宋" w:eastAsia="仿宋" w:cs="仿宋"/>
          <w:i w:val="0"/>
          <w:caps w:val="0"/>
          <w:color w:val="000000"/>
          <w:spacing w:val="0"/>
          <w:sz w:val="32"/>
          <w:szCs w:val="32"/>
        </w:rPr>
        <w:t>市长负责制 做好农产品稳产保供工作的通知》，要求加大蔬菜农药、禽蛋和水产品兽药残留监测监管力度，切实守好“菜篮子”产品质量安全底线。农业农村部部长韩长赋再次指示，要确保上市农产品质量安全，不能出现系统性、区域性、链条式问题，不能给疫情防控大局添乱。为进一步做好疫情防控期间农产品质量安全工作，结合《农业农村部办公厅关于疫情防控期间坚决确保农产品质量安全的通知》（农明字〔</w:t>
      </w:r>
      <w:r>
        <w:rPr>
          <w:rFonts w:hint="eastAsia" w:ascii="仿宋" w:hAnsi="仿宋" w:eastAsia="仿宋" w:cs="仿宋"/>
          <w:i w:val="0"/>
          <w:caps w:val="0"/>
          <w:color w:val="000000"/>
          <w:spacing w:val="0"/>
          <w:sz w:val="32"/>
          <w:szCs w:val="32"/>
          <w:lang w:val="en-US"/>
        </w:rPr>
        <w:t>2020</w:t>
      </w:r>
      <w:r>
        <w:rPr>
          <w:rFonts w:hint="eastAsia" w:ascii="仿宋" w:hAnsi="仿宋" w:eastAsia="仿宋" w:cs="仿宋"/>
          <w:i w:val="0"/>
          <w:caps w:val="0"/>
          <w:color w:val="000000"/>
          <w:spacing w:val="0"/>
          <w:sz w:val="32"/>
          <w:szCs w:val="32"/>
        </w:rPr>
        <w:t>〕第</w:t>
      </w:r>
      <w:r>
        <w:rPr>
          <w:rFonts w:hint="eastAsia" w:ascii="仿宋" w:hAnsi="仿宋" w:eastAsia="仿宋" w:cs="仿宋"/>
          <w:i w:val="0"/>
          <w:caps w:val="0"/>
          <w:color w:val="000000"/>
          <w:spacing w:val="0"/>
          <w:sz w:val="32"/>
          <w:szCs w:val="32"/>
          <w:lang w:val="en-US"/>
        </w:rPr>
        <w:t>8</w:t>
      </w:r>
      <w:r>
        <w:rPr>
          <w:rFonts w:hint="eastAsia" w:ascii="仿宋" w:hAnsi="仿宋" w:eastAsia="仿宋" w:cs="仿宋"/>
          <w:i w:val="0"/>
          <w:caps w:val="0"/>
          <w:color w:val="000000"/>
          <w:spacing w:val="0"/>
          <w:sz w:val="32"/>
          <w:szCs w:val="32"/>
        </w:rPr>
        <w:t>号）印发以来各地实施情况，现就有关操作性要求通知如下。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w:t>
      </w:r>
      <w:r>
        <w:rPr>
          <w:rStyle w:val="23"/>
          <w:rFonts w:hint="eastAsia" w:ascii="黑体" w:hAnsi="黑体" w:eastAsia="黑体" w:cs="黑体"/>
          <w:b w:val="0"/>
          <w:bCs/>
          <w:i w:val="0"/>
          <w:caps w:val="0"/>
          <w:color w:val="000000"/>
          <w:spacing w:val="0"/>
          <w:sz w:val="32"/>
          <w:szCs w:val="32"/>
        </w:rPr>
        <w:t>　一、关于防范系统性区域性链条式风险问题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w:t>
      </w:r>
      <w:r>
        <w:rPr>
          <w:rStyle w:val="23"/>
          <w:rFonts w:hint="eastAsia" w:ascii="黑体" w:hAnsi="黑体" w:eastAsia="黑体" w:cs="黑体"/>
          <w:b w:val="0"/>
          <w:bCs/>
          <w:i w:val="0"/>
          <w:caps w:val="0"/>
          <w:color w:val="000000"/>
          <w:spacing w:val="0"/>
          <w:sz w:val="32"/>
          <w:szCs w:val="32"/>
        </w:rPr>
        <w:t>　</w:t>
      </w:r>
      <w:r>
        <w:rPr>
          <w:rFonts w:hint="eastAsia" w:ascii="仿宋" w:hAnsi="仿宋" w:eastAsia="仿宋" w:cs="仿宋"/>
          <w:i w:val="0"/>
          <w:caps w:val="0"/>
          <w:color w:val="000000"/>
          <w:spacing w:val="0"/>
          <w:sz w:val="32"/>
          <w:szCs w:val="32"/>
        </w:rPr>
        <w:t>从近年来监测评估情况看，农产品质量安全风险隐患在一些地方、一些品种上仍然存在，有的还比较突出。根据当前季节特点、生产状况和正在上市农产品往年情况，要重点关注以下问题：蔬菜水果方面，芹菜、菠菜、小白菜和豇豆中使用毒死蜱、克百威、氧乐果、甲拌磷等禁用农药，韭菜中腐霉利超标；草莓中烯酰吗啉和阿维菌素超标问题。畜禽产品方面，牛肉中使用克伦特罗、猪肉中使用沙丁胺醇等“瘦肉精”类非法添加物，鸡蛋中使用恩诺沙星、环丙沙星、氟苯尼考等禁用药物，鸡肉（乌鸡）中使用氧氟沙星等停用药物及恩诺沙星、氟苯尼考超标，收购、屠宰、加工病死猪等病死畜禽问题。水产品方面，乌鳢、加州鲈鱼、大菱鲆、大黄鱼等养殖水产品中使用氧氟沙星等停用药物和恩诺沙星、环丙沙星超标，鳜鱼等水产品中使用孔雀石绿、硝基呋喃等问题。从未知风险看，部分地方特色品种以及尚未纳入监测计划的禁用药物，监控数据不足，存在未知风险隐患。从产品供应实际看，前一阶段部分地方农产品滞销卖难，下一阶段很多农产品可能集中上市，存在滥用保鲜剂及其他禁用药物风险。各地要对照上述问题，结合本地区、本行业、本阶段特点，认真排查风险隐患，做到心中有数。同时，压实主体责任，加强培训指导，教育农民坚决抵制禁用药物和非法添加物，执行好用药安全间隔期和休药期规定，严禁收购、贩运、加工病死猪等病死畜禽，确保农产品质量安全“产出来”，防止发生重大农产品质量安全事件。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日前，农业农村部已印发第一季度国家农产品质量安全例行监测计划，根据疫情防控形势对风险监测工作做出专门安排。各地也要结合本地实际制定计划，迅速开展本地区风险监测工作，对“菜篮子”产品风险隐患做到心中有数。监测过程中要把握服务“菜篮子”产品有效供应、不得影响农产品上市的原则，做到快速抽样、快速检测、快出报告。监测品种重点关注市场需求量大的“菜篮子”产品；监测方式要灵活，以市场随机抽样为主，可本地、就近抽样；检测参数主要聚焦高毒农药、禁用药物，抽样数量尽可能少而精，具有代表性。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Style w:val="23"/>
          <w:rFonts w:hint="eastAsia" w:ascii="黑体" w:hAnsi="黑体" w:eastAsia="黑体" w:cs="黑体"/>
          <w:b w:val="0"/>
          <w:bCs/>
          <w:i w:val="0"/>
          <w:caps w:val="0"/>
          <w:color w:val="000000"/>
          <w:spacing w:val="0"/>
          <w:sz w:val="32"/>
          <w:szCs w:val="32"/>
        </w:rPr>
      </w:pPr>
      <w:r>
        <w:rPr>
          <w:rStyle w:val="23"/>
          <w:rFonts w:hint="eastAsia" w:ascii="仿宋" w:hAnsi="仿宋" w:eastAsia="仿宋" w:cs="仿宋"/>
          <w:i w:val="0"/>
          <w:caps w:val="0"/>
          <w:color w:val="000000"/>
          <w:spacing w:val="0"/>
          <w:sz w:val="32"/>
          <w:szCs w:val="32"/>
        </w:rPr>
        <w:t>　　</w:t>
      </w:r>
      <w:r>
        <w:rPr>
          <w:rStyle w:val="23"/>
          <w:rFonts w:hint="eastAsia" w:ascii="黑体" w:hAnsi="黑体" w:eastAsia="黑体" w:cs="黑体"/>
          <w:b w:val="0"/>
          <w:bCs/>
          <w:i w:val="0"/>
          <w:caps w:val="0"/>
          <w:color w:val="000000"/>
          <w:spacing w:val="0"/>
          <w:sz w:val="32"/>
          <w:szCs w:val="32"/>
        </w:rPr>
        <w:t>二、关于农产品上市问题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近期，因部分地区采购者需要提供相关合格证明，有的地方使用食用农产品合格证，有的地方采取快检方式，有的地方出具检测报告，有的地方将合格证与产品检测相结合，均为保障“菜篮子”产品质量安全发挥了积极作用。疫情防控期间，农产品质量安全工作要与“菜篮子”产品保供统筹兼顾，要服务于“菜篮子”产品快速上市。一是用好食用农产品合格证。鼓励生产主体对农产品质量安全自我承诺并自行开具合格证，这是最便捷的证明方式，也是压实生产经营主体责任的有效办法。但要注意，合格证制度刚刚试行，多数生产主体尚未掌握，各地农业农村部门要做好服务，指导生产者迅速开出合格证，不要影响疫情防控期间“菜篮子”产品保供。二是发挥快速检测作用。对有检测需求的生产主体，要充分用好快速检测手段，鼓励乡镇监管站到田间地头开展检测服务，确保农产品及时上市供应。三是定量检测要突出“快”字。对于需要提供定量检测报告的，质检机构要靠前服务，当天收样、当天出结果。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各地在推进合格证制度时，要把握好</w:t>
      </w:r>
      <w:r>
        <w:rPr>
          <w:rFonts w:hint="eastAsia" w:ascii="仿宋" w:hAnsi="仿宋" w:eastAsia="仿宋" w:cs="仿宋"/>
          <w:i w:val="0"/>
          <w:caps w:val="0"/>
          <w:color w:val="000000"/>
          <w:spacing w:val="0"/>
          <w:sz w:val="32"/>
          <w:szCs w:val="32"/>
          <w:lang w:val="en-US"/>
        </w:rPr>
        <w:t>3</w:t>
      </w:r>
      <w:r>
        <w:rPr>
          <w:rFonts w:hint="eastAsia" w:ascii="仿宋" w:hAnsi="仿宋" w:eastAsia="仿宋" w:cs="仿宋"/>
          <w:i w:val="0"/>
          <w:caps w:val="0"/>
          <w:color w:val="000000"/>
          <w:spacing w:val="0"/>
          <w:sz w:val="32"/>
          <w:szCs w:val="32"/>
        </w:rPr>
        <w:t>点：一是坚持生产主体自行开具。合格证也是承诺证，应由生产主体在自控自检的基础上自行开具，政府部门和质检机构不得代替和背书，不得在合格证上加盖政府公章。二是指导规范开具。疫情防控期间，鼓励通过网络、微信、电话等方式加强宣传培训，指导生产主体正确开具，确保信息完整。合格证上生产主体承诺内容要突出醒目，特别要凸显主体承诺打勾情况。质检机构在开展检测工作中，应积极指导生产主体正确开具合格证。三是确保真实性。依托乡镇监管站和村级协管员开展摸底排查，健全生产主体名录，防止冒用。鼓励有条件的地方，将合格证与追溯、防伪码结合。对于虚假开具的要公开信息，纳入信用管理，实施联合惩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Style w:val="23"/>
          <w:rFonts w:hint="eastAsia" w:ascii="黑体" w:hAnsi="黑体" w:eastAsia="黑体" w:cs="黑体"/>
          <w:b w:val="0"/>
          <w:bCs/>
          <w:i w:val="0"/>
          <w:caps w:val="0"/>
          <w:color w:val="000000"/>
          <w:spacing w:val="0"/>
          <w:sz w:val="32"/>
          <w:szCs w:val="32"/>
        </w:rPr>
      </w:pPr>
      <w:r>
        <w:rPr>
          <w:rFonts w:hint="eastAsia" w:ascii="仿宋" w:hAnsi="仿宋" w:eastAsia="仿宋" w:cs="仿宋"/>
          <w:i w:val="0"/>
          <w:caps w:val="0"/>
          <w:color w:val="000000"/>
          <w:spacing w:val="0"/>
          <w:sz w:val="32"/>
          <w:szCs w:val="32"/>
        </w:rPr>
        <w:t>     </w:t>
      </w:r>
      <w:r>
        <w:rPr>
          <w:rStyle w:val="23"/>
          <w:rFonts w:hint="eastAsia" w:ascii="仿宋" w:hAnsi="仿宋" w:eastAsia="仿宋" w:cs="仿宋"/>
          <w:i w:val="0"/>
          <w:caps w:val="0"/>
          <w:color w:val="000000"/>
          <w:spacing w:val="0"/>
          <w:sz w:val="32"/>
          <w:szCs w:val="32"/>
        </w:rPr>
        <w:t> </w:t>
      </w:r>
      <w:r>
        <w:rPr>
          <w:rStyle w:val="23"/>
          <w:rFonts w:hint="eastAsia" w:ascii="黑体" w:hAnsi="黑体" w:eastAsia="黑体" w:cs="黑体"/>
          <w:b w:val="0"/>
          <w:bCs/>
          <w:i w:val="0"/>
          <w:caps w:val="0"/>
          <w:color w:val="000000"/>
          <w:spacing w:val="0"/>
          <w:sz w:val="32"/>
          <w:szCs w:val="32"/>
        </w:rPr>
        <w:t>  三、关于严防假劣农资坑农害农问题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从</w:t>
      </w:r>
      <w:r>
        <w:rPr>
          <w:rFonts w:hint="eastAsia" w:ascii="仿宋" w:hAnsi="仿宋" w:eastAsia="仿宋" w:cs="仿宋"/>
          <w:i w:val="0"/>
          <w:caps w:val="0"/>
          <w:color w:val="000000"/>
          <w:spacing w:val="0"/>
          <w:sz w:val="32"/>
          <w:szCs w:val="32"/>
          <w:lang w:val="en-US"/>
        </w:rPr>
        <w:t>2019</w:t>
      </w:r>
      <w:r>
        <w:rPr>
          <w:rFonts w:hint="eastAsia" w:ascii="仿宋" w:hAnsi="仿宋" w:eastAsia="仿宋" w:cs="仿宋"/>
          <w:i w:val="0"/>
          <w:caps w:val="0"/>
          <w:color w:val="000000"/>
          <w:spacing w:val="0"/>
          <w:sz w:val="32"/>
          <w:szCs w:val="32"/>
        </w:rPr>
        <w:t>年农资产品监督抽查情况看，主要问题有：农药有效成分含量不符合要求、标明成分未检出、擅自添加其他农药等问题，分别在不合格产品中占比</w:t>
      </w:r>
      <w:r>
        <w:rPr>
          <w:rFonts w:hint="eastAsia" w:ascii="仿宋" w:hAnsi="仿宋" w:eastAsia="仿宋" w:cs="仿宋"/>
          <w:i w:val="0"/>
          <w:caps w:val="0"/>
          <w:color w:val="000000"/>
          <w:spacing w:val="0"/>
          <w:sz w:val="32"/>
          <w:szCs w:val="32"/>
          <w:lang w:val="en-US"/>
        </w:rPr>
        <w:t>41.5%</w:t>
      </w:r>
      <w:r>
        <w:rPr>
          <w:rFonts w:hint="eastAsia" w:ascii="仿宋" w:hAnsi="仿宋" w:eastAsia="仿宋" w:cs="仿宋"/>
          <w:i w:val="0"/>
          <w:caps w:val="0"/>
          <w:color w:val="000000"/>
          <w:spacing w:val="0"/>
          <w:sz w:val="32"/>
          <w:szCs w:val="32"/>
        </w:rPr>
        <w:t>、</w:t>
      </w:r>
      <w:r>
        <w:rPr>
          <w:rFonts w:hint="eastAsia" w:ascii="仿宋" w:hAnsi="仿宋" w:eastAsia="仿宋" w:cs="仿宋"/>
          <w:i w:val="0"/>
          <w:caps w:val="0"/>
          <w:color w:val="000000"/>
          <w:spacing w:val="0"/>
          <w:sz w:val="32"/>
          <w:szCs w:val="32"/>
          <w:lang w:val="en-US"/>
        </w:rPr>
        <w:t>27.5%</w:t>
      </w:r>
      <w:r>
        <w:rPr>
          <w:rFonts w:hint="eastAsia" w:ascii="仿宋" w:hAnsi="仿宋" w:eastAsia="仿宋" w:cs="仿宋"/>
          <w:i w:val="0"/>
          <w:caps w:val="0"/>
          <w:color w:val="000000"/>
          <w:spacing w:val="0"/>
          <w:sz w:val="32"/>
          <w:szCs w:val="32"/>
        </w:rPr>
        <w:t>、</w:t>
      </w:r>
      <w:r>
        <w:rPr>
          <w:rFonts w:hint="eastAsia" w:ascii="仿宋" w:hAnsi="仿宋" w:eastAsia="仿宋" w:cs="仿宋"/>
          <w:i w:val="0"/>
          <w:caps w:val="0"/>
          <w:color w:val="000000"/>
          <w:spacing w:val="0"/>
          <w:sz w:val="32"/>
          <w:szCs w:val="32"/>
          <w:lang w:val="en-US"/>
        </w:rPr>
        <w:t>17.6%</w:t>
      </w:r>
      <w:r>
        <w:rPr>
          <w:rFonts w:hint="eastAsia" w:ascii="仿宋" w:hAnsi="仿宋" w:eastAsia="仿宋" w:cs="仿宋"/>
          <w:i w:val="0"/>
          <w:caps w:val="0"/>
          <w:color w:val="000000"/>
          <w:spacing w:val="0"/>
          <w:sz w:val="32"/>
          <w:szCs w:val="32"/>
        </w:rPr>
        <w:t>；兽药含量不合格、中药有效成分未检出、非法添加等问题；肥料养分含量不足（在不合格产品中占比</w:t>
      </w:r>
      <w:r>
        <w:rPr>
          <w:rFonts w:hint="eastAsia" w:ascii="仿宋" w:hAnsi="仿宋" w:eastAsia="仿宋" w:cs="仿宋"/>
          <w:i w:val="0"/>
          <w:caps w:val="0"/>
          <w:color w:val="000000"/>
          <w:spacing w:val="0"/>
          <w:sz w:val="32"/>
          <w:szCs w:val="32"/>
          <w:lang w:val="en-US"/>
        </w:rPr>
        <w:t>75%</w:t>
      </w:r>
      <w:r>
        <w:rPr>
          <w:rFonts w:hint="eastAsia" w:ascii="仿宋" w:hAnsi="仿宋" w:eastAsia="仿宋" w:cs="仿宋"/>
          <w:i w:val="0"/>
          <w:caps w:val="0"/>
          <w:color w:val="000000"/>
          <w:spacing w:val="0"/>
          <w:sz w:val="32"/>
          <w:szCs w:val="32"/>
        </w:rPr>
        <w:t>）、大量元素水溶肥料合格率低（</w:t>
      </w:r>
      <w:r>
        <w:rPr>
          <w:rFonts w:hint="eastAsia" w:ascii="仿宋" w:hAnsi="仿宋" w:eastAsia="仿宋" w:cs="仿宋"/>
          <w:i w:val="0"/>
          <w:caps w:val="0"/>
          <w:color w:val="000000"/>
          <w:spacing w:val="0"/>
          <w:sz w:val="32"/>
          <w:szCs w:val="32"/>
          <w:lang w:val="en-US"/>
        </w:rPr>
        <w:t>79.2%</w:t>
      </w:r>
      <w:r>
        <w:rPr>
          <w:rFonts w:hint="eastAsia" w:ascii="仿宋" w:hAnsi="仿宋" w:eastAsia="仿宋" w:cs="仿宋"/>
          <w:i w:val="0"/>
          <w:caps w:val="0"/>
          <w:color w:val="000000"/>
          <w:spacing w:val="0"/>
          <w:sz w:val="32"/>
          <w:szCs w:val="32"/>
        </w:rPr>
        <w:t>）、标签标识等问题。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当前春耕生产在即，部分地区受疫情防控措施影响，农资供应出现紧缺，假劣农资可能趁虚而入。各地要围绕使用量大、合格率不高、风险隐患多的重点农资品种加强监管，严厉打击各类违法违规行为，严罚严管、重罚重判、快审快结。农药重点打击非法生产经营禁用高毒农药、假冒伪劣农药、隐性添加农药成分等行为；兽药重点加强对假劣兽药、抗寄生虫类药物、兽用抗菌药和中兽药散剂等的监督管理；肥料重点查处有效成分不足、虚标含量及偷换养分等行为；种子种苗重点查处无证生产和纯度不合格产品。要加强对农民的宣传教育，指导农民科学购买农资产品，做到“三要三不”，要到正规门店购买、要买正规包装带标签的、要索取购销凭证，不买无证无牌的、不买标识不清标注不全的、不贪便宜买农资“忽悠团”的。鼓励支持农资企业、连锁经营店、农资合作社、农资电商等提供网络订购、上门配送、直销直供等服务，进一步畅通放心农资下乡进村渠道。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Style w:val="23"/>
          <w:rFonts w:hint="eastAsia" w:ascii="黑体" w:hAnsi="黑体" w:eastAsia="黑体" w:cs="黑体"/>
          <w:b w:val="0"/>
          <w:bCs/>
          <w:i w:val="0"/>
          <w:caps w:val="0"/>
          <w:color w:val="000000"/>
          <w:spacing w:val="0"/>
          <w:sz w:val="32"/>
          <w:szCs w:val="32"/>
        </w:rPr>
      </w:pPr>
      <w:r>
        <w:rPr>
          <w:rStyle w:val="23"/>
          <w:rFonts w:hint="eastAsia" w:ascii="黑体" w:hAnsi="黑体" w:eastAsia="黑体" w:cs="黑体"/>
          <w:b w:val="0"/>
          <w:bCs/>
          <w:i w:val="0"/>
          <w:caps w:val="0"/>
          <w:color w:val="000000"/>
          <w:spacing w:val="0"/>
          <w:sz w:val="32"/>
          <w:szCs w:val="32"/>
        </w:rPr>
        <w:t>　　四、关于工作方式问题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当前，疫情防控工作到了最吃劲的关键阶段，各级农业农村部门要勇于担当，积极作为，为疫情防控期间守好农产品质量安全底线提供坚强保障。一是改进工作作风。提高工作主动性和前瞻性，特殊时期要敢于打破常规，创新方法。坚持问题导向，措施要有针对性、阶段性和操作性，一件一件予以解决，不可只发文件、不求落实。二是密切联系一线。建立重点生产主体点对点联系机制，及时掌握政策措施落实情况，了解生产主体在质量安全方面的困难需求并帮助协调解决。充分发挥互联网、微信、信息平台、农村大喇叭等作用，将宣传指导延伸到基层。县级以上农业农村部门要开通农产品质量专线电话，畅通基层反映问题和投诉举报渠道。三是压实属地责任。根据《地方党政领导干部食品安全责任制规定》《中共中央国务院关于深化改革加强食品安全工作的意见》，进一步强化党政同责，将各地相关工作情况纳入食品安全评议考核、农产品质量安全监管延伸绩效考核。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疫情防控期间，农产品质量安全检测等相关问题请及时反映。联系电话：</w:t>
      </w:r>
      <w:r>
        <w:rPr>
          <w:rFonts w:hint="eastAsia" w:ascii="仿宋" w:hAnsi="仿宋" w:eastAsia="仿宋" w:cs="仿宋"/>
          <w:i w:val="0"/>
          <w:caps w:val="0"/>
          <w:color w:val="000000"/>
          <w:spacing w:val="0"/>
          <w:sz w:val="32"/>
          <w:szCs w:val="32"/>
          <w:lang w:val="en-US"/>
        </w:rPr>
        <w:t>010-59198536</w:t>
      </w:r>
      <w:r>
        <w:rPr>
          <w:rFonts w:hint="eastAsia" w:ascii="仿宋" w:hAnsi="仿宋" w:eastAsia="仿宋" w:cs="仿宋"/>
          <w:i w:val="0"/>
          <w:caps w:val="0"/>
          <w:color w:val="000000"/>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w:t>
      </w:r>
      <w:r>
        <w:rPr>
          <w:rFonts w:hint="eastAsia" w:ascii="仿宋" w:hAnsi="仿宋" w:eastAsia="仿宋" w:cs="仿宋"/>
          <w:i w:val="0"/>
          <w:caps w:val="0"/>
          <w:color w:val="000000"/>
          <w:spacing w:val="0"/>
          <w:sz w:val="32"/>
          <w:szCs w:val="32"/>
          <w:lang w:val="en-US"/>
        </w:rPr>
        <w:t> </w:t>
      </w:r>
      <w:r>
        <w:rPr>
          <w:rFonts w:hint="eastAsia" w:ascii="仿宋" w:hAnsi="仿宋" w:eastAsia="仿宋" w:cs="仿宋"/>
          <w:i w:val="0"/>
          <w:caps w:val="0"/>
          <w:color w:val="000000"/>
          <w:spacing w:val="0"/>
          <w:sz w:val="32"/>
          <w:szCs w:val="32"/>
        </w:rPr>
        <w:t> </w:t>
      </w:r>
      <w:r>
        <w:rPr>
          <w:rFonts w:hint="eastAsia" w:ascii="仿宋" w:hAnsi="仿宋" w:eastAsia="仿宋" w:cs="仿宋"/>
          <w:i w:val="0"/>
          <w:caps w:val="0"/>
          <w:color w:val="000000"/>
          <w:spacing w:val="0"/>
          <w:sz w:val="32"/>
          <w:szCs w:val="32"/>
          <w:lang w:val="en-US"/>
        </w:rPr>
        <w:t> </w:t>
      </w:r>
      <w:r>
        <w:rPr>
          <w:rFonts w:hint="eastAsia" w:ascii="仿宋" w:hAnsi="仿宋" w:eastAsia="仿宋" w:cs="仿宋"/>
          <w:i w:val="0"/>
          <w:caps w:val="0"/>
          <w:color w:val="000000"/>
          <w:spacing w:val="0"/>
          <w:sz w:val="32"/>
          <w:szCs w:val="32"/>
        </w:rPr>
        <w:t> 　　</w:t>
      </w:r>
      <w:r>
        <w:rPr>
          <w:rFonts w:hint="eastAsia" w:ascii="仿宋" w:hAnsi="仿宋" w:eastAsia="仿宋" w:cs="仿宋"/>
          <w:i w:val="0"/>
          <w:caps w:val="0"/>
          <w:color w:val="000000"/>
          <w:spacing w:val="0"/>
          <w:sz w:val="32"/>
          <w:szCs w:val="32"/>
          <w:lang w:val="en-US"/>
        </w:rPr>
        <w:t> </w:t>
      </w:r>
      <w:r>
        <w:rPr>
          <w:rFonts w:hint="eastAsia" w:ascii="仿宋" w:hAnsi="仿宋" w:eastAsia="仿宋" w:cs="仿宋"/>
          <w:i w:val="0"/>
          <w:caps w:val="0"/>
          <w:color w:val="000000"/>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农业农村部农产品质量安全监管司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w:t>
      </w:r>
      <w:r>
        <w:rPr>
          <w:rFonts w:hint="eastAsia" w:ascii="仿宋" w:hAnsi="仿宋" w:eastAsia="仿宋" w:cs="仿宋"/>
          <w:i w:val="0"/>
          <w:caps w:val="0"/>
          <w:color w:val="000000"/>
          <w:spacing w:val="0"/>
          <w:sz w:val="32"/>
          <w:szCs w:val="32"/>
          <w:lang w:val="en-US"/>
        </w:rPr>
        <w:t>2020</w:t>
      </w:r>
      <w:r>
        <w:rPr>
          <w:rFonts w:hint="eastAsia" w:ascii="仿宋" w:hAnsi="仿宋" w:eastAsia="仿宋" w:cs="仿宋"/>
          <w:i w:val="0"/>
          <w:caps w:val="0"/>
          <w:color w:val="000000"/>
          <w:spacing w:val="0"/>
          <w:sz w:val="32"/>
          <w:szCs w:val="32"/>
        </w:rPr>
        <w:t>年</w:t>
      </w:r>
      <w:r>
        <w:rPr>
          <w:rFonts w:hint="eastAsia" w:ascii="仿宋" w:hAnsi="仿宋" w:eastAsia="仿宋" w:cs="仿宋"/>
          <w:i w:val="0"/>
          <w:caps w:val="0"/>
          <w:color w:val="000000"/>
          <w:spacing w:val="0"/>
          <w:sz w:val="32"/>
          <w:szCs w:val="32"/>
          <w:lang w:val="en-US"/>
        </w:rPr>
        <w:t>2</w:t>
      </w:r>
      <w:r>
        <w:rPr>
          <w:rFonts w:hint="eastAsia" w:ascii="仿宋" w:hAnsi="仿宋" w:eastAsia="仿宋" w:cs="仿宋"/>
          <w:i w:val="0"/>
          <w:caps w:val="0"/>
          <w:color w:val="000000"/>
          <w:spacing w:val="0"/>
          <w:sz w:val="32"/>
          <w:szCs w:val="32"/>
        </w:rPr>
        <w:t>月</w:t>
      </w:r>
      <w:r>
        <w:rPr>
          <w:rFonts w:hint="eastAsia" w:ascii="仿宋" w:hAnsi="仿宋" w:eastAsia="仿宋" w:cs="仿宋"/>
          <w:i w:val="0"/>
          <w:caps w:val="0"/>
          <w:color w:val="000000"/>
          <w:spacing w:val="0"/>
          <w:sz w:val="32"/>
          <w:szCs w:val="32"/>
          <w:lang w:val="en-US"/>
        </w:rPr>
        <w:t>14</w:t>
      </w:r>
      <w:r>
        <w:rPr>
          <w:rFonts w:hint="eastAsia" w:ascii="仿宋" w:hAnsi="仿宋" w:eastAsia="仿宋" w:cs="仿宋"/>
          <w:i w:val="0"/>
          <w:caps w:val="0"/>
          <w:color w:val="000000"/>
          <w:spacing w:val="0"/>
          <w:sz w:val="32"/>
          <w:szCs w:val="32"/>
        </w:rPr>
        <w:t>日</w:t>
      </w:r>
      <w:r>
        <w:rPr>
          <w:rFonts w:hint="eastAsia" w:ascii="仿宋" w:hAnsi="仿宋" w:eastAsia="仿宋" w:cs="仿宋"/>
          <w:i w:val="0"/>
          <w:caps w:val="0"/>
          <w:color w:val="000000"/>
          <w:spacing w:val="0"/>
          <w:sz w:val="32"/>
          <w:szCs w:val="32"/>
          <w:lang w:val="en-US"/>
        </w:rPr>
        <w:t>       </w:t>
      </w:r>
      <w:r>
        <w:rPr>
          <w:rFonts w:hint="eastAsia" w:ascii="仿宋" w:hAnsi="仿宋" w:eastAsia="仿宋" w:cs="仿宋"/>
          <w:i w:val="0"/>
          <w:caps w:val="0"/>
          <w:color w:val="000000"/>
          <w:spacing w:val="0"/>
          <w:sz w:val="32"/>
          <w:szCs w:val="32"/>
        </w:rPr>
        <w:t> </w:t>
      </w:r>
    </w:p>
    <w:p>
      <w:pPr>
        <w:wordWrap/>
        <w:adjustRightInd/>
        <w:snapToGrid/>
        <w:spacing w:line="560" w:lineRule="exact"/>
        <w:textAlignment w:val="auto"/>
        <w:rPr>
          <w:rFonts w:hint="eastAsia" w:ascii="仿宋" w:hAnsi="仿宋" w:eastAsia="仿宋" w:cs="仿宋"/>
          <w:sz w:val="32"/>
          <w:szCs w:val="32"/>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shd w:val="clear" w:color="090000" w:fill="FFFFFF"/>
        </w:rPr>
      </w:pPr>
      <w:bookmarkStart w:id="422" w:name="_Toc24881"/>
      <w:r>
        <w:rPr>
          <w:rFonts w:hint="eastAsia" w:ascii="宋体" w:hAnsi="宋体" w:eastAsia="宋体" w:cs="宋体"/>
          <w:b w:val="0"/>
          <w:bCs/>
          <w:i w:val="0"/>
          <w:caps w:val="0"/>
          <w:color w:val="333333"/>
          <w:spacing w:val="0"/>
          <w:sz w:val="44"/>
          <w:szCs w:val="44"/>
          <w:shd w:val="clear" w:color="090000" w:fill="FFFFFF"/>
        </w:rPr>
        <w:t>国家林草局关于贯彻落实《全国人民代表大会常务委员会关于全面禁止非法野生动物交易、革除滥食野生动物陋习、切实保障人民群众生命健康安全的决定》的通知</w:t>
      </w:r>
      <w:bookmarkEnd w:id="422"/>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br w:type="textWrapping"/>
      </w:r>
      <w:r>
        <w:rPr>
          <w:rFonts w:hint="eastAsia" w:ascii="楷体" w:hAnsi="楷体" w:eastAsia="楷体" w:cs="楷体"/>
          <w:i w:val="0"/>
          <w:caps w:val="0"/>
          <w:color w:val="333333"/>
          <w:spacing w:val="0"/>
          <w:sz w:val="32"/>
          <w:szCs w:val="32"/>
          <w:shd w:val="clear" w:color="070000" w:fill="FFFFFF"/>
        </w:rPr>
        <w:t>林护发〔2020〕22号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各省、自治区、直辖市林业和草原主管部门，内蒙古、大兴安岭森工（林业）集团公司，新疆生产建设兵团林业和草原主管部门，国家林业和草原局各司局、各派出机构、各直属单位：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2020年2月24日，十三届全国人大常委会第十六次会议审议通过了《全国人民代表大会常务委员会关于全面禁止非法野生动物交易、革除滥食野生动物陋习、切实保障人民群众生命健康安全的决定》（以下简称《决定》）。为贯彻执行《决定》精神，全面禁止食用野生动物，现就有关要求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rPr>
      </w:pPr>
      <w:r>
        <w:rPr>
          <w:rFonts w:hint="eastAsia" w:ascii="黑体" w:hAnsi="黑体" w:eastAsia="黑体" w:cs="黑体"/>
          <w:i w:val="0"/>
          <w:caps w:val="0"/>
          <w:color w:val="333333"/>
          <w:spacing w:val="0"/>
          <w:sz w:val="32"/>
          <w:szCs w:val="32"/>
          <w:shd w:val="clear" w:color="070000" w:fill="FFFFFF"/>
        </w:rPr>
        <w:t>一、深入学习领会《决定》精神，统一思想认识，提高政治站位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非法野生动物交易、滥食野生动物不仅危害野生动物种群安全和国家生态安全，而且对公共卫生安全和人民群众身体健康构成重大隐患。党中央对此高度重视，习近平总书记多次作出重要指示批示。在当前新冠肺炎疫情防控的关键时期，全国人大常委会聚焦滥食野生动物这一突出问题出台专门决定，不仅为全面禁食野生动物，严厉打击非法野生动物交易，从源头上防范和控制公共卫生安全风险提供了有力的法制保障，而且对提高全社会的生态保护和公共卫生安全意识，加强生态文明建设，促进人与自然和谐共生，具有重要意义。各级林业和草原主管部门要立即组织专题学习，以习近平新时代中国特色社会主义思想为指导，进一步增强“四个意识”</w:t>
      </w:r>
      <w:r>
        <w:rPr>
          <w:rFonts w:hint="eastAsia" w:ascii="仿宋" w:hAnsi="仿宋" w:eastAsia="仿宋" w:cs="仿宋"/>
          <w:i w:val="0"/>
          <w:caps w:val="0"/>
          <w:color w:val="333333"/>
          <w:spacing w:val="0"/>
          <w:sz w:val="32"/>
          <w:szCs w:val="32"/>
          <w:shd w:val="clear" w:color="070000" w:fill="FFFFFF"/>
          <w:lang w:eastAsia="zh-CN"/>
        </w:rPr>
        <w:t>、</w:t>
      </w:r>
      <w:r>
        <w:rPr>
          <w:rFonts w:hint="eastAsia" w:ascii="仿宋" w:hAnsi="仿宋" w:eastAsia="仿宋" w:cs="仿宋"/>
          <w:i w:val="0"/>
          <w:caps w:val="0"/>
          <w:color w:val="333333"/>
          <w:spacing w:val="0"/>
          <w:sz w:val="32"/>
          <w:szCs w:val="32"/>
          <w:shd w:val="clear" w:color="070000" w:fill="FFFFFF"/>
        </w:rPr>
        <w:t>坚定“四个自信”</w:t>
      </w:r>
      <w:r>
        <w:rPr>
          <w:rFonts w:hint="eastAsia" w:ascii="仿宋" w:hAnsi="仿宋" w:eastAsia="仿宋" w:cs="仿宋"/>
          <w:i w:val="0"/>
          <w:caps w:val="0"/>
          <w:color w:val="333333"/>
          <w:spacing w:val="0"/>
          <w:sz w:val="32"/>
          <w:szCs w:val="32"/>
          <w:shd w:val="clear" w:color="070000" w:fill="FFFFFF"/>
          <w:lang w:eastAsia="zh-CN"/>
        </w:rPr>
        <w:t>、</w:t>
      </w:r>
      <w:r>
        <w:rPr>
          <w:rFonts w:hint="eastAsia" w:ascii="仿宋" w:hAnsi="仿宋" w:eastAsia="仿宋" w:cs="仿宋"/>
          <w:i w:val="0"/>
          <w:caps w:val="0"/>
          <w:color w:val="333333"/>
          <w:spacing w:val="0"/>
          <w:sz w:val="32"/>
          <w:szCs w:val="32"/>
          <w:shd w:val="clear" w:color="070000" w:fill="FFFFFF"/>
        </w:rPr>
        <w:t>做到“两个维护”，深入领会出台《决定》的必要性和紧迫性，准确把握《决定》精神，提高政治站位，强化责任担当，加强组织领导，周密部署，综合施策，坚决贯彻执行《决定》各项规定。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二、严厉打击乱捕滥猎、非法交易野生动物等活动，坚决取缔非法野生动物市场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林业和草原主管部门要抓住《决定》公布施行的有利时机，集中调配力量，在野生动物重要分布区、栖息地，实行分区划片，明确保护责任，全面加强野生动物保护。特别是在候鸟大规模集群的越冬地、繁殖地、迁飞通道，要加密保护哨站、巡护线路的设置，进一步加大野外巡护看守力度，全面清除鸟网、猎套等非法猎捕工具，切实维护候鸟等野生动物种群安全。要主动配合市场监管、网络监管、交通运输等部门，对市场上摆卖食用野生动物的摊位、门店、野味餐馆等场所一律依法予以关闭、查封，对网络发布的食用野生动物交易信息和其他非法野生动物交易广告一律依法予以清除，进一步净化市场环境和网络空间；对违法运输、寄递野生动物及制品的，加大查验追踪力度，依《决定》加重处罚，切实有效阻断非法交易链条。要建立有奖举报机制，广泛收集违法犯罪线索，并配合公安机关对大案要案一追到底，摧毁犯罪团伙，从严加重惩处，形成强大的震慑声势，坚决遏制乱捕滥猎、非法交易野生动物等违法犯罪活动的势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三、全面整顿野生动物人工繁育和经营利用从业机构，依法清理许可证件及文书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林业和草原主管部门要对本区域所有以食用为目的从事野生动物人工繁育、经营利用的机构，开展一次彻底的检查整顿。对违法从事野生动物人工繁育、经营利用活动的机构，依法加重处罚；对取得人工繁育许可证，以食用为目的从事陆生野生动物人工繁育的，须撤回并注销所核发的人工繁育许可证件或文书，并一律停止为食用目的出售、运输野生动物等活动；对从业机构人工繁育种类列入《畜禽遗传资源目录》、林业和草原主管部门已核发人工繁育许可证件或文书的，须一律撤回并注销所核发的许可证件或文书，其人工繁育种群管理适用《畜牧法》的规定；对从业机构人工繁育种类列入《人工繁育国家重点保护水生野生动物名录》或《国家重点保护经济水生动植物资源名录》，林业和草原主管部门已核发人工繁育许可证件或文书的，也一律撤回并注销所核发的许可证件或文书，今后按水生野生动物管理；对以食用为目的从事野生动物经营利用的机构，已取得以食用为目的的经营利用许可证件和文书一律予以撤回并注销或申明作废，停止一切以食用为目的的经营利用陆生野生动物活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四、一律停止受理以食用为目的猎捕、经营野生动物等活动的申请，严格规范对非食用性利用野生动物活动的审批行为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自《决定》公布之日起，各级林业和草原主管部门一律停止受理以食用为目的猎捕、出售、购买、进口野生动物等活动的行政许可申请。因科研、药用、展示等特殊情况，需要对野生动物进行非食用性利用的，依法负责审批的林业和草原主管部门要制定严格的审批条件和程序，列明需提交的证明材料，建立科学评估机制，经审核确认来源合法、符合法定条件的，方可予以批准，并须在批准文件中明确要求申请人依法接受检验检疫，有效防范疫源疫病的传播和扩散。同时，要加强对非食用性利用野生动物活动的后续监管，防止滥用、虐待等不当方式，坚决杜绝假借合法渠道从事非法交易活动和食用的行为。要加强对审批工作人员的政治思想教育、政策学习和专业培训，进一步规范行政审批行为，提高审批质量，对行政许可工作中的徇私舞弊、玩忽职守、滥用职权等不依法履行职责的，一律依法依规从严查处、决不姑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五、完善配套法规和制度，夯实依法保护基础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林业和草原主管部门要按照《决定》精神，对有关法规、规章体系进行一次全面梳理，对配套法规、制度不健全或与《决定》不相符的，积极争取立法机关、人民政府及早进行修改和完善。重点要加快《国家重点保护野生动物名录》、《国家保护的有重要生态、科学、社会价值的陆生野生动物名录》和地方重点保护野生动物名录的调整进度，积极推进《陆生野生动物保护实施条例》修订，抓紧制定野生动物人工繁育、专用标识等配套管理办法和技术标准。各省、自治区、直辖市林业和草原主管部门要积极争取地方立法机关及时研究修订地方保护法规，适时开展《野生动物保护法》执行情况调研，坚持以问题为导向，研究探讨解决问题的策略，为进一步修改完善法律法规提供科学依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六、周密部署安排，科学妥善处置后续事宜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在推进《决定》贯彻执行过程中，各级林业和草原主管部门要对可能面临的野生动物收容安置和一定补偿等问题预先进行研判，及时向当地人民政府报告。要依据物种习性和本地实际情况，科学制定工作方案，在当地人民政府的领导下组织实施，并对从业机构和人员做好解释说明，加强野生动物处置工作的指导和监督，确保科学稳妥实施。重点地区还要提前做好应急预案，及时化解隐患，严防出现违法出售野生动物用于食用等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七、广泛开展宣传教育，引导全社会树立生态文明新风尚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林业和草原主管部门要多渠道、多形式、多层次加强野生动物保护宣传和公众教育，会同宣传、教育等有关部门，大力宣传出台《决定》的重大意义，普及野生动物保护知识和禁止食用野生动物的规定。通过举办专题宣传、专家讲解、进校园、进乡村等活动，科学解读滥食野生动物对生物安全、生态安全和公共卫生安全的危害，倡导绿色、健康、文明的饮食理念。健全社会监督机制，密切关注网络舆情动态，主动回应社会关切，广泛争取理解和支持。积极发挥各类野生动物保护社会团体、公益组织和广大志愿者的桥梁纽带作用，鼓励和引导社会公众自觉抵制、主动举报滥食野生动物行为，形成政府主导、全社会参与、共同革除滥食野生动物陋习的新局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贯彻落实《决定》的有关情况请及时上报我局。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t>特此通知。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国家林业和草原局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2020年2月27日</w:t>
      </w:r>
    </w:p>
    <w:p>
      <w:pPr>
        <w:wordWrap/>
        <w:adjustRightInd/>
        <w:snapToGrid/>
        <w:spacing w:line="560" w:lineRule="exact"/>
        <w:textAlignment w:val="auto"/>
        <w:rPr>
          <w:rFonts w:hint="eastAsia" w:ascii="仿宋" w:hAnsi="仿宋" w:eastAsia="仿宋" w:cs="仿宋"/>
          <w:sz w:val="32"/>
          <w:szCs w:val="32"/>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shd w:val="clear" w:color="090000" w:fill="FFFFFF"/>
        </w:rPr>
      </w:pPr>
      <w:bookmarkStart w:id="423" w:name="_Toc8325"/>
      <w:r>
        <w:rPr>
          <w:rFonts w:hint="eastAsia" w:ascii="宋体" w:hAnsi="宋体" w:eastAsia="宋体" w:cs="宋体"/>
          <w:b w:val="0"/>
          <w:bCs/>
          <w:i w:val="0"/>
          <w:caps w:val="0"/>
          <w:color w:val="333333"/>
          <w:spacing w:val="0"/>
          <w:sz w:val="44"/>
          <w:szCs w:val="44"/>
          <w:shd w:val="clear" w:color="090000" w:fill="FFFFFF"/>
        </w:rPr>
        <w:t>农业农村部关于贯彻落实《全国人民代表大会常务委员会关于全面禁止非法野生动物交易、革除滥食野生动物陋习、切实保障人民群众生命健康安全的决定》进一步加强水生野生动物保护管理的通知</w:t>
      </w:r>
      <w:bookmarkEnd w:id="423"/>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b/>
          <w:i w:val="0"/>
          <w:caps w:val="0"/>
          <w:color w:val="333333"/>
          <w:spacing w:val="0"/>
          <w:sz w:val="32"/>
          <w:szCs w:val="32"/>
          <w:shd w:val="clear" w:color="080000" w:fill="FFFFFF"/>
        </w:rPr>
        <w:br w:type="textWrapping"/>
      </w:r>
      <w:r>
        <w:rPr>
          <w:rFonts w:hint="eastAsia" w:ascii="楷体" w:hAnsi="楷体" w:eastAsia="楷体" w:cs="楷体"/>
          <w:i w:val="0"/>
          <w:caps w:val="0"/>
          <w:color w:val="333333"/>
          <w:spacing w:val="0"/>
          <w:sz w:val="32"/>
          <w:szCs w:val="32"/>
          <w:shd w:val="clear" w:color="070000" w:fill="FFFFFF"/>
        </w:rPr>
        <w:t>农渔发〔2020〕3号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各省、自治区、直辖市农业农村（农牧）厅（局、委），福建省海洋与渔业局，新疆生产建设兵团水产局：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为贯彻落实好《全国人民代表大会常务委员会关于全面禁止非法野生动物交易、革除滥食野生动物陋习、切实保障人民群众生命健康安全的决定》（以下简称《决定》），进一步加强水生野生动物保护管理，现就有关事项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rPr>
      </w:pPr>
      <w:r>
        <w:rPr>
          <w:rFonts w:hint="eastAsia" w:ascii="黑体" w:hAnsi="黑体" w:eastAsia="黑体" w:cs="黑体"/>
          <w:b w:val="0"/>
          <w:bCs/>
          <w:i w:val="0"/>
          <w:caps w:val="0"/>
          <w:color w:val="333333"/>
          <w:spacing w:val="0"/>
          <w:sz w:val="32"/>
          <w:szCs w:val="32"/>
          <w:shd w:val="clear" w:color="090000" w:fill="FFFFFF"/>
        </w:rPr>
        <w:t>一、提高政治站位，坚决贯彻落实好《决定》精神</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非法野生动物交易特别是滥食野生动物行为不仅破坏野生动物资源、危害生态安全，还会对公共卫生安全构成重大隐患。党中央、国务院对此高度重视，习近平总书记多次作出重要指示批示，要求坚决取缔和严厉打击非法野生动物市场和贸易，从源头防控重大公共卫生风险。《决定》的出台，为禁止和严厉打击一切非法捕杀、交易、食用野生动物的行为，提供了更加严格有力的法律保障。各级农业农村（渔业）主管部门要深入学习领会《决定》精神，增强紧迫感、责任感和使命感，以《决定》的贯彻落实为契机，推动进一步加强水生野生动物保护管理。要积极向同级党委和政府汇报，争取当地党委和政府对水生野生动物保护的重视和支持，加强组织领导，制定工作方案，明确任务分工，强化责任担当，确保《决定》落实到位、有效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二、加强衔接配合，形成水生野生动物保护工作合力</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要做好《决定》与《野生动物保护法》《渔业法》及地方性法律法规的衔接，形成保护水生野生动物的制度合力。要协调好有关名录的关系，明确水生野生动物的范围，对于列入国家重点保护水生野生动物名录、《〈濒危野生动植物种国际贸易公约〉附录水生动物物种核准为国家重点保护野生动物名录》以及《人工繁育国家重点保护水生野生动物名录》的物种，要严格按照《决定》要求进行管理，对凡是《野生动物保护法》要求禁止猎捕、交易、运输、食用的，必须一律严格禁止。对于列入《国家重点保护经济水生动植物资源名录》的物种和我部公告的水产新品种，要按照《渔业法》等法律法规严格管理。中华鳖、乌龟等列入上述水生动物相关名录的两栖爬行类动物，按照水生动物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三、加大执法力度，严厉打击各类涉及水生野生动物的违法犯罪行为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农业农村（渔业）主管部门要主动与市场监管、公安、林草等部门加强沟通，建立和完善打击野生动物非法贸易部门联席会议制度，明确执法管理范围和责任分工，形成机制合力，提高《决定》执行的针对性、有效性。要根据《关于联合开展打击野生动物违规交易专项执法行动的通知》要求，继续联合相关部门保持高压态势，坚决取缔非法水生野生动物市场，严厉打击各类违规交易，斩断水生野生动物非法交易利益链。要结合中国渔政“亮剑”系列专项执法行动，将打击水生野生动物非法捕捞贩卖等行为作为渔政执法重点，联合相关部门，针对重点地区、重点场所、重点物种、重点环节，加强执法监管，确保“全覆盖、无死角”。对于违反《野生动物保护法》非法猎捕、交易、运输、食用水生野生动物的，要按照《决定》要求在现行法律规定基础上加重处罚；同时要强化以案说法，适时公开一批典型案件，提高法律的震慑力。</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四、强化源头管理，严格水生野生动物审批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农业农村（渔业）主管部门要认真梳理负责的水生野生动物行政许可事项，制定完善工作规范和办事指南，按照《决定》要求严格审批管理，确保水生野生动物行政许可工作规范、有序。要提高相关工作人员的业务素质，重点对水生野生动物来源合法性、申报材料的真实性，以及与审批条件的相符性严格把关，从严控制准入门槛。对于不符合审批条件和要求的，坚决不予批准。要按照“双随机、一公开”的原则，加强事中事后监管，完善相关档案和标识制度，推动水生野生动物动态化、可追溯管理。要加强水生野生动物标识管理，对于标识管理范围内的，必须严格执行标识管理有关规定，未取得标识的一律不得进入市场。对检查中发现的违法违规行为及时要求限期整改并依法予以处罚，确保水生野生动物人工繁育等活动依法依规、有序开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五、做好宣传引导，创造良好的社会环境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农业农村（渔业）主管部门要做好《决定》以及相关法律法规的宣传解读，加大普法宣传力度，提高全社会水生野生动物保护意识，强化法治能力和水平。要充分发挥行业协会、社会组织和新闻媒体的作用，利用世界野生动植物日、全国水生野生动物保护科普宣传月等重要时间节点，以及水生生物增殖放流活动等机会，加强水生野生动物保护知识的宣传普及，引导社会公众树立科学文明的饮食观，摒弃滥食野生动物陋习，彻底铲除野生动物非法交易的生存土壤。要发挥好公众参与和社会监督作用，利用各种举报渠道，主动接受人民群众的监督，推动形成全社会保护水生野生动物的良好氛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t>贯彻落实《决定》的有关情况请及时报送我部渔业渔政管理局。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农业农村部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2020年3月4日</w:t>
      </w:r>
    </w:p>
    <w:p>
      <w:pPr>
        <w:wordWrap/>
        <w:adjustRightInd/>
        <w:snapToGrid/>
        <w:spacing w:line="560" w:lineRule="exact"/>
        <w:textAlignment w:val="auto"/>
        <w:rPr>
          <w:rFonts w:hint="eastAsia" w:ascii="仿宋" w:hAnsi="仿宋" w:eastAsia="仿宋" w:cs="仿宋"/>
          <w:sz w:val="32"/>
          <w:szCs w:val="32"/>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424" w:name="_Toc15343"/>
      <w:r>
        <w:rPr>
          <w:rFonts w:hint="eastAsia" w:ascii="宋体" w:hAnsi="宋体" w:eastAsia="宋体" w:cs="宋体"/>
          <w:sz w:val="44"/>
          <w:szCs w:val="44"/>
        </w:rPr>
        <w:t>交通运输部关于进一步依法加强野生动物运输管理工作的通知</w:t>
      </w:r>
      <w:bookmarkEnd w:id="424"/>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楷体" w:hAnsi="楷体" w:eastAsia="楷体" w:cs="楷体"/>
          <w:sz w:val="32"/>
          <w:szCs w:val="32"/>
        </w:rPr>
      </w:pPr>
      <w:r>
        <w:rPr>
          <w:rFonts w:hint="eastAsia" w:ascii="楷体" w:hAnsi="楷体" w:eastAsia="楷体" w:cs="楷体"/>
          <w:sz w:val="32"/>
          <w:szCs w:val="32"/>
        </w:rPr>
        <w:t>交法规〔2020〕3号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各省、自治区、直辖市、新疆生产建设兵团交通运输厅（局、委），部属各单位，部内各司局：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为深入贯彻落实《全国人民代表大会常务委员会关于全面禁止非法野生动物交易、革除滥食野生动物陋习、切实保障人民群众生命健康安全的决定》（以下简称《决定》），现就进一步依法加强野生动物运输管理工作通知如下：</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一、提升政治站位，高度重视野生动物运输管理工作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级交通运输主管部门要深入学习贯彻习近平总书记关于新冠肺炎疫情防控重要指示精神，切实增强“四个意识”、坚定“四个自信”、做到“两个维护”，把思想和行动统一到党中央、国务院的决策部署上来。全面禁止非法野生动物交易和运输、革除滥食野生动物陋习涉及保障人民群众人身健康安全，影响重大公共卫生风险防控治理体系构建，要严格落实《决定》，全面禁止以食用为目的运输在野外环境自然生长繁殖的陆生野生动物。对于以其他目的需要运输的野生动物，应当依照《决定》、野生动物保护法和其他有关法律规定执行。</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二、全面依法落实运输环节责任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道路水路运输经营者要按照野生动物保护法、动物防疫法、道路运输条例、国内水路运输管理规定等相关要求，不得运输法律、行政法规等禁止运输的野生动物。在运输法律、行政法规等规定凭证运输的野生动物时，应当依照野生动物保护法、动物防疫法等法律规定，持有或者附有野生动物保护主管部门、动物卫生监督机构等部门开具的合法来源证明、特许猎捕证以及检疫证明等，未依法取得上述证明证件的，承运人一律不得承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道路货运经营者要严格落实零担货物受理抽检抽查制度，做好托运人身份查验和登记，按照《零担货物道路运输服务规范》根据受理货物票数相应要求的3%、5%、8%比例进行抽检抽查，并做好相关信息记录。道路客运经营者要按照《客运班车行李舱载货运输规范》等要求，实施托运物品实名登记、开封验视和安全检查制度，严防通过客运班车行李舱运输野生动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水路运输经营者要按照《国内水路运输管理规定》要求认真落实货运实名制规定，与托运人订立运输合同，对托运人身份信息进行查验，对托运人身份信息、托运货物信息进行登记并保存至运输合同履行完毕后6个月。水路运输经营者收到实名举报或者相关证据证明托运人涉嫌非法运输及谎报瞒报野生动物及其制品的，应当对相关货物进行检查。发现非法托运野生动物或者拒绝接受检查的，应当拒绝运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道路水路运输经营者在检查查验中发现违禁运输野生动物的，应当依照野生动物保护法、动物防疫法、陆生野生动物保护实施条例、水生野生动物保护实施条例、重大动物疫情应急条例等规定及时报告野生动物保护主管部门、动物卫生监督机构等部门处理。</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三、做好动物运输环节的疫情防控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疫病预防控制机构依法对动物疫病的发生、流行等情况进行监测时，道路水路运输经营者不得拒绝或者阻碍。道路水路运输经营者应当做好免疫、消毒等动物疫病预防工作。患有人畜共患传染病的人员不得直接从事运输活动。不得运输发生动物疫病的动物产品。</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四、加强涉及野生动物运输的执法监管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当前，各级交通运输主管部门及其执法机构要把野生动物运输环节管理作为贯彻落实《决定》的一项重要工作抓好抓紧抓实抓细。积极配合相关部门健全完善野生动物保护监管执法管理体制，加强联合执法和协调配合，建立健全执法协作机制，坚决取缔和严厉打击非法运输野生动物行为。特别是在疫情防控期间，要加大执法力度，督促道路水路运输经营者严格按照相关规范要求做好抽检抽查、登记、验视等工作。督促道路水路运输经营者严格落实野生动物运输相关规定，在执法中发现有非法运输野生动物及其制品的，应当责令整改，整改不合格的，予以通报。同时，建立案件移送制度，及时向野生动物保护主管部门、动物卫生监督机构等部门进行移交，并积极配合其依法查处。</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五、强化普法宣传教育</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级交通运输主管部门要按照“谁执法谁普法”责任制的要求，以“防控疫情、法治同行”为主题，在公共交通工具、货运站场、公路客运站、物流园区、高速公路服务区等经营场所，开展《决定》和传染病防治法、野生动物保护法、动物防疫法等法律法规宣传，张贴违禁物品和限运货物、凭证运输货物相关图文宣传资料，进一步增强交通运输从业人员与社会公众的法治意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各级交通运输主管部门要加强野生动物运输环节存在问题的摸排梳理，为后续野生动物保护、疫情防控等立法、应急预案及制度完善等提出意见建议。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国家铁路局、中国民用航空局、国家邮政局参照本通知有关要求，对铁路运输、航空运输和邮政寄递涉及野生动物运输的相关工作做好部署安排。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交通运输部</w:t>
      </w: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 xml:space="preserve"> 2020年3月14日</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5" w:name="_Toc7344"/>
      <w:r>
        <w:rPr>
          <w:rFonts w:hint="eastAsia" w:ascii="Times New Roman" w:hAnsi="Times New Roman" w:eastAsia="宋体" w:cs="Times New Roman"/>
          <w:bCs/>
          <w:kern w:val="44"/>
          <w:sz w:val="44"/>
          <w:szCs w:val="44"/>
          <w:lang w:val="en-US" w:eastAsia="zh-CN" w:bidi="ar-SA"/>
        </w:rPr>
        <w:t>人力资源社会保障部 教育部 财政部</w:t>
      </w:r>
      <w:bookmarkEnd w:id="425"/>
      <w:r>
        <w:rPr>
          <w:rFonts w:hint="eastAsia" w:ascii="Times New Roman" w:hAnsi="Times New Roman" w:eastAsia="宋体" w:cs="Times New Roman"/>
          <w:bCs/>
          <w:kern w:val="44"/>
          <w:sz w:val="44"/>
          <w:szCs w:val="44"/>
          <w:lang w:val="en-US" w:eastAsia="zh-CN" w:bidi="ar-SA"/>
        </w:rPr>
        <w:t xml:space="preserve"> </w:t>
      </w:r>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6" w:name="_Toc25571"/>
      <w:r>
        <w:rPr>
          <w:rFonts w:hint="eastAsia" w:ascii="Times New Roman" w:hAnsi="Times New Roman" w:eastAsia="宋体" w:cs="Times New Roman"/>
          <w:bCs/>
          <w:kern w:val="44"/>
          <w:sz w:val="44"/>
          <w:szCs w:val="44"/>
          <w:lang w:val="en-US" w:eastAsia="zh-CN" w:bidi="ar-SA"/>
        </w:rPr>
        <w:t>交通运输部 国家卫生健康委关于做好疫情</w:t>
      </w:r>
      <w:bookmarkEnd w:id="426"/>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7" w:name="_Toc2711"/>
      <w:r>
        <w:rPr>
          <w:rFonts w:hint="eastAsia" w:ascii="Times New Roman" w:hAnsi="Times New Roman" w:eastAsia="宋体" w:cs="Times New Roman"/>
          <w:bCs/>
          <w:kern w:val="44"/>
          <w:sz w:val="44"/>
          <w:szCs w:val="44"/>
          <w:lang w:val="en-US" w:eastAsia="zh-CN" w:bidi="ar-SA"/>
        </w:rPr>
        <w:t>防控期间有关就业工作的通知</w:t>
      </w:r>
      <w:bookmarkEnd w:id="427"/>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人社部明电〔2020〕2号</w:t>
      </w:r>
    </w:p>
    <w:p>
      <w:pPr>
        <w:pStyle w:val="3"/>
        <w:rPr>
          <w:rFonts w:hint="eastAsia"/>
          <w:lang w:val="en-US" w:eastAsia="zh-CN"/>
        </w:rPr>
      </w:pP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各省、自治区、直辖市及新疆生产建设兵团人力资源社会保障厅（局）、教育厅（教委）、财政厅（局）、交通运输厅（局）、卫生健康委：</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党中央、国务院高度重视新型冠状病毒感染肺炎疫情防控和农民工、高校毕业生等重点群体就业工作。当前疫情防控正处于关键期，即将迎来农民工等人员返岗复工和高校毕业生求职高峰，做好疫情防控和就业工作责任重大。为坚决贯彻中央决策部署，切实做好当前农民工、高校毕业生等重点群体就业工作，现就有关事项通知如下：</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一、有力确保重点企业用工。对保障疫情防控、公共事业运行、群众生活必需及其他涉及重要国计民生企业、重大工程，指定专人对接，优先发布用工信息，通过本地挖潜、余缺调剂、组织见习、协调实习生等，满足企业阶段性用工需求。对当地难以满足的，在符合疫情防控要求的前提下，协助企业定向跨区域招聘。对具有一定规模的，通过联防联控机制协调交通运输部门制定运送方案，有条件的可组织集中运送直达目的地。对春节期间（截至2020年2月9日）开工生产、配送疫情防控急需物资的企业，符合条件的可给予一次性吸纳就业补贴。对提供职业介绍的人力资源服务机构，按规定给予就业创业服务补助。</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二、做好返岗复工企业和劳动者的疫情防控。根据春节假期调整和防控疫情安排，抓紧摸清辖区内企业、工程项目开复工时间，在人社部门官网、官微开设专区发布。督促用人单位通过电话、短信、微信等方式，向员工通报开复工时间。加强输入地、输出地信息对接，依托公共就业人才服务机构、劳务站等向辖区内劳动者推送开复工时间。针对农民工等人员流动特点，编制发布预防手册，指导劳动者做好居家隔离和返岗务工的相关防护。针对企业行业不同特点特别是劳动密集程度，指导其做好卫生防疫、检测仪器及药品配置等工作，改善劳动者生产生活条件。</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三、关心关爱重点地区劳动者。对滞留在疫情严重地区的劳动者，通过发送慰问短信、公告、慰问信等形式，关心其健康和生活情况，妥善做好安抚和疏导。对已离开湖北返乡的劳动者，指导其主动居家隔离。对暂时难以外出且有就业意愿的农民工，开发一批就地就近就业岗位，有创业意愿的同等享受当地创业扶持政策，给予一次性创业补贴，确有困难的可按规定通过公益性岗位托底安置。疫情防控期间，湖北等疫情严重地区受疫情影响失业的参保人员，可通过失业保险基金，按照不高于当地失业保险金标准发放失业补助金，具体办法报请省级人民政府确定。失业保险金和失业补助金不得同时发放。生活确实困难的，可按规定申请临时救助。维护劳动者合法权益，各类人力资源服务机构和用人单位不得发布拒绝招录疫情严重地区劳动者的招聘信息。各类用人单位不得以来自疫情严重地区为由拒绝招用相关人员。对因疫情导致劳动者暂不能返岗提供正常劳动的，企业不得解除劳动合同或退回劳务派遣用工。</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四、支持中小微企业稳定就业。加大失业保险稳岗返还力度，将中小微企业失业保险稳岗返还政策裁员率标准由不高于上年度统筹地区城镇登记失业率，放宽到不高于上年度全国城镇调查失业率控制目标，对参保职工30人（含）以下的企业，裁员率放宽至不超过企业职工总数20%。同时，湖北等重点地区可结合实际情况将所有受疫情影响企业的稳岗返还政策裁员率标准放宽至上年度全国城镇调查失业率控制目标。具体实施办法由相关省级人民政府确定。支持企业开展在岗培训，受疫情影响的企业在确保防疫安全情况下，在停工期、恢复期组织职工参加线下或线上职业培训的，可按规定纳入补贴类培训范围。统筹使用工业企业结构调整专项奖补资金，用于支持符合条件的受疫情影响企业稳定岗位、保障基本生活等支出。发挥创业担保贷款作用，对已发放个人创业担保贷款，借款人患新型冠状病毒感染肺炎的，可向贷款银行申请展期还款，展期期限原则上不超过1年，财政部门继续给予贴息支持。对受疫情影响暂时失去收入来源的个人和小微企业，申请贷款时予以优先支持。加大创业载体奖补力度，支持创业孵化园区、示范基地降低或减免创业者场地租金等费用。</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五、完善高校毕业生就业举措。暂停各类高校毕业生就业现场招聘活动，充分利用国家、地方、高校毕业生就业网开展就业服务，完善高校毕业生就业信息共享发布机制。鼓励高校和用人单位利用互联网进行供需对接，实行网上面试、网上签约、网上报到，引导用人单位适当延长招聘时间、推迟体检时间、推迟签约录取。公共就业人才服务机构要延长报到接收时间，可通过信函、传真、网络等方式为高校毕业生办理就业协议签订、就业报到手续。视情调整2020年度事业单位和国有企业招聘、基层服务项目招募笔试面试时间，笔试已经结束的推迟面试时间，调整后的时间要及时告知考生并向社会公告。加强求职心理疏导，组织有经验的职业指导师、心理咨询师和高校心理学教师，推出一批在线咨询指导课，开通心理热线。</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六、推广优化线上招聘服务。暂停举办现场招聘和跨地区劳务协作。组织各级各类公共就业人才服务机构、人力资源服务机构加大线上招聘力度，推行视频招聘、远程面试，动态发布岗位信息，加快向中国公共招聘网（http://job.mohrss.gov.cn）归集共享，实施“就业服务不打烊、网上招聘不停歇”的线上春风行动。根据当地疫情状况和党委政府部署，确定并公告公共就业服务机构和窗口开放时间，引导就业政策、就业服务尽可能网上办、自助办，切实加快审核进度，有序疏导现场流量，及时消毒、保持通风，配备体温检测设施，做好疫情防控工作。</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上述有关补贴类政策执行期限为疫情防控期间。各地要深入贯彻习近平总书记重要指示精神，坚决落实党中央、国务院关于应对疫情的重大决策部署，压实责任、主动作为、加强协调，积极回应群众关切，科学研判当前市场供求，引导用人单位和重点群体有序招聘求职，确保社会大局稳定。</w:t>
      </w:r>
    </w:p>
    <w:p>
      <w:pPr>
        <w:widowControl w:val="0"/>
        <w:wordWrap/>
        <w:overflowPunct w:val="0"/>
        <w:spacing w:beforeAutospacing="0" w:afterAutospacing="0"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w:t>
      </w:r>
    </w:p>
    <w:p>
      <w:pPr>
        <w:widowControl w:val="0"/>
        <w:wordWrap/>
        <w:overflowPunct w:val="0"/>
        <w:spacing w:beforeAutospacing="0" w:afterAutospacing="0" w:line="560" w:lineRule="exact"/>
        <w:jc w:val="right"/>
        <w:textAlignment w:val="auto"/>
        <w:rPr>
          <w:rFonts w:hint="eastAsia" w:ascii="仿宋" w:hAnsi="仿宋" w:eastAsia="仿宋" w:cs="仿宋"/>
          <w:color w:val="000000"/>
          <w:sz w:val="32"/>
          <w:szCs w:val="32"/>
          <w:lang w:val="en-US" w:eastAsia="zh-CN"/>
        </w:rPr>
      </w:pPr>
    </w:p>
    <w:p>
      <w:pPr>
        <w:widowControl w:val="0"/>
        <w:wordWrap/>
        <w:overflowPunct w:val="0"/>
        <w:spacing w:beforeAutospacing="0" w:afterAutospacing="0"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人力资源社会保障部  教育部  财政部交通运输部   国家卫生健康委</w:t>
      </w:r>
    </w:p>
    <w:p>
      <w:pPr>
        <w:widowControl w:val="0"/>
        <w:wordWrap/>
        <w:overflowPunct w:val="0"/>
        <w:spacing w:beforeAutospacing="0" w:afterAutospacing="0"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2020年2月5日</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br w:type="page"/>
      </w:r>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8" w:name="_Toc14212"/>
      <w:r>
        <w:rPr>
          <w:rFonts w:hint="eastAsia" w:ascii="Times New Roman" w:hAnsi="Times New Roman" w:eastAsia="宋体" w:cs="Times New Roman"/>
          <w:bCs/>
          <w:kern w:val="44"/>
          <w:sz w:val="44"/>
          <w:szCs w:val="44"/>
          <w:lang w:val="en-US" w:eastAsia="zh-CN" w:bidi="ar-SA"/>
        </w:rPr>
        <w:t>人力资源社会保障部办公厅</w:t>
      </w:r>
      <w:bookmarkEnd w:id="428"/>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9" w:name="_Toc19408"/>
      <w:r>
        <w:rPr>
          <w:rFonts w:hint="eastAsia" w:ascii="Times New Roman" w:hAnsi="Times New Roman" w:eastAsia="宋体" w:cs="Times New Roman"/>
          <w:bCs/>
          <w:kern w:val="44"/>
          <w:sz w:val="44"/>
          <w:szCs w:val="44"/>
          <w:lang w:val="en-US" w:eastAsia="zh-CN" w:bidi="ar-SA"/>
        </w:rPr>
        <w:t>关于妥善处理新型冠状病毒感染的肺炎</w:t>
      </w:r>
      <w:bookmarkEnd w:id="429"/>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30" w:name="_Toc805"/>
      <w:r>
        <w:rPr>
          <w:rFonts w:hint="eastAsia" w:ascii="Times New Roman" w:hAnsi="Times New Roman" w:eastAsia="宋体" w:cs="Times New Roman"/>
          <w:bCs/>
          <w:kern w:val="44"/>
          <w:sz w:val="44"/>
          <w:szCs w:val="44"/>
          <w:lang w:val="en-US" w:eastAsia="zh-CN" w:bidi="ar-SA"/>
        </w:rPr>
        <w:t>疫情防控期间劳动关系问题的通知</w:t>
      </w:r>
      <w:bookmarkEnd w:id="430"/>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人社厅明电[2020]5号</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各省、自治区、直辖市及新疆生产建设兵团人力资源社会保障厅（局）：</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为做好新型冠状病毒感染的肺炎疫情防控工作，妥善处理好疫情防控期间劳动关系问题，维护职工合法权益，保障企业正常生产经营秩序，促进劳动关系和谐稳定，现就有关问题通知如下：</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一、对新型冠状病毒感染的肺炎患者、疑似病人、密切接触者在其隔离治疗期间或医学观察期间以及因政府实施隔离措施或采取其他紧急措施导致不能提供正常劳动的企业职工，企业应当支付职工在此期间的工作报酬，并不得依据劳动合同法第四十条、四十一条与职工解除劳动合同。在此期间，劳动合同到期的，分别顺延至职工医疗期期满、医学观察期期满、隔离期期满或者政府采取的紧急措施结束。</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二、企业因受疫情影响导致生产经营困难的，可以通过与职工协商一致采取调整薪酬、轮岗轮休、缩短工时等方式稳定工作岗位，尽量不裁员或者少裁员。符合条件的企业，可按规定享受稳岗补贴。企业停工停产在一个工资支付周期内的，企业应按劳动合同规定的标准支付职工工资。超过一个工资支付周期的，若职工提供了正常劳动，企业支付给职工的工资不得低于当地最低工资标准。职工没有提供正常劳动的，企业应当发放生活费，生活费标准按各省、自治区、直辖市规定的办法执行。</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三、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四、各地人力资源社会保障部门要加强对受疫情影响企业的劳动用工指导和服务，加大劳动保障监察执法力度，切实保障职工合法权益。</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jc w:val="righ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人力资源社会保障部办公厅</w:t>
      </w:r>
    </w:p>
    <w:p>
      <w:pPr>
        <w:widowControl w:val="0"/>
        <w:wordWrap/>
        <w:overflowPunct w:val="0"/>
        <w:spacing w:beforeAutospacing="0" w:afterAutospacing="0" w:line="560" w:lineRule="exact"/>
        <w:jc w:val="right"/>
        <w:textAlignment w:val="auto"/>
        <w:rPr>
          <w:rFonts w:hint="eastAsia" w:ascii="宋体" w:hAnsi="宋体" w:eastAsia="仿宋_GB2312" w:cs="仿宋_GB2312"/>
          <w:color w:val="000000"/>
          <w:sz w:val="32"/>
          <w:szCs w:val="32"/>
          <w:lang w:val="en-US" w:eastAsia="zh-CN"/>
        </w:rPr>
      </w:pPr>
      <w:r>
        <w:rPr>
          <w:rFonts w:hint="eastAsia" w:ascii="仿宋" w:hAnsi="仿宋" w:eastAsia="仿宋" w:cs="仿宋"/>
          <w:color w:val="000000"/>
          <w:sz w:val="32"/>
          <w:szCs w:val="32"/>
          <w:lang w:val="en-US" w:eastAsia="zh-CN"/>
        </w:rPr>
        <w:t>2020年1月24日</w:t>
      </w:r>
    </w:p>
    <w:p>
      <w:pPr>
        <w:widowControl w:val="0"/>
        <w:wordWrap/>
        <w:overflowPunct w:val="0"/>
        <w:spacing w:beforeAutospacing="0" w:afterAutospacing="0" w:line="560" w:lineRule="exact"/>
        <w:jc w:val="left"/>
        <w:textAlignment w:val="auto"/>
        <w:rPr>
          <w:rFonts w:hint="eastAsia" w:ascii="宋体" w:hAnsi="宋体" w:eastAsia="宋体" w:cs="宋体"/>
          <w:color w:val="000000"/>
          <w:sz w:val="44"/>
          <w:szCs w:val="44"/>
        </w:rPr>
      </w:pPr>
      <w:r>
        <w:rPr>
          <w:rFonts w:hint="eastAsia" w:ascii="宋体" w:hAnsi="宋体" w:eastAsia="仿宋_GB2312" w:cs="仿宋_GB2312"/>
          <w:color w:val="000000"/>
          <w:sz w:val="32"/>
          <w:szCs w:val="32"/>
          <w:lang w:val="en-US" w:eastAsia="zh-CN"/>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rPr>
      </w:pPr>
      <w:bookmarkStart w:id="431" w:name="_Toc28716"/>
      <w:r>
        <w:rPr>
          <w:rFonts w:hint="eastAsia" w:ascii="宋体" w:hAnsi="宋体" w:eastAsia="宋体" w:cs="宋体"/>
          <w:b w:val="0"/>
          <w:bCs/>
          <w:i w:val="0"/>
          <w:caps w:val="0"/>
          <w:color w:val="333333"/>
          <w:spacing w:val="0"/>
          <w:sz w:val="44"/>
          <w:szCs w:val="44"/>
          <w:shd w:val="clear" w:color="090000" w:fill="FFFFFF"/>
        </w:rPr>
        <w:t>国务院办公厅关于应对新冠肺炎疫情影响</w:t>
      </w:r>
      <w:bookmarkEnd w:id="431"/>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rPr>
      </w:pPr>
      <w:bookmarkStart w:id="432" w:name="_Toc24818"/>
      <w:r>
        <w:rPr>
          <w:rFonts w:hint="eastAsia" w:ascii="宋体" w:hAnsi="宋体" w:eastAsia="宋体" w:cs="宋体"/>
          <w:b w:val="0"/>
          <w:bCs/>
          <w:i w:val="0"/>
          <w:caps w:val="0"/>
          <w:color w:val="333333"/>
          <w:spacing w:val="0"/>
          <w:sz w:val="44"/>
          <w:szCs w:val="44"/>
          <w:shd w:val="clear" w:color="090000" w:fill="FFFFFF"/>
        </w:rPr>
        <w:t>强化稳就业举措的实施意见</w:t>
      </w:r>
      <w:bookmarkEnd w:id="432"/>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333333"/>
          <w:spacing w:val="0"/>
          <w:sz w:val="32"/>
          <w:szCs w:val="32"/>
        </w:rPr>
      </w:pPr>
      <w:r>
        <w:rPr>
          <w:rFonts w:hint="eastAsia" w:ascii="楷体" w:hAnsi="楷体" w:eastAsia="楷体" w:cs="楷体"/>
          <w:i w:val="0"/>
          <w:caps w:val="0"/>
          <w:color w:val="333333"/>
          <w:spacing w:val="0"/>
          <w:sz w:val="32"/>
          <w:szCs w:val="32"/>
          <w:shd w:val="clear" w:color="070000" w:fill="FFFFFF"/>
        </w:rPr>
        <w:t>国办发〔2020〕6号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333333"/>
          <w:spacing w:val="0"/>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各省、自治区、直辖市人民政府，国务院各部委、各直属机构：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为深入贯彻习近平总书记关于统筹推进新冠肺炎疫情防控和经济社会发展工作的重要指示精神，加快恢复和稳定就业，经国务院同意，现提出如下意见：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rPr>
      </w:pPr>
      <w:r>
        <w:rPr>
          <w:rFonts w:hint="eastAsia" w:ascii="黑体" w:hAnsi="黑体" w:eastAsia="黑体" w:cs="黑体"/>
          <w:b w:val="0"/>
          <w:bCs/>
          <w:i w:val="0"/>
          <w:caps w:val="0"/>
          <w:color w:val="333333"/>
          <w:spacing w:val="0"/>
          <w:sz w:val="32"/>
          <w:szCs w:val="32"/>
          <w:shd w:val="clear" w:color="090000" w:fill="FFFFFF"/>
        </w:rPr>
        <w:t>一、更好实施就业优先政策</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一）推动企业复工复产。坚持分区分级精准防控，提高复工复产服务便利度，取消不合理审批，坚决纠正限制劳动者返岗的不合理规定。加快重大工程项目、出口重点企业开复工，以制造业、建筑业、物流业、公共服务业和农业生产等为突破口，全力以赴推动重点行业和低风险地区就业，循序渐进带动其他行业和地区就业。协调解决复工复产企业日常防护物资需求，督促其落实工作场所、食堂宿舍等防控措施。（发展改革委、工业和信息化部、交通运输部、卫生健康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加大减负稳岗力度。加快实施阶段性、有针对性的减税降费政策。加大失业保险稳岗返还，对不裁员或少裁员的中小微企业，返还标准最高可提至企业及其职工上年度缴纳失业保险费的100%，湖北省可放宽到所有企业；对暂时生产经营困难且恢复有望、坚持不裁员或少裁员的参保企业，适当放宽其稳岗返还政策认定标准，重点向受疫情影响企业倾斜，返还标准可按不超过6个月的当地月人均失业保险金和参保职工人数确定，或按不超过3个月的企业及其职工应缴纳社会保险费确定。2020年6月底前，允许工程建设项目暂缓缴存农民工工资保证金，支付记录良好的企业可免缴。切实落实企业吸纳重点群体就业的定额税收减免、担保贷款及贴息、就业补贴等政策。加快实施阶段性减免、缓缴社会保险费政策，减免期间企业吸纳就业困难人员的社会保险补贴期限可顺延。（财政部、人力资源社会保障部、住房城乡建设部、交通运输部、水利部、人民银行、税务总局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三）提升投资和产业带动就业能力。实施重大产业就业影响评估，明确重要产业规划带动就业目标，优先投资就业带动能力强、有利于农村劳动力就地就近就业和高校毕业生就业的产业。加快制定和完善引导相关产业向中西部地区转移的政策措施。对部分带动就业能力强、环境影响可控的项目，制定环评审批正面清单，加大环评“放管服”改革力度，审慎采取查封扣押、限产停产等措施。（发展改革委、人力资源社会保障部、生态环境部、商务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四）优化自主创业环境。深化“证照分离”改革，推进“照后减证”和简化审批，简化住所（经营场所）登记手续，申请人提交场所合法使用证明即可登记。充分发挥创业投资促进“双创”和增加就业的独特作用，对带动就业能力强的创业投资企业予以引导基金扶持、政府项目对接等政策支持。加大创业担保贷款支持力度，扩大政策覆盖范围，优先支持受疫情影响的重点群体，对优质创业项目免除反担保要求。政府投资开发的孵化基地等创业载体应安排一定比例场地，免费向高校毕业生、农民工等重点群体提供。各类城市创优评先项目应将带动就业能力强的“小店经济”、步行街发展状况作为重要条件。（发展改革委、工业和信息化部、财政部、人力资源社会保障部、商务部、人民银行、市场监管总局、银保监会、全国妇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五）支持多渠道灵活就业。合理设定无固定经营场所摊贩管理模式，预留自由市场、摊点群等经营网点。支持劳动者依托平台就业，平台就业人员购置生产经营必需工具的，可申请创业担保贷款及贴息；引导平台企业放宽入驻条件、降低管理服务费，与平台就业人员就劳动报酬、工作时间、劳动保护等建立制度化、常态化沟通协调机制。取消灵活就业人员参加企业职工基本养老保险的省内城乡户籍限制，对就业困难人员、离校2年内未就业高校毕业生灵活就业后缴纳社会保险费的，按规定给予一定的社会保险补贴。（财政部、人力资源社会保障部、自然资源部、人民银行、市场监管总局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二、引导农民工安全有序转移就业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六）引导有序外出就业。强化重点企业用工调度保障、农民工“点对点、一站式”返岗复工服务，推广健康信息互认等机制，提升对成规模集中返岗劳动者的输送保障能力。引导劳动者有序求职就业，及时收集发布用工信息，加强输出地和输入地信息对接，鼓励低风险地区农民工尽快返岗复工。对组织集中返岗、劳务输出涉及的交通运输、卫生防疫等给予支持。对人力资源服务机构、劳务经纪人开展跨区域有组织劳务输出的，给予就业创业服务补助。（公安部、财政部、人力资源社会保障部、交通运输部、卫生健康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七）支持就地就近就业。抓好春季农业生产，大力发展新型农业经营主体，组织暂时无法外出的农民工投入春耕备耕，从事特色养殖、精深加工、生态旅游等行业。在县城和中心镇建设一批城镇基础设施、公共服务设施，加强农业基础设施建设，实施农村人居环境改善工程，开展以工代赈工程建设，优先吸纳农村贫困劳动力和低收入群体就业。（发展改革委、人力资源社会保障部、交通运输部、农业农村部、卫生健康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八）优先支持贫困劳动力就业。企业复工复产、重大项目开工、物流体系建设等优先组织和使用贫困劳动力，鼓励企业更多招用贫困劳动力。支持扶贫龙头企业、扶贫车间尽快复工。利用公益性岗位提供更多就地就近就业机会，优先对贫困劳动力托底安置。加大对“三区三州”等深度贫困地区、52个未摘帽贫困县、易地扶贫搬迁大型安置区的支持力度。对吸纳贫困劳动力就业规模大的，各地可通过财政专项扶贫资金给予一次性奖励。（发展改革委、财政部、人力资源社会保障部、农业农村部、扶贫办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三、拓宽高校毕业生就业渠道</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九）扩大企业吸纳规模。对中小微企业招用毕业年度高校毕业生并签订1年以上劳动合同的，给予一次性吸纳就业补贴。国有企业今明两年连续扩大高校毕业生招聘规模，不得随意毁约，不得将本单位实习期限作为招聘入职的前提条件。（财政部、人力资源社会保障部、国资委、烟草局、邮政局等部门和企业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扩大基层就业规模。各级事业单位空缺岗位今明两年提高专项招聘高校毕业生的比例。开发城乡社区等基层公共管理和社会服务岗位。扩大“三支一扶”计划等基层服务项目招募规模。出台改革措施，允许部分专业高校毕业生免试取得相关职业资格证书。畅通民营企业专业技术职称评审渠道。（教育部、民政部、财政部、人力资源社会保障部、农业农村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一）扩大招生入伍规模。扩大2020年硕士研究生招生和普通高校专升本招生规模。扩大大学生应征入伍规模，健全参军入伍激励政策，大力提高应届毕业生征集比例。（发展改革委、教育部、财政部、退役军人部、中央军委政治工作部、中央军委国防动员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二）扩大就业见习规模。支持企业、政府投资项目、科研项目设立见习岗位。对因疫情影响见习暂时中断的，相应延长见习单位补贴期限。对见习期未满与高校毕业生签订劳动合同的，给予见习单位剩余期限见习补贴。（财政部、人力资源社会保障部、商务部、国资委、共青团中央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三）适当延迟录用接收。引导用人单位推迟面试体检和签约录取时间。对延迟离校的应届毕业生，相应延长报到接收、档案转递、落户办理时限。离校未就业毕业生可根据本人意愿，将户口、档案在学校保留2年或转入生源地公共就业人才服务机构，以应届毕业生身份参加用人单位考试、录用，落实工作单位后参照应届毕业生办理相关手续。（教育部、人力资源社会保障部、国资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四、加强困难人员兜底保障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四）保障失业人员基本生活。畅通失业保险金申领渠道，放宽失业保险申领期限，2020年4月底前实现线上申领失业保险金。对领取失业保险金期满仍未就业的失业人员、不符合领取失业保险金条件的参保失业人员，发放6个月的失业补助金，标准不高于当地失业保险金的80%。对生活困难的失业人员及家庭，按规定及时纳入最低生活保障、临时救助等社会救助范围。（民政部、财政部、人力资源社会保障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五）强化困难人员就业援助。动态调整就业困难人员认定标准，及时将受疫情影响人员纳入就业援助范围，确保零就业家庭动态清零。对通过市场渠道确实难以就业的，利用公益性岗位托底安置。开发一批消杀防疫、保洁环卫等临时性公益岗位，根据工作任务和工作时间，给予一定的岗位补贴和社会保险补贴，补贴期限最长不超过6个月，所需资金可从就业补助资金中列支。（财政部、人力资源社会保障部、中国残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六）加大对湖北等疫情严重地区就业支持。建立农资点对点保障运输绿色通道，支持湖北省组织农业生产。对湖北高校及湖北籍2020届高校毕业生给予一次性求职创业补贴，湖北省各级事业单位可面向湖北高校及湖北籍高校毕业生开展专项招聘，高校毕业生基层服务项目向湖北省倾斜。做好湖北省疫情解除后的就业工作，加大资金、政策、项目倾斜，开展专场招聘和专项帮扶。维护就业公平，坚决纠正针对疫情严重地区劳动者的就业歧视。（发展改革委、教育部、工业和信息化部、财政部、人力资源社会保障部、农业农村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五、完善职业培训和就业服务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七）大规模开展职业技能培训。加大失业人员、农民工等职业技能培训力度，实施农民工等重点群体专项培训，适当延长培训时间。对企业组织职工参加线上线下培训，组织新招用农民工、高校毕业生参加岗前培训的，给予职业培训补贴。动态发布新职业，组织制定急需紧缺职业技能标准。（财政部、人力资源社会保障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八）优化就业服务。2020年3月底前开放线上失业登记。推进在线办理就业服务和补贴申领。持续开展线上招聘服务，发挥公共就业服务机构、高校就业指导机构、经营性人力资源服务机构作用，加大岗位信息、职业指导、网上面试等服务供给。对大龄和低技能劳动者，通过电话、短信等方式推送岗位信息，提供求职、应聘等专门服务。低风险地区可有序开展小型专项供需对接活动。优化用工指导服务，鼓励困难企业与职工协商采取调整薪酬、轮岗轮休、灵活安排工作时间等方式稳定岗位，依法规范裁员行为。（教育部、财政部、人力资源社会保障部、全国总工会、全国工商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六、压实就业工作责任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九）强化组织领导。各地区各有关部门要在确保疫情防控到位的前提下，毫不放松抓紧抓实抓细稳就业各项工作。县级以上地方政府要加快建立由政府负责人牵头的就业工作领导机制，压实工作责任，细化实化扶持政策。各有关部门要同向发力，围绕稳就业需要，落实完善政策措施，形成工作合力。要健全公共就业服务体系，加强基层公共就业服务能力建设，提升基本公共就业服务水平。（各有关部门和单位、各省级人民政府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加强资金保障。加大就业补助资金和稳岗补贴投入力度。支持市县政府根据稳就业工作推进和政策实施需要，统筹用好就业创业、职业培训、风险储备等方面资金。失业保险基金结余大的地区，要加速稳岗返还、保生活政策落地见效。（财政部、人力资源社会保障部、各省级人民政府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一）强化表扬激励。持续开展就业工作表扬激励，完善激励办法，对落实稳就业政策措施工作力度大、促进重点群体就业创业等任务完成较好的地方，及时予以资金支持等方面的表扬激励。（人力资源社会保障部、财政部牵头，各有关部门和单位、各省级人民政府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二）加强督促落实。细化分解目标任务，在相关督查工作中将稳就业作为重要内容，重点督促政策服务落地及重点群体就业、资金保障落实等。对不履行促进就业职责，产生严重后果或造成恶劣社会影响的，依法依规严肃问责。完善劳动力调查，研究建立省级调查失业率按月统计发布制度，启动就业岗位调查，做好化解失业风险的政策储备和应对预案。（人力资源社会保障部、统计局牵头，各有关部门和单位、各省级人民政府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上述新增补贴政策，受理截止期限为2020年12月31日。各地区各有关部门要抓紧政策实施，发挥政策最大效应，工作中遇到的重要情况和重大问题及时报告国务院。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t>国务院办公厅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2020年3月18日 </w:t>
      </w:r>
    </w:p>
    <w:p>
      <w:pPr>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overflowPunct w:val="0"/>
        <w:adjustRightInd/>
        <w:snapToGrid/>
        <w:spacing w:beforeAutospacing="0" w:afterAutospacing="0" w:line="560" w:lineRule="exact"/>
        <w:textAlignment w:val="auto"/>
        <w:rPr>
          <w:rFonts w:hint="eastAsia" w:ascii="宋体" w:hAnsi="宋体" w:cs="Arial"/>
          <w:kern w:val="0"/>
          <w:szCs w:val="32"/>
          <w:lang w:eastAsia="zh-CN"/>
        </w:rPr>
      </w:pPr>
      <w:r>
        <w:rPr>
          <w:rFonts w:hint="eastAsia" w:ascii="宋体" w:hAnsi="宋体" w:cs="Arial"/>
          <w:kern w:val="0"/>
          <w:szCs w:val="32"/>
          <w:lang w:eastAsia="zh-CN"/>
        </w:rPr>
        <w:br w:type="page"/>
      </w:r>
    </w:p>
    <w:p>
      <w:pPr>
        <w:widowControl w:val="0"/>
        <w:wordWrap/>
        <w:overflowPunct w:val="0"/>
        <w:adjustRightInd/>
        <w:snapToGrid/>
        <w:spacing w:beforeAutospacing="0" w:afterAutospacing="0" w:line="560" w:lineRule="exact"/>
        <w:ind w:right="0"/>
        <w:jc w:val="center"/>
        <w:textAlignment w:val="auto"/>
        <w:outlineLvl w:val="0"/>
        <w:rPr>
          <w:rFonts w:hint="eastAsia" w:ascii="宋体" w:hAnsi="宋体" w:eastAsia="宋体" w:cs="宋体"/>
          <w:b w:val="0"/>
          <w:bCs/>
          <w:sz w:val="44"/>
          <w:szCs w:val="44"/>
        </w:rPr>
      </w:pPr>
      <w:bookmarkStart w:id="433" w:name="_Toc21569"/>
      <w:r>
        <w:rPr>
          <w:rFonts w:hint="eastAsia" w:ascii="宋体" w:hAnsi="宋体" w:eastAsia="宋体" w:cs="宋体"/>
          <w:b w:val="0"/>
          <w:bCs/>
          <w:sz w:val="44"/>
          <w:szCs w:val="44"/>
        </w:rPr>
        <w:t>广东省突发公共卫生事件应急办法</w:t>
      </w:r>
      <w:bookmarkEnd w:id="433"/>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640" w:leftChars="200" w:right="640" w:rightChars="200" w:firstLine="0" w:firstLineChars="0"/>
        <w:jc w:val="left"/>
        <w:textAlignment w:val="auto"/>
        <w:outlineLvl w:val="9"/>
        <w:rPr>
          <w:rFonts w:hint="eastAsia" w:ascii="宋体" w:hAnsi="宋体" w:eastAsia="楷体_GB2312" w:cs="楷体_GB2312"/>
          <w:b w:val="0"/>
          <w:bCs/>
          <w:sz w:val="32"/>
          <w:szCs w:val="32"/>
        </w:rPr>
      </w:pPr>
      <w:r>
        <w:rPr>
          <w:rFonts w:hint="eastAsia" w:ascii="宋体" w:hAnsi="宋体" w:eastAsia="楷体_GB2312" w:cs="楷体_GB2312"/>
          <w:b w:val="0"/>
          <w:bCs/>
          <w:sz w:val="32"/>
          <w:szCs w:val="32"/>
        </w:rPr>
        <w:t>（2003年11月27日广东省第十届人民代表大会常务委员会第七次会议通过）</w:t>
      </w:r>
    </w:p>
    <w:p>
      <w:pPr>
        <w:widowControl w:val="0"/>
        <w:wordWrap/>
        <w:overflowPunct w:val="0"/>
        <w:adjustRightInd/>
        <w:snapToGrid/>
        <w:spacing w:beforeAutospacing="0" w:afterAutospacing="0" w:line="560" w:lineRule="exact"/>
        <w:ind w:right="0" w:firstLine="640"/>
        <w:jc w:val="left"/>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第一条</w:t>
      </w:r>
      <w:r>
        <w:rPr>
          <w:rFonts w:hint="eastAsia" w:ascii="宋体" w:hAnsi="宋体" w:eastAsia="仿宋_GB2312" w:cs="仿宋_GB2312"/>
          <w:b w:val="0"/>
          <w:bCs/>
          <w:sz w:val="32"/>
          <w:szCs w:val="32"/>
        </w:rPr>
        <w:t>　根据国务院《突发公共卫生事件应急条例》，结合本省实际，制定本办法。</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第二条</w:t>
      </w:r>
      <w:r>
        <w:rPr>
          <w:rFonts w:hint="eastAsia" w:ascii="宋体" w:hAnsi="宋体" w:eastAsia="仿宋_GB2312" w:cs="仿宋_GB2312"/>
          <w:b w:val="0"/>
          <w:bCs/>
          <w:sz w:val="32"/>
          <w:szCs w:val="32"/>
        </w:rPr>
        <w:t xml:space="preserve">  本办法所称突发公共卫生事件（以下简称突发事件），是指突然发生，造成或者可能造成社会公众健康严重损害的重大传染病疫情、群体性不明原因疾病、重大食物和职业中毒以及其他严重影响公众健康的事件。</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 w:cs="仿宋"/>
          <w:b w:val="0"/>
          <w:bCs/>
          <w:sz w:val="32"/>
          <w:szCs w:val="32"/>
        </w:rPr>
      </w:pPr>
      <w:r>
        <w:rPr>
          <w:rFonts w:hint="eastAsia" w:ascii="宋体" w:hAnsi="宋体" w:eastAsia="仿宋_GB2312" w:cs="仿宋_GB2312"/>
          <w:b w:val="0"/>
          <w:bCs/>
          <w:sz w:val="32"/>
          <w:szCs w:val="32"/>
        </w:rPr>
        <w:t>本办法所称疾病预防控制机构，是指疾病预防控制中心、职业病防治院（所）和鼠疫防治站（所）。</w:t>
      </w:r>
    </w:p>
    <w:p>
      <w:pPr>
        <w:pStyle w:val="35"/>
        <w:widowControl w:val="0"/>
        <w:wordWrap/>
        <w:overflowPunct w:val="0"/>
        <w:adjustRightInd/>
        <w:snapToGrid/>
        <w:spacing w:beforeAutospacing="0" w:afterAutospacing="0" w:line="560" w:lineRule="exact"/>
        <w:ind w:right="0" w:firstLine="643"/>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第三条</w:t>
      </w:r>
      <w:r>
        <w:rPr>
          <w:rFonts w:hint="eastAsia" w:ascii="宋体" w:hAnsi="宋体" w:eastAsia="仿宋_GB2312" w:cs="仿宋_GB2312"/>
          <w:b w:val="0"/>
          <w:bCs/>
          <w:sz w:val="32"/>
          <w:szCs w:val="32"/>
        </w:rPr>
        <w:t xml:space="preserve">  本省行政区域内突发事件应急处理工作适用本办法。</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第四条</w:t>
      </w:r>
      <w:r>
        <w:rPr>
          <w:rFonts w:hint="eastAsia" w:ascii="宋体" w:hAnsi="宋体" w:eastAsia="仿宋_GB2312" w:cs="仿宋_GB2312"/>
          <w:b w:val="0"/>
          <w:bCs/>
          <w:sz w:val="32"/>
          <w:szCs w:val="32"/>
        </w:rPr>
        <w:t xml:space="preserve">  突发事件应急工作，应当</w:t>
      </w:r>
      <w:r>
        <w:rPr>
          <w:rFonts w:hint="eastAsia" w:ascii="宋体" w:hAnsi="宋体" w:eastAsia="仿宋_GB2312" w:cs="仿宋_GB2312"/>
          <w:b w:val="0"/>
          <w:bCs/>
          <w:iCs/>
          <w:sz w:val="32"/>
          <w:szCs w:val="32"/>
        </w:rPr>
        <w:t>做到</w:t>
      </w:r>
      <w:r>
        <w:rPr>
          <w:rFonts w:hint="eastAsia" w:ascii="宋体" w:hAnsi="宋体" w:eastAsia="仿宋_GB2312" w:cs="仿宋_GB2312"/>
          <w:b w:val="0"/>
          <w:bCs/>
          <w:sz w:val="32"/>
          <w:szCs w:val="32"/>
        </w:rPr>
        <w:t>反应及时、沉着应对，</w:t>
      </w:r>
      <w:r>
        <w:rPr>
          <w:rFonts w:hint="eastAsia" w:ascii="宋体" w:hAnsi="宋体" w:eastAsia="仿宋_GB2312" w:cs="仿宋_GB2312"/>
          <w:b w:val="0"/>
          <w:bCs/>
          <w:spacing w:val="-6"/>
          <w:sz w:val="32"/>
          <w:szCs w:val="32"/>
        </w:rPr>
        <w:t>科学防治</w:t>
      </w:r>
      <w:r>
        <w:rPr>
          <w:rFonts w:hint="eastAsia" w:ascii="宋体" w:hAnsi="宋体" w:eastAsia="仿宋_GB2312" w:cs="仿宋_GB2312"/>
          <w:b w:val="0"/>
          <w:bCs/>
          <w:i/>
          <w:iCs/>
          <w:spacing w:val="-6"/>
          <w:sz w:val="32"/>
          <w:szCs w:val="32"/>
        </w:rPr>
        <w:t>、</w:t>
      </w:r>
      <w:r>
        <w:rPr>
          <w:rFonts w:hint="eastAsia" w:ascii="宋体" w:hAnsi="宋体" w:eastAsia="仿宋_GB2312" w:cs="仿宋_GB2312"/>
          <w:b w:val="0"/>
          <w:bCs/>
          <w:spacing w:val="-6"/>
          <w:sz w:val="32"/>
          <w:szCs w:val="32"/>
        </w:rPr>
        <w:t>规范管理，加强宣传、正确引导，依靠群众、协同作战。</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b w:val="0"/>
          <w:bCs/>
          <w:sz w:val="32"/>
          <w:szCs w:val="32"/>
        </w:rPr>
        <w:t>第</w:t>
      </w:r>
      <w:r>
        <w:rPr>
          <w:rFonts w:hint="eastAsia" w:ascii="宋体" w:hAnsi="宋体" w:eastAsia="黑体"/>
          <w:b w:val="0"/>
          <w:bCs/>
          <w:iCs/>
          <w:sz w:val="32"/>
          <w:szCs w:val="32"/>
        </w:rPr>
        <w:t>五条</w:t>
      </w:r>
      <w:r>
        <w:rPr>
          <w:rFonts w:hint="eastAsia" w:ascii="宋体" w:hAnsi="宋体" w:eastAsia="仿宋_GB2312" w:cs="仿宋_GB2312"/>
          <w:b w:val="0"/>
          <w:bCs/>
          <w:iCs/>
          <w:sz w:val="32"/>
          <w:szCs w:val="32"/>
        </w:rPr>
        <w:t xml:space="preserve"> </w:t>
      </w:r>
      <w:r>
        <w:rPr>
          <w:rFonts w:hint="eastAsia" w:ascii="宋体" w:hAnsi="宋体" w:eastAsia="仿宋_GB2312" w:cs="仿宋_GB2312"/>
          <w:b w:val="0"/>
          <w:bCs/>
          <w:sz w:val="32"/>
          <w:szCs w:val="32"/>
        </w:rPr>
        <w:t xml:space="preserve"> 突发事件应急处理工作实行统一领导、分级负责。</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省人民政府统一领导全省突发事件的应急处理工作</w:t>
      </w:r>
      <w:r>
        <w:rPr>
          <w:rFonts w:hint="eastAsia" w:ascii="宋体" w:hAnsi="宋体" w:eastAsia="仿宋_GB2312" w:cs="仿宋_GB2312"/>
          <w:b w:val="0"/>
          <w:bCs/>
          <w:i/>
          <w:iCs/>
          <w:sz w:val="32"/>
          <w:szCs w:val="32"/>
        </w:rPr>
        <w:t>。</w:t>
      </w:r>
    </w:p>
    <w:p>
      <w:pPr>
        <w:pStyle w:val="35"/>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市、县（区）人民政府具体负责本行政区域内突发事件的应急处理工作。</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第六条</w:t>
      </w:r>
      <w:r>
        <w:rPr>
          <w:rFonts w:hint="eastAsia" w:ascii="宋体" w:hAnsi="宋体" w:eastAsia="仿宋_GB2312" w:cs="仿宋_GB2312"/>
          <w:b w:val="0"/>
          <w:bCs/>
          <w:sz w:val="32"/>
          <w:szCs w:val="32"/>
        </w:rPr>
        <w:t xml:space="preserve">  突发事件发生后，省人民政府和发生地的市、县（区）人民政府应当迅速成立由有关部门组成的突发事件应急处理指挥部（以下简称指挥部），由本级人民政府主要领导人担任总指挥，负责领导、指挥本行政区域内突发事件应急处理工作，按照突发事件应急预案，及时组织有关部门落实各项应急措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指挥部的主要职责：</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i/>
          <w:iCs/>
          <w:sz w:val="32"/>
          <w:szCs w:val="32"/>
          <w:u w:val="single"/>
        </w:rPr>
      </w:pPr>
      <w:r>
        <w:rPr>
          <w:rFonts w:hint="eastAsia" w:ascii="宋体" w:hAnsi="宋体" w:eastAsia="仿宋_GB2312" w:cs="仿宋_GB2312"/>
          <w:b w:val="0"/>
          <w:bCs/>
          <w:sz w:val="32"/>
          <w:szCs w:val="32"/>
        </w:rPr>
        <w:t>　　（一）指令卫生行政主管部门立即组织医疗救治，并会同有关部门对突发事件发生原因、涉及人群、地域范围、危害程度、影响及发展趋势进行调查研究，科学分析，报告情况，提出防治规范和工作指引，采取控制和预防措施；</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（二）指令科技行政主管部门</w:t>
      </w:r>
      <w:r>
        <w:rPr>
          <w:rFonts w:hint="eastAsia" w:ascii="宋体" w:hAnsi="宋体" w:eastAsia="仿宋_GB2312" w:cs="仿宋_GB2312"/>
          <w:b w:val="0"/>
          <w:bCs/>
          <w:iCs/>
          <w:sz w:val="32"/>
          <w:szCs w:val="32"/>
        </w:rPr>
        <w:t>组织</w:t>
      </w:r>
      <w:r>
        <w:rPr>
          <w:rFonts w:hint="eastAsia" w:ascii="宋体" w:hAnsi="宋体" w:eastAsia="仿宋_GB2312" w:cs="仿宋_GB2312"/>
          <w:b w:val="0"/>
          <w:bCs/>
          <w:sz w:val="32"/>
          <w:szCs w:val="32"/>
        </w:rPr>
        <w:t>医疗卫生机构和有关科研机构整合科研资源，开展科研协作和联合攻关；</w:t>
      </w:r>
    </w:p>
    <w:p>
      <w:pPr>
        <w:pStyle w:val="3"/>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i/>
          <w:iCs/>
          <w:sz w:val="32"/>
          <w:szCs w:val="32"/>
          <w:u w:val="single"/>
        </w:rPr>
      </w:pPr>
      <w:r>
        <w:rPr>
          <w:rFonts w:hint="eastAsia" w:ascii="宋体" w:hAnsi="宋体" w:eastAsia="仿宋_GB2312" w:cs="仿宋_GB2312"/>
          <w:b w:val="0"/>
          <w:bCs/>
          <w:sz w:val="32"/>
          <w:szCs w:val="32"/>
        </w:rPr>
        <w:t>　　（三）指令有关行政主管部门迅速调集突发事件应急处理所必需的人力、财力和物力；</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（四）</w:t>
      </w:r>
      <w:r>
        <w:rPr>
          <w:rFonts w:hint="eastAsia" w:ascii="宋体" w:hAnsi="宋体" w:eastAsia="仿宋_GB2312" w:cs="仿宋_GB2312"/>
          <w:b w:val="0"/>
          <w:bCs/>
          <w:iCs/>
          <w:sz w:val="32"/>
          <w:szCs w:val="32"/>
        </w:rPr>
        <w:t>必要时</w:t>
      </w:r>
      <w:r>
        <w:rPr>
          <w:rFonts w:hint="eastAsia" w:ascii="宋体" w:hAnsi="宋体" w:eastAsia="仿宋_GB2312" w:cs="仿宋_GB2312"/>
          <w:b w:val="0"/>
          <w:bCs/>
          <w:sz w:val="32"/>
          <w:szCs w:val="32"/>
        </w:rPr>
        <w:t>，经省指挥部决定，依法对传染病疫点或</w:t>
      </w:r>
      <w:r>
        <w:rPr>
          <w:rFonts w:hint="eastAsia" w:ascii="宋体" w:hAnsi="宋体" w:eastAsia="仿宋_GB2312" w:cs="仿宋_GB2312"/>
          <w:b w:val="0"/>
          <w:bCs/>
          <w:iCs/>
          <w:sz w:val="32"/>
          <w:szCs w:val="32"/>
        </w:rPr>
        <w:t>者</w:t>
      </w:r>
      <w:r>
        <w:rPr>
          <w:rFonts w:hint="eastAsia" w:ascii="宋体" w:hAnsi="宋体" w:eastAsia="仿宋_GB2312" w:cs="仿宋_GB2312"/>
          <w:b w:val="0"/>
          <w:bCs/>
          <w:sz w:val="32"/>
          <w:szCs w:val="32"/>
        </w:rPr>
        <w:t>疫区采取封锁、隔离、疏散、停市、停会、停演、停工、停业、停课等紧急措施；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（五）对本行政区域的突发事件应急处理工作进行督察和指导。</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第七条</w:t>
      </w:r>
      <w:r>
        <w:rPr>
          <w:rFonts w:hint="eastAsia" w:ascii="宋体" w:hAnsi="宋体" w:eastAsia="仿宋_GB2312" w:cs="仿宋_GB2312"/>
          <w:b w:val="0"/>
          <w:bCs/>
          <w:sz w:val="32"/>
          <w:szCs w:val="32"/>
        </w:rPr>
        <w:t xml:space="preserve">  乡镇人民政府、街道办事处应当根据指挥部和上级人民政府的统一部署，做好本区域的突发事件防范、应急处理工作。</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居民委员会、村民委员会和社会团体、机关、企业事业单位，</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应当根据指挥部和当地人民政府的统一部署，做好本单位的突发事件防范、应急处理工作。</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第八条</w:t>
      </w:r>
      <w:r>
        <w:rPr>
          <w:rFonts w:hint="eastAsia" w:ascii="宋体" w:hAnsi="宋体" w:eastAsia="仿宋_GB2312" w:cs="仿宋_GB2312"/>
          <w:b w:val="0"/>
          <w:bCs/>
          <w:sz w:val="32"/>
          <w:szCs w:val="32"/>
        </w:rPr>
        <w:t xml:space="preserve">  各级人民政府应当贯彻预防为主的方针，建立健全疫情信息网络体系、疾病预防控制体系、医疗救治体系、环境卫生体系和卫生执法监督体系，加强应急卫生救治队伍建设，提高公共卫生服务水平和应对突发事件的能力。随着经济的发展应当逐年增加财政投入，保证其正常运行。</w:t>
      </w:r>
    </w:p>
    <w:p>
      <w:pPr>
        <w:pStyle w:val="35"/>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 w:cs="仿宋"/>
          <w:b w:val="0"/>
          <w:bCs/>
          <w:sz w:val="32"/>
          <w:szCs w:val="32"/>
        </w:rPr>
      </w:pPr>
      <w:r>
        <w:rPr>
          <w:rFonts w:hint="eastAsia" w:ascii="宋体" w:hAnsi="宋体" w:eastAsia="仿宋_GB2312" w:cs="仿宋_GB2312"/>
          <w:b w:val="0"/>
          <w:bCs/>
          <w:sz w:val="32"/>
          <w:szCs w:val="32"/>
        </w:rPr>
        <w:t>省人民政府对经济欠发达地区突发事件防范和应急处理工作给予财政、技术支持。</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第九条</w:t>
      </w:r>
      <w:r>
        <w:rPr>
          <w:rFonts w:hint="eastAsia" w:ascii="宋体" w:hAnsi="宋体" w:eastAsia="仿宋_GB2312" w:cs="仿宋_GB2312"/>
          <w:b w:val="0"/>
          <w:bCs/>
          <w:sz w:val="32"/>
          <w:szCs w:val="32"/>
        </w:rPr>
        <w:t>　省人民政府根据</w:t>
      </w:r>
      <w:r>
        <w:rPr>
          <w:rFonts w:hint="eastAsia" w:ascii="宋体" w:hAnsi="宋体" w:eastAsia="仿宋_GB2312" w:cs="仿宋_GB2312"/>
          <w:b w:val="0"/>
          <w:bCs/>
          <w:iCs/>
          <w:sz w:val="32"/>
          <w:szCs w:val="32"/>
        </w:rPr>
        <w:t>全国突发事件应急预案，结合</w:t>
      </w:r>
      <w:r>
        <w:rPr>
          <w:rFonts w:hint="eastAsia" w:ascii="宋体" w:hAnsi="宋体" w:eastAsia="仿宋_GB2312" w:cs="仿宋_GB2312"/>
          <w:b w:val="0"/>
          <w:bCs/>
          <w:sz w:val="32"/>
          <w:szCs w:val="32"/>
        </w:rPr>
        <w:t>本省实际，制定全省突发事件应急预案。市、县（区）人民政府应当</w:t>
      </w:r>
      <w:r>
        <w:rPr>
          <w:rFonts w:hint="eastAsia" w:ascii="宋体" w:hAnsi="宋体" w:eastAsia="仿宋_GB2312" w:cs="仿宋_GB2312"/>
          <w:b w:val="0"/>
          <w:bCs/>
          <w:iCs/>
          <w:sz w:val="32"/>
          <w:szCs w:val="32"/>
        </w:rPr>
        <w:t>根据全省突发事件应急预案，</w:t>
      </w:r>
      <w:r>
        <w:rPr>
          <w:rFonts w:hint="eastAsia" w:ascii="宋体" w:hAnsi="宋体" w:eastAsia="仿宋_GB2312" w:cs="仿宋_GB2312"/>
          <w:b w:val="0"/>
          <w:bCs/>
          <w:sz w:val="32"/>
          <w:szCs w:val="32"/>
        </w:rPr>
        <w:t>结合本地实际，制定本地突发事件</w:t>
      </w:r>
      <w:r>
        <w:rPr>
          <w:rFonts w:hint="eastAsia" w:ascii="宋体" w:hAnsi="宋体" w:eastAsia="仿宋_GB2312" w:cs="仿宋_GB2312"/>
          <w:b w:val="0"/>
          <w:bCs/>
          <w:iCs/>
          <w:sz w:val="32"/>
          <w:szCs w:val="32"/>
        </w:rPr>
        <w:t>应急</w:t>
      </w:r>
      <w:r>
        <w:rPr>
          <w:rFonts w:hint="eastAsia" w:ascii="宋体" w:hAnsi="宋体" w:eastAsia="仿宋_GB2312" w:cs="仿宋_GB2312"/>
          <w:b w:val="0"/>
          <w:bCs/>
          <w:sz w:val="32"/>
          <w:szCs w:val="32"/>
        </w:rPr>
        <w:t>实施预案。</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第十条</w:t>
      </w:r>
      <w:r>
        <w:rPr>
          <w:rFonts w:hint="eastAsia" w:ascii="宋体" w:hAnsi="宋体" w:eastAsia="仿宋_GB2312" w:cs="仿宋_GB2312"/>
          <w:b w:val="0"/>
          <w:bCs/>
          <w:sz w:val="32"/>
          <w:szCs w:val="32"/>
        </w:rPr>
        <w:t xml:space="preserve">  县级以上人民政府负责突发事件应急日常工作的机构应当履行下列职责：</w:t>
      </w:r>
    </w:p>
    <w:p>
      <w:pPr>
        <w:pStyle w:val="40"/>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（一）宣传、贯彻突发事件防范和应急处理的法律、法规、政策和应急预案；</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（二）督促、指导有关部门建立健全疫情信息网络体系、疾病预防控制体系、医疗救治体系、环境卫生体系和卫生执法监督体系；</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（三）督促、指导有关部门落实突发事件防范和应急措施；</w:t>
      </w:r>
    </w:p>
    <w:p>
      <w:pPr>
        <w:pStyle w:val="40"/>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（四）收集、分析和报告本行政区域内突发事件信息；</w:t>
      </w:r>
    </w:p>
    <w:p>
      <w:pPr>
        <w:pStyle w:val="40"/>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（五）根据应急预案，督促有关部门做好应急所必需的人才、物资、技术等准备工作；</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b w:val="0"/>
          <w:bCs/>
          <w:sz w:val="32"/>
          <w:szCs w:val="32"/>
        </w:rPr>
      </w:pPr>
      <w:r>
        <w:rPr>
          <w:rFonts w:hint="eastAsia" w:ascii="宋体" w:hAnsi="宋体" w:eastAsia="仿宋_GB2312" w:cs="仿宋_GB2312"/>
          <w:b w:val="0"/>
          <w:bCs/>
          <w:sz w:val="32"/>
          <w:szCs w:val="32"/>
        </w:rPr>
        <w:t>（六）组织突发事件应急人员培训和应急演练。</w:t>
      </w:r>
    </w:p>
    <w:p>
      <w:pPr>
        <w:pStyle w:val="41"/>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iCs/>
          <w:sz w:val="32"/>
          <w:szCs w:val="32"/>
        </w:rPr>
      </w:pPr>
      <w:r>
        <w:rPr>
          <w:rFonts w:hint="eastAsia" w:ascii="宋体" w:hAnsi="宋体" w:eastAsia="黑体" w:cs="黑体"/>
          <w:b w:val="0"/>
          <w:bCs/>
          <w:sz w:val="32"/>
          <w:szCs w:val="32"/>
        </w:rPr>
        <w:t>第十一条</w:t>
      </w:r>
      <w:r>
        <w:rPr>
          <w:rFonts w:hint="eastAsia" w:ascii="宋体" w:hAnsi="宋体" w:eastAsia="仿宋_GB2312" w:cs="仿宋_GB2312"/>
          <w:b w:val="0"/>
          <w:bCs/>
          <w:sz w:val="32"/>
          <w:szCs w:val="32"/>
        </w:rPr>
        <w:t xml:space="preserve">  各级医疗、疾病预防控制、卫生监督等机构按照各自职责分工，负责突发事件日常监测、报告、预警和应急现场处理</w:t>
      </w:r>
      <w:r>
        <w:rPr>
          <w:rFonts w:hint="eastAsia" w:ascii="宋体" w:hAnsi="宋体" w:eastAsia="仿宋_GB2312" w:cs="仿宋_GB2312"/>
          <w:b w:val="0"/>
          <w:bCs/>
          <w:iCs/>
          <w:sz w:val="32"/>
          <w:szCs w:val="32"/>
        </w:rPr>
        <w:t xml:space="preserve">。 </w:t>
      </w:r>
    </w:p>
    <w:p>
      <w:pPr>
        <w:pStyle w:val="41"/>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 w:cs="仿宋"/>
          <w:b w:val="0"/>
          <w:bCs/>
          <w:sz w:val="32"/>
          <w:szCs w:val="32"/>
        </w:rPr>
      </w:pPr>
      <w:r>
        <w:rPr>
          <w:rFonts w:hint="eastAsia" w:ascii="宋体" w:hAnsi="宋体" w:eastAsia="黑体" w:cs="黑体"/>
          <w:b w:val="0"/>
          <w:bCs/>
          <w:sz w:val="32"/>
          <w:szCs w:val="32"/>
        </w:rPr>
        <w:t>第十二条</w:t>
      </w:r>
      <w:r>
        <w:rPr>
          <w:rFonts w:hint="eastAsia" w:ascii="宋体" w:hAnsi="宋体" w:eastAsia="仿宋_GB2312" w:cs="仿宋_GB2312"/>
          <w:b w:val="0"/>
          <w:bCs/>
          <w:sz w:val="32"/>
          <w:szCs w:val="32"/>
        </w:rPr>
        <w:t>　县级以上人民政府和有关部门应当按照突发事件应急预案要求，保证应急设施、设备、救治药品、医疗器械、消毒和杀虫灭鼠药械等物资供应与储备。</w:t>
      </w:r>
    </w:p>
    <w:p>
      <w:pPr>
        <w:widowControl w:val="0"/>
        <w:tabs>
          <w:tab w:val="left" w:pos="720"/>
          <w:tab w:val="left" w:pos="900"/>
        </w:tabs>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第十三条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iCs/>
          <w:sz w:val="32"/>
          <w:szCs w:val="32"/>
        </w:rPr>
        <w:t>地级以上市人民政府应当设置与应对突发事件相适应的紧急救援中心，设置与传染病防治工作需要相适应的传染病专科医院，或者指定具备传染病防治条件和能力的医疗机构承担传染病防治任务。</w:t>
      </w:r>
      <w:r>
        <w:rPr>
          <w:rFonts w:hint="eastAsia" w:ascii="宋体" w:hAnsi="宋体" w:eastAsia="仿宋_GB2312" w:cs="仿宋_GB2312"/>
          <w:b w:val="0"/>
          <w:bCs/>
          <w:sz w:val="32"/>
          <w:szCs w:val="32"/>
        </w:rPr>
        <w:t>县级人民政府应当指定具备传染病防治条件和能力的医疗机构设置传染病病区，承担本区域传染病</w:t>
      </w:r>
      <w:r>
        <w:rPr>
          <w:rFonts w:hint="eastAsia" w:ascii="宋体" w:hAnsi="宋体" w:eastAsia="仿宋_GB2312" w:cs="仿宋_GB2312"/>
          <w:b w:val="0"/>
          <w:bCs/>
          <w:iCs/>
          <w:sz w:val="32"/>
          <w:szCs w:val="32"/>
        </w:rPr>
        <w:t>防</w:t>
      </w:r>
      <w:r>
        <w:rPr>
          <w:rFonts w:hint="eastAsia" w:ascii="宋体" w:hAnsi="宋体" w:eastAsia="仿宋_GB2312" w:cs="仿宋_GB2312"/>
          <w:b w:val="0"/>
          <w:bCs/>
          <w:sz w:val="32"/>
          <w:szCs w:val="32"/>
        </w:rPr>
        <w:t>治任务。所需经费由当地人民政府纳入财政预算。</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iCs/>
          <w:sz w:val="32"/>
          <w:szCs w:val="32"/>
        </w:rPr>
        <w:t>紧急救援中心可以接受本级</w:t>
      </w:r>
      <w:r>
        <w:rPr>
          <w:rFonts w:hint="eastAsia" w:ascii="宋体" w:hAnsi="宋体" w:eastAsia="仿宋_GB2312" w:cs="仿宋_GB2312"/>
          <w:b w:val="0"/>
          <w:bCs/>
          <w:sz w:val="32"/>
          <w:szCs w:val="32"/>
        </w:rPr>
        <w:t>卫生行政主管部门委托，指挥、调度本行政区域内医院的急救资源，开展伤病员的现场急救、转运和重症病人途中监护。</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iCs/>
          <w:sz w:val="32"/>
          <w:szCs w:val="32"/>
        </w:rPr>
        <w:t>紧急救援中心、</w:t>
      </w:r>
      <w:r>
        <w:rPr>
          <w:rFonts w:hint="eastAsia" w:ascii="宋体" w:hAnsi="宋体" w:eastAsia="仿宋_GB2312" w:cs="仿宋_GB2312"/>
          <w:b w:val="0"/>
          <w:bCs/>
          <w:sz w:val="32"/>
          <w:szCs w:val="32"/>
        </w:rPr>
        <w:t>传染病专科医院的设置应当符合国务院卫生行政主管部门制定的标准；传染病病区的设置应当符合省卫生行政主管部门制定的标准。</w:t>
      </w:r>
    </w:p>
    <w:p>
      <w:pPr>
        <w:widowControl w:val="0"/>
        <w:wordWrap/>
        <w:overflowPunct w:val="0"/>
        <w:adjustRightInd/>
        <w:snapToGrid/>
        <w:spacing w:beforeAutospacing="0" w:afterAutospacing="0" w:line="560" w:lineRule="exact"/>
        <w:ind w:right="0" w:firstLine="470" w:firstLineChars="147"/>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第十四条</w:t>
      </w:r>
      <w:r>
        <w:rPr>
          <w:rFonts w:hint="eastAsia" w:ascii="宋体" w:hAnsi="宋体" w:eastAsia="仿宋_GB2312" w:cs="仿宋_GB2312"/>
          <w:b w:val="0"/>
          <w:bCs/>
          <w:sz w:val="32"/>
          <w:szCs w:val="32"/>
        </w:rPr>
        <w:t>　各级疾病预防控制机构、卫生监督机构和急救医疗服务机构，应当配备和储备与开展突发事件日常监测及突发事件发生后的调查、控制和医疗救护、现场处置、监督检查、监测检验、卫生防护相适应的物质条件和技术力量，提高应对突发事件的能力。</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社区卫生服务机构应当协助有关部门、医疗卫生机构落实本地区突发事件应急的有关措施。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第十五条</w:t>
      </w:r>
      <w:r>
        <w:rPr>
          <w:rFonts w:hint="eastAsia" w:ascii="宋体" w:hAnsi="宋体" w:eastAsia="仿宋_GB2312" w:cs="仿宋_GB2312"/>
          <w:b w:val="0"/>
          <w:bCs/>
          <w:sz w:val="32"/>
          <w:szCs w:val="32"/>
        </w:rPr>
        <w:t xml:space="preserve">  省和地级以上市卫生行政主管部门应当设立由疾病预防控制、职业中毒防治、医疗救治和卫生监督等专业技术人员，以及高等院校、科研院所科研人员参加的不同类别的应急处理专家组，负责进行突发事件的流行病学调查、事故分析、应急评估以及医疗救治和现场应急处理的指导。</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省和地级以上市卫生行政主管部门应当在现有的医疗卫生机构内，建立机动的应急医疗卫生队伍，应对各种突发事件。</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第十六条</w:t>
      </w:r>
      <w:r>
        <w:rPr>
          <w:rFonts w:hint="eastAsia" w:ascii="宋体" w:hAnsi="宋体" w:eastAsia="仿宋_GB2312" w:cs="仿宋_GB2312"/>
          <w:b w:val="0"/>
          <w:bCs/>
          <w:sz w:val="32"/>
          <w:szCs w:val="32"/>
        </w:rPr>
        <w:t xml:space="preserve">  各级人民政府应当加强农村卫生工作，加强乡镇卫生院（医院）建设，落实公共卫生、医疗急救和应对突发事件必要的专业人员、经费、设施、设备。</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第十七条</w:t>
      </w:r>
      <w:r>
        <w:rPr>
          <w:rFonts w:hint="eastAsia" w:ascii="宋体" w:hAnsi="宋体" w:eastAsia="仿宋_GB2312" w:cs="仿宋_GB2312"/>
          <w:b w:val="0"/>
          <w:bCs/>
          <w:sz w:val="32"/>
          <w:szCs w:val="32"/>
        </w:rPr>
        <w:t>　各级人民政府及其有关部门、企业事业单位应当依照法律、法规和规章的规定，做好传染病、食物中毒、职业中毒，以及其他严重影响公众健康事件的预防工作，防止病原体废水、废物污染。</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第十八条</w:t>
      </w:r>
      <w:r>
        <w:rPr>
          <w:rFonts w:hint="eastAsia" w:ascii="宋体" w:hAnsi="宋体" w:eastAsia="仿宋_GB2312" w:cs="仿宋_GB2312"/>
          <w:b w:val="0"/>
          <w:bCs/>
          <w:sz w:val="32"/>
          <w:szCs w:val="32"/>
        </w:rPr>
        <w:t xml:space="preserve">  县级以上卫生行政主管部门和有关部门、企业事业单位、社会团体，应当开展健康教育和突发事件应急知识的教育，增强全社会的防范意识和能力。</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新闻媒体应当开展突发事件应急知识的公益宣传。</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iCs/>
          <w:sz w:val="32"/>
          <w:szCs w:val="32"/>
        </w:rPr>
      </w:pPr>
      <w:r>
        <w:rPr>
          <w:rFonts w:hint="eastAsia" w:ascii="宋体" w:hAnsi="宋体" w:eastAsia="黑体" w:cs="黑体"/>
          <w:b w:val="0"/>
          <w:bCs/>
          <w:sz w:val="32"/>
          <w:szCs w:val="32"/>
        </w:rPr>
        <w:t>第十九条</w:t>
      </w:r>
      <w:r>
        <w:rPr>
          <w:rFonts w:hint="eastAsia" w:ascii="宋体" w:hAnsi="宋体" w:eastAsia="仿宋_GB2312" w:cs="仿宋_GB2312"/>
          <w:b w:val="0"/>
          <w:bCs/>
          <w:sz w:val="32"/>
          <w:szCs w:val="32"/>
        </w:rPr>
        <w:t>　突发事件发生后，当地卫生行政主管部门应当迅速组织专家对突发事件进行综合评估，并向同级人民政府提出是否启动突发事件应急实施预案的建议。</w:t>
      </w:r>
      <w:r>
        <w:rPr>
          <w:rFonts w:hint="eastAsia" w:ascii="宋体" w:hAnsi="宋体" w:eastAsia="仿宋_GB2312" w:cs="仿宋_GB2312"/>
          <w:b w:val="0"/>
          <w:bCs/>
          <w:iCs/>
          <w:sz w:val="32"/>
          <w:szCs w:val="32"/>
        </w:rPr>
        <w:t>接到建议的人民政府作出是否启动应急实施预案的决定后，应当立即向省卫生行政主管部门和省人民政府报告。</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在全省范围内或者跨市范围内启动全省应急预案，由省卫生行政主管部门提出建议，报省人民政府决定。</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第二十条</w:t>
      </w:r>
      <w:r>
        <w:rPr>
          <w:rFonts w:hint="eastAsia" w:ascii="宋体" w:hAnsi="宋体" w:eastAsia="仿宋_GB2312" w:cs="仿宋_GB2312"/>
          <w:b w:val="0"/>
          <w:bCs/>
          <w:sz w:val="32"/>
          <w:szCs w:val="32"/>
        </w:rPr>
        <w:t xml:space="preserve">  突发事件发生后，任何单位和个人应当服从指挥部作出的决定和命令，配合落实应急处理措施。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iCs/>
          <w:sz w:val="32"/>
          <w:szCs w:val="32"/>
        </w:rPr>
        <w:t>第二十一条</w:t>
      </w:r>
      <w:r>
        <w:rPr>
          <w:rFonts w:hint="eastAsia" w:ascii="宋体" w:hAnsi="宋体" w:eastAsia="仿宋_GB2312" w:cs="仿宋_GB2312"/>
          <w:b w:val="0"/>
          <w:bCs/>
          <w:iCs/>
          <w:sz w:val="32"/>
          <w:szCs w:val="32"/>
        </w:rPr>
        <w:t xml:space="preserve">  各级卫生行政主管部门和医疗卫生机构，应当对传染病做到早发现、早报告、早隔离、早治疗，切断传播途径，防止扩散。</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第二十二条</w:t>
      </w:r>
      <w:r>
        <w:rPr>
          <w:rFonts w:hint="eastAsia" w:ascii="宋体" w:hAnsi="宋体" w:eastAsia="仿宋_GB2312" w:cs="仿宋_GB2312"/>
          <w:b w:val="0"/>
          <w:bCs/>
          <w:sz w:val="32"/>
          <w:szCs w:val="32"/>
        </w:rPr>
        <w:t>　各级人民政府应当建立健全延伸到乡村和城市社区的突发事件信息报告系统。</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i/>
          <w:sz w:val="32"/>
          <w:szCs w:val="32"/>
          <w:u w:val="single"/>
          <w:em w:val="dot"/>
        </w:rPr>
      </w:pPr>
      <w:r>
        <w:rPr>
          <w:rFonts w:hint="eastAsia" w:ascii="宋体" w:hAnsi="宋体" w:eastAsia="仿宋_GB2312" w:cs="仿宋_GB2312"/>
          <w:b w:val="0"/>
          <w:bCs/>
          <w:sz w:val="32"/>
          <w:szCs w:val="32"/>
        </w:rPr>
        <w:t>突发事件发生后，负责突发事件监测机构、医疗卫生机构和有关单位应当在2小时内向所在地县级人民政府卫生行政主管部门报告；接到报告的卫生行政主管部门应当在2小时内向本级人民政府报告，并同时向上级人民政府卫生行政主管部门报告。县级人民政府应当在接到报告后2小时内向上一级人民政府报告，同时向省人民政府报告。</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第二十三条</w:t>
      </w:r>
      <w:r>
        <w:rPr>
          <w:rFonts w:hint="eastAsia" w:ascii="宋体" w:hAnsi="宋体" w:eastAsia="仿宋_GB2312" w:cs="仿宋_GB2312"/>
          <w:b w:val="0"/>
          <w:bCs/>
          <w:sz w:val="32"/>
          <w:szCs w:val="32"/>
        </w:rPr>
        <w:t xml:space="preserve">  各级卫生行政主管部门应当建立和完善医疗机构、疾病预防控制机构之间信息传递的网络，发挥医疗救治体系的哨点监测和预警功能，实现医疗卫生机构与疾病预防控制机构和卫生行政部门之间的信息共享。</w:t>
      </w:r>
    </w:p>
    <w:p>
      <w:pPr>
        <w:pStyle w:val="35"/>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b w:val="0"/>
          <w:bCs/>
          <w:sz w:val="32"/>
          <w:szCs w:val="32"/>
        </w:rPr>
      </w:pPr>
      <w:r>
        <w:rPr>
          <w:rFonts w:hint="eastAsia" w:ascii="宋体" w:hAnsi="宋体" w:eastAsia="仿宋_GB2312" w:cs="仿宋_GB2312"/>
          <w:b w:val="0"/>
          <w:bCs/>
          <w:sz w:val="32"/>
          <w:szCs w:val="32"/>
        </w:rPr>
        <w:t>各级医疗机构应当及时向所在地疾病预防控制机构报告突发事件中患者的收治情况。</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第二十四条</w:t>
      </w:r>
      <w:r>
        <w:rPr>
          <w:rFonts w:hint="eastAsia" w:ascii="宋体" w:hAnsi="宋体" w:eastAsia="仿宋_GB2312" w:cs="仿宋_GB2312"/>
          <w:b w:val="0"/>
          <w:bCs/>
          <w:sz w:val="32"/>
          <w:szCs w:val="32"/>
        </w:rPr>
        <w:t xml:space="preserve">  各级人民政府，各级医疗、疾病预防控制、卫生监督等机构和有关单位在传染病暴发、流行期间，实行疫情日报告制度和零报告制度。</w:t>
      </w:r>
    </w:p>
    <w:p>
      <w:pPr>
        <w:pStyle w:val="36"/>
        <w:widowControl w:val="0"/>
        <w:wordWrap/>
        <w:overflowPunct w:val="0"/>
        <w:adjustRightInd/>
        <w:snapToGrid/>
        <w:spacing w:beforeAutospacing="0" w:after="0" w:afterAutospacing="0" w:line="560" w:lineRule="exact"/>
        <w:ind w:left="0" w:leftChars="0"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第二十五条</w:t>
      </w:r>
      <w:r>
        <w:rPr>
          <w:rFonts w:hint="eastAsia" w:ascii="宋体" w:hAnsi="宋体" w:eastAsia="仿宋_GB2312" w:cs="仿宋_GB2312"/>
          <w:b/>
          <w:sz w:val="32"/>
          <w:szCs w:val="32"/>
        </w:rPr>
        <w:t xml:space="preserve"> </w:t>
      </w:r>
      <w:r>
        <w:rPr>
          <w:rFonts w:hint="eastAsia" w:ascii="宋体" w:hAnsi="宋体" w:eastAsia="仿宋_GB2312" w:cs="仿宋_GB2312"/>
          <w:sz w:val="32"/>
          <w:szCs w:val="32"/>
        </w:rPr>
        <w:t xml:space="preserve"> </w:t>
      </w:r>
      <w:r>
        <w:rPr>
          <w:rFonts w:hint="eastAsia" w:ascii="宋体" w:hAnsi="宋体" w:eastAsia="仿宋_GB2312" w:cs="仿宋_GB2312"/>
          <w:b w:val="0"/>
          <w:bCs/>
          <w:sz w:val="32"/>
          <w:szCs w:val="32"/>
        </w:rPr>
        <w:t>医疗卫生机构应当对因突发事件致病的人员，提供医疗救护和现场救援，不得拒收或者推诿。对需要转送的病人，应当按照规定将病人及其病历记录的复印件转送至接诊的或者指定的医疗机构。</w:t>
      </w:r>
    </w:p>
    <w:p>
      <w:pPr>
        <w:pStyle w:val="36"/>
        <w:widowControl w:val="0"/>
        <w:wordWrap/>
        <w:overflowPunct w:val="0"/>
        <w:adjustRightInd/>
        <w:snapToGrid/>
        <w:spacing w:beforeAutospacing="0" w:after="0" w:afterAutospacing="0" w:line="560" w:lineRule="exact"/>
        <w:ind w:left="0" w:leftChars="0"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对收治的病人实行先收治、后结算的办法。所需费用按国</w:t>
      </w:r>
    </w:p>
    <w:p>
      <w:pPr>
        <w:pStyle w:val="36"/>
        <w:widowControl w:val="0"/>
        <w:wordWrap/>
        <w:overflowPunct w:val="0"/>
        <w:adjustRightInd/>
        <w:snapToGrid/>
        <w:spacing w:beforeAutospacing="0" w:after="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家和省的有关规定执行。</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第二十六条</w:t>
      </w:r>
      <w:r>
        <w:rPr>
          <w:rFonts w:hint="eastAsia" w:ascii="宋体" w:hAnsi="宋体" w:eastAsia="仿宋_GB2312" w:cs="仿宋_GB2312"/>
          <w:b w:val="0"/>
          <w:bCs/>
          <w:sz w:val="32"/>
          <w:szCs w:val="32"/>
        </w:rPr>
        <w:t xml:space="preserve">  医疗机构应当建立健全突发事件医疗救护应急机制。突发事件发生后，医疗机构必须按照指挥部或者上级卫生行政主管部门的指令，参加应急医疗救治，严格落实隔离、消毒、个人防护等卫生防护措施，防止交叉感染和污染。</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医疗机构应当协助疾病预防控制机构采集样本。被采集者应当予以配合。</w:t>
      </w:r>
    </w:p>
    <w:p>
      <w:pPr>
        <w:widowControl w:val="0"/>
        <w:wordWrap/>
        <w:overflowPunct w:val="0"/>
        <w:adjustRightInd/>
        <w:snapToGrid/>
        <w:spacing w:beforeAutospacing="0" w:afterAutospacing="0" w:line="560" w:lineRule="exact"/>
        <w:ind w:left="640"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第二十七条</w:t>
      </w:r>
      <w:r>
        <w:rPr>
          <w:rFonts w:hint="eastAsia" w:ascii="宋体" w:hAnsi="宋体" w:eastAsia="仿宋_GB2312" w:cs="仿宋_GB2312"/>
          <w:b w:val="0"/>
          <w:bCs/>
          <w:sz w:val="32"/>
          <w:szCs w:val="32"/>
        </w:rPr>
        <w:t xml:space="preserve">  医疗机构和殡仪馆应当按照有关法律法规，对</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造成或者可能造成社会公众健康严重损害的传染病人尸体，以及有关场所、物品、车辆等进行消毒处理。对尸体应当就近、就地</w:t>
      </w:r>
      <w:r>
        <w:rPr>
          <w:rFonts w:hint="eastAsia" w:ascii="宋体" w:hAnsi="宋体" w:eastAsia="仿宋_GB2312" w:cs="仿宋_GB2312"/>
          <w:b w:val="0"/>
          <w:bCs/>
          <w:spacing w:val="-9"/>
          <w:sz w:val="32"/>
          <w:szCs w:val="32"/>
        </w:rPr>
        <w:t>火化，不得举行遗体告别仪式或者用遗体进行其他形式的丧葬活动。</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 w:cs="仿宋"/>
          <w:b w:val="0"/>
          <w:bCs/>
          <w:sz w:val="32"/>
          <w:szCs w:val="32"/>
        </w:rPr>
      </w:pPr>
      <w:r>
        <w:rPr>
          <w:rFonts w:hint="eastAsia" w:ascii="宋体" w:hAnsi="宋体" w:eastAsia="仿宋_GB2312" w:cs="仿宋_GB2312"/>
          <w:b w:val="0"/>
          <w:bCs/>
          <w:sz w:val="32"/>
          <w:szCs w:val="32"/>
        </w:rPr>
        <w:t>对参与尸体消毒处理、搬运和火化的工作人员应当进行防病知识培训并配备必要的防护设施。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iCs/>
          <w:sz w:val="32"/>
          <w:szCs w:val="32"/>
        </w:rPr>
      </w:pPr>
      <w:r>
        <w:rPr>
          <w:rFonts w:hint="eastAsia" w:ascii="宋体" w:hAnsi="宋体" w:eastAsia="黑体" w:cs="黑体"/>
          <w:b w:val="0"/>
          <w:bCs/>
          <w:sz w:val="32"/>
          <w:szCs w:val="32"/>
        </w:rPr>
        <w:t>第二十八条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iCs/>
          <w:sz w:val="32"/>
          <w:szCs w:val="32"/>
        </w:rPr>
        <w:t>县级以上人民政府应当对参加突发事件应急处理的有关人员，给予适当补助和保健津贴；对参加突发事件应急处理作出贡献的人员，给予表彰和奖励；对因参与应急处理工作致病、致残、死亡的人员，按照国家有关规定，给予相应的补助和抚恤。</w:t>
      </w:r>
    </w:p>
    <w:p>
      <w:pPr>
        <w:widowControl w:val="0"/>
        <w:wordWrap/>
        <w:overflowPunct w:val="0"/>
        <w:adjustRightInd/>
        <w:snapToGrid/>
        <w:spacing w:beforeAutospacing="0" w:afterAutospacing="0" w:line="560" w:lineRule="exact"/>
        <w:ind w:right="0" w:firstLine="645"/>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全社会应当尊重参加突发事件应急处理工作的有关人员；对因参加突发事件应急处理工作而导致其本人和亲属的正常工作、学习、生活受到影响的，各级人民政府和有关部门应当给予必要的帮助。</w:t>
      </w:r>
    </w:p>
    <w:p>
      <w:pPr>
        <w:pStyle w:val="42"/>
        <w:widowControl w:val="0"/>
        <w:wordWrap/>
        <w:overflowPunct w:val="0"/>
        <w:adjustRightInd/>
        <w:snapToGrid/>
        <w:spacing w:beforeAutospacing="0" w:after="0" w:afterAutospacing="0" w:line="560" w:lineRule="exact"/>
        <w:ind w:left="0" w:leftChars="0"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第二十九条</w:t>
      </w:r>
      <w:r>
        <w:rPr>
          <w:rFonts w:hint="eastAsia" w:ascii="宋体" w:hAnsi="宋体" w:eastAsia="仿宋_GB2312" w:cs="仿宋_GB2312"/>
          <w:b w:val="0"/>
          <w:bCs/>
          <w:sz w:val="32"/>
          <w:szCs w:val="32"/>
        </w:rPr>
        <w:t xml:space="preserve">  突发事件发生后的应急调查、预防控制、医疗救治和医疗救助等补助经费和奖励经费从本级财政预备费中统筹安排。</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第三十条</w:t>
      </w:r>
      <w:r>
        <w:rPr>
          <w:rFonts w:hint="eastAsia" w:ascii="宋体" w:hAnsi="宋体" w:eastAsia="仿宋_GB2312" w:cs="仿宋_GB2312"/>
          <w:b w:val="0"/>
          <w:bCs/>
          <w:sz w:val="32"/>
          <w:szCs w:val="32"/>
        </w:rPr>
        <w:t xml:space="preserve">  指挥部未依照本办法第六条的规定履行职责的，对指挥部负责人、负有责任的主管人员和其他责任人员依法给予行政处分；造成传染病传播、流行或者对社会公众健康造成其他严重危害后果，构成犯罪的，依法追究刑事责任。</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第三十一条</w:t>
      </w:r>
      <w:r>
        <w:rPr>
          <w:rFonts w:hint="eastAsia" w:ascii="宋体" w:hAnsi="宋体" w:eastAsia="仿宋_GB2312" w:cs="仿宋_GB2312"/>
          <w:b w:val="0"/>
          <w:bCs/>
          <w:sz w:val="32"/>
          <w:szCs w:val="32"/>
        </w:rPr>
        <w:t xml:space="preserve">  负责突发事件应急日常工作的机构未依照本办法第十条的规定履行职责的，由同级人民政府对主要负责人、负有责任的主管人员和其他责任人员依法给予行政处分。</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第三十二条</w:t>
      </w:r>
      <w:r>
        <w:rPr>
          <w:rFonts w:hint="eastAsia" w:ascii="宋体" w:hAnsi="宋体" w:eastAsia="仿宋_GB2312" w:cs="仿宋_GB2312"/>
          <w:b w:val="0"/>
          <w:bCs/>
          <w:sz w:val="32"/>
          <w:szCs w:val="32"/>
        </w:rPr>
        <w:t xml:space="preserve">  各级人民政府及其所属部门未依照本办法的规定履行应急处理职责的，由上级行政机关对主要负责人、负有责任的主管人员和其他责任人员依法给予行政处分；造成传染病传播、流行或者对社会公众健康造成其它严重后果，构成犯罪的，依法追究刑事责任。</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 w:cs="仿宋"/>
          <w:b w:val="0"/>
          <w:bCs/>
          <w:sz w:val="32"/>
          <w:szCs w:val="32"/>
        </w:rPr>
      </w:pPr>
      <w:r>
        <w:rPr>
          <w:rFonts w:hint="eastAsia" w:ascii="宋体" w:hAnsi="宋体" w:eastAsia="黑体" w:cs="黑体"/>
          <w:b w:val="0"/>
          <w:bCs/>
          <w:sz w:val="32"/>
          <w:szCs w:val="32"/>
        </w:rPr>
        <w:t>第三十三条</w:t>
      </w:r>
      <w:r>
        <w:rPr>
          <w:rFonts w:hint="eastAsia" w:ascii="宋体" w:hAnsi="宋体" w:eastAsia="仿宋_GB2312" w:cs="仿宋_GB2312"/>
          <w:b/>
          <w:sz w:val="32"/>
          <w:szCs w:val="32"/>
        </w:rPr>
        <w:t xml:space="preserve"> </w:t>
      </w:r>
      <w:r>
        <w:rPr>
          <w:rFonts w:hint="eastAsia" w:ascii="宋体" w:hAnsi="宋体" w:eastAsia="仿宋_GB2312" w:cs="仿宋_GB2312"/>
          <w:sz w:val="32"/>
          <w:szCs w:val="32"/>
        </w:rPr>
        <w:t xml:space="preserve"> </w:t>
      </w:r>
      <w:r>
        <w:rPr>
          <w:rFonts w:hint="eastAsia" w:ascii="宋体" w:hAnsi="宋体" w:eastAsia="仿宋" w:cs="仿宋"/>
          <w:b w:val="0"/>
          <w:bCs/>
          <w:sz w:val="32"/>
          <w:szCs w:val="32"/>
        </w:rPr>
        <w:t>本办法自公布之日起施行。</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b w:val="0"/>
          <w:bCs/>
          <w:sz w:val="32"/>
          <w:szCs w:val="32"/>
        </w:rPr>
      </w:pPr>
      <w:r>
        <w:rPr>
          <w:rFonts w:hint="eastAsia" w:ascii="宋体" w:hAnsi="宋体" w:eastAsia="仿宋_GB2312"/>
          <w:b w:val="0"/>
          <w:bCs/>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34" w:name="_Toc8668"/>
      <w:r>
        <w:rPr>
          <w:rFonts w:hint="eastAsia" w:ascii="宋体" w:hAnsi="宋体" w:eastAsia="宋体" w:cs="宋体"/>
          <w:color w:val="000000"/>
          <w:sz w:val="44"/>
          <w:szCs w:val="44"/>
        </w:rPr>
        <w:t>广东省突发事件应对条例</w:t>
      </w:r>
      <w:bookmarkEnd w:id="434"/>
    </w:p>
    <w:p>
      <w:pPr>
        <w:widowControl w:val="0"/>
        <w:wordWrap/>
        <w:overflowPunct w:val="0"/>
        <w:spacing w:beforeAutospacing="0" w:afterAutospacing="0" w:line="560" w:lineRule="exact"/>
        <w:ind w:right="0"/>
        <w:jc w:val="both"/>
        <w:textAlignment w:val="auto"/>
        <w:outlineLvl w:val="9"/>
        <w:rPr>
          <w:rFonts w:hint="eastAsia" w:ascii="宋体" w:hAnsi="宋体" w:eastAsia="宋体" w:cs="宋体"/>
          <w:sz w:val="32"/>
          <w:szCs w:val="32"/>
        </w:rPr>
      </w:pP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 xml:space="preserve">（2010年6月2日广东省第十一届人民代表大会常务委员会第十九次会议通过 </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sz w:val="32"/>
          <w:szCs w:val="32"/>
        </w:rPr>
        <w:t xml:space="preserve">2010年6月2日公布 </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sz w:val="32"/>
          <w:szCs w:val="32"/>
        </w:rPr>
        <w:t>自2010年7月1日起施行）</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宋体" w:cs="宋体"/>
          <w:sz w:val="32"/>
          <w:szCs w:val="32"/>
        </w:rPr>
      </w:pPr>
    </w:p>
    <w:p>
      <w:pPr>
        <w:widowControl w:val="0"/>
        <w:wordWrap/>
        <w:overflowPunct w:val="0"/>
        <w:spacing w:beforeAutospacing="0" w:afterAutospacing="0" w:line="560" w:lineRule="exact"/>
        <w:ind w:right="0" w:firstLine="640" w:firstLineChars="200"/>
        <w:jc w:val="center"/>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目    录</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宋体" w:cs="宋体"/>
          <w:sz w:val="32"/>
          <w:szCs w:val="32"/>
        </w:rPr>
      </w:pP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第一章  总则</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第二章  预防与应急准备</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第三章  监测与预警</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第四章  应急处置与救援</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第五章  事后恢复与重建</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第六章  评估与考核</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第七章  法律责任</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第八章  附则</w:t>
      </w:r>
    </w:p>
    <w:p>
      <w:pPr>
        <w:widowControl w:val="0"/>
        <w:wordWrap/>
        <w:overflowPunct w:val="0"/>
        <w:spacing w:beforeAutospacing="0" w:afterAutospacing="0" w:line="560" w:lineRule="exact"/>
        <w:ind w:right="0"/>
        <w:jc w:val="both"/>
        <w:textAlignment w:val="auto"/>
        <w:outlineLvl w:val="9"/>
        <w:rPr>
          <w:rFonts w:hint="eastAsia" w:ascii="宋体" w:hAnsi="宋体" w:eastAsia="宋体" w:cs="宋体"/>
          <w:color w:val="000000"/>
          <w:sz w:val="32"/>
          <w:szCs w:val="32"/>
          <w:lang w:eastAsia="zh-CN"/>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color w:val="000000"/>
          <w:kern w:val="0"/>
          <w:sz w:val="32"/>
          <w:szCs w:val="32"/>
        </w:rPr>
      </w:pPr>
      <w:r>
        <w:rPr>
          <w:rFonts w:hint="eastAsia" w:ascii="宋体" w:hAnsi="宋体" w:eastAsia="黑体" w:cs="黑体"/>
          <w:color w:val="000000"/>
          <w:kern w:val="0"/>
          <w:sz w:val="32"/>
          <w:szCs w:val="32"/>
        </w:rPr>
        <w:t>第一章  总则</w:t>
      </w:r>
    </w:p>
    <w:p>
      <w:pPr>
        <w:widowControl w:val="0"/>
        <w:wordWrap/>
        <w:overflowPunct w:val="0"/>
        <w:spacing w:beforeAutospacing="0" w:afterAutospacing="0" w:line="560" w:lineRule="exact"/>
        <w:ind w:right="0"/>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第一条</w:t>
      </w:r>
      <w:r>
        <w:rPr>
          <w:rFonts w:hint="eastAsia" w:ascii="宋体" w:hAnsi="宋体" w:eastAsia="仿宋_GB2312" w:cs="仿宋_GB2312"/>
          <w:color w:val="000000"/>
          <w:kern w:val="0"/>
          <w:sz w:val="32"/>
          <w:szCs w:val="32"/>
        </w:rPr>
        <w:t xml:space="preserve">  为了预防和减少突发事件的发生，控制、减轻和消除突发事件引起的社会危害，规范突发事件应对活动，保护人民生命财产安全，维护国家安全、公共安全、环境安全和社会秩序，依据《中华人民共和国突发事件应对法》及有关法律、行政法规的规定，制定本条例。</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第二条</w:t>
      </w:r>
      <w:r>
        <w:rPr>
          <w:rFonts w:hint="eastAsia" w:ascii="宋体" w:hAnsi="宋体" w:eastAsia="仿宋_GB2312" w:cs="仿宋_GB2312"/>
          <w:color w:val="000000"/>
          <w:kern w:val="0"/>
          <w:sz w:val="32"/>
          <w:szCs w:val="32"/>
        </w:rPr>
        <w:t xml:space="preserve">  本条例适用于本省行政区域内突发事件的预防与应急准备、监测与预警、应急处置与救援、事后恢复与重建、评估与考核等活动。</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本条例所称突发事件，是指突然发生，造成或者可能造成严重社会危害，需要采取应急处置措施予以应对的自然灾害、事故灾难、公共卫生事件和社会安全事件。</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第三条</w:t>
      </w:r>
      <w:r>
        <w:rPr>
          <w:rFonts w:hint="eastAsia" w:ascii="宋体" w:hAnsi="宋体" w:eastAsia="仿宋_GB2312" w:cs="仿宋_GB2312"/>
          <w:color w:val="000000"/>
          <w:kern w:val="0"/>
          <w:sz w:val="32"/>
          <w:szCs w:val="32"/>
        </w:rPr>
        <w:t xml:space="preserve"> </w:t>
      </w:r>
      <w:r>
        <w:rPr>
          <w:rFonts w:hint="eastAsia" w:ascii="宋体" w:hAnsi="宋体" w:cs="仿宋_GB2312"/>
          <w:color w:val="000000"/>
          <w:kern w:val="0"/>
          <w:sz w:val="32"/>
          <w:szCs w:val="32"/>
          <w:lang w:val="en-US" w:eastAsia="zh-CN"/>
        </w:rPr>
        <w:t xml:space="preserve"> </w:t>
      </w:r>
      <w:r>
        <w:rPr>
          <w:rFonts w:hint="eastAsia" w:ascii="宋体" w:hAnsi="宋体" w:eastAsia="仿宋_GB2312" w:cs="仿宋_GB2312"/>
          <w:color w:val="000000"/>
          <w:kern w:val="0"/>
          <w:sz w:val="32"/>
          <w:szCs w:val="32"/>
        </w:rPr>
        <w:t>县级以上人民政府是所辖行政区域内突发事件应对工作的行政领导机关。上级人民政府应当对下级人民政府应急管理工作进行指导，必要时可派出工作组。</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中央直属驻粤有关单位应当依照法定职责，根据履行统一领导职责或者组织处置突发事件的人民政府的要求，予以配合和支持。</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法律、行政法规规定由国务院有关部门对突发事件的应对工作负责的，县级以上人民政府应当予以配合和支持。</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第四条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kern w:val="0"/>
          <w:sz w:val="32"/>
          <w:szCs w:val="32"/>
        </w:rPr>
        <w:t xml:space="preserve"> </w:t>
      </w:r>
      <w:r>
        <w:rPr>
          <w:rFonts w:hint="eastAsia" w:ascii="宋体" w:hAnsi="宋体" w:eastAsia="仿宋_GB2312" w:cs="仿宋_GB2312"/>
          <w:color w:val="000000"/>
          <w:kern w:val="0"/>
          <w:sz w:val="32"/>
          <w:szCs w:val="32"/>
        </w:rPr>
        <w:t>县级以上人民政府应当设立突发事件应急委员会，统一领导、综合协调本级人民政府有关部门和下级人民政府开展突发事件应对工作。突发事件应急委员会主任由本级人民政府主要负责人担任，相关部门、驻地解放军、武装警察部队和中央直属驻粤有关单位的主要负责人为成员。</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各级突发事件应急委员会根据工作需要，设立专项应急指挥机构，按类别组织、协调和指挥同类别突发事件应对工作。专项应急指挥机构接受本级突发事件应急委员会的领导。</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第五条</w:t>
      </w:r>
      <w:r>
        <w:rPr>
          <w:rFonts w:hint="eastAsia" w:ascii="宋体" w:hAnsi="宋体" w:eastAsia="仿宋_GB2312" w:cs="仿宋_GB2312"/>
          <w:color w:val="000000"/>
          <w:kern w:val="0"/>
          <w:sz w:val="32"/>
          <w:szCs w:val="32"/>
        </w:rPr>
        <w:t xml:space="preserve">  县级以上人民政府设立的应急管理办公室，负责本级突发事件应急委员会日常工作。</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有关部门应当加强专业应急指挥机构建设。省突发事件专项应急指挥机构、突发事件应急委员会成员单位应当设立应急管理办事机构，配备专职工作人员。</w:t>
      </w:r>
    </w:p>
    <w:p>
      <w:pPr>
        <w:widowControl w:val="0"/>
        <w:wordWrap/>
        <w:overflowPunct w:val="0"/>
        <w:spacing w:beforeAutospacing="0" w:afterAutospacing="0" w:line="560" w:lineRule="exact"/>
        <w:ind w:right="0" w:firstLine="64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乡级人民政府、街道办事处可以根据需要设立或者确定应急管理办事机构，建立健全二十四小时值班制度。</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第六条</w:t>
      </w:r>
      <w:r>
        <w:rPr>
          <w:rFonts w:hint="eastAsia" w:ascii="宋体" w:hAnsi="宋体" w:eastAsia="仿宋_GB2312" w:cs="仿宋_GB2312"/>
          <w:color w:val="000000"/>
          <w:kern w:val="0"/>
          <w:sz w:val="32"/>
          <w:szCs w:val="32"/>
        </w:rPr>
        <w:t xml:space="preserve">  各级突发事件应急委员会及其成员单位、专项应急指挥机构应当根据需要成立应急管理专家组，建立健全专家决策咨询制度。</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 w:cs="仿宋"/>
          <w:color w:val="000000"/>
          <w:kern w:val="0"/>
          <w:sz w:val="32"/>
          <w:szCs w:val="32"/>
        </w:rPr>
      </w:pPr>
      <w:r>
        <w:rPr>
          <w:rFonts w:hint="eastAsia" w:ascii="宋体" w:hAnsi="宋体" w:eastAsia="黑体" w:cs="黑体"/>
          <w:color w:val="000000"/>
          <w:kern w:val="0"/>
          <w:sz w:val="32"/>
          <w:szCs w:val="32"/>
        </w:rPr>
        <w:t>第七条</w:t>
      </w:r>
      <w:r>
        <w:rPr>
          <w:rFonts w:hint="eastAsia" w:ascii="宋体" w:hAnsi="宋体" w:eastAsia="仿宋_GB2312" w:cs="仿宋_GB2312"/>
          <w:color w:val="000000"/>
          <w:kern w:val="0"/>
          <w:sz w:val="32"/>
          <w:szCs w:val="32"/>
        </w:rPr>
        <w:t xml:space="preserve">  县级以上人民政府应当组织编制应急体系建设规划，并将其纳入国民经济和社会发展规划。</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第八条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sz w:val="32"/>
          <w:szCs w:val="32"/>
        </w:rPr>
        <w:t xml:space="preserve"> </w:t>
      </w:r>
      <w:r>
        <w:rPr>
          <w:rFonts w:hint="eastAsia" w:ascii="宋体" w:hAnsi="宋体" w:eastAsia="仿宋_GB2312" w:cs="仿宋_GB2312"/>
          <w:color w:val="000000"/>
          <w:kern w:val="0"/>
          <w:sz w:val="32"/>
          <w:szCs w:val="32"/>
        </w:rPr>
        <w:t>县级以上人民政府应当把突发事件应对工作所需经费列入财政预算，各级财政的预备费应当优先保证应对突发事件的需要。</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第九条</w:t>
      </w:r>
      <w:r>
        <w:rPr>
          <w:rFonts w:hint="eastAsia" w:ascii="宋体" w:hAnsi="宋体" w:eastAsia="仿宋_GB2312" w:cs="仿宋_GB2312"/>
          <w:color w:val="000000"/>
          <w:kern w:val="0"/>
          <w:sz w:val="32"/>
          <w:szCs w:val="32"/>
        </w:rPr>
        <w:t xml:space="preserve">  省人民政府应当采取扶持政策和优惠措施，鼓励和支持高等院校、科研院所和相关机构等开展公共安全技术理论研究，开发用于突发事件预防、监测、预警、应急处置与救援的新技术、新设备和新工具，促进应急管理教学科研一体化。</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第十条</w:t>
      </w:r>
      <w:r>
        <w:rPr>
          <w:rFonts w:hint="eastAsia" w:ascii="宋体" w:hAnsi="宋体" w:eastAsia="仿宋_GB2312" w:cs="仿宋_GB2312"/>
          <w:color w:val="000000"/>
          <w:kern w:val="0"/>
          <w:sz w:val="32"/>
          <w:szCs w:val="32"/>
        </w:rPr>
        <w:t xml:space="preserve">  县级以上人民政府及其有关部门应当加强应急管理区域合作，建立健全应急管理联动机制。</w:t>
      </w:r>
    </w:p>
    <w:p>
      <w:pPr>
        <w:widowControl w:val="0"/>
        <w:wordWrap/>
        <w:overflowPunct w:val="0"/>
        <w:adjustRightInd w:val="0"/>
        <w:snapToGrid w:val="0"/>
        <w:spacing w:beforeAutospacing="0" w:afterAutospacing="0" w:line="560" w:lineRule="exact"/>
        <w:ind w:left="40" w:right="0" w:firstLine="630"/>
        <w:textAlignment w:val="auto"/>
        <w:outlineLvl w:val="9"/>
        <w:rPr>
          <w:rFonts w:hint="eastAsia" w:ascii="宋体" w:hAnsi="宋体" w:eastAsia="宋体" w:cs="宋体"/>
          <w:color w:val="000000"/>
          <w:kern w:val="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仿宋" w:cs="仿宋"/>
          <w:b/>
          <w:color w:val="000000"/>
          <w:kern w:val="0"/>
          <w:sz w:val="32"/>
          <w:szCs w:val="32"/>
        </w:rPr>
      </w:pPr>
      <w:r>
        <w:rPr>
          <w:rFonts w:hint="eastAsia" w:ascii="宋体" w:hAnsi="宋体" w:eastAsia="黑体" w:cs="黑体"/>
          <w:color w:val="000000"/>
          <w:kern w:val="0"/>
          <w:sz w:val="32"/>
          <w:szCs w:val="32"/>
        </w:rPr>
        <w:t>第二章  预防与应急准备</w:t>
      </w:r>
    </w:p>
    <w:p>
      <w:pPr>
        <w:widowControl w:val="0"/>
        <w:tabs>
          <w:tab w:val="left" w:pos="3405"/>
        </w:tabs>
        <w:wordWrap/>
        <w:overflowPunct w:val="0"/>
        <w:spacing w:beforeAutospacing="0" w:afterAutospacing="0" w:line="560" w:lineRule="exact"/>
        <w:ind w:right="0"/>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第十一条</w:t>
      </w:r>
      <w:r>
        <w:rPr>
          <w:rFonts w:hint="eastAsia" w:ascii="宋体" w:hAnsi="宋体" w:eastAsia="仿宋_GB2312" w:cs="仿宋_GB2312"/>
          <w:color w:val="000000"/>
          <w:kern w:val="0"/>
          <w:sz w:val="32"/>
          <w:szCs w:val="32"/>
        </w:rPr>
        <w:t xml:space="preserve">  本省根据国家规定建立健全突发事件应急预案体系，完善应急预案管理办法。</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省人民政府负责统筹各级、各类应急预案，加强对应急预案的管理。</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第十二条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b/>
          <w:kern w:val="0"/>
          <w:sz w:val="32"/>
          <w:szCs w:val="32"/>
        </w:rPr>
        <w:t xml:space="preserve"> </w:t>
      </w:r>
      <w:r>
        <w:rPr>
          <w:rFonts w:hint="eastAsia" w:ascii="宋体" w:hAnsi="宋体" w:eastAsia="仿宋_GB2312" w:cs="仿宋_GB2312"/>
          <w:color w:val="000000"/>
          <w:kern w:val="0"/>
          <w:sz w:val="32"/>
          <w:szCs w:val="32"/>
        </w:rPr>
        <w:t>省人民政府负责制定省总体应急预案，组织制定省专项应急预案，省人民政府有关部门负责制定本部门省级应急预案。</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市、县人民政府参照省制定预案的做法，制定相应的应急预案；乡级人民政府、街道办事处结合本行政区域实际，制定应急预案；居民委员会、村民委员会在所在地人民政府的指导下，制定相关应急预案。</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企业事业单位根据有关法律、法规、规章制定本单位应急预案；重大活动主办单位、公共场所经营或者管理单位根据有关法律、法规、规章制定具体应急预案。</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应急预案制订单位应当根据应急预案制定应急操作规程。</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第十三条</w:t>
      </w:r>
      <w:r>
        <w:rPr>
          <w:rFonts w:hint="eastAsia" w:ascii="宋体" w:hAnsi="宋体" w:eastAsia="仿宋_GB2312" w:cs="仿宋_GB2312"/>
          <w:color w:val="000000"/>
          <w:kern w:val="0"/>
          <w:sz w:val="32"/>
          <w:szCs w:val="32"/>
        </w:rPr>
        <w:t xml:space="preserve">  应急预案应当结合实际情况适时修改、完善，保障其可操作性。</w:t>
      </w:r>
    </w:p>
    <w:p>
      <w:pPr>
        <w:widowControl w:val="0"/>
        <w:wordWrap/>
        <w:overflowPunct w:val="0"/>
        <w:adjustRightInd w:val="0"/>
        <w:snapToGrid w:val="0"/>
        <w:spacing w:beforeAutospacing="0" w:afterAutospacing="0" w:line="560" w:lineRule="exact"/>
        <w:ind w:left="40" w:right="0" w:firstLine="63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乡级人民政府、街道办事处、居民委员会、村民委员会的应急预案每两年至少研究修改一次，其他应急预案每三年至少研究修改一次。</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sz w:val="32"/>
          <w:szCs w:val="32"/>
        </w:rPr>
      </w:pPr>
      <w:r>
        <w:rPr>
          <w:rFonts w:hint="eastAsia" w:ascii="宋体" w:hAnsi="宋体" w:eastAsia="黑体" w:cs="黑体"/>
          <w:color w:val="000000"/>
          <w:kern w:val="0"/>
          <w:sz w:val="32"/>
          <w:szCs w:val="32"/>
        </w:rPr>
        <w:t>第十四条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sz w:val="32"/>
          <w:szCs w:val="32"/>
        </w:rPr>
        <w:t>县级人民政府及其有关部门、乡级人民政府、街道办事处、居民委员会、村民委员会应当及时调解处理可能引发社会安全事件的矛盾纠纷。</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sz w:val="32"/>
          <w:szCs w:val="32"/>
        </w:rPr>
      </w:pPr>
      <w:r>
        <w:rPr>
          <w:rFonts w:hint="eastAsia" w:ascii="宋体" w:hAnsi="宋体" w:eastAsia="黑体" w:cs="黑体"/>
          <w:color w:val="000000"/>
          <w:kern w:val="0"/>
          <w:sz w:val="32"/>
          <w:szCs w:val="32"/>
        </w:rPr>
        <w:t>第十五条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sz w:val="32"/>
          <w:szCs w:val="32"/>
        </w:rPr>
        <w:t>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第十六条</w:t>
      </w:r>
      <w:r>
        <w:rPr>
          <w:rFonts w:hint="eastAsia" w:ascii="宋体" w:hAnsi="宋体" w:eastAsia="仿宋_GB2312" w:cs="仿宋_GB2312"/>
          <w:color w:val="000000"/>
          <w:kern w:val="0"/>
          <w:sz w:val="32"/>
          <w:szCs w:val="32"/>
        </w:rPr>
        <w:t xml:space="preserve">  县级以上人民政府应当加强专业应急救援队伍建设，必要时可以依托本地消防队伍建立综合性应急救援队伍。</w:t>
      </w:r>
    </w:p>
    <w:p>
      <w:pPr>
        <w:widowControl w:val="0"/>
        <w:wordWrap/>
        <w:overflowPunct w:val="0"/>
        <w:spacing w:beforeAutospacing="0" w:afterAutospacing="0" w:line="560" w:lineRule="exact"/>
        <w:ind w:right="0" w:firstLine="64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交通、通讯、电力、供水、供气、医疗和其他提供公共服务的企业事业单位应当建立以本单位职工为主体的应急救援队伍。高危行业企业应当建立专职或者兼职的应急救援队伍。</w:t>
      </w:r>
    </w:p>
    <w:p>
      <w:pPr>
        <w:widowControl w:val="0"/>
        <w:wordWrap/>
        <w:overflowPunct w:val="0"/>
        <w:spacing w:beforeAutospacing="0" w:afterAutospacing="0" w:line="560" w:lineRule="exact"/>
        <w:ind w:right="0" w:firstLine="64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应急救援队伍应当具备专业的应急救援知识和技能，配备先进和充足的装备，提高救援能力。</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第十七条</w:t>
      </w:r>
      <w:r>
        <w:rPr>
          <w:rFonts w:hint="eastAsia" w:ascii="宋体" w:hAnsi="宋体" w:eastAsia="仿宋_GB2312" w:cs="仿宋_GB2312"/>
          <w:color w:val="000000"/>
          <w:kern w:val="0"/>
          <w:sz w:val="32"/>
          <w:szCs w:val="32"/>
        </w:rPr>
        <w:t xml:space="preserve">  县级以上人民政府设立的突发事件应急委员会以及专项应急组织机构应当加强对应急救援队伍的培训，按照应急预案组织开展应急演练。</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及其有关部门应当开展面向社会的公共安全知识宣传、普及、教育活动，增强全民的公共安全和社会责任意识，提高全社会防灾减灾意识和预防、避险、自救、互救等能力，发挥公民、法人和其他组织应对突发事件的作用。</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乡级人民政府、街道办事处和其他机关、企业事业单位应当组织社会公众和本单位人员开展应急演练和应急知识普及活动。</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第十八条</w:t>
      </w:r>
      <w:r>
        <w:rPr>
          <w:rFonts w:hint="eastAsia" w:ascii="宋体" w:hAnsi="宋体" w:eastAsia="仿宋_GB2312" w:cs="仿宋_GB2312"/>
          <w:color w:val="000000"/>
          <w:kern w:val="0"/>
          <w:sz w:val="32"/>
          <w:szCs w:val="32"/>
        </w:rPr>
        <w:t xml:space="preserve"> </w:t>
      </w:r>
      <w:r>
        <w:rPr>
          <w:rFonts w:hint="eastAsia" w:ascii="宋体" w:hAnsi="宋体" w:cs="仿宋_GB2312"/>
          <w:color w:val="000000"/>
          <w:kern w:val="0"/>
          <w:sz w:val="32"/>
          <w:szCs w:val="32"/>
          <w:lang w:val="en-US" w:eastAsia="zh-CN"/>
        </w:rPr>
        <w:t xml:space="preserve"> </w:t>
      </w:r>
      <w:r>
        <w:rPr>
          <w:rFonts w:hint="eastAsia" w:ascii="宋体" w:hAnsi="宋体" w:eastAsia="仿宋_GB2312" w:cs="仿宋_GB2312"/>
          <w:color w:val="000000"/>
          <w:kern w:val="0"/>
          <w:sz w:val="32"/>
          <w:szCs w:val="32"/>
        </w:rPr>
        <w:t>县级以上人民政府应当建立应急志愿者服务工作联席会议制度，负责统筹、协调和指导应急志愿者队伍的招募、培训、演练、参与应急救援等活动。具体办法由省人民政府自本条例实施之日起一年内制定。</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第十九条</w:t>
      </w:r>
      <w:r>
        <w:rPr>
          <w:rFonts w:hint="eastAsia" w:ascii="宋体" w:hAnsi="宋体" w:eastAsia="仿宋_GB2312" w:cs="仿宋_GB2312"/>
          <w:color w:val="000000"/>
          <w:kern w:val="0"/>
          <w:sz w:val="32"/>
          <w:szCs w:val="32"/>
        </w:rPr>
        <w:t xml:space="preserve">  县级以上人民政府及其有关部门应当建立行政决策和应急管理工作决策的风险分析制度。上级行政机关要求下级行政机关提供重大决策事项、重大建设项目等风险分析报告的，下级行政机关应当提供。</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县级以上突发事件应急委员会应当建立公共安全形势分析会议制度，由主要负责人主持会议，定期对公共安全形势进行分析，提出应对的建议和对策。</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第二十条</w:t>
      </w:r>
      <w:r>
        <w:rPr>
          <w:rFonts w:hint="eastAsia" w:ascii="宋体" w:hAnsi="宋体" w:eastAsia="仿宋_GB2312" w:cs="仿宋_GB2312"/>
          <w:color w:val="000000"/>
          <w:kern w:val="0"/>
          <w:sz w:val="32"/>
          <w:szCs w:val="32"/>
        </w:rPr>
        <w:t xml:space="preserve">  县级以上人民政府应当组织有关部门定期对危险源、危险区域进行排查、登记。下级人民政府应当将危险源、危险区域的风险隐患排查情况报上一级人民政府备案，并按照国家规定及时向社会公布。</w:t>
      </w:r>
    </w:p>
    <w:p>
      <w:pPr>
        <w:widowControl w:val="0"/>
        <w:wordWrap/>
        <w:overflowPunct w:val="0"/>
        <w:adjustRightInd w:val="0"/>
        <w:snapToGrid w:val="0"/>
        <w:spacing w:beforeAutospacing="0" w:afterAutospacing="0" w:line="560" w:lineRule="exact"/>
        <w:ind w:right="0" w:firstLine="63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有关部门和单位应当采取安全防范措施，定期对危险源、危险区域进行风险评估和隐患排查。</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县级以上人民政府应当建立危险源、危险区域的信息数据库，定期更新并分析相关的信息数据。</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第二十一条</w:t>
      </w:r>
      <w:r>
        <w:rPr>
          <w:rFonts w:hint="eastAsia" w:ascii="宋体" w:hAnsi="宋体" w:eastAsia="仿宋_GB2312" w:cs="仿宋_GB2312"/>
          <w:color w:val="000000"/>
          <w:kern w:val="0"/>
          <w:sz w:val="32"/>
          <w:szCs w:val="32"/>
        </w:rPr>
        <w:t xml:space="preserve">  省人民政府负责建立全省应急平台体系和统一的数据库；县级以上人民政府应当建立本行政区域应急平台和统一的数据库，并纳入全省应急平台体系。</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全省应急平台体系承担突发事件的监测监控、预测预警、信息报告、综合研判、辅助决策、指挥调度、异地会商、事后评估等功能。</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第二十二条</w:t>
      </w:r>
      <w:r>
        <w:rPr>
          <w:rFonts w:hint="eastAsia" w:ascii="宋体" w:hAnsi="宋体" w:eastAsia="仿宋_GB2312" w:cs="仿宋_GB2312"/>
          <w:color w:val="000000"/>
          <w:kern w:val="0"/>
          <w:sz w:val="32"/>
          <w:szCs w:val="32"/>
        </w:rPr>
        <w:t xml:space="preserve">  县级以上人民政府应当将应急避护场所建设纳入本级城乡建设规划，统筹安排应对突发事件所需的设备和基础设施建设。</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县级以上人民政府应当明确应急避护场所的管理单位，在应急避护场所设置统一、规范的明显标志，储备必要的物资，提供必要的医疗条件。</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应急避护场所管理单位应当加强对应急避护场所的维护和管理，保证其正常使用。</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第二十三条</w:t>
      </w:r>
      <w:r>
        <w:rPr>
          <w:rFonts w:hint="eastAsia" w:ascii="宋体" w:hAnsi="宋体" w:eastAsia="仿宋_GB2312" w:cs="仿宋_GB2312"/>
          <w:color w:val="000000"/>
          <w:kern w:val="0"/>
          <w:sz w:val="32"/>
          <w:szCs w:val="32"/>
        </w:rPr>
        <w:t xml:space="preserve">  本省按照统筹规划、分级负责、统一调配、资源共享的原则，建立省、市、县三级应急物资保障系统，完善重要应急物资的监管、生产、储备、更新、调拨和紧急配送体系，并根据不同区域突发事件的特点，分部门、分区域布局省级应急物资储备。</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县级以上人民政府建立应急物资储备运输工作联席会议制度，日常工作由经信部门负责。</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第二十四条</w:t>
      </w:r>
      <w:r>
        <w:rPr>
          <w:rFonts w:hint="eastAsia" w:ascii="宋体" w:hAnsi="宋体" w:eastAsia="仿宋_GB2312" w:cs="仿宋_GB2312"/>
          <w:color w:val="000000"/>
          <w:kern w:val="0"/>
          <w:sz w:val="32"/>
          <w:szCs w:val="32"/>
        </w:rPr>
        <w:t xml:space="preserve">  发展改革、经信、民政等部门按照各自职责负责储备重要物资及基本生活物资。专业应急部门负责储备本部门处置突发事件所需的专业应急物资和装备。</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县级以上人民政府有关部门储备应急物资应当征求本级人民政府应急管理办公室意见。各地、各有关部门物资储备情况应报上一级人民政府应急管理办公室或者同级人民政府应急管理办公室备案。</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县级以上人民政府应当鼓励和引导社区、企业事业单位和家庭储备基本的应急自救物资和生活必需品。</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第二十五条</w:t>
      </w:r>
      <w:r>
        <w:rPr>
          <w:rFonts w:hint="eastAsia" w:ascii="宋体" w:hAnsi="宋体" w:eastAsia="仿宋_GB2312" w:cs="仿宋_GB2312"/>
          <w:color w:val="000000"/>
          <w:kern w:val="0"/>
          <w:sz w:val="32"/>
          <w:szCs w:val="32"/>
        </w:rPr>
        <w:t xml:space="preserve">  鼓励公民、法人和其他组织为突发事件应对工作提供物资、资金、技术支持和捐赠。</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民政部门、红十字会向社会公开募集、接收突发事件应急处置所需要的物资、资金和技术支持。</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县级以上人民政府应当定期向社会公布捐赠款物等的来源、数量、发放和使用情况，并邀请捐赠代表参与监督。</w:t>
      </w:r>
    </w:p>
    <w:p>
      <w:pPr>
        <w:widowControl w:val="0"/>
        <w:wordWrap/>
        <w:overflowPunct w:val="0"/>
        <w:adjustRightInd w:val="0"/>
        <w:snapToGrid w:val="0"/>
        <w:spacing w:beforeAutospacing="0" w:afterAutospacing="0" w:line="560" w:lineRule="exact"/>
        <w:ind w:left="61" w:leftChars="19"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县级以上人民政府应当组织监察、审计部门对捐赠款物的拨付和使用等情况进行监察和审计，并及时向社会公开监察和审计结果。</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 w:cs="仿宋"/>
          <w:color w:val="000000"/>
          <w:kern w:val="0"/>
          <w:sz w:val="32"/>
          <w:szCs w:val="32"/>
        </w:rPr>
      </w:pPr>
      <w:r>
        <w:rPr>
          <w:rFonts w:hint="eastAsia" w:ascii="宋体" w:hAnsi="宋体" w:eastAsia="黑体" w:cs="黑体"/>
          <w:color w:val="000000"/>
          <w:kern w:val="0"/>
          <w:sz w:val="32"/>
          <w:szCs w:val="32"/>
        </w:rPr>
        <w:t>第二十六条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kern w:val="0"/>
          <w:sz w:val="32"/>
          <w:szCs w:val="32"/>
        </w:rPr>
        <w:t xml:space="preserve"> </w:t>
      </w:r>
      <w:r>
        <w:rPr>
          <w:rFonts w:hint="eastAsia" w:ascii="宋体" w:hAnsi="宋体" w:eastAsia="仿宋_GB2312" w:cs="仿宋_GB2312"/>
          <w:color w:val="000000"/>
          <w:kern w:val="0"/>
          <w:sz w:val="32"/>
          <w:szCs w:val="32"/>
        </w:rPr>
        <w:t>鼓励保险公司开展产品和服务创新，为处置突发事件提供保险服务。鼓励社会公众参与商业保险和参加互助保险，建立风险分担机制。</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第二十七条</w:t>
      </w:r>
      <w:r>
        <w:rPr>
          <w:rFonts w:hint="eastAsia" w:ascii="宋体" w:hAnsi="宋体" w:eastAsia="仿宋_GB2312" w:cs="仿宋_GB2312"/>
          <w:color w:val="000000"/>
          <w:kern w:val="0"/>
          <w:sz w:val="32"/>
          <w:szCs w:val="32"/>
        </w:rPr>
        <w:t xml:space="preserve">  新闻媒体应当按照相关规定对突发事件进行及时、客观、真实的报道，无偿开展突发事件预防与应急、自救互救知识的公益宣传。</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宋体" w:cs="宋体"/>
          <w:color w:val="000000"/>
          <w:kern w:val="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color w:val="000000"/>
          <w:kern w:val="0"/>
          <w:sz w:val="32"/>
          <w:szCs w:val="32"/>
        </w:rPr>
      </w:pPr>
      <w:r>
        <w:rPr>
          <w:rFonts w:hint="eastAsia" w:ascii="宋体" w:hAnsi="宋体" w:eastAsia="黑体" w:cs="黑体"/>
          <w:color w:val="000000"/>
          <w:kern w:val="0"/>
          <w:sz w:val="32"/>
          <w:szCs w:val="32"/>
        </w:rPr>
        <w:t>第三章  监测与预警</w:t>
      </w:r>
    </w:p>
    <w:p>
      <w:pPr>
        <w:widowControl w:val="0"/>
        <w:wordWrap/>
        <w:overflowPunct w:val="0"/>
        <w:spacing w:beforeAutospacing="0" w:afterAutospacing="0" w:line="560" w:lineRule="exact"/>
        <w:ind w:right="0" w:firstLine="608" w:firstLineChars="190"/>
        <w:textAlignment w:val="auto"/>
        <w:outlineLvl w:val="9"/>
        <w:rPr>
          <w:rFonts w:hint="eastAsia" w:ascii="宋体" w:hAnsi="宋体" w:eastAsia="宋体" w:cs="宋体"/>
          <w:color w:val="000000"/>
          <w:kern w:val="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 xml:space="preserve">第二十八条 </w:t>
      </w:r>
      <w:r>
        <w:rPr>
          <w:rFonts w:hint="eastAsia" w:ascii="宋体" w:hAnsi="宋体" w:eastAsia="仿宋_GB2312" w:cs="仿宋_GB2312"/>
          <w:color w:val="000000"/>
          <w:kern w:val="0"/>
          <w:sz w:val="32"/>
          <w:szCs w:val="32"/>
        </w:rPr>
        <w:t xml:space="preserve"> 县级以上人民政府应当依托应急平台体系，建立统一的突发事件信息报送系统，形成突发事件信息报送快速反应机制和舆情收集、分析机制。</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各级人民政府应当及时向上级人民政府报送突发事件信息。较大以上突发事件发生后，地级以上市人民政府应当在两小时内将突发事件信息上报省人民政府，并向相关市人民政府通报。</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敏感性突发事件信息，不受突发事件分级标准限制，发生地的人民政府应当立即上报省人民政府。</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第二十九条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kern w:val="0"/>
          <w:sz w:val="32"/>
          <w:szCs w:val="32"/>
        </w:rPr>
        <w:t xml:space="preserve"> </w:t>
      </w:r>
      <w:r>
        <w:rPr>
          <w:rFonts w:hint="eastAsia" w:ascii="宋体" w:hAnsi="宋体" w:eastAsia="仿宋_GB2312" w:cs="仿宋_GB2312"/>
          <w:color w:val="000000"/>
          <w:kern w:val="0"/>
          <w:sz w:val="32"/>
          <w:szCs w:val="32"/>
        </w:rPr>
        <w:t>县级以上人民政府应当建立突发事件信息报告员制度，聘请新闻媒体记者，乡级人民政府、街道办事处、居民委员会、村民委员会工作人员，派出所民警，社区（乡镇）卫生院医生，企业安全员，学校负责安全保卫的教职工等担任突发事件信息报告员。</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公民、法人或者其他组织获悉突发事件信息，应当立即通过报警电话等各种渠道向当地人民政府、有关主管部门或者指定的专业机构报告。</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县级以上人民政府及其有关部门应当建立健全突发事件监测体系，配备必要的设备和设施以及专职或者兼职人员，对可能发生的突发事件进行监测。</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第三十一条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能够预警的突发事件即将发生或者发生的可能性增大时，县级以上人民政府应当向社会公开发布相应级别的警报，决定并宣布相关地区进入预警期，同时向上一级人民政府报告，必要时可以越级上报，并向当地驻军和可能受到危害的毗邻或者相关的县级以上人民政府通报。</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 w:cs="仿宋"/>
          <w:color w:val="000000"/>
          <w:kern w:val="0"/>
          <w:sz w:val="32"/>
          <w:szCs w:val="32"/>
        </w:rPr>
      </w:pPr>
      <w:r>
        <w:rPr>
          <w:rFonts w:hint="eastAsia" w:ascii="宋体" w:hAnsi="宋体" w:eastAsia="黑体" w:cs="黑体"/>
          <w:b w:val="0"/>
          <w:bCs/>
          <w:color w:val="000000"/>
          <w:kern w:val="0"/>
          <w:sz w:val="32"/>
          <w:szCs w:val="32"/>
        </w:rPr>
        <w:t>第三十二条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本省通过省突发事件预警信息发布系统统一发布突发事件预警信息。</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二级以上预警信息，由省人民政府应急管理办公室根据省人民政府授权负责发布；三级预警信息，由各地级以上市人民政府应急管理办公室根据本级人民政府授权负责发布；四级预警信息由县级人民政府应急管理办公室根据本级人民政府授权负责发布。</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县级以上人民政府有关单位启动应急响应后根据需要和相关规定发布专项预警信息。</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利用广播、电视、报刊、互联网、手机短信、电子显示屏、有线广播、宣传车等，采用公开播送、派发传单、逐户通知等方式发布预警信息。对老、幼、病、残等特殊人群和通信、广播、电视盲区以及偏远地区的人群，应当采取足以使其知悉的有效方式发布预警信息。</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第三十三条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各级人民政府及其有关部门接到预警信息后，应当按照有关规定采取有效措施做好防御工作，避免或者减轻突发事件造成或者可能造成的损害。</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企事业单位、社会团体、公民接到预警信息后，应当配合政府及其有关部门做好突发事件应对工作。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第三十四条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发布突发事件预警信息的人民政府应当根据事态的发展，按照有关规定适时调整预警级别，及时更新发布预警信息。</w:t>
      </w:r>
    </w:p>
    <w:p>
      <w:pPr>
        <w:widowControl w:val="0"/>
        <w:wordWrap/>
        <w:overflowPunct w:val="0"/>
        <w:adjustRightInd w:val="0"/>
        <w:snapToGrid w:val="0"/>
        <w:spacing w:beforeAutospacing="0" w:afterAutospacing="0" w:line="560" w:lineRule="exact"/>
        <w:ind w:left="40" w:right="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 xml:space="preserve">    上级人民政府认为下级人民政府发布的预警信息不恰当的，应当责令下级人民政府改正或者直接发布有关预警信息。</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有事实证明不可能发生突发事件或者危险已经解除的，发布预警信息的人民政府应当立即在原公布范围内宣布解除警报，终止预警期，并解除已经采取的有关措施。</w:t>
      </w:r>
    </w:p>
    <w:p>
      <w:pPr>
        <w:widowControl w:val="0"/>
        <w:wordWrap/>
        <w:overflowPunct w:val="0"/>
        <w:spacing w:beforeAutospacing="0" w:afterAutospacing="0" w:line="560" w:lineRule="exact"/>
        <w:ind w:right="0"/>
        <w:jc w:val="center"/>
        <w:textAlignment w:val="auto"/>
        <w:outlineLvl w:val="9"/>
        <w:rPr>
          <w:rFonts w:hint="eastAsia" w:ascii="宋体" w:hAnsi="宋体" w:eastAsia="宋体" w:cs="宋体"/>
          <w:color w:val="00000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第四章  应急处置与救援</w:t>
      </w:r>
    </w:p>
    <w:p>
      <w:pPr>
        <w:widowControl w:val="0"/>
        <w:wordWrap/>
        <w:overflowPunct w:val="0"/>
        <w:spacing w:beforeAutospacing="0" w:afterAutospacing="0" w:line="560" w:lineRule="exact"/>
        <w:ind w:right="0"/>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第三十五条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突发事件发生后，县级以上人民政府及其有关部门应当立即启动应急响应，</w:t>
      </w:r>
      <w:r>
        <w:rPr>
          <w:rFonts w:hint="eastAsia" w:ascii="宋体" w:hAnsi="宋体" w:eastAsia="仿宋_GB2312" w:cs="仿宋_GB2312"/>
          <w:sz w:val="32"/>
          <w:szCs w:val="32"/>
        </w:rPr>
        <w:t>针对突发事件的性质、特点和危害程度，组织有关部门，调动应急救援队伍和社会力量，</w:t>
      </w:r>
      <w:r>
        <w:rPr>
          <w:rFonts w:hint="eastAsia" w:ascii="宋体" w:hAnsi="宋体" w:eastAsia="仿宋_GB2312" w:cs="仿宋_GB2312"/>
          <w:color w:val="000000"/>
          <w:kern w:val="0"/>
          <w:sz w:val="32"/>
          <w:szCs w:val="32"/>
        </w:rPr>
        <w:t>依照法律、法规、规章规定的应急措施进行处置。</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突发事件发生后，事发地县级人民政府应当立即采取措施控制事态发展，组织开展应急救援和处置工作，并立即向上一级人民政府报告。事发地县级人民政府不能消除或者不能有效控制突发事件引起的严重社会危害的，应当在采取先期处置措施的同时，报请上一级人民政府组织处置。</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突发事件由上级人民政府统一领导和组织处置的，事发地人民政府应当做好先期处置和协助善后工作。</w:t>
      </w:r>
    </w:p>
    <w:p>
      <w:pPr>
        <w:widowControl w:val="0"/>
        <w:wordWrap/>
        <w:overflowPunct w:val="0"/>
        <w:adjustRightInd w:val="0"/>
        <w:snapToGrid w:val="0"/>
        <w:spacing w:beforeAutospacing="0" w:afterAutospacing="0" w:line="560" w:lineRule="exact"/>
        <w:ind w:right="0" w:firstLine="620" w:firstLineChars="194"/>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第三十六条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b/>
          <w:color w:val="000000"/>
          <w:kern w:val="0"/>
          <w:sz w:val="32"/>
          <w:szCs w:val="32"/>
        </w:rPr>
        <w:t xml:space="preserve"> </w:t>
      </w:r>
      <w:r>
        <w:rPr>
          <w:rFonts w:hint="eastAsia" w:ascii="宋体" w:hAnsi="宋体" w:eastAsia="仿宋_GB2312" w:cs="仿宋_GB2312"/>
          <w:color w:val="000000"/>
          <w:kern w:val="0"/>
          <w:sz w:val="32"/>
          <w:szCs w:val="32"/>
        </w:rPr>
        <w:t>突发事件应急处置工作实行现场指挥官制度。</w:t>
      </w:r>
    </w:p>
    <w:p>
      <w:pPr>
        <w:widowControl w:val="0"/>
        <w:wordWrap/>
        <w:overflowPunct w:val="0"/>
        <w:adjustRightInd w:val="0"/>
        <w:snapToGrid w:val="0"/>
        <w:spacing w:beforeAutospacing="0" w:afterAutospacing="0" w:line="560" w:lineRule="exact"/>
        <w:ind w:right="0" w:firstLine="620" w:firstLineChars="194"/>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履行统一领导职责或者组织处置突发事件的人民政府应当根据应急处置工作的需要设立现场指挥部，派出或者指定现场指挥官，统一组织、指挥现场应急救援工作。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现场指挥官有权决定现场处置方案，协调有关单位和部门的现场应急处置工作，调度现场应急救援队伍。各有关部门、单位、公众应当服从和配合现场指挥官的指挥。</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第三十七条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县级以上人民政府依法实施应急征用，应当向被征用的单位或者个人签发应急处置征用令并做好登记造册工作。征用令包括征用单位名称、地址、联系办法、执行人员姓名、征用用途、征用时间以及征用财产的名称、数量、型号等内容。被征用的单位或者个人拒不执行应急处置征用令的，征用执行人员在情况紧迫并且没有其他替代方式时可以强制征用。</w:t>
      </w:r>
    </w:p>
    <w:p>
      <w:pPr>
        <w:widowControl w:val="0"/>
        <w:wordWrap/>
        <w:overflowPunct w:val="0"/>
        <w:adjustRightInd w:val="0"/>
        <w:snapToGrid w:val="0"/>
        <w:spacing w:beforeAutospacing="0" w:afterAutospacing="0" w:line="560" w:lineRule="exact"/>
        <w:ind w:left="40" w:right="0" w:firstLine="63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被征用的财产使用后，实施征用的人民政府应当返还被征用人。单位、个人的财产被征用或者征用后毁损、灭失的，实施征用的人民政府应当按照国家和省的有关规定给予补偿。</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第三十八条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救灾物资的紧急采购由采购单位自行组织，各级集中采购代理机构协助配合。符合相应资格条件的供应商有两家以上的，按照符合采购需求、质量和服务相等且报价最低的原则确定成交供应商，只有一家供应商的，可以直接确定其为应急采购的供应商。</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监察、财政、物价部门应当派员监督救灾物资的紧急采购。</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第三十九条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省人民政府应当建立和完善全省应急交通运输综合协调机制。铁路、公路、水运、航空部门应当确保救援人员和受到突发事件危害的人员、救援物资、救援设备优先运输。</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处置突发事件期间，配备由省人民政府制发的应急标志的应急处置工作人员和交通工具可以优先通行。突发事件的威胁和危害得到控制或者消除后，有关部门应当及时收回应急标志。</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b/>
          <w:color w:val="000000"/>
          <w:sz w:val="32"/>
          <w:szCs w:val="32"/>
        </w:rPr>
        <w:t xml:space="preserve"> </w:t>
      </w:r>
      <w:r>
        <w:rPr>
          <w:rFonts w:hint="eastAsia" w:ascii="宋体" w:hAnsi="宋体" w:eastAsia="仿宋_GB2312" w:cs="仿宋_GB2312"/>
          <w:color w:val="000000"/>
          <w:kern w:val="0"/>
          <w:sz w:val="32"/>
          <w:szCs w:val="32"/>
        </w:rPr>
        <w:t>县级以上人民政府在突发事件发生后，应当加强价格监管，从严惩处囤积居奇、哄抬物价和制假售假等扰乱市场秩序的行为，稳定市场价格，维护市场秩序。</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第四十一条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b/>
          <w:color w:val="000000"/>
          <w:kern w:val="0"/>
          <w:sz w:val="32"/>
          <w:szCs w:val="32"/>
        </w:rPr>
        <w:t xml:space="preserve"> </w:t>
      </w:r>
      <w:r>
        <w:rPr>
          <w:rFonts w:hint="eastAsia" w:ascii="宋体" w:hAnsi="宋体" w:eastAsia="仿宋_GB2312" w:cs="仿宋_GB2312"/>
          <w:color w:val="000000"/>
          <w:kern w:val="0"/>
          <w:sz w:val="32"/>
          <w:szCs w:val="32"/>
        </w:rPr>
        <w:t>县级以上人民政府及其财政部门在突发事件发生后应当简化财政资金的审批和划拨程序，保障应急处置所需资金。</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第四十二条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履行统一领导职责或者组织处置突发事件的人民政府应当及时向受到突发事件危害的人员提供食品、饮用水、医疗和住所等基本生活保障。在灾民临时安置场所设立基本生活保障和心理干预服务站点，配备必要的公众信息传播设施。</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第四十三条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县级以上人民政府根据有关法律、法规、规章，建立健全突发事件信息公开制度和新闻发言人制度。</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履行统一领导职责或者组织处置突发事件的人民政府，应当按照国家规定的权限准确、及时发布有关突发事件事态发展和应急处置工作的信息。</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任何单位和个人不得编造、传播有关突发事件事态发展或者应急处置工作的虚假信息。</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宋体" w:cs="宋体"/>
          <w:color w:val="00000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第五章  事后恢复与重建</w:t>
      </w:r>
    </w:p>
    <w:p>
      <w:pPr>
        <w:widowControl w:val="0"/>
        <w:wordWrap/>
        <w:overflowPunct w:val="0"/>
        <w:spacing w:beforeAutospacing="0" w:afterAutospacing="0" w:line="560" w:lineRule="exact"/>
        <w:ind w:right="0"/>
        <w:jc w:val="center"/>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第四十四条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突发事件发生地或者受影响地的县级以上人民政府应当组织编制恢复重建规划，制定救助、救治、康复、补偿、抚慰、抚恤、安置和心理干预等善后工作计划，有序开展恢复重建工作。</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第四十五条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b/>
          <w:color w:val="000000"/>
          <w:kern w:val="0"/>
          <w:sz w:val="32"/>
          <w:szCs w:val="32"/>
        </w:rPr>
        <w:t xml:space="preserve"> </w:t>
      </w:r>
      <w:r>
        <w:rPr>
          <w:rFonts w:hint="eastAsia" w:ascii="宋体" w:hAnsi="宋体" w:eastAsia="仿宋_GB2312" w:cs="仿宋_GB2312"/>
          <w:color w:val="000000"/>
          <w:kern w:val="0"/>
          <w:sz w:val="32"/>
          <w:szCs w:val="32"/>
        </w:rPr>
        <w:t>突发事件的威胁和危害得到基本控制或者消除后，宣布启动应急响应的人民政府应当及时宣布结束应急响应，停止执行应急处置措施，同时采取或者继续实施疫病防治、疫情或者灾害监控、污染治理、宣传疏导以及心理危机干预等必要措施，防止发生自然灾害、事故灾难、公共卫生事件的次生、衍生事件，防止重新引发社会安全事件。</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sz w:val="32"/>
          <w:szCs w:val="32"/>
        </w:rPr>
      </w:pPr>
      <w:r>
        <w:rPr>
          <w:rFonts w:hint="eastAsia" w:ascii="宋体" w:hAnsi="宋体" w:eastAsia="黑体" w:cs="黑体"/>
          <w:b w:val="0"/>
          <w:bCs/>
          <w:color w:val="000000"/>
          <w:kern w:val="0"/>
          <w:sz w:val="32"/>
          <w:szCs w:val="32"/>
        </w:rPr>
        <w:t>第四十六条</w:t>
      </w:r>
      <w:r>
        <w:rPr>
          <w:rFonts w:hint="eastAsia" w:ascii="宋体" w:hAnsi="宋体" w:eastAsia="仿宋_GB2312" w:cs="仿宋_GB2312"/>
          <w:color w:val="000000"/>
          <w:kern w:val="0"/>
          <w:sz w:val="32"/>
          <w:szCs w:val="32"/>
        </w:rPr>
        <w:t xml:space="preserve">  履行统一领导职责或者组织处置突发事件的人民政府应当尽快组织修复被损坏的通信、交通、供电、供水、供气和医疗等公共设施。</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 w:cs="仿宋"/>
          <w:color w:val="000000"/>
          <w:kern w:val="0"/>
          <w:sz w:val="32"/>
          <w:szCs w:val="32"/>
        </w:rPr>
      </w:pPr>
      <w:r>
        <w:rPr>
          <w:rFonts w:hint="eastAsia" w:ascii="宋体" w:hAnsi="宋体" w:eastAsia="黑体" w:cs="黑体"/>
          <w:b w:val="0"/>
          <w:bCs/>
          <w:color w:val="000000"/>
          <w:kern w:val="0"/>
          <w:sz w:val="32"/>
          <w:szCs w:val="32"/>
        </w:rPr>
        <w:t>第四十七条</w:t>
      </w:r>
      <w:r>
        <w:rPr>
          <w:rFonts w:hint="eastAsia" w:ascii="宋体" w:hAnsi="宋体" w:eastAsia="仿宋_GB2312" w:cs="仿宋_GB2312"/>
          <w:b/>
          <w:kern w:val="0"/>
          <w:sz w:val="32"/>
          <w:szCs w:val="32"/>
        </w:rPr>
        <w:t xml:space="preserve">  </w:t>
      </w:r>
      <w:r>
        <w:rPr>
          <w:rFonts w:hint="eastAsia" w:ascii="宋体" w:hAnsi="宋体" w:eastAsia="仿宋_GB2312" w:cs="仿宋_GB2312"/>
          <w:color w:val="000000"/>
          <w:kern w:val="0"/>
          <w:sz w:val="32"/>
          <w:szCs w:val="32"/>
        </w:rPr>
        <w:t>履行统一领导职责或者组织处置突发事件的人民政府采取突发事件应对措施，对公民、法人和其他组织造成财产损失的，应当给予补偿。具体办法由省人民政府自本条例实施之日起一年内制定。</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第四十八条</w:t>
      </w:r>
      <w:r>
        <w:rPr>
          <w:rFonts w:hint="eastAsia" w:ascii="宋体" w:hAnsi="宋体" w:eastAsia="仿宋_GB2312" w:cs="仿宋_GB2312"/>
          <w:b/>
          <w:color w:val="000000"/>
          <w:kern w:val="0"/>
          <w:sz w:val="32"/>
          <w:szCs w:val="32"/>
        </w:rPr>
        <w:t xml:space="preserve"> </w:t>
      </w:r>
      <w:r>
        <w:rPr>
          <w:rFonts w:hint="eastAsia" w:ascii="宋体" w:hAnsi="宋体" w:eastAsia="仿宋_GB2312" w:cs="仿宋_GB2312"/>
          <w:color w:val="000000"/>
          <w:kern w:val="0"/>
          <w:sz w:val="32"/>
          <w:szCs w:val="32"/>
        </w:rPr>
        <w:t xml:space="preserve"> 突发事件发生地受灾人员需要过渡性安置的，履行统一领导职责或者组织处置突发事件的人民政府应当根据突发事件发生地的实际情况，做好安置工作。</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过渡性安置点的规模应当适度，并应当设置在交通便利、方便受灾人员恢复生产和生活的区域。</w:t>
      </w:r>
    </w:p>
    <w:p>
      <w:pPr>
        <w:widowControl w:val="0"/>
        <w:wordWrap/>
        <w:overflowPunct w:val="0"/>
        <w:spacing w:beforeAutospacing="0" w:afterAutospacing="0" w:line="560" w:lineRule="exact"/>
        <w:ind w:right="0" w:firstLine="64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履行统一领导职责或者组织处置突发事件的人民政府应当在过渡性安置点采取相应的防灾、防疫措施，建设必要的配套基础设施和公共服务设施，保障受灾人员的安全和基本生活需要。</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第四十九条</w:t>
      </w:r>
      <w:r>
        <w:rPr>
          <w:rFonts w:hint="eastAsia" w:ascii="宋体" w:hAnsi="宋体" w:eastAsia="仿宋_GB2312" w:cs="仿宋_GB2312"/>
          <w:color w:val="000000"/>
          <w:kern w:val="0"/>
          <w:sz w:val="32"/>
          <w:szCs w:val="32"/>
        </w:rPr>
        <w:t xml:space="preserve">  突发事件发生地的公民应当服从人民政府、居民委员会、村民委员会或者所属单位的指挥和安排，配合人民政</w:t>
      </w:r>
      <w:r>
        <w:rPr>
          <w:rFonts w:hint="eastAsia" w:ascii="宋体" w:hAnsi="宋体" w:eastAsia="仿宋_GB2312" w:cs="仿宋_GB2312"/>
          <w:color w:val="000000"/>
          <w:spacing w:val="-6"/>
          <w:kern w:val="0"/>
          <w:sz w:val="32"/>
          <w:szCs w:val="32"/>
        </w:rPr>
        <w:t>府采取的应急处置措施，积极参加应急救援、事后恢复与重建工作。</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第五十条</w:t>
      </w:r>
      <w:r>
        <w:rPr>
          <w:rFonts w:hint="eastAsia" w:ascii="宋体" w:hAnsi="宋体" w:eastAsia="仿宋_GB2312" w:cs="仿宋_GB2312"/>
          <w:color w:val="000000"/>
          <w:kern w:val="0"/>
          <w:sz w:val="32"/>
          <w:szCs w:val="32"/>
        </w:rPr>
        <w:t xml:space="preserve">  突发事件对事发地经济社会造成严重影响的，县级以上人民政府应当根据损失评估情况和有关规定，依法给予费用减免、财政资助等政策扶持，组织提供物资和人力等支持。</w:t>
      </w:r>
    </w:p>
    <w:p>
      <w:pPr>
        <w:widowControl w:val="0"/>
        <w:wordWrap/>
        <w:overflowPunct w:val="0"/>
        <w:adjustRightInd w:val="0"/>
        <w:snapToGrid w:val="0"/>
        <w:spacing w:beforeAutospacing="0" w:afterAutospacing="0" w:line="560" w:lineRule="exact"/>
        <w:ind w:left="40" w:right="0"/>
        <w:textAlignment w:val="auto"/>
        <w:outlineLvl w:val="9"/>
        <w:rPr>
          <w:rFonts w:hint="eastAsia" w:ascii="宋体" w:hAnsi="宋体" w:eastAsia="宋体" w:cs="宋体"/>
          <w:color w:val="00000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第六章  评估与考核</w:t>
      </w:r>
    </w:p>
    <w:p>
      <w:pPr>
        <w:widowControl w:val="0"/>
        <w:wordWrap/>
        <w:overflowPunct w:val="0"/>
        <w:spacing w:beforeAutospacing="0" w:afterAutospacing="0" w:line="560" w:lineRule="exact"/>
        <w:ind w:right="0"/>
        <w:jc w:val="center"/>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第五十一条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县级以上人民政府应当将突发事件防范和应对工作纳入行政机关主要负责人和有关负责人年度绩效考核范围，建立应急管理工作相关指标体系，健全责任追究制度。具体办法由省人民政府自本条例实施之日起一年内制定。</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第五十二条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应急响应结束后，突发事件发生地和受影响地的县级人民政府应当组织对突发事件应对工作进行调查评估，并向本级人民代表大会常务委员会和上一级人民政府报告。发生较大以上突发事件的，负责处置工作的地级以上市人民政府或者有关应急指挥机构应当将调查评估情况报告省人民政府。</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第五十三条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县级以上人民代表大会常务委员会应当加强对本级人民政府及其有关部门执行有关应急管理法律、法规、规章的监督检查。</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第五十四条</w:t>
      </w:r>
      <w:r>
        <w:rPr>
          <w:rFonts w:hint="eastAsia" w:ascii="宋体" w:hAnsi="宋体" w:eastAsia="仿宋_GB2312" w:cs="仿宋_GB2312"/>
          <w:color w:val="000000"/>
          <w:kern w:val="0"/>
          <w:sz w:val="32"/>
          <w:szCs w:val="32"/>
        </w:rPr>
        <w:t xml:space="preserve">  上级人民政府应当对下级人民政府应急管理工作进行专项监督检查和考核。</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宋体" w:cs="宋体"/>
          <w:color w:val="000000"/>
          <w:kern w:val="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第七章  法律责任</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宋体" w:cs="宋体"/>
          <w:b w:val="0"/>
          <w:bCs/>
          <w:color w:val="000000"/>
          <w:kern w:val="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第五十五条</w:t>
      </w:r>
      <w:r>
        <w:rPr>
          <w:rFonts w:hint="eastAsia" w:ascii="宋体" w:hAnsi="宋体" w:eastAsia="仿宋_GB2312" w:cs="仿宋_GB2312"/>
          <w:color w:val="000000"/>
          <w:kern w:val="0"/>
          <w:sz w:val="32"/>
          <w:szCs w:val="32"/>
        </w:rPr>
        <w:t xml:space="preserve">  对违反本条例的行为，法律、法规已经规定法律责任的，依照法律、法规的规定处理。</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第五十六条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地方各级人民政府和县级以上各级人民政府有关部门违反本条例规定，有下列情形之一的，由上级行政机关或者监察机关对其直接负责的主管人员和其他直接责任人员给予记过或者记大过处分；情节较重的，给予降级或者撤职处分；情节严重的，给予开除处分；构成犯罪的，依法追究刑事责任：</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（一）拒绝或者拖延执行所在行政机关或者上级行政机关有关应对突发事件的决定、命令的；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（二）迟报、谎报、瞒报、漏报突发事件信息的；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（三）玩忽职守导致突发事件发生或者危害扩大的；</w:t>
      </w:r>
    </w:p>
    <w:p>
      <w:pPr>
        <w:widowControl w:val="0"/>
        <w:wordWrap/>
        <w:overflowPunct w:val="0"/>
        <w:adjustRightInd w:val="0"/>
        <w:snapToGrid w:val="0"/>
        <w:spacing w:beforeAutospacing="0" w:afterAutospacing="0" w:line="560" w:lineRule="exact"/>
        <w:ind w:right="0" w:firstLine="616" w:firstLineChars="200"/>
        <w:textAlignment w:val="auto"/>
        <w:outlineLvl w:val="9"/>
        <w:rPr>
          <w:rFonts w:hint="eastAsia" w:ascii="宋体" w:hAnsi="宋体" w:eastAsia="仿宋_GB2312" w:cs="仿宋_GB2312"/>
          <w:color w:val="000000"/>
          <w:spacing w:val="-6"/>
          <w:kern w:val="0"/>
          <w:sz w:val="32"/>
          <w:szCs w:val="32"/>
        </w:rPr>
      </w:pPr>
      <w:r>
        <w:rPr>
          <w:rFonts w:hint="eastAsia" w:ascii="宋体" w:hAnsi="宋体" w:eastAsia="仿宋_GB2312" w:cs="仿宋_GB2312"/>
          <w:color w:val="000000"/>
          <w:spacing w:val="-6"/>
          <w:kern w:val="0"/>
          <w:sz w:val="32"/>
          <w:szCs w:val="32"/>
        </w:rPr>
        <w:t>（四）截留、挪用、私分或者变相私分应急专项资金、物资的；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（五）突发事件发生后采取违法手段歪曲、掩盖事实逃避法律追究，或者包庇对突发事件负有责任的单位或者个人的。</w:t>
      </w:r>
    </w:p>
    <w:p>
      <w:pPr>
        <w:widowControl w:val="0"/>
        <w:wordWrap/>
        <w:overflowPunct w:val="0"/>
        <w:adjustRightInd w:val="0"/>
        <w:snapToGrid w:val="0"/>
        <w:spacing w:beforeAutospacing="0" w:afterAutospacing="0" w:line="560" w:lineRule="exact"/>
        <w:ind w:left="40" w:right="0"/>
        <w:textAlignment w:val="auto"/>
        <w:outlineLvl w:val="9"/>
        <w:rPr>
          <w:rFonts w:hint="eastAsia" w:ascii="宋体" w:hAnsi="宋体" w:eastAsia="宋体" w:cs="宋体"/>
          <w:color w:val="000000"/>
          <w:kern w:val="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第八章  附则</w:t>
      </w:r>
    </w:p>
    <w:p>
      <w:pPr>
        <w:widowControl w:val="0"/>
        <w:wordWrap/>
        <w:overflowPunct w:val="0"/>
        <w:spacing w:beforeAutospacing="0" w:afterAutospacing="0" w:line="560" w:lineRule="exact"/>
        <w:ind w:right="0"/>
        <w:jc w:val="center"/>
        <w:textAlignment w:val="auto"/>
        <w:outlineLvl w:val="9"/>
        <w:rPr>
          <w:rFonts w:hint="eastAsia" w:ascii="宋体" w:hAnsi="宋体" w:eastAsia="宋体" w:cs="宋体"/>
          <w:color w:val="000000"/>
          <w:kern w:val="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第五十七条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预防和处置突发事件涉及事项，法律、法规没有规定的，省人民政府可以作出规定。</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sz w:val="32"/>
          <w:szCs w:val="32"/>
        </w:rPr>
      </w:pPr>
      <w:r>
        <w:rPr>
          <w:rFonts w:hint="eastAsia" w:ascii="宋体" w:hAnsi="宋体" w:eastAsia="黑体" w:cs="黑体"/>
          <w:b w:val="0"/>
          <w:bCs/>
          <w:color w:val="000000"/>
          <w:kern w:val="0"/>
          <w:sz w:val="32"/>
          <w:szCs w:val="32"/>
        </w:rPr>
        <w:t>第五十八条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kern w:val="0"/>
          <w:sz w:val="32"/>
          <w:szCs w:val="32"/>
        </w:rPr>
        <w:t>其他省、自治区、直辖市发生突发事件时，根据国务院要求或者实际需要，由省人民政府统一部署，组织参与应急处置与救援、灾后恢复与重建工作。国务院及其组成部门直接指令本省人民政府有关部门参与突发事件应对工作的，接收指令的部门应当及时报告省人民政府。</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lang w:eastAsia="zh-CN"/>
        </w:rPr>
      </w:pPr>
      <w:r>
        <w:rPr>
          <w:rFonts w:hint="eastAsia" w:ascii="宋体" w:hAnsi="宋体" w:eastAsia="黑体" w:cs="黑体"/>
          <w:b w:val="0"/>
          <w:bCs/>
          <w:color w:val="000000"/>
          <w:kern w:val="0"/>
          <w:sz w:val="32"/>
          <w:szCs w:val="32"/>
        </w:rPr>
        <w:t>第五十九条</w:t>
      </w:r>
      <w:r>
        <w:rPr>
          <w:rFonts w:hint="eastAsia" w:ascii="宋体" w:hAnsi="宋体" w:eastAsia="仿宋_GB2312" w:cs="仿宋_GB2312"/>
          <w:b w:val="0"/>
          <w:bCs/>
          <w:kern w:val="0"/>
          <w:sz w:val="32"/>
          <w:szCs w:val="32"/>
        </w:rPr>
        <w:t xml:space="preserve"> </w:t>
      </w:r>
      <w:r>
        <w:rPr>
          <w:rFonts w:hint="eastAsia" w:ascii="宋体" w:hAnsi="宋体" w:eastAsia="仿宋_GB2312" w:cs="仿宋_GB2312"/>
          <w:b/>
          <w:kern w:val="0"/>
          <w:sz w:val="32"/>
          <w:szCs w:val="32"/>
        </w:rPr>
        <w:t xml:space="preserve"> </w:t>
      </w:r>
      <w:r>
        <w:rPr>
          <w:rFonts w:hint="eastAsia" w:ascii="宋体" w:hAnsi="宋体" w:eastAsia="仿宋_GB2312" w:cs="仿宋_GB2312"/>
          <w:kern w:val="0"/>
          <w:sz w:val="32"/>
          <w:szCs w:val="32"/>
        </w:rPr>
        <w:t>本条例自2010年7月1日起施行。</w:t>
      </w:r>
    </w:p>
    <w:p>
      <w:pPr>
        <w:widowControl w:val="0"/>
        <w:wordWrap/>
        <w:adjustRightInd/>
        <w:snapToGrid/>
        <w:spacing w:line="560" w:lineRule="exact"/>
        <w:jc w:val="center"/>
        <w:textAlignment w:val="auto"/>
        <w:outlineLvl w:val="0"/>
        <w:rPr>
          <w:rFonts w:hint="eastAsia" w:ascii="宋体" w:hAnsi="宋体" w:eastAsia="宋体" w:cs="宋体"/>
          <w:sz w:val="44"/>
          <w:szCs w:val="44"/>
        </w:rPr>
      </w:pPr>
      <w:r>
        <w:rPr>
          <w:rFonts w:hint="eastAsia" w:ascii="宋体" w:hAnsi="宋体" w:eastAsia="宋体" w:cs="宋体"/>
          <w:color w:val="000000"/>
          <w:sz w:val="44"/>
          <w:szCs w:val="44"/>
        </w:rPr>
        <w:br w:type="page"/>
      </w:r>
      <w:bookmarkStart w:id="435" w:name="_Toc6442"/>
      <w:r>
        <w:rPr>
          <w:rFonts w:hint="eastAsia" w:ascii="宋体" w:hAnsi="宋体" w:eastAsia="宋体" w:cs="宋体"/>
          <w:sz w:val="44"/>
          <w:szCs w:val="44"/>
        </w:rPr>
        <w:t>广东省人民代表大会常务委员会关于依法防控新型冠状病毒肺炎疫情切实保障人民群众生命健康安全的决定</w:t>
      </w:r>
      <w:bookmarkEnd w:id="435"/>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center"/>
        <w:textAlignment w:val="auto"/>
        <w:rPr>
          <w:rFonts w:hint="eastAsia" w:ascii="楷体" w:hAnsi="楷体" w:eastAsia="楷体" w:cs="楷体"/>
          <w:sz w:val="32"/>
          <w:szCs w:val="32"/>
        </w:rPr>
      </w:pPr>
      <w:r>
        <w:rPr>
          <w:rFonts w:hint="eastAsia" w:ascii="楷体" w:hAnsi="楷体" w:eastAsia="楷体" w:cs="楷体"/>
          <w:sz w:val="32"/>
          <w:szCs w:val="32"/>
        </w:rPr>
        <w:t>（2020年2月11日广东省第十三届人民代表大会常务委员会第十八次会议通过）</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为深入贯彻落实习近平总书记关于“全面提高依法防控依法治理能力、为疫情防控工作提供有力法治保障”的重要指示，贯彻落实党中央决策部署和省委工作要求，在法治轨道上统筹推进各项疫情防控工作，坚决打赢疫情防控的人民战争、总体战、阻击战，保障人民群众生命安全和身体健康，根据《中华人民共和国传染病防治法》《中华人民共和国突发事件应对法》《突发公共卫生事件应急条例》和《广东省突发事件应对条例》《广东省突发公共卫生事件应急办法》等有关法律法规，结合本省疫情防控实际，作出如下决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 疫情防控工作应当坚持党的领导，按照坚定信心、同舟共济、科学防治、精准施策的要求，贯彻依法依规、有序规范、联防联控、群防群治的原则，落实“四个一”应急处置机制，把区域治理、部门治理、行业治理、基层治理、单位治理有机结合起来，充分调动各方面的积极性，提高疫情防控的科学性、及时性和有效性，提高我省治理体系和治理能力现代化水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 坚持全国全省“一盘棋”，服从国家和省的统一指挥、统一协调、统一调度。县级以上地方人民政府及其有关部门应当切实履行属地责任、部门责任，以最严纪律、最有力举措、最坚定信心“外防输入、内防扩散”，做好下列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健全覆盖省、市、县（市、区）、乡镇（街道）、村（社区）的五级防护网络，建立跨部门、跨层级、跨区域防控体系，落实全省联防联控、群防群治工作机制，全力做好疫情监测、排查、预警、防控等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（二）落实“早发现、早报告、早隔离、早治疗”措施，按照“集中病例、集中专家、集中资源、集中救治”原则，全力做好确诊病人的医疗救治工作，抓好隔离人员的防治工作；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（三）加强疫情防控物资生产、供给、调配的统筹，保障重要物资供应并优先满足一线医护人员和救治病人的需要，加大生活必需品的生产、供给力度，支持和推动企业有序复工复产，保障居民正常生活需要；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（四）严格落实疫情报告和信息发布制度，按照法定内容、程序、方式、时限及时准确公布疫情信息，公开透明回应社会关切，不得缓报、漏报、瞒报、谎报；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（五）统筹做好返工、返校、返岗工作，制定健康监测、交通组织、物资保障等相应疫情防控预案，督促企业和学校科学合理安排生产和教学活动，做好返工、返校、返岗后的疫情防控工作；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（六）根据疫情防控需要，可以与本行政区域周边地区建立疫情防控合作机制，加强信息沟通和工作协同，共同做好疫情联防联控；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（七）依法规范捐赠、受赠行为，加强对受赠财物的规范管理，捐赠财物的接收、支出、发放、使用和管理情况应当依法公开并接受捐赠人和社会的监督，确保受赠财物全部及时用于疫情防控；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依托“粤省事”“粤商通”等数字政府移动平台，加强业务协同办理，优化政务服务流程，引导企业和群众网上办理业务，减少企业和群众办事跑动和聚集。县级以上地方人民政府在不与宪法、法律、行政法规相抵触，不与本省地方性法规基本原则相违背的前提下，可以根据疫情防控需要，在医疗卫生、防疫管理、隔离观察、道口管理、交通运输、社区管理、市场管理、场所管理、生产经营、劳动保障、市容环境、野生动物管理等方面，规定临时性应急行政管理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 切实推动防控重心向基层下移，构筑城乡社区疫情防控严密防线，全力加强联防联控、群防群治。乡镇人民政府和街道办事处应当按照上级人民政府的统一部署，组织指导居民委员会、村民委员会、业主委员会、物业服务企业、志愿服务组织等依法依规有针对性地采取防控措施，加强对城乡结合部、流动人口多以及疫情严重的城乡社区防控力量的布局，做好疫情防控工作。居民委员会、村民委员会应当发挥群众自治作用，实行网格化管理，协助人民政府做好下列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（一）做好从疫情严重地区返回人员情况摸查，落实“一人一册”和开展健康监测，及时报送疫情防控信息，督促相关人员按照有关规定进行隔离医学观察；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（二）加强居家隔离医学观察人员的健康监测和管理，提供生活服务保障；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（三）动员村（社区）居民、社区社会组织、辖区单位参与疫情防控工作；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（四）协助相关部门做好疫情防控宣传教育和卫生健康提示；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发挥村（社区）法律顾问作用，加强疫情防控法治宣传和法律服务。业主委员会、物业服务企业、志愿服务组织应当配合居民委员会、村民委员会做好疫情防控工作，加强居住地区人员往来和车辆进出管理，采取必要措施限制外来人员和车辆进入居住区，加强重点公共区域的清洁和消毒。根据疫情防控需要，机关、事业单位、国有企业应当安排工作人员参与城乡社区疫情防控工作，并提供必要的支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 本省行政区域内的机关、企业事业单位、社会团体和其他组织应当落实疫情防控主体责任，依法做好下列疫情防控工作：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（一）建立健全疫情防控工作责任制和管理制度；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（二）对本单位场所、设施实施卫生消毒；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（三）配备必要的防护物品和设施；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（四）对本单位人员和往来人员开展健康监测；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（五）督促密切接触者、来自疫情严重地区的人员按照有关规定进行隔离医学观察；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（六）发现异常情况及时报告相关主管部门并采取相应的防控措施；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（七）按照人民政府要求组织人员参加疫情防控工作；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（八）严格执行人民政府关于复工复产、开学等规定；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人民政府要求开展的其他疫情防控工作。交通运输、农贸市场、商场超市、宾馆饭店、金融机构、学校、文体场馆、养老服务机构等公共服务单位应当落实消毒通风、体温监测、人流控制等疫情防控措施。严禁农贸市场、餐饮单位、商场超市、电商平台等交易、消费场所开展野生动物交易、消费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 在本省行政区域内居住、工作、生活、学习、旅游以及从事其他活动的个人，应当服从、配合疫情防控指挥、管理和安排，积极参与、支持疫情防控工作，履行下列疫情防控义务：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（一）增强自我防护意识，严格遵守在公共场所佩戴口罩的规定；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（二）减少外出、聚集活动；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（三）依法接受调查、监测、隔离医学观察、隔离治疗等防控措施，如实提供有关情况；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（四）出现发热、乏力、干咳等症状时，及时前往发热门诊就医，并避免乘坐公共交通工具；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（五）革除滥食野生动物的陋习，不得滥食野生动物，养成文明、卫生的饮食习惯；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（六）不得隐瞒、缓报或者谎报疫病史、疫情严重地区旅行史、与确诊或者疑似病人接触史；</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（七）不得阻碍医疗机构、医务人员正常的诊疗和救治工作；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服从依法采取的其他疫情防控措施。从疫情严重地区返回的人员，应当主动向居住地村（社区）报告健康状况，按照有关规定进行隔离医学观察，配合相关服务管理。确诊病人、病原携带者、疑似病人应当依法接受隔离治疗，密切接触者在指定场所接受医学观察或者其他必要的预防措施；不得拒绝接受检疫、强制隔离或者治疗、医学观察等，隔离期未满不得擅自脱离隔离治疗或者医学观察。任何个人发现确诊病人、疑似病人时，应当及时向附近的疾病预防控制机构或者医疗机构报告。任何单位和个人都有权向各级人民政府及其有关部门报告疫情传播的隐患和风险，有权举报违反本决定的其他情况。接受举报的机关，应当及时调查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 各级行政执法机关、司法机关应当及时依法严厉查处各类哄抬防疫用品、药品和民生用品价格的违法行为，严厉打击抗拒疫情防控、暴力伤医、制假售假、造谣传谣等妨碍疫情防控的违法犯罪行为，保障社会安定有序。违反法律法规和本决定规定，有下列行为之一的，由有关部门依法予以处理；构成违反治安管理行为的，由公安机关依法予以处罚；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（一）不服从人民政府及其有关部门发布的决定、命令或者不配合依法采取的调查、检验、采集样本等疫情防控措施，阻碍疫情防控工作人员执行职务的；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（二）确诊病人、病原携带者、疑似病人拒绝接受隔离治疗、隔离期未满擅自脱离隔离治疗，或者来自疫情严重地区、与疫情严重地区人员密切接触，不服从隔离管理，故意隐瞒经历的；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（三）未履行疫情报告和信息发布制度，缓报、漏报、瞒报或者谎报疫情信息，未及时、准确公布疫情信息的；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（四）阻碍卫生医疗机构、医务人员正常诊疗和救治工作，实施阻拦、推搡、撕扯、侮辱、恐吓、殴打医务人员等危害医务人员人身安全的行为，扰乱医疗秩序的；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（五）哄抬防疫用品、药品或者民生用品价格，生产、销售伪劣的疫情防治、防护产品、物资、药品和医用器材，扰乱市场秩序的；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（六）编造、传播有关疫情和防控工作虚假信息，扰乱社会秩序的；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（七）出售、购买、利用、运输、携带、寄递野生动物及其制品，为出售、购买野生动物及其制品发布广告及提供交易服务，滥食野生动物的；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（八）利用职务上的便利，侵吞、截留或者以其他手段非法占有疫情防控款物，或者挪用疫情防控款物的；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故意泄露涉及个人隐私的有关信息、资料的。个人有隐瞒病史、疫情严重地区旅行史、与病人或者疑似病人接触史、逃避隔离医学观察等行为的，除依法追究法律责任外，有关部门还应当按照国家和本省有关规定，将其失信信息向本省公共信用信息平台归集，依法予以惩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 对于未依照法律、法规和本决定规定履行疫情防控职责的行政机关，由其上级行政机关责令改正；对直接负责的主管人员和其他直接责任人员，依法给予处分；构成犯罪的，依法追究刑事责任。对于在疫情防控工作中不依法履行职责，滥用职权、玩忽职守、徇私舞弊的国家工作人员，依法给予处分；构成犯罪的，依法追究刑事责任。本决定自公布之日起施行。终止日期由广东省人民代表大会常务委员会另行公布。</w:t>
      </w: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widowControl w:val="0"/>
        <w:wordWrap w:val="0"/>
        <w:adjustRightInd/>
        <w:snapToGrid/>
        <w:spacing w:before="0" w:beforeLines="0" w:after="0" w:afterLines="0" w:line="590" w:lineRule="exact"/>
        <w:ind w:right="0" w:firstLine="0" w:firstLineChars="0"/>
        <w:jc w:val="right"/>
        <w:textAlignment w:val="auto"/>
        <w:outlineLvl w:val="9"/>
        <w:rPr>
          <w:rFonts w:hint="eastAsia" w:ascii="宋体" w:hAnsi="宋体" w:eastAsia="宋体" w:cs="宋体"/>
          <w:kern w:val="0"/>
          <w:sz w:val="32"/>
          <w:szCs w:val="32"/>
        </w:rPr>
      </w:pPr>
    </w:p>
    <w:p>
      <w:pPr>
        <w:widowControl w:val="0"/>
        <w:wordWrap/>
        <w:overflowPunct w:val="0"/>
        <w:adjustRightInd w:val="0"/>
        <w:snapToGrid w:val="0"/>
        <w:spacing w:beforeLines="0" w:afterLines="0" w:line="590" w:lineRule="exact"/>
        <w:ind w:left="0" w:leftChars="0"/>
        <w:jc w:val="center"/>
        <w:textAlignment w:val="auto"/>
        <w:outlineLvl w:val="9"/>
        <w:rPr>
          <w:rFonts w:hint="eastAsia" w:ascii="宋体" w:hAnsi="宋体" w:eastAsia="宋体" w:cs="宋体"/>
          <w:color w:val="auto"/>
          <w:sz w:val="44"/>
          <w:lang w:val="en-US" w:eastAsia="zh-CN"/>
        </w:rPr>
      </w:pPr>
      <w:r>
        <w:rPr>
          <w:rFonts w:hint="eastAsia" w:ascii="宋体" w:hAnsi="宋体" w:eastAsia="宋体" w:cs="宋体"/>
          <w:color w:val="auto"/>
          <w:sz w:val="44"/>
          <w:lang w:val="en-US" w:eastAsia="zh-CN"/>
        </w:rPr>
        <w:t>广东省人民代表大会常务委员会</w:t>
      </w:r>
    </w:p>
    <w:p>
      <w:pPr>
        <w:widowControl w:val="0"/>
        <w:wordWrap/>
        <w:overflowPunct w:val="0"/>
        <w:adjustRightInd w:val="0"/>
        <w:snapToGrid w:val="0"/>
        <w:spacing w:beforeLines="0" w:afterLines="0" w:line="590" w:lineRule="exact"/>
        <w:ind w:left="0" w:leftChars="0"/>
        <w:jc w:val="center"/>
        <w:textAlignment w:val="auto"/>
        <w:outlineLvl w:val="9"/>
        <w:rPr>
          <w:rFonts w:hint="eastAsia" w:ascii="宋体" w:hAnsi="宋体" w:eastAsia="宋体" w:cs="宋体"/>
          <w:color w:val="auto"/>
          <w:sz w:val="44"/>
          <w:lang w:val="en-US" w:eastAsia="zh-CN"/>
        </w:rPr>
      </w:pPr>
      <w:r>
        <w:rPr>
          <w:rFonts w:hint="eastAsia" w:ascii="宋体" w:hAnsi="宋体" w:eastAsia="宋体" w:cs="宋体"/>
          <w:color w:val="auto"/>
          <w:sz w:val="44"/>
          <w:lang w:val="en-US" w:eastAsia="zh-CN"/>
        </w:rPr>
        <w:t>关于制止餐饮浪费的决定</w:t>
      </w:r>
    </w:p>
    <w:p>
      <w:pPr>
        <w:widowControl w:val="0"/>
        <w:wordWrap/>
        <w:adjustRightInd/>
        <w:snapToGrid/>
        <w:spacing w:beforeLines="0" w:afterLines="0" w:line="590" w:lineRule="exact"/>
        <w:ind w:right="0"/>
        <w:jc w:val="left"/>
        <w:textAlignment w:val="auto"/>
        <w:outlineLvl w:val="9"/>
        <w:rPr>
          <w:rFonts w:hint="eastAsia" w:ascii="宋体" w:hAnsi="宋体" w:eastAsia="楷体_GB2312" w:cs="楷体_GB2312"/>
          <w:color w:val="auto"/>
        </w:rPr>
      </w:pPr>
    </w:p>
    <w:p>
      <w:pPr>
        <w:widowControl w:val="0"/>
        <w:wordWrap/>
        <w:adjustRightInd/>
        <w:snapToGrid/>
        <w:spacing w:beforeLines="0" w:afterLines="0" w:line="590" w:lineRule="exact"/>
        <w:ind w:left="640" w:leftChars="200" w:right="640" w:rightChars="200" w:firstLine="0" w:firstLineChars="0"/>
        <w:jc w:val="left"/>
        <w:textAlignment w:val="auto"/>
        <w:outlineLvl w:val="9"/>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rPr>
        <w:t>（</w:t>
      </w:r>
      <w:r>
        <w:rPr>
          <w:rFonts w:hint="eastAsia" w:ascii="楷体_GB2312" w:hAnsi="楷体_GB2312" w:eastAsia="楷体_GB2312" w:cs="楷体_GB2312"/>
          <w:color w:val="auto"/>
          <w:lang w:val="en-US" w:eastAsia="zh-CN"/>
        </w:rPr>
        <w:t>2020年11月27日广东省第十三届人民代表大会常务</w:t>
      </w:r>
    </w:p>
    <w:p>
      <w:pPr>
        <w:widowControl w:val="0"/>
        <w:wordWrap/>
        <w:adjustRightInd/>
        <w:snapToGrid/>
        <w:spacing w:beforeLines="0" w:afterLines="0" w:line="590" w:lineRule="exact"/>
        <w:ind w:left="640" w:leftChars="200" w:right="640" w:rightChars="200" w:firstLine="0" w:firstLineChars="0"/>
        <w:jc w:val="left"/>
        <w:textAlignment w:val="auto"/>
        <w:outlineLvl w:val="9"/>
        <w:rPr>
          <w:rFonts w:hint="eastAsia" w:ascii="楷体_GB2312" w:hAnsi="楷体_GB2312" w:eastAsia="楷体_GB2312" w:cs="楷体_GB2312"/>
          <w:color w:val="auto"/>
        </w:rPr>
      </w:pPr>
      <w:r>
        <w:rPr>
          <w:rFonts w:hint="eastAsia" w:ascii="楷体_GB2312" w:hAnsi="楷体_GB2312" w:eastAsia="楷体_GB2312" w:cs="楷体_GB2312"/>
          <w:color w:val="auto"/>
          <w:lang w:val="en-US" w:eastAsia="zh-CN"/>
        </w:rPr>
        <w:t>委员会第二十六次会议通过</w:t>
      </w:r>
      <w:r>
        <w:rPr>
          <w:rFonts w:hint="eastAsia" w:ascii="楷体_GB2312" w:hAnsi="楷体_GB2312" w:eastAsia="楷体_GB2312" w:cs="楷体_GB2312"/>
          <w:color w:val="auto"/>
        </w:rPr>
        <w:t>）</w:t>
      </w:r>
    </w:p>
    <w:p>
      <w:pPr>
        <w:widowControl w:val="0"/>
        <w:wordWrap/>
        <w:overflowPunct w:val="0"/>
        <w:snapToGrid/>
        <w:spacing w:beforeLines="0" w:afterLines="0" w:line="590" w:lineRule="exact"/>
        <w:ind w:left="0" w:leftChars="0" w:right="0"/>
        <w:jc w:val="both"/>
        <w:textAlignment w:val="auto"/>
        <w:outlineLvl w:val="9"/>
        <w:rPr>
          <w:rFonts w:hint="eastAsia" w:ascii="宋体" w:hAnsi="宋体" w:eastAsia="宋体" w:cs="宋体"/>
          <w:color w:val="000000"/>
          <w:kern w:val="0"/>
          <w:sz w:val="32"/>
          <w:szCs w:val="32"/>
          <w:highlight w:val="none"/>
        </w:rPr>
      </w:pP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为了制止餐饮浪费，营造厉行节约、反对浪费的社会风尚，弘扬中华民族勤俭节约</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传统美德，践行社会主义核心价值观，根据宪法和有关法律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法规，结合本省实际，作出如下决定</w:t>
      </w:r>
      <w:r>
        <w:rPr>
          <w:rFonts w:hint="eastAsia" w:ascii="仿宋_GB2312" w:hAnsi="仿宋_GB2312" w:eastAsia="仿宋_GB2312" w:cs="仿宋_GB2312"/>
          <w:sz w:val="32"/>
          <w:szCs w:val="32"/>
          <w:lang w:eastAsia="zh-CN"/>
        </w:rPr>
        <w:t>：</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一、制止餐饮浪费是全社会的共同责任，应当坚持政府引导、部门协同、行业自律、人人有责、社会监督和依法规范的原则，多措并举综合治理餐饮浪费。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本决定所称餐饮浪费，是指对尚可食用或者饮用的餐饮食品未按照其功能目的利用。</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二、各级人民政府应当加强制止餐饮浪费工作的统筹协调，建立健全工作机制，畅通投诉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举报渠道，加强监督管理，持续推动全社会</w:t>
      </w:r>
      <w:r>
        <w:rPr>
          <w:rFonts w:hint="eastAsia" w:ascii="仿宋_GB2312" w:hAnsi="仿宋_GB2312" w:eastAsia="仿宋_GB2312" w:cs="仿宋_GB2312"/>
          <w:sz w:val="32"/>
          <w:szCs w:val="32"/>
          <w:lang w:eastAsia="zh-CN"/>
        </w:rPr>
        <w:t>避免</w:t>
      </w:r>
      <w:r>
        <w:rPr>
          <w:rFonts w:hint="eastAsia" w:ascii="仿宋_GB2312" w:hAnsi="仿宋_GB2312" w:eastAsia="仿宋_GB2312" w:cs="仿宋_GB2312"/>
          <w:sz w:val="32"/>
          <w:szCs w:val="32"/>
        </w:rPr>
        <w:t>餐饮浪费。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精神文明建设</w:t>
      </w:r>
      <w:r>
        <w:rPr>
          <w:rFonts w:hint="eastAsia" w:ascii="仿宋_GB2312" w:hAnsi="仿宋_GB2312" w:eastAsia="仿宋_GB2312" w:cs="仿宋_GB2312"/>
          <w:sz w:val="32"/>
          <w:szCs w:val="32"/>
          <w:lang w:eastAsia="zh-CN"/>
        </w:rPr>
        <w:t>指导机构</w:t>
      </w:r>
      <w:r>
        <w:rPr>
          <w:rFonts w:hint="eastAsia" w:ascii="仿宋_GB2312" w:hAnsi="仿宋_GB2312" w:eastAsia="仿宋_GB2312" w:cs="仿宋_GB2312"/>
          <w:sz w:val="32"/>
          <w:szCs w:val="32"/>
        </w:rPr>
        <w:t>应当将制止餐饮浪费纳入群众性精神文明创建活动内容，制定制止餐饮浪费示范公约，加强公益广告宣传。</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商务主管部门应当</w:t>
      </w:r>
      <w:r>
        <w:rPr>
          <w:rFonts w:hint="eastAsia" w:ascii="仿宋_GB2312" w:hAnsi="仿宋_GB2312" w:eastAsia="仿宋_GB2312" w:cs="仿宋_GB2312"/>
          <w:sz w:val="32"/>
          <w:szCs w:val="32"/>
          <w:lang w:val="en-US" w:eastAsia="zh-CN"/>
        </w:rPr>
        <w:t>研究制定政策措施，引导发展节约型餐饮企业</w:t>
      </w:r>
      <w:r>
        <w:rPr>
          <w:rFonts w:hint="eastAsia" w:ascii="仿宋_GB2312" w:hAnsi="仿宋_GB2312" w:eastAsia="仿宋_GB2312" w:cs="仿宋_GB2312"/>
          <w:sz w:val="32"/>
          <w:szCs w:val="32"/>
        </w:rPr>
        <w:t>，建立健全制止餐饮浪费的标准化</w:t>
      </w:r>
      <w:r>
        <w:rPr>
          <w:rFonts w:hint="eastAsia" w:ascii="仿宋_GB2312" w:hAnsi="仿宋_GB2312" w:eastAsia="仿宋_GB2312" w:cs="仿宋_GB2312"/>
          <w:sz w:val="32"/>
          <w:szCs w:val="32"/>
          <w:lang w:val="en-US" w:eastAsia="zh-CN"/>
        </w:rPr>
        <w:t>服务</w:t>
      </w:r>
      <w:r>
        <w:rPr>
          <w:rFonts w:hint="eastAsia" w:ascii="仿宋_GB2312" w:hAnsi="仿宋_GB2312" w:eastAsia="仿宋_GB2312" w:cs="仿宋_GB2312"/>
          <w:sz w:val="32"/>
          <w:szCs w:val="32"/>
        </w:rPr>
        <w:t>体系和行业规范。</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市场监督管理部门应当加强对餐饮经营者制止餐饮浪费情况的监督检查，督促餐饮经营者制止餐饮浪费。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网信、教育、文化和旅游、</w:t>
      </w:r>
      <w:r>
        <w:rPr>
          <w:rFonts w:hint="eastAsia" w:ascii="仿宋_GB2312" w:hAnsi="仿宋_GB2312" w:eastAsia="仿宋_GB2312" w:cs="仿宋_GB2312"/>
          <w:sz w:val="32"/>
          <w:szCs w:val="32"/>
          <w:lang w:eastAsia="zh-CN"/>
        </w:rPr>
        <w:t>卫生健康、</w:t>
      </w:r>
      <w:r>
        <w:rPr>
          <w:rFonts w:hint="eastAsia" w:ascii="仿宋_GB2312" w:hAnsi="仿宋_GB2312" w:eastAsia="仿宋_GB2312" w:cs="仿宋_GB2312"/>
          <w:sz w:val="32"/>
          <w:szCs w:val="32"/>
        </w:rPr>
        <w:t>民政、农业农村、住房城乡建设、粮食和储备等主管部门</w:t>
      </w:r>
      <w:r>
        <w:rPr>
          <w:rFonts w:hint="eastAsia" w:ascii="仿宋_GB2312" w:hAnsi="仿宋_GB2312" w:eastAsia="仿宋_GB2312" w:cs="仿宋_GB2312"/>
          <w:sz w:val="32"/>
          <w:szCs w:val="32"/>
          <w:lang w:eastAsia="zh-CN"/>
        </w:rPr>
        <w:t>应当</w:t>
      </w:r>
      <w:r>
        <w:rPr>
          <w:rFonts w:hint="eastAsia" w:ascii="仿宋_GB2312" w:hAnsi="仿宋_GB2312" w:eastAsia="仿宋_GB2312" w:cs="仿宋_GB2312"/>
          <w:sz w:val="32"/>
          <w:szCs w:val="32"/>
        </w:rPr>
        <w:t>按照各自职责做好制止餐饮浪费相关工作。</w:t>
      </w:r>
    </w:p>
    <w:p>
      <w:pPr>
        <w:widowControl w:val="0"/>
        <w:numPr>
          <w:ilvl w:val="0"/>
          <w:numId w:val="0"/>
        </w:numPr>
        <w:wordWrap/>
        <w:overflowPunct w:val="0"/>
        <w:adjustRightInd w:val="0"/>
        <w:snapToGrid w:val="0"/>
        <w:spacing w:beforeLines="0" w:afterLines="0" w:line="560" w:lineRule="exact"/>
        <w:ind w:right="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 xml:space="preserve">    三、</w:t>
      </w:r>
      <w:r>
        <w:rPr>
          <w:rFonts w:hint="eastAsia" w:ascii="仿宋_GB2312" w:hAnsi="仿宋_GB2312" w:eastAsia="仿宋_GB2312" w:cs="仿宋_GB2312"/>
          <w:sz w:val="32"/>
          <w:szCs w:val="32"/>
        </w:rPr>
        <w:t>机关、人民团体、</w:t>
      </w:r>
      <w:r>
        <w:rPr>
          <w:rFonts w:hint="eastAsia" w:ascii="仿宋_GB2312" w:hAnsi="仿宋_GB2312" w:eastAsia="仿宋_GB2312" w:cs="仿宋_GB2312"/>
          <w:sz w:val="32"/>
          <w:szCs w:val="32"/>
          <w:lang w:eastAsia="zh-CN"/>
        </w:rPr>
        <w:t>企业</w:t>
      </w:r>
      <w:r>
        <w:rPr>
          <w:rFonts w:hint="eastAsia" w:ascii="仿宋_GB2312" w:hAnsi="仿宋_GB2312" w:eastAsia="仿宋_GB2312" w:cs="仿宋_GB2312"/>
          <w:sz w:val="32"/>
          <w:szCs w:val="32"/>
        </w:rPr>
        <w:t>事业单位和基层群众性自治组织应当加强制止餐饮浪费的宣传教育和科学普及，倡导文明节俭的饮食文化，营造浪费可耻、节约为荣的社会氛围。</w:t>
      </w:r>
      <w:r>
        <w:rPr>
          <w:rFonts w:hint="eastAsia" w:ascii="仿宋_GB2312" w:hAnsi="仿宋_GB2312" w:eastAsia="仿宋_GB2312" w:cs="仿宋_GB2312"/>
          <w:lang w:val="en-US" w:eastAsia="zh-CN"/>
        </w:rPr>
        <w:t>各级人民政府及其有关部门、精神文明建设指导机构应当指导机关、人民团</w:t>
      </w:r>
      <w:r>
        <w:rPr>
          <w:rFonts w:hint="eastAsia" w:ascii="仿宋_GB2312" w:hAnsi="仿宋_GB2312" w:eastAsia="仿宋_GB2312" w:cs="仿宋_GB2312"/>
          <w:szCs w:val="22"/>
          <w:lang w:val="en-US" w:eastAsia="zh-CN"/>
        </w:rPr>
        <w:t>体、企业事业单位和基层群</w:t>
      </w:r>
      <w:r>
        <w:rPr>
          <w:rFonts w:hint="eastAsia" w:ascii="仿宋_GB2312" w:hAnsi="仿宋_GB2312" w:eastAsia="仿宋_GB2312" w:cs="仿宋_GB2312"/>
          <w:lang w:val="en-US" w:eastAsia="zh-CN"/>
        </w:rPr>
        <w:t>众自治组织将</w:t>
      </w:r>
      <w:r>
        <w:rPr>
          <w:rFonts w:hint="eastAsia" w:ascii="仿宋_GB2312" w:hAnsi="仿宋_GB2312" w:eastAsia="仿宋_GB2312" w:cs="仿宋_GB2312"/>
          <w:i w:val="0"/>
          <w:iCs w:val="0"/>
          <w:sz w:val="32"/>
          <w:szCs w:val="32"/>
          <w:u w:val="none"/>
        </w:rPr>
        <w:t>制止餐饮浪费内容纳入各类公约守则、制度规范，通过发布倡议书、签订承诺书等多种形式，</w:t>
      </w:r>
      <w:r>
        <w:rPr>
          <w:rFonts w:hint="eastAsia" w:ascii="仿宋_GB2312" w:hAnsi="仿宋_GB2312" w:eastAsia="仿宋_GB2312" w:cs="仿宋_GB2312"/>
          <w:i w:val="0"/>
          <w:iCs w:val="0"/>
          <w:sz w:val="32"/>
          <w:szCs w:val="32"/>
          <w:u w:val="none"/>
          <w:lang w:eastAsia="zh-CN"/>
        </w:rPr>
        <w:t>促进全社会共同参与制止餐饮浪费工作。</w:t>
      </w:r>
    </w:p>
    <w:p>
      <w:pPr>
        <w:widowControl w:val="0"/>
        <w:numPr>
          <w:ilvl w:val="0"/>
          <w:numId w:val="0"/>
        </w:numPr>
        <w:wordWrap/>
        <w:overflowPunct w:val="0"/>
        <w:adjustRightInd w:val="0"/>
        <w:snapToGrid w:val="0"/>
        <w:spacing w:beforeLines="0" w:afterLines="0" w:line="560" w:lineRule="exact"/>
        <w:ind w:right="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广播、电视、报刊、网站等媒体应当积极开展制止餐饮浪费的公益宣传，报道先进典型，曝光浪费现象，引导公众树立科学正确的饮食消费观念，对餐饮浪费行为进行舆论监督。 </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餐饮烹饪、旅游酒店等相关行业协会应当发挥行业自律、引导、服务作用，开展餐饮浪费的监测和评估，制定并组织实施餐饮节约标准，将制止餐饮浪费纳入行业评先评优指标体系，引导餐饮经营者转变经营理念和创新经营方式。</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消费者委员会和其他消费者组织应当加强消费教育，引导消费者形成文明节俭的消费</w:t>
      </w:r>
      <w:r>
        <w:rPr>
          <w:rFonts w:hint="eastAsia" w:ascii="仿宋_GB2312" w:hAnsi="仿宋_GB2312" w:eastAsia="仿宋_GB2312" w:cs="仿宋_GB2312"/>
          <w:sz w:val="32"/>
          <w:szCs w:val="32"/>
          <w:lang w:eastAsia="zh-CN"/>
        </w:rPr>
        <w:t>观念</w:t>
      </w:r>
      <w:r>
        <w:rPr>
          <w:rFonts w:hint="eastAsia" w:ascii="仿宋_GB2312" w:hAnsi="仿宋_GB2312" w:eastAsia="仿宋_GB2312" w:cs="仿宋_GB2312"/>
          <w:sz w:val="32"/>
          <w:szCs w:val="32"/>
        </w:rPr>
        <w:t>和习惯，监督餐饮行业的浪费行为，推动餐饮经营者履行社会责任、创新经营方式。</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任何单位和个人发现有餐饮浪费行为的，有权向有关主管部门投诉、举报。</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四、餐饮经营者应当采取下列措施，</w:t>
      </w:r>
      <w:r>
        <w:rPr>
          <w:rFonts w:hint="eastAsia" w:ascii="仿宋_GB2312" w:hAnsi="仿宋_GB2312" w:eastAsia="仿宋_GB2312" w:cs="仿宋_GB2312"/>
          <w:sz w:val="32"/>
          <w:szCs w:val="32"/>
          <w:lang w:eastAsia="zh-CN"/>
        </w:rPr>
        <w:t>避免</w:t>
      </w:r>
      <w:r>
        <w:rPr>
          <w:rFonts w:hint="eastAsia" w:ascii="仿宋_GB2312" w:hAnsi="仿宋_GB2312" w:eastAsia="仿宋_GB2312" w:cs="仿宋_GB2312"/>
          <w:sz w:val="32"/>
          <w:szCs w:val="32"/>
        </w:rPr>
        <w:t>餐饮浪费：</w:t>
      </w:r>
    </w:p>
    <w:p>
      <w:pPr>
        <w:widowControl w:val="0"/>
        <w:wordWrap/>
        <w:overflowPunct w:val="0"/>
        <w:adjustRightInd w:val="0"/>
        <w:snapToGrid w:val="0"/>
        <w:spacing w:beforeLines="0" w:afterLines="0" w:line="560" w:lineRule="exact"/>
        <w:ind w:right="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（一）建立健全食品原料采购、储存、配送、加工、销售全链条节约管理制度，完善制止餐饮浪费的服务流程和操作规范；</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（二）加强烹饪师傅培训，将厉行节约、反对浪费纳入员工职业培训内容；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（三）按照标准规范制作食品，精准量化食材份量，在菜单中标注份量、规格、建议消费人数等信息，提供小份餐等不同规格选择，推行适合不同群体的套餐；</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（四）在餐饮服务场所显著位置张贴或者摆放</w:t>
      </w:r>
      <w:r>
        <w:rPr>
          <w:rFonts w:hint="eastAsia" w:ascii="仿宋_GB2312" w:hAnsi="仿宋_GB2312" w:eastAsia="仿宋_GB2312" w:cs="仿宋_GB2312"/>
          <w:sz w:val="32"/>
          <w:szCs w:val="32"/>
          <w:lang w:eastAsia="zh-CN"/>
        </w:rPr>
        <w:t>倡议</w:t>
      </w:r>
      <w:r>
        <w:rPr>
          <w:rFonts w:hint="eastAsia" w:ascii="仿宋_GB2312" w:hAnsi="仿宋_GB2312" w:eastAsia="仿宋_GB2312" w:cs="仿宋_GB2312"/>
          <w:sz w:val="32"/>
          <w:szCs w:val="32"/>
        </w:rPr>
        <w:t>珍惜粮食、反对浪费等标语标识、提示牌，提示消费者文明</w:t>
      </w:r>
      <w:r>
        <w:rPr>
          <w:rFonts w:hint="eastAsia" w:ascii="仿宋_GB2312" w:hAnsi="仿宋_GB2312" w:eastAsia="仿宋_GB2312" w:cs="仿宋_GB2312"/>
          <w:sz w:val="32"/>
          <w:szCs w:val="32"/>
          <w:lang w:eastAsia="zh-CN"/>
        </w:rPr>
        <w:t>节俭</w:t>
      </w:r>
      <w:r>
        <w:rPr>
          <w:rFonts w:hint="eastAsia" w:ascii="仿宋_GB2312" w:hAnsi="仿宋_GB2312" w:eastAsia="仿宋_GB2312" w:cs="仿宋_GB2312"/>
          <w:sz w:val="32"/>
          <w:szCs w:val="32"/>
        </w:rPr>
        <w:t>消费；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）配备</w:t>
      </w:r>
      <w:r>
        <w:rPr>
          <w:rFonts w:hint="eastAsia" w:ascii="仿宋_GB2312" w:hAnsi="仿宋_GB2312" w:eastAsia="仿宋_GB2312" w:cs="仿宋_GB2312"/>
          <w:sz w:val="32"/>
          <w:szCs w:val="32"/>
          <w:lang w:eastAsia="zh-CN"/>
        </w:rPr>
        <w:t>公筷公勺和</w:t>
      </w:r>
      <w:r>
        <w:rPr>
          <w:rFonts w:hint="eastAsia" w:ascii="仿宋_GB2312" w:hAnsi="仿宋_GB2312" w:eastAsia="仿宋_GB2312" w:cs="仿宋_GB2312"/>
          <w:sz w:val="32"/>
          <w:szCs w:val="32"/>
        </w:rPr>
        <w:t>卫生环保的餐盒、餐袋等用具，</w:t>
      </w:r>
      <w:r>
        <w:rPr>
          <w:rFonts w:hint="eastAsia" w:ascii="仿宋_GB2312" w:hAnsi="仿宋_GB2312" w:eastAsia="仿宋_GB2312" w:cs="仿宋_GB2312"/>
          <w:sz w:val="32"/>
          <w:szCs w:val="32"/>
          <w:lang w:eastAsia="zh-CN"/>
        </w:rPr>
        <w:t>提供</w:t>
      </w:r>
      <w:r>
        <w:rPr>
          <w:rFonts w:hint="eastAsia" w:ascii="仿宋_GB2312" w:hAnsi="仿宋_GB2312" w:eastAsia="仿宋_GB2312" w:cs="仿宋_GB2312"/>
          <w:sz w:val="32"/>
          <w:szCs w:val="32"/>
        </w:rPr>
        <w:t>打包服务；</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rPr>
        <w:t>）明示餐饮服务项目和收费标准，不得设置最低消费额</w:t>
      </w:r>
      <w:r>
        <w:rPr>
          <w:rFonts w:hint="eastAsia" w:ascii="仿宋_GB2312" w:hAnsi="仿宋_GB2312" w:eastAsia="仿宋_GB2312" w:cs="仿宋_GB2312"/>
          <w:sz w:val="32"/>
          <w:szCs w:val="32"/>
          <w:lang w:eastAsia="zh-CN"/>
        </w:rPr>
        <w:t>；</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提供</w:t>
      </w:r>
      <w:r>
        <w:rPr>
          <w:rFonts w:hint="eastAsia" w:ascii="仿宋_GB2312" w:hAnsi="仿宋_GB2312" w:eastAsia="仿宋_GB2312" w:cs="仿宋_GB2312"/>
          <w:sz w:val="32"/>
          <w:szCs w:val="32"/>
        </w:rPr>
        <w:t>宴席或者团体用餐服务</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引导消费者</w:t>
      </w:r>
      <w:r>
        <w:rPr>
          <w:rFonts w:hint="eastAsia" w:ascii="仿宋_GB2312" w:hAnsi="仿宋_GB2312" w:eastAsia="仿宋_GB2312" w:cs="仿宋_GB2312"/>
          <w:sz w:val="32"/>
          <w:szCs w:val="32"/>
          <w:lang w:eastAsia="zh-CN"/>
        </w:rPr>
        <w:t>根据</w:t>
      </w:r>
      <w:r>
        <w:rPr>
          <w:rFonts w:hint="eastAsia" w:ascii="仿宋_GB2312" w:hAnsi="仿宋_GB2312" w:eastAsia="仿宋_GB2312" w:cs="仿宋_GB2312"/>
          <w:sz w:val="32"/>
          <w:szCs w:val="32"/>
        </w:rPr>
        <w:t>用餐人数合理、适量点餐，对浪费行为及时予以劝阻；</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八</w:t>
      </w:r>
      <w:r>
        <w:rPr>
          <w:rFonts w:hint="eastAsia" w:ascii="仿宋_GB2312" w:hAnsi="仿宋_GB2312" w:eastAsia="仿宋_GB2312" w:cs="仿宋_GB2312"/>
          <w:sz w:val="32"/>
          <w:szCs w:val="32"/>
        </w:rPr>
        <w:t>）提供自助餐服务的，告知消费规则，提醒消费者按需、</w:t>
      </w:r>
      <w:r>
        <w:rPr>
          <w:rFonts w:hint="eastAsia" w:ascii="仿宋_GB2312" w:hAnsi="仿宋_GB2312" w:eastAsia="仿宋_GB2312" w:cs="仿宋_GB2312"/>
          <w:sz w:val="32"/>
          <w:szCs w:val="32"/>
          <w:lang w:eastAsia="zh-CN"/>
        </w:rPr>
        <w:t>适量</w:t>
      </w:r>
      <w:r>
        <w:rPr>
          <w:rFonts w:hint="eastAsia" w:ascii="仿宋_GB2312" w:hAnsi="仿宋_GB2312" w:eastAsia="仿宋_GB2312" w:cs="仿宋_GB2312"/>
          <w:sz w:val="32"/>
          <w:szCs w:val="32"/>
        </w:rPr>
        <w:t>、多次取餐</w:t>
      </w:r>
      <w:r>
        <w:rPr>
          <w:rFonts w:hint="eastAsia" w:ascii="仿宋_GB2312" w:hAnsi="仿宋_GB2312" w:eastAsia="仿宋_GB2312" w:cs="仿宋_GB2312"/>
          <w:sz w:val="32"/>
          <w:szCs w:val="32"/>
          <w:lang w:eastAsia="zh-CN"/>
        </w:rPr>
        <w:t>。</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鼓励具备条件的餐饮经营者提供</w:t>
      </w:r>
      <w:r>
        <w:rPr>
          <w:rFonts w:hint="eastAsia" w:ascii="仿宋_GB2312" w:hAnsi="仿宋_GB2312" w:eastAsia="仿宋_GB2312" w:cs="仿宋_GB2312"/>
          <w:sz w:val="32"/>
          <w:szCs w:val="32"/>
          <w:lang w:val="en-US" w:eastAsia="zh-CN"/>
        </w:rPr>
        <w:t>免费餐盒</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分餐</w:t>
      </w:r>
      <w:r>
        <w:rPr>
          <w:rFonts w:hint="eastAsia" w:ascii="仿宋_GB2312" w:hAnsi="仿宋_GB2312" w:eastAsia="仿宋_GB2312" w:cs="仿宋_GB2312"/>
          <w:sz w:val="32"/>
          <w:szCs w:val="32"/>
          <w:lang w:eastAsia="zh-CN"/>
        </w:rPr>
        <w:t>服务</w:t>
      </w:r>
      <w:r>
        <w:rPr>
          <w:rFonts w:hint="eastAsia" w:ascii="仿宋_GB2312" w:hAnsi="仿宋_GB2312" w:eastAsia="仿宋_GB2312" w:cs="仿宋_GB2312"/>
          <w:sz w:val="32"/>
          <w:szCs w:val="32"/>
        </w:rPr>
        <w:t>，对节约用餐的消费者给予适当优惠和奖励。</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鼓励和支持餐饮经营者运用新技术、新工艺、新装备推进制止餐饮浪费工作，将大数据、物联网、人工智能和现代餐饮管理相结合，推广中央厨房、集体用餐配送等经营模式，提高节约用餐管理数字化、智能化水平。</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五、网络餐饮服务平台应当在平台页面的显著位置提示消费者适量点餐，避免浪费；通过网络餐饮服务平台提供服务的餐饮经营者，应当在平台页面上向消费者提供食品份量、规格、建议消费人数等信息。</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六、个人应当树立文明节俭的消费观念，外出就餐时应当按需合理点餐、适量取餐、</w:t>
      </w:r>
      <w:r>
        <w:rPr>
          <w:rFonts w:hint="eastAsia" w:ascii="仿宋_GB2312" w:hAnsi="仿宋_GB2312" w:eastAsia="仿宋_GB2312" w:cs="仿宋_GB2312"/>
          <w:sz w:val="32"/>
          <w:szCs w:val="32"/>
          <w:lang w:eastAsia="zh-CN"/>
        </w:rPr>
        <w:t>节约</w:t>
      </w:r>
      <w:r>
        <w:rPr>
          <w:rFonts w:hint="eastAsia" w:ascii="仿宋_GB2312" w:hAnsi="仿宋_GB2312" w:eastAsia="仿宋_GB2312" w:cs="仿宋_GB2312"/>
          <w:sz w:val="32"/>
          <w:szCs w:val="32"/>
        </w:rPr>
        <w:t>用餐，践行“光盘行动”，主动打包带走剩余菜品，</w:t>
      </w:r>
      <w:r>
        <w:rPr>
          <w:rFonts w:hint="eastAsia" w:ascii="仿宋_GB2312" w:hAnsi="仿宋_GB2312" w:eastAsia="仿宋_GB2312" w:cs="仿宋_GB2312"/>
          <w:sz w:val="32"/>
          <w:szCs w:val="32"/>
          <w:lang w:eastAsia="zh-CN"/>
        </w:rPr>
        <w:t>避免</w:t>
      </w:r>
      <w:r>
        <w:rPr>
          <w:rFonts w:hint="eastAsia" w:ascii="仿宋_GB2312" w:hAnsi="仿宋_GB2312" w:eastAsia="仿宋_GB2312" w:cs="仿宋_GB2312"/>
          <w:sz w:val="32"/>
          <w:szCs w:val="32"/>
        </w:rPr>
        <w:t>餐饮浪费。</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家庭及其成员在家庭用餐中应当养成勤俭节约的良好习惯和</w:t>
      </w:r>
      <w:r>
        <w:rPr>
          <w:rFonts w:hint="eastAsia" w:ascii="仿宋_GB2312" w:hAnsi="仿宋_GB2312" w:eastAsia="仿宋_GB2312" w:cs="仿宋_GB2312"/>
          <w:sz w:val="32"/>
          <w:szCs w:val="32"/>
          <w:lang w:eastAsia="zh-CN"/>
        </w:rPr>
        <w:t>科学</w:t>
      </w:r>
      <w:r>
        <w:rPr>
          <w:rFonts w:hint="eastAsia" w:ascii="仿宋_GB2312" w:hAnsi="仿宋_GB2312" w:eastAsia="仿宋_GB2312" w:cs="仿宋_GB2312"/>
          <w:sz w:val="32"/>
          <w:szCs w:val="32"/>
        </w:rPr>
        <w:t>健康的生活方式，合理采购食品材料，提高食品材料利用率，避免食品浪费，减少厨余垃圾。</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举办婚丧嫁娶、朋友聚餐、家庭聚会等团体用餐活动时，应当按照</w:t>
      </w:r>
      <w:r>
        <w:rPr>
          <w:rFonts w:hint="eastAsia" w:ascii="仿宋_GB2312" w:hAnsi="仿宋_GB2312" w:eastAsia="仿宋_GB2312" w:cs="仿宋_GB2312"/>
          <w:sz w:val="32"/>
          <w:szCs w:val="32"/>
          <w:lang w:eastAsia="zh-CN"/>
        </w:rPr>
        <w:t>文明节俭</w:t>
      </w:r>
      <w:r>
        <w:rPr>
          <w:rFonts w:hint="eastAsia" w:ascii="仿宋_GB2312" w:hAnsi="仿宋_GB2312" w:eastAsia="仿宋_GB2312" w:cs="仿宋_GB2312"/>
          <w:sz w:val="32"/>
          <w:szCs w:val="32"/>
        </w:rPr>
        <w:t>的要求，合理安排餐饮，防止铺张浪费行为。</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七、设有食堂的单位应当建立健全食堂节约用餐制度，加强宣传教育和监督检查。</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单位食堂应当采取下列措施，</w:t>
      </w:r>
      <w:r>
        <w:rPr>
          <w:rFonts w:hint="eastAsia" w:ascii="仿宋_GB2312" w:hAnsi="仿宋_GB2312" w:eastAsia="仿宋_GB2312" w:cs="仿宋_GB2312"/>
          <w:sz w:val="32"/>
          <w:szCs w:val="32"/>
          <w:lang w:eastAsia="zh-CN"/>
        </w:rPr>
        <w:t>避免</w:t>
      </w:r>
      <w:r>
        <w:rPr>
          <w:rFonts w:hint="eastAsia" w:ascii="仿宋_GB2312" w:hAnsi="仿宋_GB2312" w:eastAsia="仿宋_GB2312" w:cs="仿宋_GB2312"/>
          <w:sz w:val="32"/>
          <w:szCs w:val="32"/>
        </w:rPr>
        <w:t>餐饮浪费：</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（一）加强食品原材料采购、储存、配送、加工的节约管理，保持食品原材料的卫生清洁，提高食品原材料利用率和烹饪水平；</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（二）清晰公示菜品的主辅配料、风味等信息</w:t>
      </w:r>
      <w:r>
        <w:rPr>
          <w:rFonts w:hint="eastAsia" w:ascii="仿宋_GB2312" w:hAnsi="仿宋_GB2312" w:eastAsia="仿宋_GB2312" w:cs="仿宋_GB2312"/>
          <w:i w:val="0"/>
          <w:iCs w:val="0"/>
          <w:sz w:val="32"/>
          <w:szCs w:val="32"/>
          <w:u w:val="none"/>
          <w:lang w:eastAsia="zh-CN"/>
        </w:rPr>
        <w:t>，</w:t>
      </w:r>
      <w:r>
        <w:rPr>
          <w:rFonts w:hint="eastAsia" w:ascii="仿宋_GB2312" w:hAnsi="仿宋_GB2312" w:eastAsia="仿宋_GB2312" w:cs="仿宋_GB2312"/>
          <w:i w:val="0"/>
          <w:iCs w:val="0"/>
          <w:sz w:val="32"/>
          <w:szCs w:val="32"/>
          <w:u w:val="none"/>
        </w:rPr>
        <w:t>在显著位置张贴宣传标语标识或者摆放提示牌，</w:t>
      </w:r>
      <w:r>
        <w:rPr>
          <w:rFonts w:hint="eastAsia" w:ascii="仿宋_GB2312" w:hAnsi="仿宋_GB2312" w:eastAsia="仿宋_GB2312" w:cs="仿宋_GB2312"/>
          <w:i w:val="0"/>
          <w:iCs w:val="0"/>
          <w:sz w:val="32"/>
          <w:szCs w:val="32"/>
          <w:u w:val="none"/>
          <w:lang w:eastAsia="zh-CN"/>
        </w:rPr>
        <w:t>提示</w:t>
      </w:r>
      <w:r>
        <w:rPr>
          <w:rFonts w:hint="eastAsia" w:ascii="仿宋_GB2312" w:hAnsi="仿宋_GB2312" w:eastAsia="仿宋_GB2312" w:cs="仿宋_GB2312"/>
          <w:i w:val="0"/>
          <w:iCs w:val="0"/>
          <w:sz w:val="32"/>
          <w:szCs w:val="32"/>
          <w:u w:val="none"/>
        </w:rPr>
        <w:t>适量取餐、用餐</w:t>
      </w:r>
      <w:r>
        <w:rPr>
          <w:rFonts w:hint="eastAsia" w:ascii="仿宋_GB2312" w:hAnsi="仿宋_GB2312" w:eastAsia="仿宋_GB2312" w:cs="仿宋_GB2312"/>
          <w:sz w:val="32"/>
          <w:szCs w:val="32"/>
        </w:rPr>
        <w:t>；</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（三）建立按需供餐、用餐预订制度，根据用餐人数采购、做餐、配餐，优化供餐方式；</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i w:val="0"/>
          <w:iCs w:val="0"/>
          <w:sz w:val="32"/>
          <w:szCs w:val="32"/>
          <w:u w:val="none"/>
          <w:lang w:eastAsia="zh-CN"/>
        </w:rPr>
        <w:t>四</w:t>
      </w:r>
      <w:r>
        <w:rPr>
          <w:rFonts w:hint="eastAsia" w:ascii="仿宋_GB2312" w:hAnsi="仿宋_GB2312" w:eastAsia="仿宋_GB2312" w:cs="仿宋_GB2312"/>
          <w:sz w:val="32"/>
          <w:szCs w:val="32"/>
        </w:rPr>
        <w:t>）加强食物残渣收集环节的监督检查，对浪费行为给予批评教育。</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鼓励具备条件的单位食堂实行自助点餐、计量收费。</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八、教育部门和学校应当通过开展学习实践、劳动体验等专题教育活动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培养学生勤俭节约的</w:t>
      </w:r>
      <w:r>
        <w:rPr>
          <w:rFonts w:hint="eastAsia" w:ascii="仿宋_GB2312" w:hAnsi="仿宋_GB2312" w:eastAsia="仿宋_GB2312" w:cs="仿宋_GB2312"/>
          <w:sz w:val="32"/>
          <w:szCs w:val="32"/>
          <w:lang w:eastAsia="zh-CN"/>
        </w:rPr>
        <w:t>思想品德和</w:t>
      </w:r>
      <w:r>
        <w:rPr>
          <w:rFonts w:hint="eastAsia" w:ascii="仿宋_GB2312" w:hAnsi="仿宋_GB2312" w:eastAsia="仿宋_GB2312" w:cs="仿宋_GB2312"/>
          <w:sz w:val="32"/>
          <w:szCs w:val="32"/>
        </w:rPr>
        <w:t>良好行为习惯，将珍惜粮食、厉行节约、反对浪费纳入教育教学内容以及师德师风、学生综合素质的评价体系，建立制止餐饮浪费的奖惩和监督机制。</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学校应当加强食堂的管理和考核，优选供餐经营者，建立健全引进和退出机制。</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学校食堂、供餐经营者应当加强精细化管理，科学营养配餐，提高饭菜质量，丰富不同规格配餐选择，满足不同年龄、不同口味、不同生活习惯学生的就餐需求。</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九、机关、人民团体、事业单位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国有企业应当按照有关规定，规范公务活动用餐，落实各项节约措施，以公务用餐文明引领社会消费文明。</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公务活动用餐应当按照简朴节约的要求，推行简餐和标准化饮食，以普通家常菜为主，科学合理安排菜品、主食数量。</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十、旅游景区、星级酒店、民宿等旅游经营者应当将制止餐饮浪费纳入服务流程和操作规范，引导游客</w:t>
      </w:r>
      <w:r>
        <w:rPr>
          <w:rFonts w:hint="eastAsia" w:ascii="仿宋_GB2312" w:hAnsi="仿宋_GB2312" w:eastAsia="仿宋_GB2312" w:cs="仿宋_GB2312"/>
          <w:sz w:val="32"/>
          <w:szCs w:val="32"/>
          <w:lang w:eastAsia="zh-CN"/>
        </w:rPr>
        <w:t>文明</w:t>
      </w:r>
      <w:r>
        <w:rPr>
          <w:rFonts w:hint="eastAsia" w:ascii="仿宋_GB2312" w:hAnsi="仿宋_GB2312" w:eastAsia="仿宋_GB2312" w:cs="仿宋_GB2312"/>
          <w:sz w:val="32"/>
          <w:szCs w:val="32"/>
        </w:rPr>
        <w:t>节俭用餐。</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旅行社及导游在安排团队用餐时，应当结合游客的用餐习惯、食量和健康营养等要求，科学合理安排用餐，提醒游客适量点餐、取餐。</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十一、禁止制作、传播、宣扬量大多吃、暴饮暴食以及其他浪费食品的节目或者音视频信息。</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网络音视频服务提供者应当加强音视频信息的审核，及时制止涉及餐饮浪费音视频信息的传播。</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十二、餐饮</w:t>
      </w:r>
      <w:r>
        <w:rPr>
          <w:rFonts w:hint="eastAsia" w:ascii="仿宋_GB2312" w:hAnsi="仿宋_GB2312" w:eastAsia="仿宋_GB2312" w:cs="仿宋_GB2312"/>
          <w:sz w:val="32"/>
          <w:szCs w:val="32"/>
          <w:lang w:eastAsia="zh-CN"/>
        </w:rPr>
        <w:t>经营者</w:t>
      </w:r>
      <w:r>
        <w:rPr>
          <w:rFonts w:hint="eastAsia" w:ascii="仿宋_GB2312" w:hAnsi="仿宋_GB2312" w:eastAsia="仿宋_GB2312" w:cs="仿宋_GB2312"/>
          <w:sz w:val="32"/>
          <w:szCs w:val="32"/>
        </w:rPr>
        <w:t>、食堂</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应当对其经营的食品加强动态管理和检查，对临近保质期的食品分类管理，在确保食品安全的前提下，鼓励对临近保质期的</w:t>
      </w:r>
      <w:r>
        <w:rPr>
          <w:rFonts w:hint="eastAsia" w:ascii="仿宋_GB2312" w:hAnsi="仿宋_GB2312" w:eastAsia="仿宋_GB2312" w:cs="仿宋_GB2312"/>
          <w:sz w:val="32"/>
          <w:szCs w:val="32"/>
          <w:lang w:eastAsia="zh-CN"/>
        </w:rPr>
        <w:t>食品</w:t>
      </w:r>
      <w:r>
        <w:rPr>
          <w:rFonts w:hint="eastAsia" w:ascii="仿宋_GB2312" w:hAnsi="仿宋_GB2312" w:eastAsia="仿宋_GB2312" w:cs="仿宋_GB2312"/>
          <w:sz w:val="32"/>
          <w:szCs w:val="32"/>
        </w:rPr>
        <w:t>予以捐赠。</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民政部门应当建立捐赠需求快捷对接机制，引导餐饮</w:t>
      </w:r>
      <w:r>
        <w:rPr>
          <w:rFonts w:hint="eastAsia" w:ascii="仿宋_GB2312" w:hAnsi="仿宋_GB2312" w:eastAsia="仿宋_GB2312" w:cs="仿宋_GB2312"/>
          <w:sz w:val="32"/>
          <w:szCs w:val="32"/>
          <w:lang w:eastAsia="zh-CN"/>
        </w:rPr>
        <w:t>经营者</w:t>
      </w:r>
      <w:r>
        <w:rPr>
          <w:rFonts w:hint="eastAsia" w:ascii="仿宋_GB2312" w:hAnsi="仿宋_GB2312" w:eastAsia="仿宋_GB2312" w:cs="仿宋_GB2312"/>
          <w:sz w:val="32"/>
          <w:szCs w:val="32"/>
        </w:rPr>
        <w:t>、食堂等向慈善组织、救助机构等捐赠尚在保质期内可正常食用的食品。</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十三、餐饮</w:t>
      </w:r>
      <w:r>
        <w:rPr>
          <w:rFonts w:hint="eastAsia" w:ascii="仿宋_GB2312" w:hAnsi="仿宋_GB2312" w:eastAsia="仿宋_GB2312" w:cs="仿宋_GB2312"/>
          <w:sz w:val="32"/>
          <w:szCs w:val="32"/>
          <w:lang w:eastAsia="zh-CN"/>
        </w:rPr>
        <w:t>经营者</w:t>
      </w:r>
      <w:r>
        <w:rPr>
          <w:rFonts w:hint="eastAsia" w:ascii="仿宋_GB2312" w:hAnsi="仿宋_GB2312" w:eastAsia="仿宋_GB2312" w:cs="仿宋_GB2312"/>
          <w:sz w:val="32"/>
          <w:szCs w:val="32"/>
        </w:rPr>
        <w:t>、食堂等应当按照规定将厨余垃圾和过期食品</w:t>
      </w:r>
      <w:r>
        <w:rPr>
          <w:rFonts w:hint="eastAsia" w:ascii="仿宋_GB2312" w:hAnsi="仿宋_GB2312" w:eastAsia="仿宋_GB2312" w:cs="仿宋_GB2312"/>
          <w:sz w:val="32"/>
          <w:szCs w:val="32"/>
          <w:lang w:eastAsia="zh-CN"/>
        </w:rPr>
        <w:t>交由具备相应资质条件的单位进行无害化处理</w:t>
      </w:r>
      <w:r>
        <w:rPr>
          <w:rFonts w:hint="eastAsia" w:ascii="仿宋_GB2312" w:hAnsi="仿宋_GB2312" w:eastAsia="仿宋_GB2312" w:cs="仿宋_GB2312"/>
          <w:sz w:val="32"/>
          <w:szCs w:val="32"/>
        </w:rPr>
        <w:t>，不得随意处置。</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对餐饮经营者、食堂等产生的厨余垃圾，应当按照谁产生谁付费、多产生多付费的原则，推广实施计量收费、分类计价等收费管理制度。</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31"/>
        <w:jc w:val="both"/>
        <w:textAlignment w:val="auto"/>
        <w:outlineLvl w:val="9"/>
        <w:rPr>
          <w:rFonts w:hint="eastAsia" w:ascii="仿宋_GB2312" w:hAnsi="仿宋_GB2312" w:eastAsia="仿宋_GB2312" w:cs="仿宋_GB2312"/>
          <w:b/>
          <w:bCs/>
          <w:color w:val="FF0000"/>
          <w:kern w:val="2"/>
          <w:sz w:val="32"/>
          <w:szCs w:val="32"/>
          <w:lang w:eastAsia="zh-CN"/>
        </w:rPr>
      </w:pPr>
      <w:r>
        <w:rPr>
          <w:rFonts w:hint="eastAsia" w:ascii="仿宋_GB2312" w:hAnsi="仿宋_GB2312" w:eastAsia="仿宋_GB2312" w:cs="仿宋_GB2312"/>
          <w:kern w:val="2"/>
          <w:sz w:val="32"/>
          <w:szCs w:val="32"/>
        </w:rPr>
        <w:t>十四、餐饮</w:t>
      </w:r>
      <w:r>
        <w:rPr>
          <w:rFonts w:hint="eastAsia" w:ascii="仿宋_GB2312" w:hAnsi="仿宋_GB2312" w:eastAsia="仿宋_GB2312" w:cs="仿宋_GB2312"/>
          <w:kern w:val="2"/>
          <w:sz w:val="32"/>
          <w:szCs w:val="32"/>
          <w:lang w:eastAsia="zh-CN"/>
        </w:rPr>
        <w:t>经营者</w:t>
      </w:r>
      <w:r>
        <w:rPr>
          <w:rFonts w:hint="eastAsia" w:ascii="仿宋_GB2312" w:hAnsi="仿宋_GB2312" w:eastAsia="仿宋_GB2312" w:cs="仿宋_GB2312"/>
          <w:kern w:val="2"/>
          <w:sz w:val="32"/>
          <w:szCs w:val="32"/>
        </w:rPr>
        <w:t>、食堂等以及网络餐饮服务平台违反本决定第四条、第五条、第七条、第八条规定，</w:t>
      </w:r>
      <w:r>
        <w:rPr>
          <w:rFonts w:hint="eastAsia" w:ascii="仿宋_GB2312" w:hAnsi="仿宋_GB2312" w:eastAsia="仿宋_GB2312" w:cs="仿宋_GB2312"/>
          <w:kern w:val="2"/>
          <w:sz w:val="32"/>
          <w:szCs w:val="32"/>
          <w:lang w:eastAsia="zh-CN"/>
        </w:rPr>
        <w:t>未履行制止餐饮浪费义务、造成餐饮浪费严重的，由市场监督管理、网信等相关主管部门责令限期改正；拒不改正的，依法予以处理。</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31"/>
        <w:jc w:val="both"/>
        <w:textAlignment w:val="auto"/>
        <w:outlineLvl w:val="9"/>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宴席或者团体用餐活动的组织者、餐饮经营者违反本决定第四条、第六条规定，造成餐饮浪费严重的，由市场监督管理等相关主管部门依法予以处理。</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31" w:firstLineChars="0"/>
        <w:jc w:val="both"/>
        <w:textAlignment w:val="auto"/>
        <w:outlineLvl w:val="9"/>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广播电台、电视台、网络音视频服务提供者和音视频信息制作者违反本决定第十一条规定，制作、传播、宣扬量大多吃、暴饮暴食以及其他浪费食品的节目或者音视频信息的，由广播电视主管部门、网信部门依法予以处理。</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机关、人民团体、</w:t>
      </w:r>
      <w:r>
        <w:rPr>
          <w:rFonts w:hint="eastAsia" w:ascii="仿宋_GB2312" w:hAnsi="仿宋_GB2312" w:eastAsia="仿宋_GB2312" w:cs="仿宋_GB2312"/>
          <w:kern w:val="2"/>
          <w:sz w:val="32"/>
          <w:szCs w:val="32"/>
          <w:lang w:val="en-US" w:eastAsia="zh-CN"/>
        </w:rPr>
        <w:t>事业单位、</w:t>
      </w:r>
      <w:r>
        <w:rPr>
          <w:rFonts w:hint="eastAsia" w:ascii="仿宋_GB2312" w:hAnsi="仿宋_GB2312" w:eastAsia="仿宋_GB2312" w:cs="仿宋_GB2312"/>
          <w:kern w:val="2"/>
          <w:sz w:val="32"/>
          <w:szCs w:val="32"/>
        </w:rPr>
        <w:t>国有企业违反本决定第九条规定，未规范公务活动用餐，落实各项节约措施，造成餐饮浪费严重的，由相关主管部门给予通报批评；情节严重的，对负有责任的单位主管人员和直接责任人员依法追究责任。</w:t>
      </w:r>
    </w:p>
    <w:p>
      <w:pPr>
        <w:pStyle w:val="48"/>
        <w:widowControl w:val="0"/>
        <w:numPr>
          <w:ilvl w:val="0"/>
          <w:numId w:val="0"/>
        </w:numPr>
        <w:wordWrap/>
        <w:overflowPunct w:val="0"/>
        <w:adjustRightInd w:val="0"/>
        <w:snapToGrid w:val="0"/>
        <w:spacing w:before="0" w:beforeLines="0" w:beforeAutospacing="0" w:after="0" w:afterLines="0" w:afterAutospacing="0" w:line="560" w:lineRule="exact"/>
        <w:ind w:right="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十五、</w:t>
      </w:r>
      <w:r>
        <w:rPr>
          <w:rFonts w:hint="eastAsia" w:ascii="仿宋_GB2312" w:hAnsi="仿宋_GB2312" w:eastAsia="仿宋_GB2312" w:cs="仿宋_GB2312"/>
          <w:sz w:val="32"/>
          <w:szCs w:val="32"/>
        </w:rPr>
        <w:t>设区的市人民代表大会常务委员会可以结合本地具体情况和实际需要，制定本</w:t>
      </w:r>
      <w:r>
        <w:rPr>
          <w:rFonts w:hint="eastAsia" w:ascii="仿宋_GB2312" w:hAnsi="仿宋_GB2312" w:eastAsia="仿宋_GB2312" w:cs="仿宋_GB2312"/>
          <w:i w:val="0"/>
          <w:iCs w:val="0"/>
          <w:sz w:val="32"/>
          <w:szCs w:val="32"/>
          <w:u w:val="none"/>
          <w:lang w:eastAsia="zh-CN"/>
        </w:rPr>
        <w:t>市</w:t>
      </w:r>
      <w:r>
        <w:rPr>
          <w:rFonts w:hint="eastAsia" w:ascii="仿宋_GB2312" w:hAnsi="仿宋_GB2312" w:eastAsia="仿宋_GB2312" w:cs="仿宋_GB2312"/>
          <w:sz w:val="32"/>
          <w:szCs w:val="32"/>
        </w:rPr>
        <w:t>制止餐饮浪费</w:t>
      </w:r>
      <w:r>
        <w:rPr>
          <w:rFonts w:hint="eastAsia" w:ascii="仿宋_GB2312" w:hAnsi="仿宋_GB2312" w:eastAsia="仿宋_GB2312" w:cs="仿宋_GB2312"/>
          <w:sz w:val="32"/>
          <w:szCs w:val="32"/>
          <w:lang w:val="en-US" w:eastAsia="zh-CN"/>
        </w:rPr>
        <w:t>的具体</w:t>
      </w:r>
      <w:r>
        <w:rPr>
          <w:rFonts w:hint="eastAsia" w:ascii="仿宋_GB2312" w:hAnsi="仿宋_GB2312" w:eastAsia="仿宋_GB2312" w:cs="仿宋_GB2312"/>
          <w:sz w:val="32"/>
          <w:szCs w:val="32"/>
        </w:rPr>
        <w:t>办法，细化</w:t>
      </w:r>
      <w:r>
        <w:rPr>
          <w:rFonts w:hint="eastAsia" w:ascii="仿宋_GB2312" w:hAnsi="仿宋_GB2312" w:eastAsia="仿宋_GB2312" w:cs="仿宋_GB2312"/>
          <w:sz w:val="32"/>
          <w:szCs w:val="32"/>
          <w:lang w:val="en-US" w:eastAsia="zh-CN"/>
        </w:rPr>
        <w:t>各项</w:t>
      </w:r>
      <w:r>
        <w:rPr>
          <w:rFonts w:hint="eastAsia" w:ascii="仿宋_GB2312" w:hAnsi="仿宋_GB2312" w:eastAsia="仿宋_GB2312" w:cs="仿宋_GB2312"/>
          <w:sz w:val="32"/>
          <w:szCs w:val="32"/>
        </w:rPr>
        <w:t>制度措施</w:t>
      </w:r>
      <w:r>
        <w:rPr>
          <w:rFonts w:hint="eastAsia" w:ascii="仿宋_GB2312" w:hAnsi="仿宋_GB2312" w:eastAsia="仿宋_GB2312" w:cs="仿宋_GB2312"/>
          <w:sz w:val="32"/>
          <w:szCs w:val="32"/>
          <w:lang w:val="en-US" w:eastAsia="zh-CN"/>
        </w:rPr>
        <w:t>和法律责任</w:t>
      </w:r>
      <w:r>
        <w:rPr>
          <w:rFonts w:hint="eastAsia" w:ascii="仿宋_GB2312" w:hAnsi="仿宋_GB2312" w:eastAsia="仿宋_GB2312" w:cs="仿宋_GB2312"/>
          <w:sz w:val="32"/>
          <w:szCs w:val="32"/>
          <w:lang w:eastAsia="zh-CN"/>
        </w:rPr>
        <w:t>。</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十六、本决定自</w:t>
      </w:r>
      <w:r>
        <w:rPr>
          <w:rFonts w:hint="eastAsia" w:ascii="仿宋_GB2312" w:hAnsi="仿宋_GB2312" w:eastAsia="仿宋_GB2312" w:cs="仿宋_GB2312"/>
          <w:i w:val="0"/>
          <w:iCs w:val="0"/>
          <w:sz w:val="32"/>
          <w:szCs w:val="32"/>
          <w:u w:val="none"/>
          <w:lang w:val="en-US" w:eastAsia="zh-CN"/>
        </w:rPr>
        <w:t>公布之日</w:t>
      </w:r>
      <w:r>
        <w:rPr>
          <w:rFonts w:hint="eastAsia" w:ascii="仿宋_GB2312" w:hAnsi="仿宋_GB2312" w:eastAsia="仿宋_GB2312" w:cs="仿宋_GB2312"/>
          <w:sz w:val="32"/>
          <w:szCs w:val="32"/>
        </w:rPr>
        <w:t>起施行。</w:t>
      </w:r>
    </w:p>
    <w:p>
      <w:pPr>
        <w:pStyle w:val="49"/>
        <w:widowControl w:val="0"/>
        <w:wordWrap/>
        <w:adjustRightInd w:val="0"/>
        <w:spacing w:beforeLines="0" w:afterLines="0" w:line="560" w:lineRule="exact"/>
        <w:jc w:val="both"/>
        <w:textAlignment w:val="auto"/>
        <w:outlineLvl w:val="9"/>
        <w:rPr>
          <w:rFonts w:hint="eastAsia" w:ascii="仿宋_GB2312" w:hAnsi="仿宋_GB2312" w:eastAsia="仿宋_GB2312" w:cs="仿宋_GB2312"/>
          <w:b w:val="0"/>
          <w:kern w:val="2"/>
          <w:sz w:val="32"/>
          <w:szCs w:val="32"/>
          <w:lang w:val="en-US" w:eastAsia="zh-CN" w:bidi="ar-SA"/>
        </w:rPr>
      </w:pPr>
    </w:p>
    <w:p>
      <w:pPr>
        <w:widowControl w:val="0"/>
        <w:tabs>
          <w:tab w:val="left" w:pos="7040"/>
        </w:tabs>
        <w:wordWrap/>
        <w:adjustRightInd w:val="0"/>
        <w:snapToGrid/>
        <w:spacing w:beforeLines="0" w:afterLines="0" w:line="560" w:lineRule="exact"/>
        <w:ind w:right="0"/>
        <w:jc w:val="both"/>
        <w:textAlignment w:val="auto"/>
        <w:outlineLvl w:val="9"/>
        <w:rPr>
          <w:rFonts w:hint="eastAsia" w:ascii="仿宋_GB2312" w:hAnsi="仿宋_GB2312" w:eastAsia="仿宋_GB2312" w:cs="仿宋_GB2312"/>
          <w:spacing w:val="0"/>
          <w:sz w:val="32"/>
          <w:szCs w:val="32"/>
          <w:lang w:val="en-US" w:eastAsia="zh-CN" w:bidi="ar-SA"/>
        </w:rPr>
      </w:pPr>
    </w:p>
    <w:p>
      <w:pPr>
        <w:pStyle w:val="4"/>
        <w:rPr>
          <w:rFonts w:hint="eastAsia" w:ascii="宋体" w:hAnsi="宋体" w:eastAsia="宋体" w:cs="宋体"/>
          <w:color w:val="000000"/>
          <w:sz w:val="44"/>
          <w:szCs w:val="44"/>
        </w:rPr>
      </w:pPr>
    </w:p>
    <w:p>
      <w:pPr>
        <w:rPr>
          <w:rFonts w:hint="eastAsia" w:ascii="宋体" w:hAnsi="宋体" w:eastAsia="宋体" w:cs="宋体"/>
          <w:color w:val="000000"/>
          <w:sz w:val="44"/>
          <w:szCs w:val="44"/>
        </w:rPr>
      </w:pPr>
    </w:p>
    <w:p>
      <w:pPr>
        <w:pStyle w:val="4"/>
        <w:rPr>
          <w:rFonts w:hint="eastAsia"/>
        </w:rPr>
      </w:pPr>
    </w:p>
    <w:p>
      <w:pPr>
        <w:pStyle w:val="9"/>
        <w:adjustRightInd w:val="0"/>
        <w:snapToGrid w:val="0"/>
        <w:spacing w:after="0" w:line="580" w:lineRule="exact"/>
        <w:ind w:left="0" w:leftChars="0"/>
        <w:jc w:val="center"/>
        <w:outlineLvl w:val="0"/>
        <w:rPr>
          <w:rFonts w:hint="eastAsia" w:ascii="宋体" w:hAnsi="宋体" w:eastAsia="宋体" w:cs="宋体"/>
          <w:bCs/>
          <w:color w:val="000000"/>
          <w:sz w:val="44"/>
          <w:szCs w:val="44"/>
        </w:rPr>
      </w:pPr>
      <w:r>
        <w:rPr>
          <w:rFonts w:hint="eastAsia" w:ascii="宋体" w:hAnsi="宋体" w:eastAsia="宋体" w:cs="宋体"/>
          <w:bCs/>
          <w:color w:val="000000"/>
          <w:sz w:val="44"/>
          <w:szCs w:val="44"/>
          <w:lang w:eastAsia="zh-CN"/>
        </w:rPr>
        <w:t>广东省</w:t>
      </w:r>
      <w:r>
        <w:rPr>
          <w:rFonts w:hint="eastAsia" w:ascii="宋体" w:hAnsi="宋体" w:eastAsia="宋体" w:cs="宋体"/>
          <w:bCs/>
          <w:color w:val="000000"/>
          <w:sz w:val="44"/>
          <w:szCs w:val="44"/>
        </w:rPr>
        <w:t>发展中医条例</w:t>
      </w:r>
    </w:p>
    <w:p>
      <w:pPr>
        <w:pStyle w:val="9"/>
        <w:adjustRightInd w:val="0"/>
        <w:snapToGrid w:val="0"/>
        <w:spacing w:after="0" w:line="580" w:lineRule="exact"/>
        <w:ind w:left="0" w:leftChars="0"/>
        <w:jc w:val="center"/>
        <w:rPr>
          <w:rFonts w:hint="eastAsia" w:ascii="宋体" w:hAnsi="宋体" w:eastAsia="宋体" w:cs="宋体"/>
          <w:bCs/>
          <w:color w:val="000000"/>
          <w:sz w:val="32"/>
          <w:szCs w:val="32"/>
        </w:rPr>
      </w:pPr>
    </w:p>
    <w:p>
      <w:pPr>
        <w:pStyle w:val="9"/>
        <w:widowControl w:val="0"/>
        <w:wordWrap/>
        <w:adjustRightInd w:val="0"/>
        <w:snapToGrid w:val="0"/>
        <w:spacing w:after="0" w:afterLines="0" w:line="580" w:lineRule="exact"/>
        <w:ind w:right="640" w:rightChars="200"/>
        <w:jc w:val="left"/>
        <w:textAlignment w:val="auto"/>
        <w:outlineLvl w:val="9"/>
        <w:rPr>
          <w:rFonts w:hint="eastAsia" w:ascii="楷体_GB2312" w:hAnsi="华文中宋" w:eastAsia="楷体_GB2312"/>
          <w:bCs/>
          <w:szCs w:val="32"/>
        </w:rPr>
      </w:pPr>
      <w:r>
        <w:rPr>
          <w:rFonts w:hint="eastAsia" w:ascii="楷体_GB2312" w:hAnsi="华文中宋" w:eastAsia="楷体_GB2312"/>
          <w:bCs/>
          <w:szCs w:val="32"/>
        </w:rPr>
        <w:t>（2000年3月30日广东省第九届人民代表大会常务委员会第十七次会议通过  2000年4月24日公布  2000年5月1日起施行）</w:t>
      </w:r>
    </w:p>
    <w:p>
      <w:pPr>
        <w:pStyle w:val="9"/>
        <w:widowControl w:val="0"/>
        <w:wordWrap/>
        <w:adjustRightInd w:val="0"/>
        <w:snapToGrid w:val="0"/>
        <w:spacing w:after="0" w:afterLines="0" w:line="580" w:lineRule="exact"/>
        <w:ind w:right="640" w:rightChars="200"/>
        <w:jc w:val="left"/>
        <w:textAlignment w:val="auto"/>
        <w:outlineLvl w:val="9"/>
        <w:rPr>
          <w:rFonts w:hint="eastAsia" w:ascii="楷体_GB2312" w:hAnsi="华文中宋" w:eastAsia="楷体_GB2312"/>
          <w:bCs/>
          <w:szCs w:val="32"/>
        </w:rPr>
      </w:pPr>
    </w:p>
    <w:p>
      <w:pPr>
        <w:pStyle w:val="9"/>
        <w:adjustRightInd w:val="0"/>
        <w:snapToGrid w:val="0"/>
        <w:spacing w:after="0" w:line="560" w:lineRule="exact"/>
        <w:ind w:left="0" w:leftChars="0"/>
        <w:jc w:val="center"/>
        <w:rPr>
          <w:rFonts w:hint="eastAsia" w:ascii="宋体" w:hAnsi="宋体" w:eastAsia="宋体" w:cs="宋体"/>
          <w:bCs/>
          <w:szCs w:val="32"/>
        </w:rPr>
      </w:pPr>
    </w:p>
    <w:p>
      <w:pPr>
        <w:spacing w:line="560" w:lineRule="exact"/>
        <w:rPr>
          <w:rFonts w:hint="eastAsia" w:ascii="仿宋_GB2312" w:hAnsi="仿宋_GB2312" w:eastAsia="仿宋_GB2312" w:cs="仿宋_GB2312"/>
          <w:sz w:val="32"/>
          <w:szCs w:val="32"/>
        </w:rPr>
      </w:pPr>
      <w:r>
        <w:rPr>
          <w:rFonts w:hint="eastAsia" w:cs="仿宋_GB2312"/>
          <w:b w:val="0"/>
          <w:bCs w:val="0"/>
          <w:sz w:val="32"/>
          <w:szCs w:val="32"/>
          <w:lang w:val="en-US" w:eastAsia="zh-CN"/>
        </w:rPr>
        <w:t xml:space="preserve">    </w:t>
      </w:r>
      <w:r>
        <w:rPr>
          <w:rFonts w:hint="eastAsia" w:ascii="黑体" w:hAnsi="黑体" w:eastAsia="黑体" w:cs="黑体"/>
          <w:b w:val="0"/>
          <w:bCs w:val="0"/>
          <w:sz w:val="32"/>
          <w:szCs w:val="32"/>
        </w:rPr>
        <w:t>第一条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为继承和发扬中医药学，促进中医事业的发展，适应人民群众医疗保健的需求，根据宪法和有关法律、法规，结合本省实际，制定本条例。</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在本省行政区域内从事中医（包括中西医结合、民族医）医疗、预防、保健以及中医药教育、科研等活动，适用本条例。</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各级人民政府必须贯彻中西医并重的方针，把发展中医事业纳入国民经济和社会发展计划及区域卫生规划，并将发展中医事业经费纳入财政预算，逐步增加投入，保障中医事业的发展。</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积极利用境外资金和捐助发展中医事业。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鼓励企业事业组织、社会团体和个人以各种形式支持发展中医事业。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省卫生（中医）行政部门主管全省的中医工作。</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市、县（区）卫生行政部门应当配备中医药专职管理人员。</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各级发展计划、财政、人事、科学技术、教育、药品监督等行政部门应当按照各自职责，支持发展中医事业。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设置中医医疗机构，必须按照国家和本省医疗机构管理的有关规定，办理申请、审批手续。</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县级以上中医医疗机构撤销、合并或者改变中医医疗性质的，应当经原批准的卫生行政部门同意，并报省卫生（中医）行政部门备案。</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设置中外合作的中医医疗机构，应当经省卫生（中医）行政部门审查同意，按照国家有关规定办理申请、审批手续。</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省、市、县应当设置中医医院。中医医院的业务用房、医疗设备、专门技术人员配备应当达到国家和省规定的标准。</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县级以上的综合医院应当设置中医科或者中西医结合科，并按照规定的比例设置病床。</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乡镇卫生院应当设置中医诊室，配备中医药技术人员，开展中医诊疗活动。</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村卫生站（室）的医生应当掌握处理常见病、多发病的中医药技术，运用中医药防病治病。</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中医医疗机构应当参与社区医疗、预防、保健服务等工作。</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省、市、县（区）的中医机构应当指导和帮助农村中医工作，向农村推广简便有效的中医药新技术、新疗法。</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中医药技术人员在诊疗上应当发挥中医的特色和优势，并学习和运用现代医学技术。</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鼓励西医及相关学科人员学习、研究、运用中医药的理论和技术，促进中医药学的发展。</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中医药高等学校应当加强中医药基础理论教育，重视中医临床和现代医学的教学；其他医药高等学校应当设置中医药基础理论和基本技能课程。</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医药高等学校应当有计划地培养中医药和中西医结合学科研究生。</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各级人民政府应当重视发展中医药成人高等教育，提高现有中医药技术人员的学历层次和学术水平。</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建立和健全中医药技术人员继续教育制度。医疗机构和教育、科研单位必须保证中医药技术人员参加多种形式的继续教育学习，学习时间每年累计不少于十五日。学习期间的工资、福利，享受在岗人员的同等待遇。继续教育经费按照国家和省有关规定予以解决。</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对乡镇中医药技术人员每三年安排不少于二十日的业务培训。</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各级人民政府卫生行政部门和中医机构应当加强对中医药学科带头人、中青年技术骨干和中西医结合专门人才的培养。</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全社会应当尊重中医药专家。支持具有较高学术水平和丰富临床经验的中医药高级技术人员带徒授业。带徒授业的管理办法由省人民政府制定。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中医药科学研究应当重视基础理论研究，以应用研究为重点，提高中医药学术水平和临床疗效。</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运用现代科学技术，加快中药剂型的研究和改革。</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县级以上人民政府应当采取措施，发展中医药高科技产业，开发、推广、应用中医药技术成果，培育中医药技术市场。</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加强中医药文献、秘方、验方和专门技术的收集、整理、研究和开发利用。</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依法保护中医药知识产权。</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鼓励开展国际或者地区间的中医药学术交流、技术合作、科技成果转让、科研课题合作研究等活动。</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下列评审、鉴定工作，由中医药专业技术评审、鉴定委员会负责：</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（一）中医药专业技术人员专业技术资格评审；</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（二）中医药科研课题立项和成果鉴定；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（三）中医医疗机构评审；</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（四）中医医疗事故技术鉴定。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属教学、科研单位的评审，由中医药专业技术评审、鉴定委员会会同有关部门进行。</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各级劳动和社会保障行政部门应当将中医医疗机构列入社会医疗保险的约定医疗机构范围。</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b w:val="0"/>
          <w:bCs w:val="0"/>
          <w:sz w:val="32"/>
          <w:szCs w:val="32"/>
        </w:rPr>
        <w:t>第二十四条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对中医医疗技术有较高造诣的中医师，由省人民政府授予广东省名中医师称号，广东省名中医师每五年评选一次。</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有下列情形之一的单位和个人，由各级人民政府及有关部门予以奖励和表彰：</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（一）在中医医疗、预防、保健、教育、科研和管理等方面，取得突出成绩的；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（二）挖掘、整理有重大价值的中医药文献的；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（三）献出有特效的中医药验方、秘方和专门技术的；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（四）资助中医事业业绩突出的；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（五）在发展中医事业的其他方面作出重大贡献的。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违反本条例第六条、第七条规定，擅自设立中医医疗机构、非法行医的，依照《中华人民共和国执业医师法》和国务院《医疗机构管理条例》的有关规定予以处罚。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b w:val="0"/>
          <w:bCs w:val="0"/>
          <w:sz w:val="32"/>
          <w:szCs w:val="32"/>
        </w:rPr>
        <w:t>第二十七条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截留、挪用中医事业经费、中医专项经费的，由其所在单位或者上级主管部门责令限期归还，并对直接责任人给予行政处分；构成犯罪的，依法追究刑事责任。</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有关行政部门的工作人员玩忽职守、滥用职权、徇私舞弊，对中医工作造成不良影响，情节严重的，由其所在部门或者上级行政部门给予行政处分；构成犯罪的，依法追究刑事责任。</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 xml:space="preserve">本条例自2000年５月１日起施行。 </w:t>
      </w:r>
    </w:p>
    <w:p>
      <w:pPr>
        <w:spacing w:line="560" w:lineRule="exact"/>
        <w:rPr>
          <w:rFonts w:hint="eastAsia" w:ascii="宋体" w:hAnsi="宋体" w:eastAsia="宋体" w:cs="宋体"/>
          <w:color w:val="000000"/>
          <w:sz w:val="44"/>
          <w:szCs w:val="44"/>
        </w:rPr>
      </w:pP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widowControl w:val="0"/>
        <w:adjustRightInd w:val="0"/>
        <w:snapToGrid w:val="0"/>
        <w:spacing w:after="0" w:afterLines="0" w:line="580" w:lineRule="exact"/>
        <w:ind w:left="0" w:leftChars="0"/>
        <w:jc w:val="center"/>
        <w:outlineLvl w:val="0"/>
        <w:rPr>
          <w:rFonts w:hint="eastAsia" w:ascii="宋体" w:hAnsi="宋体" w:eastAsia="宋体" w:cs="宋体"/>
          <w:bCs/>
          <w:color w:val="000000"/>
          <w:kern w:val="2"/>
          <w:sz w:val="44"/>
          <w:szCs w:val="44"/>
          <w:lang w:val="en-US" w:eastAsia="zh-CN" w:bidi="ar-SA"/>
        </w:rPr>
      </w:pPr>
      <w:bookmarkStart w:id="436" w:name="_Toc26438"/>
      <w:r>
        <w:rPr>
          <w:rFonts w:hint="eastAsia" w:ascii="宋体" w:hAnsi="宋体" w:eastAsia="宋体" w:cs="宋体"/>
          <w:bCs/>
          <w:color w:val="000000"/>
          <w:kern w:val="2"/>
          <w:sz w:val="44"/>
          <w:szCs w:val="44"/>
          <w:lang w:val="en-US" w:eastAsia="zh-CN" w:bidi="ar-SA"/>
        </w:rPr>
        <w:t>广东省岭南中药材保护条例</w:t>
      </w:r>
      <w:bookmarkEnd w:id="436"/>
    </w:p>
    <w:p>
      <w:pPr>
        <w:widowControl w:val="0"/>
        <w:adjustRightInd w:val="0"/>
        <w:snapToGrid w:val="0"/>
        <w:spacing w:before="0" w:beforeLines="0" w:beforeAutospacing="0" w:after="0" w:afterLines="0" w:afterAutospacing="0" w:line="590" w:lineRule="exact"/>
        <w:ind w:left="0" w:leftChars="0" w:right="0" w:firstLine="0" w:firstLineChars="0"/>
        <w:jc w:val="left"/>
        <w:textAlignment w:val="auto"/>
        <w:outlineLvl w:val="9"/>
        <w:rPr>
          <w:rFonts w:hint="eastAsia" w:ascii="宋体" w:hAnsi="宋体" w:eastAsia="宋体" w:cs="宋体"/>
          <w:b w:val="0"/>
          <w:bCs/>
          <w:sz w:val="32"/>
          <w:szCs w:val="32"/>
          <w:lang w:val="en-US" w:eastAsia="zh-CN"/>
        </w:rPr>
      </w:pPr>
    </w:p>
    <w:p>
      <w:pPr>
        <w:widowControl w:val="0"/>
        <w:wordWrap/>
        <w:adjustRightInd w:val="0"/>
        <w:snapToGrid w:val="0"/>
        <w:spacing w:after="0" w:afterLines="0" w:line="580" w:lineRule="exact"/>
        <w:ind w:left="640" w:leftChars="200" w:right="640" w:rightChars="200" w:firstLine="0" w:firstLineChars="0"/>
        <w:jc w:val="left"/>
        <w:textAlignment w:val="auto"/>
        <w:outlineLvl w:val="9"/>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（2016年12月1日广东省第十二届人民代表大会常务委员会第二十九次会议通过  2016年12月1日公布  自2017年3月1日起施行）</w:t>
      </w:r>
    </w:p>
    <w:p>
      <w:pPr>
        <w:spacing w:beforeLines="0" w:afterLines="0" w:line="590" w:lineRule="exact"/>
        <w:ind w:left="0" w:leftChars="0" w:right="0" w:firstLine="0" w:firstLineChars="0"/>
        <w:jc w:val="center"/>
        <w:rPr>
          <w:rFonts w:hint="eastAsia" w:ascii="宋体" w:hAnsi="宋体" w:eastAsia="宋体" w:cs="宋体"/>
          <w:bCs/>
          <w:szCs w:val="32"/>
        </w:rPr>
      </w:pPr>
    </w:p>
    <w:p>
      <w:pPr>
        <w:widowControl w:val="0"/>
        <w:adjustRightInd w:val="0"/>
        <w:snapToGrid w:val="0"/>
        <w:spacing w:after="0" w:afterLines="0" w:line="580" w:lineRule="exact"/>
        <w:jc w:val="center"/>
        <w:rPr>
          <w:rFonts w:hint="eastAsia" w:ascii="宋体" w:hAnsi="宋体" w:eastAsia="宋体" w:cs="宋体"/>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目    录</w:t>
      </w:r>
    </w:p>
    <w:p>
      <w:pPr>
        <w:widowControl w:val="0"/>
        <w:adjustRightInd w:val="0"/>
        <w:snapToGrid w:val="0"/>
        <w:spacing w:after="0" w:afterLines="0" w:line="580" w:lineRule="exact"/>
        <w:ind w:left="0" w:leftChars="0" w:firstLine="642"/>
        <w:jc w:val="center"/>
        <w:rPr>
          <w:rFonts w:hint="eastAsia" w:ascii="宋体" w:hAnsi="宋体" w:eastAsia="宋体" w:cs="宋体"/>
          <w:bCs/>
          <w:kern w:val="2"/>
          <w:sz w:val="32"/>
          <w:szCs w:val="32"/>
          <w:lang w:val="en-US" w:eastAsia="zh-CN" w:bidi="ar-SA"/>
        </w:rPr>
      </w:pP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第一章  总则</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第二章  一般规定</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第三章  种源保护</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第四章  产地保护</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第五章  种植保护</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第六章  品牌保护</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第七章  监督管理</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第八章  法律责任</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第九章  附则</w:t>
      </w:r>
    </w:p>
    <w:p>
      <w:pPr>
        <w:spacing w:beforeLines="0" w:afterLines="0" w:line="590" w:lineRule="exact"/>
        <w:ind w:left="0" w:leftChars="0" w:right="0" w:firstLine="0" w:firstLineChars="0"/>
        <w:jc w:val="center"/>
        <w:rPr>
          <w:rFonts w:hint="eastAsia" w:ascii="宋体" w:hAnsi="宋体" w:eastAsia="宋体" w:cs="宋体"/>
          <w:bCs/>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第一章  总则</w:t>
      </w:r>
    </w:p>
    <w:p>
      <w:pPr>
        <w:widowControl w:val="0"/>
        <w:wordWrap/>
        <w:adjustRightInd w:val="0"/>
        <w:snapToGrid/>
        <w:spacing w:beforeLines="0" w:afterLines="0" w:line="590" w:lineRule="exact"/>
        <w:ind w:left="0" w:leftChars="0" w:right="0"/>
        <w:jc w:val="both"/>
        <w:textAlignment w:val="auto"/>
        <w:outlineLvl w:val="9"/>
        <w:rPr>
          <w:rFonts w:hint="eastAsia" w:ascii="宋体" w:hAnsi="宋体" w:eastAsia="宋体" w:cs="宋体"/>
          <w:color w:val="00000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第一条</w:t>
      </w:r>
      <w:r>
        <w:rPr>
          <w:rFonts w:hint="eastAsia" w:ascii="仿宋_GB2312" w:hAnsi="仿宋_GB2312" w:eastAsia="仿宋_GB2312" w:cs="仿宋_GB2312"/>
          <w:b w:val="0"/>
          <w:bCs w:val="0"/>
          <w:sz w:val="32"/>
          <w:szCs w:val="32"/>
        </w:rPr>
        <w:t xml:space="preserve">  为了加强岭南中药材保护，</w:t>
      </w:r>
      <w:r>
        <w:rPr>
          <w:rFonts w:hint="eastAsia" w:ascii="仿宋_GB2312" w:hAnsi="仿宋_GB2312" w:eastAsia="仿宋_GB2312" w:cs="仿宋_GB2312"/>
          <w:b w:val="0"/>
          <w:bCs w:val="0"/>
          <w:sz w:val="32"/>
          <w:szCs w:val="32"/>
          <w:lang w:eastAsia="zh-CN"/>
        </w:rPr>
        <w:t>规范</w:t>
      </w:r>
      <w:r>
        <w:rPr>
          <w:rFonts w:hint="eastAsia" w:ascii="仿宋_GB2312" w:hAnsi="仿宋_GB2312" w:eastAsia="仿宋_GB2312" w:cs="仿宋_GB2312"/>
          <w:b w:val="0"/>
          <w:bCs w:val="0"/>
          <w:sz w:val="32"/>
          <w:szCs w:val="32"/>
        </w:rPr>
        <w:t>利用岭南中药材资源，促进中医药产业持续健康发展，根据有关法律法规，结合本省实际，制定本条例。</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第二条</w:t>
      </w:r>
      <w:r>
        <w:rPr>
          <w:rFonts w:hint="eastAsia" w:ascii="仿宋_GB2312" w:hAnsi="仿宋_GB2312" w:eastAsia="仿宋_GB2312" w:cs="仿宋_GB2312"/>
          <w:b w:val="0"/>
          <w:bCs w:val="0"/>
          <w:sz w:val="32"/>
          <w:szCs w:val="32"/>
        </w:rPr>
        <w:t xml:space="preserve">  本条例适用于本省行政区域内具有广东道地特征的岭南中药材的种源、产地、种植、品牌等保护活动。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第一批</w:t>
      </w:r>
      <w:r>
        <w:rPr>
          <w:rFonts w:hint="eastAsia" w:ascii="仿宋_GB2312" w:hAnsi="仿宋_GB2312" w:eastAsia="仿宋_GB2312" w:cs="仿宋_GB2312"/>
          <w:b w:val="0"/>
          <w:bCs w:val="0"/>
          <w:sz w:val="32"/>
          <w:szCs w:val="32"/>
        </w:rPr>
        <w:t>保护的岭南中药材种类（以下简称保护种类）</w:t>
      </w:r>
      <w:r>
        <w:rPr>
          <w:rFonts w:hint="eastAsia" w:ascii="仿宋_GB2312" w:hAnsi="仿宋_GB2312" w:eastAsia="仿宋_GB2312" w:cs="仿宋_GB2312"/>
          <w:b w:val="0"/>
          <w:bCs w:val="0"/>
          <w:sz w:val="32"/>
          <w:szCs w:val="32"/>
          <w:lang w:eastAsia="zh-CN"/>
        </w:rPr>
        <w:t>包括以下</w:t>
      </w:r>
      <w:r>
        <w:rPr>
          <w:rFonts w:hint="eastAsia" w:ascii="仿宋_GB2312" w:hAnsi="仿宋_GB2312" w:eastAsia="仿宋_GB2312" w:cs="仿宋_GB2312"/>
          <w:b w:val="0"/>
          <w:bCs w:val="0"/>
          <w:sz w:val="32"/>
          <w:szCs w:val="32"/>
        </w:rPr>
        <w:t>八种</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化橘红、广陈皮、阳春砂、广藿香、巴戟天、沉香、广佛手、何首乌。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省人民政府</w:t>
      </w:r>
      <w:r>
        <w:rPr>
          <w:rFonts w:hint="eastAsia" w:ascii="仿宋_GB2312" w:hAnsi="仿宋_GB2312" w:eastAsia="仿宋_GB2312" w:cs="仿宋_GB2312"/>
          <w:b w:val="0"/>
          <w:bCs w:val="0"/>
          <w:sz w:val="32"/>
          <w:szCs w:val="32"/>
          <w:lang w:eastAsia="zh-CN"/>
        </w:rPr>
        <w:t>中医药主管部门</w:t>
      </w:r>
      <w:r>
        <w:rPr>
          <w:rFonts w:hint="eastAsia" w:ascii="仿宋_GB2312" w:hAnsi="仿宋_GB2312" w:eastAsia="仿宋_GB2312" w:cs="仿宋_GB2312"/>
          <w:b w:val="0"/>
          <w:bCs w:val="0"/>
          <w:sz w:val="32"/>
          <w:szCs w:val="32"/>
        </w:rPr>
        <w:t>可以根据岭南中药材保护实际需要，对符合广东道地特征的中药材经过统一遴选增加新的保护种类</w:t>
      </w:r>
      <w:r>
        <w:rPr>
          <w:rFonts w:hint="eastAsia" w:ascii="仿宋_GB2312" w:hAnsi="仿宋_GB2312" w:eastAsia="仿宋_GB2312" w:cs="仿宋_GB2312"/>
          <w:b w:val="0"/>
          <w:bCs w:val="0"/>
          <w:sz w:val="32"/>
          <w:szCs w:val="32"/>
          <w:lang w:eastAsia="zh-CN"/>
        </w:rPr>
        <w:t>，报省人民政府批准后列入保护目录予以公布</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第三条</w:t>
      </w:r>
      <w:r>
        <w:rPr>
          <w:rFonts w:hint="eastAsia" w:ascii="仿宋_GB2312" w:hAnsi="仿宋_GB2312" w:eastAsia="仿宋_GB2312" w:cs="仿宋_GB2312"/>
          <w:b w:val="0"/>
          <w:bCs w:val="0"/>
          <w:sz w:val="32"/>
          <w:szCs w:val="32"/>
        </w:rPr>
        <w:t xml:space="preserve">  岭南中药材保护应当坚持政府</w:t>
      </w:r>
      <w:r>
        <w:rPr>
          <w:rFonts w:hint="eastAsia" w:ascii="仿宋_GB2312" w:hAnsi="仿宋_GB2312" w:eastAsia="仿宋_GB2312" w:cs="仿宋_GB2312"/>
          <w:b w:val="0"/>
          <w:bCs w:val="0"/>
          <w:sz w:val="32"/>
          <w:szCs w:val="32"/>
          <w:lang w:eastAsia="zh-CN"/>
        </w:rPr>
        <w:t>引</w:t>
      </w:r>
      <w:r>
        <w:rPr>
          <w:rFonts w:hint="eastAsia" w:ascii="仿宋_GB2312" w:hAnsi="仿宋_GB2312" w:eastAsia="仿宋_GB2312" w:cs="仿宋_GB2312"/>
          <w:b w:val="0"/>
          <w:bCs w:val="0"/>
          <w:sz w:val="32"/>
          <w:szCs w:val="32"/>
        </w:rPr>
        <w:t>导</w:t>
      </w:r>
      <w:r>
        <w:rPr>
          <w:rFonts w:hint="eastAsia" w:ascii="仿宋_GB2312" w:hAnsi="仿宋_GB2312" w:eastAsia="仿宋_GB2312" w:cs="仿宋_GB2312"/>
          <w:b w:val="0"/>
          <w:bCs w:val="0"/>
          <w:sz w:val="32"/>
          <w:szCs w:val="32"/>
          <w:lang w:eastAsia="zh-CN"/>
        </w:rPr>
        <w:t>与</w:t>
      </w:r>
      <w:r>
        <w:rPr>
          <w:rFonts w:hint="eastAsia" w:ascii="仿宋_GB2312" w:hAnsi="仿宋_GB2312" w:eastAsia="仿宋_GB2312" w:cs="仿宋_GB2312"/>
          <w:b w:val="0"/>
          <w:bCs w:val="0"/>
          <w:sz w:val="32"/>
          <w:szCs w:val="32"/>
        </w:rPr>
        <w:t>社会参与相结合、统筹规划与分类保护相结合</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资源保护与质量</w:t>
      </w:r>
      <w:r>
        <w:rPr>
          <w:rFonts w:hint="eastAsia" w:ascii="仿宋_GB2312" w:hAnsi="仿宋_GB2312" w:eastAsia="仿宋_GB2312" w:cs="仿宋_GB2312"/>
          <w:b w:val="0"/>
          <w:bCs w:val="0"/>
          <w:sz w:val="32"/>
          <w:szCs w:val="32"/>
          <w:lang w:eastAsia="zh-CN"/>
        </w:rPr>
        <w:t>提升</w:t>
      </w:r>
      <w:r>
        <w:rPr>
          <w:rFonts w:hint="eastAsia" w:ascii="仿宋_GB2312" w:hAnsi="仿宋_GB2312" w:eastAsia="仿宋_GB2312" w:cs="仿宋_GB2312"/>
          <w:b w:val="0"/>
          <w:bCs w:val="0"/>
          <w:sz w:val="32"/>
          <w:szCs w:val="32"/>
        </w:rPr>
        <w:t>相结合的原则。</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黑体" w:hAnsi="黑体" w:eastAsia="黑体" w:cs="黑体"/>
          <w:color w:val="000000"/>
          <w:sz w:val="32"/>
          <w:szCs w:val="32"/>
        </w:rPr>
        <w:t>第四条</w:t>
      </w:r>
      <w:r>
        <w:rPr>
          <w:rFonts w:hint="eastAsia" w:ascii="仿宋_GB2312" w:hAnsi="仿宋_GB2312" w:eastAsia="仿宋_GB2312" w:cs="仿宋_GB2312"/>
          <w:b w:val="0"/>
          <w:bCs w:val="0"/>
          <w:sz w:val="32"/>
          <w:szCs w:val="32"/>
        </w:rPr>
        <w:t xml:space="preserve">  县级以上人民政府农业主管部门负责本行政区域内化橘红、广陈皮、广藿香、广佛手</w:t>
      </w:r>
      <w:r>
        <w:rPr>
          <w:rFonts w:hint="eastAsia" w:ascii="仿宋_GB2312" w:hAnsi="仿宋_GB2312" w:eastAsia="仿宋_GB2312" w:cs="仿宋_GB2312"/>
          <w:b w:val="0"/>
          <w:bCs w:val="0"/>
          <w:sz w:val="32"/>
          <w:szCs w:val="32"/>
          <w:lang w:eastAsia="zh-CN"/>
        </w:rPr>
        <w:t>和种植在农用地的</w:t>
      </w:r>
      <w:r>
        <w:rPr>
          <w:rFonts w:hint="eastAsia" w:ascii="仿宋_GB2312" w:hAnsi="仿宋_GB2312" w:eastAsia="仿宋_GB2312" w:cs="仿宋_GB2312"/>
          <w:b w:val="0"/>
          <w:bCs w:val="0"/>
          <w:sz w:val="32"/>
          <w:szCs w:val="32"/>
        </w:rPr>
        <w:t>阳春砂、巴戟天、何首乌</w:t>
      </w:r>
      <w:r>
        <w:rPr>
          <w:rFonts w:hint="eastAsia" w:ascii="仿宋_GB2312" w:hAnsi="仿宋_GB2312" w:eastAsia="仿宋_GB2312" w:cs="仿宋_GB2312"/>
          <w:b w:val="0"/>
          <w:bCs w:val="0"/>
          <w:sz w:val="32"/>
          <w:szCs w:val="32"/>
          <w:lang w:eastAsia="zh-CN"/>
        </w:rPr>
        <w:t>等</w:t>
      </w:r>
      <w:r>
        <w:rPr>
          <w:rFonts w:hint="eastAsia" w:ascii="仿宋_GB2312" w:hAnsi="仿宋_GB2312" w:eastAsia="仿宋_GB2312" w:cs="仿宋_GB2312"/>
          <w:b w:val="0"/>
          <w:bCs w:val="0"/>
          <w:sz w:val="32"/>
          <w:szCs w:val="32"/>
        </w:rPr>
        <w:t>岭南中药材种源、产地、种植</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保护工作</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县级以上人民政府林业主管部门负责本行政区域内</w:t>
      </w:r>
      <w:r>
        <w:rPr>
          <w:rFonts w:hint="eastAsia" w:ascii="仿宋_GB2312" w:hAnsi="仿宋_GB2312" w:eastAsia="仿宋_GB2312" w:cs="仿宋_GB2312"/>
          <w:b w:val="0"/>
          <w:bCs w:val="0"/>
          <w:sz w:val="32"/>
          <w:szCs w:val="32"/>
        </w:rPr>
        <w:t>沉香</w:t>
      </w:r>
      <w:r>
        <w:rPr>
          <w:rFonts w:hint="eastAsia" w:ascii="仿宋_GB2312" w:hAnsi="仿宋_GB2312" w:eastAsia="仿宋_GB2312" w:cs="仿宋_GB2312"/>
          <w:b w:val="0"/>
          <w:bCs w:val="0"/>
          <w:sz w:val="32"/>
          <w:szCs w:val="32"/>
          <w:lang w:eastAsia="zh-CN"/>
        </w:rPr>
        <w:t>和种植在林地的</w:t>
      </w:r>
      <w:r>
        <w:rPr>
          <w:rFonts w:hint="eastAsia" w:ascii="仿宋_GB2312" w:hAnsi="仿宋_GB2312" w:eastAsia="仿宋_GB2312" w:cs="仿宋_GB2312"/>
          <w:b w:val="0"/>
          <w:bCs w:val="0"/>
          <w:sz w:val="32"/>
          <w:szCs w:val="32"/>
        </w:rPr>
        <w:t>阳春砂、巴戟天、何首乌</w:t>
      </w:r>
      <w:r>
        <w:rPr>
          <w:rFonts w:hint="eastAsia" w:ascii="仿宋_GB2312" w:hAnsi="仿宋_GB2312" w:eastAsia="仿宋_GB2312" w:cs="仿宋_GB2312"/>
          <w:b w:val="0"/>
          <w:bCs w:val="0"/>
          <w:sz w:val="32"/>
          <w:szCs w:val="32"/>
          <w:lang w:eastAsia="zh-CN"/>
        </w:rPr>
        <w:t>等岭南中药材种源、产地、种植的保护工作。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县级以上人民政府</w:t>
      </w:r>
      <w:r>
        <w:rPr>
          <w:rFonts w:hint="eastAsia" w:ascii="仿宋_GB2312" w:hAnsi="仿宋_GB2312" w:eastAsia="仿宋_GB2312" w:cs="仿宋_GB2312"/>
          <w:b w:val="0"/>
          <w:bCs w:val="0"/>
          <w:sz w:val="32"/>
          <w:szCs w:val="32"/>
        </w:rPr>
        <w:t>工商</w:t>
      </w:r>
      <w:r>
        <w:rPr>
          <w:rFonts w:hint="eastAsia" w:ascii="仿宋_GB2312" w:hAnsi="仿宋_GB2312" w:eastAsia="仿宋_GB2312" w:cs="仿宋_GB2312"/>
          <w:b w:val="0"/>
          <w:bCs w:val="0"/>
          <w:sz w:val="32"/>
          <w:szCs w:val="32"/>
          <w:lang w:eastAsia="zh-CN"/>
        </w:rPr>
        <w:t>行政管理</w:t>
      </w:r>
      <w:r>
        <w:rPr>
          <w:rFonts w:hint="eastAsia" w:ascii="仿宋_GB2312" w:hAnsi="仿宋_GB2312" w:eastAsia="仿宋_GB2312" w:cs="仿宋_GB2312"/>
          <w:b w:val="0"/>
          <w:bCs w:val="0"/>
          <w:sz w:val="32"/>
          <w:szCs w:val="32"/>
        </w:rPr>
        <w:t>部门负责</w:t>
      </w:r>
      <w:r>
        <w:rPr>
          <w:rFonts w:hint="eastAsia" w:ascii="仿宋_GB2312" w:hAnsi="仿宋_GB2312" w:eastAsia="仿宋_GB2312" w:cs="仿宋_GB2312"/>
          <w:b w:val="0"/>
          <w:bCs w:val="0"/>
          <w:sz w:val="32"/>
          <w:szCs w:val="32"/>
          <w:lang w:eastAsia="zh-CN"/>
        </w:rPr>
        <w:t>本行政区域内</w:t>
      </w:r>
      <w:r>
        <w:rPr>
          <w:rFonts w:hint="eastAsia" w:ascii="仿宋_GB2312" w:hAnsi="仿宋_GB2312" w:eastAsia="仿宋_GB2312" w:cs="仿宋_GB2312"/>
          <w:b w:val="0"/>
          <w:bCs w:val="0"/>
          <w:sz w:val="32"/>
          <w:szCs w:val="32"/>
        </w:rPr>
        <w:t>岭南中药材品牌保护的监督管理工作。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县级以上人民政府中医药主管部门负责</w:t>
      </w:r>
      <w:r>
        <w:rPr>
          <w:rFonts w:hint="eastAsia" w:ascii="仿宋_GB2312" w:hAnsi="仿宋_GB2312" w:eastAsia="仿宋_GB2312" w:cs="仿宋_GB2312"/>
          <w:b w:val="0"/>
          <w:bCs w:val="0"/>
          <w:sz w:val="32"/>
          <w:szCs w:val="32"/>
          <w:lang w:eastAsia="zh-CN"/>
        </w:rPr>
        <w:t>本行政区域内</w:t>
      </w:r>
      <w:r>
        <w:rPr>
          <w:rFonts w:hint="eastAsia" w:ascii="仿宋_GB2312" w:hAnsi="仿宋_GB2312" w:eastAsia="仿宋_GB2312" w:cs="仿宋_GB2312"/>
          <w:b w:val="0"/>
          <w:bCs w:val="0"/>
          <w:sz w:val="32"/>
          <w:szCs w:val="32"/>
        </w:rPr>
        <w:t>岭南中药材保护的专业指导工作。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县级以上人民政府环境保护、食品药品监</w:t>
      </w:r>
      <w:r>
        <w:rPr>
          <w:rFonts w:hint="eastAsia" w:ascii="仿宋_GB2312" w:hAnsi="仿宋_GB2312" w:eastAsia="仿宋_GB2312" w:cs="仿宋_GB2312"/>
          <w:b w:val="0"/>
          <w:bCs w:val="0"/>
          <w:sz w:val="32"/>
          <w:szCs w:val="32"/>
          <w:lang w:eastAsia="zh-CN"/>
        </w:rPr>
        <w:t>督</w:t>
      </w:r>
      <w:r>
        <w:rPr>
          <w:rFonts w:hint="eastAsia" w:ascii="仿宋_GB2312" w:hAnsi="仿宋_GB2312" w:eastAsia="仿宋_GB2312" w:cs="仿宋_GB2312"/>
          <w:b w:val="0"/>
          <w:bCs w:val="0"/>
          <w:sz w:val="32"/>
          <w:szCs w:val="32"/>
        </w:rPr>
        <w:t>管</w:t>
      </w:r>
      <w:r>
        <w:rPr>
          <w:rFonts w:hint="eastAsia" w:ascii="仿宋_GB2312" w:hAnsi="仿宋_GB2312" w:eastAsia="仿宋_GB2312" w:cs="仿宋_GB2312"/>
          <w:b w:val="0"/>
          <w:bCs w:val="0"/>
          <w:sz w:val="32"/>
          <w:szCs w:val="32"/>
          <w:lang w:eastAsia="zh-CN"/>
        </w:rPr>
        <w:t>理</w:t>
      </w:r>
      <w:r>
        <w:rPr>
          <w:rFonts w:hint="eastAsia" w:ascii="仿宋_GB2312" w:hAnsi="仿宋_GB2312" w:eastAsia="仿宋_GB2312" w:cs="仿宋_GB2312"/>
          <w:b w:val="0"/>
          <w:bCs w:val="0"/>
          <w:sz w:val="32"/>
          <w:szCs w:val="32"/>
        </w:rPr>
        <w:t>、质量</w:t>
      </w:r>
      <w:r>
        <w:rPr>
          <w:rFonts w:hint="eastAsia" w:ascii="仿宋_GB2312" w:hAnsi="仿宋_GB2312" w:eastAsia="仿宋_GB2312" w:cs="仿宋_GB2312"/>
          <w:b w:val="0"/>
          <w:bCs w:val="0"/>
          <w:sz w:val="32"/>
          <w:szCs w:val="32"/>
          <w:lang w:eastAsia="zh-CN"/>
        </w:rPr>
        <w:t>技术</w:t>
      </w:r>
      <w:r>
        <w:rPr>
          <w:rFonts w:hint="eastAsia" w:ascii="仿宋_GB2312" w:hAnsi="仿宋_GB2312" w:eastAsia="仿宋_GB2312" w:cs="仿宋_GB2312"/>
          <w:b w:val="0"/>
          <w:bCs w:val="0"/>
          <w:sz w:val="32"/>
          <w:szCs w:val="32"/>
        </w:rPr>
        <w:t>监督</w:t>
      </w:r>
      <w:r>
        <w:rPr>
          <w:rFonts w:hint="eastAsia" w:ascii="仿宋_GB2312" w:hAnsi="仿宋_GB2312" w:eastAsia="仿宋_GB2312" w:cs="仿宋_GB2312"/>
          <w:b w:val="0"/>
          <w:bCs w:val="0"/>
          <w:sz w:val="32"/>
          <w:szCs w:val="32"/>
          <w:lang w:eastAsia="zh-CN"/>
        </w:rPr>
        <w:t>管理</w:t>
      </w:r>
      <w:r>
        <w:rPr>
          <w:rFonts w:hint="eastAsia" w:ascii="仿宋_GB2312" w:hAnsi="仿宋_GB2312" w:eastAsia="仿宋_GB2312" w:cs="仿宋_GB2312"/>
          <w:b w:val="0"/>
          <w:bCs w:val="0"/>
          <w:sz w:val="32"/>
          <w:szCs w:val="32"/>
        </w:rPr>
        <w:t>、商务等有关部门在各自职责范围内，负责</w:t>
      </w:r>
      <w:r>
        <w:rPr>
          <w:rFonts w:hint="eastAsia" w:ascii="仿宋_GB2312" w:hAnsi="仿宋_GB2312" w:eastAsia="仿宋_GB2312" w:cs="仿宋_GB2312"/>
          <w:b w:val="0"/>
          <w:bCs w:val="0"/>
          <w:sz w:val="32"/>
          <w:szCs w:val="32"/>
          <w:lang w:eastAsia="zh-CN"/>
        </w:rPr>
        <w:t>本行政区域内</w:t>
      </w:r>
      <w:r>
        <w:rPr>
          <w:rFonts w:hint="eastAsia" w:ascii="仿宋_GB2312" w:hAnsi="仿宋_GB2312" w:eastAsia="仿宋_GB2312" w:cs="仿宋_GB2312"/>
          <w:b w:val="0"/>
          <w:bCs w:val="0"/>
          <w:sz w:val="32"/>
          <w:szCs w:val="32"/>
        </w:rPr>
        <w:t>岭南中药材保护</w:t>
      </w:r>
      <w:r>
        <w:rPr>
          <w:rFonts w:hint="eastAsia" w:ascii="仿宋_GB2312" w:hAnsi="仿宋_GB2312" w:eastAsia="仿宋_GB2312" w:cs="仿宋_GB2312"/>
          <w:b w:val="0"/>
          <w:bCs w:val="0"/>
          <w:sz w:val="32"/>
          <w:szCs w:val="32"/>
          <w:lang w:eastAsia="zh-CN"/>
        </w:rPr>
        <w:t>的监督管理</w:t>
      </w:r>
      <w:r>
        <w:rPr>
          <w:rFonts w:hint="eastAsia" w:ascii="仿宋_GB2312" w:hAnsi="仿宋_GB2312" w:eastAsia="仿宋_GB2312" w:cs="仿宋_GB2312"/>
          <w:b w:val="0"/>
          <w:bCs w:val="0"/>
          <w:sz w:val="32"/>
          <w:szCs w:val="32"/>
        </w:rPr>
        <w:t>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乡镇人民政府应当</w:t>
      </w:r>
      <w:r>
        <w:rPr>
          <w:rFonts w:hint="eastAsia" w:ascii="仿宋_GB2312" w:hAnsi="仿宋_GB2312" w:eastAsia="仿宋_GB2312" w:cs="仿宋_GB2312"/>
          <w:b w:val="0"/>
          <w:bCs w:val="0"/>
          <w:sz w:val="32"/>
          <w:szCs w:val="32"/>
          <w:lang w:eastAsia="zh-CN"/>
        </w:rPr>
        <w:t>协助</w:t>
      </w:r>
      <w:r>
        <w:rPr>
          <w:rFonts w:hint="eastAsia" w:ascii="仿宋_GB2312" w:hAnsi="仿宋_GB2312" w:eastAsia="仿宋_GB2312" w:cs="仿宋_GB2312"/>
          <w:b w:val="0"/>
          <w:bCs w:val="0"/>
          <w:sz w:val="32"/>
          <w:szCs w:val="32"/>
        </w:rPr>
        <w:t>做好</w:t>
      </w:r>
      <w:r>
        <w:rPr>
          <w:rFonts w:hint="eastAsia" w:ascii="仿宋_GB2312" w:hAnsi="仿宋_GB2312" w:eastAsia="仿宋_GB2312" w:cs="仿宋_GB2312"/>
          <w:b w:val="0"/>
          <w:bCs w:val="0"/>
          <w:sz w:val="32"/>
          <w:szCs w:val="32"/>
          <w:lang w:eastAsia="zh-CN"/>
        </w:rPr>
        <w:t>本行政区域内</w:t>
      </w:r>
      <w:r>
        <w:rPr>
          <w:rFonts w:hint="eastAsia" w:ascii="仿宋_GB2312" w:hAnsi="仿宋_GB2312" w:eastAsia="仿宋_GB2312" w:cs="仿宋_GB2312"/>
          <w:b w:val="0"/>
          <w:bCs w:val="0"/>
          <w:sz w:val="32"/>
          <w:szCs w:val="32"/>
        </w:rPr>
        <w:t>岭南中药材保护具体工作。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第五条</w:t>
      </w:r>
      <w:r>
        <w:rPr>
          <w:rFonts w:hint="eastAsia" w:ascii="仿宋_GB2312" w:hAnsi="仿宋_GB2312" w:eastAsia="仿宋_GB2312" w:cs="仿宋_GB2312"/>
          <w:b w:val="0"/>
          <w:bCs w:val="0"/>
          <w:sz w:val="32"/>
          <w:szCs w:val="32"/>
        </w:rPr>
        <w:t xml:space="preserve">  县级以上人民政府根据需要建立岭南中药材保护联席会议制度，</w:t>
      </w:r>
      <w:r>
        <w:rPr>
          <w:rFonts w:hint="eastAsia" w:ascii="仿宋_GB2312" w:hAnsi="仿宋_GB2312" w:eastAsia="仿宋_GB2312" w:cs="仿宋_GB2312"/>
          <w:b w:val="0"/>
          <w:bCs w:val="0"/>
          <w:sz w:val="32"/>
          <w:szCs w:val="32"/>
          <w:lang w:eastAsia="zh-CN"/>
        </w:rPr>
        <w:t>统筹</w:t>
      </w:r>
      <w:r>
        <w:rPr>
          <w:rFonts w:hint="eastAsia" w:ascii="仿宋_GB2312" w:hAnsi="仿宋_GB2312" w:eastAsia="仿宋_GB2312" w:cs="仿宋_GB2312"/>
          <w:b w:val="0"/>
          <w:bCs w:val="0"/>
          <w:sz w:val="32"/>
          <w:szCs w:val="32"/>
        </w:rPr>
        <w:t>协调保护工作。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县级以上人民政府中医药主管部门为本级人民政府岭南中药材保护联席会议的牵头组织部门。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第六条</w:t>
      </w:r>
      <w:r>
        <w:rPr>
          <w:rFonts w:hint="eastAsia" w:ascii="仿宋_GB2312" w:hAnsi="仿宋_GB2312" w:eastAsia="仿宋_GB2312" w:cs="仿宋_GB2312"/>
          <w:b w:val="0"/>
          <w:bCs w:val="0"/>
          <w:sz w:val="32"/>
          <w:szCs w:val="32"/>
        </w:rPr>
        <w:t xml:space="preserve">  省人民政府应当制定岭南中药材保护规划，统筹岭南中药材种源、产地、种植、品牌等保护工作。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级</w:t>
      </w:r>
      <w:r>
        <w:rPr>
          <w:rFonts w:hint="eastAsia" w:ascii="仿宋_GB2312" w:hAnsi="仿宋_GB2312" w:eastAsia="仿宋_GB2312" w:cs="仿宋_GB2312"/>
          <w:b w:val="0"/>
          <w:bCs w:val="0"/>
          <w:sz w:val="32"/>
          <w:szCs w:val="32"/>
        </w:rPr>
        <w:t>人民政府应当根据省人民政府制定的岭南中药材保护规划，制定岭南中药材保护</w:t>
      </w:r>
      <w:r>
        <w:rPr>
          <w:rFonts w:hint="eastAsia" w:ascii="仿宋_GB2312" w:hAnsi="仿宋_GB2312" w:eastAsia="仿宋_GB2312" w:cs="仿宋_GB2312"/>
          <w:b w:val="0"/>
          <w:bCs w:val="0"/>
          <w:sz w:val="32"/>
          <w:szCs w:val="32"/>
          <w:lang w:eastAsia="zh-CN"/>
        </w:rPr>
        <w:t>规</w:t>
      </w:r>
      <w:r>
        <w:rPr>
          <w:rFonts w:hint="eastAsia" w:ascii="仿宋_GB2312" w:hAnsi="仿宋_GB2312" w:eastAsia="仿宋_GB2312" w:cs="仿宋_GB2312"/>
          <w:b w:val="0"/>
          <w:bCs w:val="0"/>
          <w:sz w:val="32"/>
          <w:szCs w:val="32"/>
        </w:rPr>
        <w:t>划，并纳入国民经济和社会发展规划。</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第七条</w:t>
      </w:r>
      <w:r>
        <w:rPr>
          <w:rFonts w:hint="eastAsia" w:ascii="仿宋_GB2312" w:hAnsi="仿宋_GB2312" w:eastAsia="仿宋_GB2312" w:cs="仿宋_GB2312"/>
          <w:b w:val="0"/>
          <w:bCs w:val="0"/>
          <w:sz w:val="32"/>
          <w:szCs w:val="32"/>
        </w:rPr>
        <w:t xml:space="preserve">  省人民政府应当</w:t>
      </w:r>
      <w:r>
        <w:rPr>
          <w:rFonts w:hint="eastAsia" w:ascii="仿宋_GB2312" w:hAnsi="仿宋_GB2312" w:eastAsia="仿宋_GB2312" w:cs="仿宋_GB2312"/>
          <w:b w:val="0"/>
          <w:bCs w:val="0"/>
          <w:sz w:val="32"/>
          <w:szCs w:val="32"/>
          <w:lang w:eastAsia="zh-CN"/>
        </w:rPr>
        <w:t>安排</w:t>
      </w:r>
      <w:r>
        <w:rPr>
          <w:rFonts w:hint="eastAsia" w:ascii="仿宋_GB2312" w:hAnsi="仿宋_GB2312" w:eastAsia="仿宋_GB2312" w:cs="仿宋_GB2312"/>
          <w:b w:val="0"/>
          <w:bCs w:val="0"/>
          <w:sz w:val="32"/>
          <w:szCs w:val="32"/>
        </w:rPr>
        <w:t>岭南中药材保护</w:t>
      </w:r>
      <w:r>
        <w:rPr>
          <w:rFonts w:hint="eastAsia" w:ascii="仿宋_GB2312" w:hAnsi="仿宋_GB2312" w:eastAsia="仿宋_GB2312" w:cs="仿宋_GB2312"/>
          <w:b w:val="0"/>
          <w:bCs w:val="0"/>
          <w:sz w:val="32"/>
          <w:szCs w:val="32"/>
          <w:lang w:eastAsia="zh-CN"/>
        </w:rPr>
        <w:t>经费</w:t>
      </w:r>
      <w:r>
        <w:rPr>
          <w:rFonts w:hint="eastAsia" w:ascii="仿宋_GB2312" w:hAnsi="仿宋_GB2312" w:eastAsia="仿宋_GB2312" w:cs="仿宋_GB2312"/>
          <w:b w:val="0"/>
          <w:bCs w:val="0"/>
          <w:sz w:val="32"/>
          <w:szCs w:val="32"/>
        </w:rPr>
        <w:t>，制定</w:t>
      </w:r>
      <w:r>
        <w:rPr>
          <w:rFonts w:hint="eastAsia" w:ascii="仿宋_GB2312" w:hAnsi="仿宋_GB2312" w:eastAsia="仿宋_GB2312" w:cs="仿宋_GB2312"/>
          <w:b w:val="0"/>
          <w:bCs w:val="0"/>
          <w:sz w:val="32"/>
          <w:szCs w:val="32"/>
          <w:lang w:eastAsia="zh-CN"/>
        </w:rPr>
        <w:t>保护经费</w:t>
      </w:r>
      <w:r>
        <w:rPr>
          <w:rFonts w:hint="eastAsia" w:ascii="仿宋_GB2312" w:hAnsi="仿宋_GB2312" w:eastAsia="仿宋_GB2312" w:cs="仿宋_GB2312"/>
          <w:b w:val="0"/>
          <w:bCs w:val="0"/>
          <w:sz w:val="32"/>
          <w:szCs w:val="32"/>
        </w:rPr>
        <w:t>管理办法，</w:t>
      </w:r>
      <w:r>
        <w:rPr>
          <w:rFonts w:hint="eastAsia" w:ascii="仿宋_GB2312" w:hAnsi="仿宋_GB2312" w:eastAsia="仿宋_GB2312" w:cs="仿宋_GB2312"/>
          <w:b w:val="0"/>
          <w:bCs w:val="0"/>
          <w:sz w:val="32"/>
          <w:szCs w:val="32"/>
          <w:lang w:eastAsia="zh-CN"/>
        </w:rPr>
        <w:t>为岭南中药材保护提供经费保障</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保护种类所在地的</w:t>
      </w:r>
      <w:r>
        <w:rPr>
          <w:rFonts w:hint="eastAsia" w:ascii="仿宋_GB2312" w:hAnsi="仿宋_GB2312" w:eastAsia="仿宋_GB2312" w:cs="仿宋_GB2312"/>
          <w:b w:val="0"/>
          <w:bCs w:val="0"/>
          <w:sz w:val="32"/>
          <w:szCs w:val="32"/>
        </w:rPr>
        <w:t>人民政府应当</w:t>
      </w:r>
      <w:r>
        <w:rPr>
          <w:rFonts w:hint="eastAsia" w:ascii="仿宋_GB2312" w:hAnsi="仿宋_GB2312" w:eastAsia="仿宋_GB2312" w:cs="仿宋_GB2312"/>
          <w:b w:val="0"/>
          <w:bCs w:val="0"/>
          <w:sz w:val="32"/>
          <w:szCs w:val="32"/>
          <w:lang w:eastAsia="zh-CN"/>
        </w:rPr>
        <w:t>根据实际情况为</w:t>
      </w:r>
      <w:r>
        <w:rPr>
          <w:rFonts w:hint="eastAsia" w:ascii="仿宋_GB2312" w:hAnsi="仿宋_GB2312" w:eastAsia="仿宋_GB2312" w:cs="仿宋_GB2312"/>
          <w:b w:val="0"/>
          <w:bCs w:val="0"/>
          <w:sz w:val="32"/>
          <w:szCs w:val="32"/>
        </w:rPr>
        <w:t>岭南中药材保护</w:t>
      </w:r>
      <w:r>
        <w:rPr>
          <w:rFonts w:hint="eastAsia" w:ascii="仿宋_GB2312" w:hAnsi="仿宋_GB2312" w:eastAsia="仿宋_GB2312" w:cs="仿宋_GB2312"/>
          <w:b w:val="0"/>
          <w:bCs w:val="0"/>
          <w:sz w:val="32"/>
          <w:szCs w:val="32"/>
          <w:lang w:eastAsia="zh-CN"/>
        </w:rPr>
        <w:t>提供必要的经费保障</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第八条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鼓励</w:t>
      </w:r>
      <w:r>
        <w:rPr>
          <w:rFonts w:hint="eastAsia" w:ascii="仿宋_GB2312" w:hAnsi="仿宋_GB2312" w:eastAsia="仿宋_GB2312" w:cs="仿宋_GB2312"/>
          <w:b w:val="0"/>
          <w:bCs w:val="0"/>
          <w:sz w:val="32"/>
          <w:szCs w:val="32"/>
        </w:rPr>
        <w:t>高等院校</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科研机构、</w:t>
      </w:r>
      <w:r>
        <w:rPr>
          <w:rFonts w:hint="eastAsia" w:ascii="仿宋_GB2312" w:hAnsi="仿宋_GB2312" w:eastAsia="仿宋_GB2312" w:cs="仿宋_GB2312"/>
          <w:b w:val="0"/>
          <w:bCs w:val="0"/>
          <w:sz w:val="32"/>
          <w:szCs w:val="32"/>
          <w:lang w:eastAsia="zh-CN"/>
        </w:rPr>
        <w:t>医疗机构</w:t>
      </w:r>
      <w:r>
        <w:rPr>
          <w:rFonts w:hint="eastAsia" w:ascii="仿宋_GB2312" w:hAnsi="仿宋_GB2312" w:eastAsia="仿宋_GB2312" w:cs="仿宋_GB2312"/>
          <w:b w:val="0"/>
          <w:bCs w:val="0"/>
          <w:sz w:val="32"/>
          <w:szCs w:val="32"/>
        </w:rPr>
        <w:t>加强岭南中药材基础研究，继承创新传统生产技术，发展现代生产技术，为岭南中药材保护提供技术支持、专业培训和咨询服务。</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鼓励科研机构、企业和个人在保证药效的前提下，创新岭南中药材育种、种植、采收、产地初加工等技术。</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鼓励建立产学研合作机制促进中药材保护的技术产业转化。</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鼓励行业组织发挥行业自律作用，参与岭南中药材保护工作，提供信息交流、技术培训、信用建设和咨询等服务。</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鼓励金融机构创新适应岭南中药材</w:t>
      </w:r>
      <w:r>
        <w:rPr>
          <w:rFonts w:hint="eastAsia" w:ascii="仿宋_GB2312" w:hAnsi="仿宋_GB2312" w:eastAsia="仿宋_GB2312" w:cs="仿宋_GB2312"/>
          <w:b w:val="0"/>
          <w:bCs w:val="0"/>
          <w:sz w:val="32"/>
          <w:szCs w:val="32"/>
          <w:lang w:eastAsia="zh-CN"/>
        </w:rPr>
        <w:t>保护</w:t>
      </w:r>
      <w:r>
        <w:rPr>
          <w:rFonts w:hint="eastAsia" w:ascii="仿宋_GB2312" w:hAnsi="仿宋_GB2312" w:eastAsia="仿宋_GB2312" w:cs="仿宋_GB2312"/>
          <w:b w:val="0"/>
          <w:bCs w:val="0"/>
          <w:sz w:val="32"/>
          <w:szCs w:val="32"/>
        </w:rPr>
        <w:t>的金融产品，改善金融服务</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加大对岭南中药材</w:t>
      </w:r>
      <w:r>
        <w:rPr>
          <w:rFonts w:hint="eastAsia" w:ascii="仿宋_GB2312" w:hAnsi="仿宋_GB2312" w:eastAsia="仿宋_GB2312" w:cs="仿宋_GB2312"/>
          <w:b w:val="0"/>
          <w:bCs w:val="0"/>
          <w:sz w:val="32"/>
          <w:szCs w:val="32"/>
          <w:lang w:eastAsia="zh-CN"/>
        </w:rPr>
        <w:t>保护</w:t>
      </w:r>
      <w:r>
        <w:rPr>
          <w:rFonts w:hint="eastAsia" w:ascii="仿宋_GB2312" w:hAnsi="仿宋_GB2312" w:eastAsia="仿宋_GB2312" w:cs="仿宋_GB2312"/>
          <w:b w:val="0"/>
          <w:bCs w:val="0"/>
          <w:sz w:val="32"/>
          <w:szCs w:val="32"/>
        </w:rPr>
        <w:t>的信贷投放</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第九条</w:t>
      </w:r>
      <w:r>
        <w:rPr>
          <w:rFonts w:hint="eastAsia" w:ascii="仿宋_GB2312" w:hAnsi="仿宋_GB2312" w:eastAsia="仿宋_GB2312" w:cs="仿宋_GB2312"/>
          <w:b w:val="0"/>
          <w:bCs w:val="0"/>
          <w:sz w:val="32"/>
          <w:szCs w:val="32"/>
        </w:rPr>
        <w:t xml:space="preserve">  各级人民政府应当加强岭南中药材保护的宣传教育，普及岭南中药材常识及相关法律法规知识。</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第二章  一般规定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color w:val="000000"/>
          <w:sz w:val="32"/>
          <w:szCs w:val="32"/>
        </w:rPr>
        <w:t>第十条</w:t>
      </w:r>
      <w:r>
        <w:rPr>
          <w:rFonts w:hint="eastAsia" w:ascii="仿宋_GB2312" w:hAnsi="仿宋_GB2312" w:eastAsia="仿宋_GB2312" w:cs="仿宋_GB2312"/>
          <w:b w:val="0"/>
          <w:bCs w:val="0"/>
          <w:sz w:val="32"/>
          <w:szCs w:val="32"/>
        </w:rPr>
        <w:t xml:space="preserve">  省人民政府质量</w:t>
      </w:r>
      <w:r>
        <w:rPr>
          <w:rFonts w:hint="eastAsia" w:ascii="仿宋_GB2312" w:hAnsi="仿宋_GB2312" w:eastAsia="仿宋_GB2312" w:cs="仿宋_GB2312"/>
          <w:b w:val="0"/>
          <w:bCs w:val="0"/>
          <w:sz w:val="32"/>
          <w:szCs w:val="32"/>
          <w:lang w:eastAsia="zh-CN"/>
        </w:rPr>
        <w:t>技术</w:t>
      </w:r>
      <w:r>
        <w:rPr>
          <w:rFonts w:hint="eastAsia" w:ascii="仿宋_GB2312" w:hAnsi="仿宋_GB2312" w:eastAsia="仿宋_GB2312" w:cs="仿宋_GB2312"/>
          <w:b w:val="0"/>
          <w:bCs w:val="0"/>
          <w:sz w:val="32"/>
          <w:szCs w:val="32"/>
        </w:rPr>
        <w:t>监督</w:t>
      </w:r>
      <w:r>
        <w:rPr>
          <w:rFonts w:hint="eastAsia" w:ascii="仿宋_GB2312" w:hAnsi="仿宋_GB2312" w:eastAsia="仿宋_GB2312" w:cs="仿宋_GB2312"/>
          <w:b w:val="0"/>
          <w:bCs w:val="0"/>
          <w:sz w:val="32"/>
          <w:szCs w:val="32"/>
          <w:lang w:eastAsia="zh-CN"/>
        </w:rPr>
        <w:t>管理</w:t>
      </w:r>
      <w:r>
        <w:rPr>
          <w:rFonts w:hint="eastAsia" w:ascii="仿宋_GB2312" w:hAnsi="仿宋_GB2312" w:eastAsia="仿宋_GB2312" w:cs="仿宋_GB2312"/>
          <w:b w:val="0"/>
          <w:bCs w:val="0"/>
          <w:sz w:val="32"/>
          <w:szCs w:val="32"/>
        </w:rPr>
        <w:t>、食品药品</w:t>
      </w:r>
      <w:r>
        <w:rPr>
          <w:rFonts w:hint="eastAsia" w:ascii="仿宋_GB2312" w:hAnsi="仿宋_GB2312" w:eastAsia="仿宋_GB2312" w:cs="仿宋_GB2312"/>
          <w:b w:val="0"/>
          <w:bCs w:val="0"/>
          <w:sz w:val="32"/>
          <w:szCs w:val="32"/>
          <w:lang w:eastAsia="zh-CN"/>
        </w:rPr>
        <w:t>监督管理</w:t>
      </w:r>
      <w:r>
        <w:rPr>
          <w:rFonts w:hint="eastAsia" w:ascii="仿宋_GB2312" w:hAnsi="仿宋_GB2312" w:eastAsia="仿宋_GB2312" w:cs="仿宋_GB2312"/>
          <w:b w:val="0"/>
          <w:bCs w:val="0"/>
          <w:sz w:val="32"/>
          <w:szCs w:val="32"/>
        </w:rPr>
        <w:t>、中医药主管部门应当会同有关部门在国家药品标准的基础上，完善保护种类</w:t>
      </w:r>
      <w:r>
        <w:rPr>
          <w:rFonts w:hint="eastAsia" w:ascii="仿宋_GB2312" w:hAnsi="仿宋_GB2312" w:eastAsia="仿宋_GB2312" w:cs="仿宋_GB2312"/>
          <w:b w:val="0"/>
          <w:bCs w:val="0"/>
          <w:sz w:val="32"/>
          <w:szCs w:val="32"/>
          <w:lang w:eastAsia="zh-CN"/>
        </w:rPr>
        <w:t>的质量</w:t>
      </w:r>
      <w:r>
        <w:rPr>
          <w:rFonts w:hint="eastAsia" w:ascii="仿宋_GB2312" w:hAnsi="仿宋_GB2312" w:eastAsia="仿宋_GB2312" w:cs="仿宋_GB2312"/>
          <w:b w:val="0"/>
          <w:bCs w:val="0"/>
          <w:sz w:val="32"/>
          <w:szCs w:val="32"/>
        </w:rPr>
        <w:t>标准。</w:t>
      </w:r>
      <w:r>
        <w:rPr>
          <w:rFonts w:hint="eastAsia" w:ascii="仿宋_GB2312" w:hAnsi="仿宋_GB2312" w:eastAsia="仿宋_GB2312" w:cs="仿宋_GB2312"/>
          <w:b w:val="0"/>
          <w:bCs w:val="0"/>
          <w:sz w:val="32"/>
          <w:szCs w:val="32"/>
          <w:lang w:val="en-US" w:eastAsia="zh-CN"/>
        </w:rPr>
        <w:t xml:space="preserve">      </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省人民政府食品药品监督管理部门应当会同经济和信息化主管部门</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支持</w:t>
      </w:r>
      <w:r>
        <w:rPr>
          <w:rFonts w:hint="eastAsia" w:ascii="仿宋_GB2312" w:hAnsi="仿宋_GB2312" w:eastAsia="仿宋_GB2312" w:cs="仿宋_GB2312"/>
          <w:b w:val="0"/>
          <w:bCs w:val="0"/>
          <w:sz w:val="32"/>
          <w:szCs w:val="32"/>
          <w:lang w:eastAsia="zh-CN"/>
        </w:rPr>
        <w:t>企业和科研机构</w:t>
      </w:r>
      <w:r>
        <w:rPr>
          <w:rFonts w:hint="eastAsia" w:ascii="仿宋_GB2312" w:hAnsi="仿宋_GB2312" w:eastAsia="仿宋_GB2312" w:cs="仿宋_GB2312"/>
          <w:b w:val="0"/>
          <w:bCs w:val="0"/>
          <w:sz w:val="32"/>
          <w:szCs w:val="32"/>
        </w:rPr>
        <w:t>运用现代中药分析技术</w:t>
      </w:r>
      <w:r>
        <w:rPr>
          <w:rFonts w:hint="eastAsia" w:ascii="仿宋_GB2312" w:hAnsi="仿宋_GB2312" w:eastAsia="仿宋_GB2312" w:cs="仿宋_GB2312"/>
          <w:b w:val="0"/>
          <w:bCs w:val="0"/>
          <w:sz w:val="32"/>
          <w:szCs w:val="32"/>
          <w:lang w:eastAsia="zh-CN"/>
        </w:rPr>
        <w:t>等</w:t>
      </w:r>
      <w:r>
        <w:rPr>
          <w:rFonts w:hint="eastAsia" w:ascii="仿宋_GB2312" w:hAnsi="仿宋_GB2312" w:eastAsia="仿宋_GB2312" w:cs="仿宋_GB2312"/>
          <w:b w:val="0"/>
          <w:bCs w:val="0"/>
          <w:sz w:val="32"/>
          <w:szCs w:val="32"/>
        </w:rPr>
        <w:t>方法研究制定</w:t>
      </w:r>
      <w:r>
        <w:rPr>
          <w:rFonts w:hint="eastAsia" w:ascii="仿宋_GB2312" w:hAnsi="仿宋_GB2312" w:eastAsia="仿宋_GB2312" w:cs="仿宋_GB2312"/>
          <w:b w:val="0"/>
          <w:bCs w:val="0"/>
          <w:sz w:val="32"/>
          <w:szCs w:val="32"/>
          <w:lang w:eastAsia="zh-CN"/>
        </w:rPr>
        <w:t>保护种类</w:t>
      </w:r>
      <w:r>
        <w:rPr>
          <w:rFonts w:hint="eastAsia" w:ascii="仿宋_GB2312" w:hAnsi="仿宋_GB2312" w:eastAsia="仿宋_GB2312" w:cs="仿宋_GB2312"/>
          <w:b w:val="0"/>
          <w:bCs w:val="0"/>
          <w:sz w:val="32"/>
          <w:szCs w:val="32"/>
        </w:rPr>
        <w:t>质量控制和物种鉴定标准。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鼓励</w:t>
      </w:r>
      <w:r>
        <w:rPr>
          <w:rFonts w:hint="eastAsia" w:ascii="仿宋_GB2312" w:hAnsi="仿宋_GB2312" w:eastAsia="仿宋_GB2312" w:cs="仿宋_GB2312"/>
          <w:b w:val="0"/>
          <w:bCs w:val="0"/>
          <w:sz w:val="32"/>
          <w:szCs w:val="32"/>
          <w:lang w:eastAsia="zh-CN"/>
        </w:rPr>
        <w:t>岭南</w:t>
      </w:r>
      <w:r>
        <w:rPr>
          <w:rFonts w:hint="eastAsia" w:ascii="仿宋_GB2312" w:hAnsi="仿宋_GB2312" w:eastAsia="仿宋_GB2312" w:cs="仿宋_GB2312"/>
          <w:b w:val="0"/>
          <w:bCs w:val="0"/>
          <w:sz w:val="32"/>
          <w:szCs w:val="32"/>
        </w:rPr>
        <w:t>中药材生产企业制定严于</w:t>
      </w:r>
      <w:r>
        <w:rPr>
          <w:rFonts w:hint="eastAsia" w:ascii="仿宋_GB2312" w:hAnsi="仿宋_GB2312" w:eastAsia="仿宋_GB2312" w:cs="仿宋_GB2312"/>
          <w:b w:val="0"/>
          <w:bCs w:val="0"/>
          <w:sz w:val="32"/>
          <w:szCs w:val="32"/>
          <w:lang w:eastAsia="zh-CN"/>
        </w:rPr>
        <w:t>国家标准、地方标准</w:t>
      </w:r>
      <w:r>
        <w:rPr>
          <w:rFonts w:hint="eastAsia" w:ascii="仿宋_GB2312" w:hAnsi="仿宋_GB2312" w:eastAsia="仿宋_GB2312" w:cs="仿宋_GB2312"/>
          <w:b w:val="0"/>
          <w:bCs w:val="0"/>
          <w:sz w:val="32"/>
          <w:szCs w:val="32"/>
        </w:rPr>
        <w:t>的企业标准，在本企业适用</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第十一条</w:t>
      </w:r>
      <w:r>
        <w:rPr>
          <w:rFonts w:hint="eastAsia" w:ascii="仿宋_GB2312" w:hAnsi="仿宋_GB2312" w:eastAsia="仿宋_GB2312" w:cs="仿宋_GB2312"/>
          <w:b w:val="0"/>
          <w:bCs w:val="0"/>
          <w:sz w:val="32"/>
          <w:szCs w:val="32"/>
        </w:rPr>
        <w:t xml:space="preserve">  省人民政府商务主管部门应当会同食品药品监督管理部门制定和完善保护种类的商品规格等级标准，促进岭南中药材产品质量的提高。</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第十二条</w:t>
      </w:r>
      <w:r>
        <w:rPr>
          <w:rFonts w:hint="eastAsia" w:ascii="仿宋_GB2312" w:hAnsi="仿宋_GB2312" w:eastAsia="仿宋_GB2312" w:cs="仿宋_GB2312"/>
          <w:b w:val="0"/>
          <w:bCs w:val="0"/>
          <w:sz w:val="32"/>
          <w:szCs w:val="32"/>
        </w:rPr>
        <w:t xml:space="preserve">  县级以上人民政府商务主管部门应当</w:t>
      </w:r>
      <w:r>
        <w:rPr>
          <w:rFonts w:hint="eastAsia" w:ascii="仿宋_GB2312" w:hAnsi="仿宋_GB2312" w:eastAsia="仿宋_GB2312" w:cs="仿宋_GB2312"/>
          <w:b w:val="0"/>
          <w:bCs w:val="0"/>
          <w:sz w:val="32"/>
          <w:szCs w:val="32"/>
          <w:lang w:eastAsia="zh-CN"/>
        </w:rPr>
        <w:t>会同食品药品监督管理、中医药主管部门</w:t>
      </w:r>
      <w:r>
        <w:rPr>
          <w:rFonts w:hint="eastAsia" w:ascii="仿宋_GB2312" w:hAnsi="仿宋_GB2312" w:eastAsia="仿宋_GB2312" w:cs="仿宋_GB2312"/>
          <w:b w:val="0"/>
          <w:bCs w:val="0"/>
          <w:sz w:val="32"/>
          <w:szCs w:val="32"/>
        </w:rPr>
        <w:t>利用省中药材流通追溯体系公共平台，建立保护种类育种、种植、采收、加工、流通的全过程质量追溯制度。</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省人民政府商务主管部门应当会同有关部门制定和实施统一的岭南中药材质量安全追溯编码方案。</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级</w:t>
      </w:r>
      <w:r>
        <w:rPr>
          <w:rFonts w:hint="eastAsia" w:ascii="仿宋_GB2312" w:hAnsi="仿宋_GB2312" w:eastAsia="仿宋_GB2312" w:cs="仿宋_GB2312"/>
          <w:b w:val="0"/>
          <w:bCs w:val="0"/>
          <w:sz w:val="32"/>
          <w:szCs w:val="32"/>
        </w:rPr>
        <w:t>人民政府商务主管部门应当加强质量追溯制度宣传</w:t>
      </w:r>
      <w:r>
        <w:rPr>
          <w:rFonts w:hint="eastAsia" w:ascii="仿宋_GB2312" w:hAnsi="仿宋_GB2312" w:eastAsia="仿宋_GB2312" w:cs="仿宋_GB2312"/>
          <w:b w:val="0"/>
          <w:bCs w:val="0"/>
          <w:sz w:val="32"/>
          <w:szCs w:val="32"/>
          <w:lang w:eastAsia="zh-CN"/>
        </w:rPr>
        <w:t>，组织相关</w:t>
      </w:r>
      <w:r>
        <w:rPr>
          <w:rFonts w:hint="eastAsia" w:ascii="仿宋_GB2312" w:hAnsi="仿宋_GB2312" w:eastAsia="仿宋_GB2312" w:cs="仿宋_GB2312"/>
          <w:b w:val="0"/>
          <w:bCs w:val="0"/>
          <w:sz w:val="32"/>
          <w:szCs w:val="32"/>
        </w:rPr>
        <w:t>培训，指导岭南中药材生产者建立质量追溯制度。</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岭南中药材生产者应当建立健全质量管理制度，如实记录、提供可供追溯的相关信息。岭南中药材进入流通市场应当使用质量安全追溯编码</w:t>
      </w:r>
      <w:r>
        <w:rPr>
          <w:rFonts w:hint="eastAsia" w:ascii="仿宋_GB2312" w:hAnsi="仿宋_GB2312" w:eastAsia="仿宋_GB2312" w:cs="仿宋_GB2312"/>
          <w:b w:val="0"/>
          <w:bCs w:val="0"/>
          <w:sz w:val="32"/>
          <w:szCs w:val="32"/>
          <w:lang w:eastAsia="zh-CN"/>
        </w:rPr>
        <w:t>，并推行使用统一标识直接载明质量安全追溯编码信息</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第十三条</w:t>
      </w:r>
      <w:r>
        <w:rPr>
          <w:rFonts w:hint="eastAsia" w:ascii="仿宋_GB2312" w:hAnsi="仿宋_GB2312" w:eastAsia="仿宋_GB2312" w:cs="仿宋_GB2312"/>
          <w:b w:val="0"/>
          <w:bCs w:val="0"/>
          <w:sz w:val="32"/>
          <w:szCs w:val="32"/>
        </w:rPr>
        <w:t xml:space="preserve">  省人民政府</w:t>
      </w:r>
      <w:r>
        <w:rPr>
          <w:rFonts w:hint="eastAsia" w:ascii="仿宋_GB2312" w:hAnsi="仿宋_GB2312" w:eastAsia="仿宋_GB2312" w:cs="仿宋_GB2312"/>
          <w:b w:val="0"/>
          <w:bCs w:val="0"/>
          <w:sz w:val="32"/>
          <w:szCs w:val="32"/>
          <w:lang w:eastAsia="zh-CN"/>
        </w:rPr>
        <w:t>农业、林业</w:t>
      </w:r>
      <w:r>
        <w:rPr>
          <w:rFonts w:hint="eastAsia" w:ascii="仿宋_GB2312" w:hAnsi="仿宋_GB2312" w:eastAsia="仿宋_GB2312" w:cs="仿宋_GB2312"/>
          <w:b w:val="0"/>
          <w:bCs w:val="0"/>
          <w:sz w:val="32"/>
          <w:szCs w:val="32"/>
        </w:rPr>
        <w:t>主管部门应当会同有关部门，依托</w:t>
      </w:r>
      <w:r>
        <w:rPr>
          <w:rFonts w:hint="eastAsia" w:ascii="仿宋_GB2312" w:hAnsi="仿宋_GB2312" w:eastAsia="仿宋_GB2312" w:cs="仿宋_GB2312"/>
          <w:b w:val="0"/>
          <w:bCs w:val="0"/>
          <w:sz w:val="32"/>
          <w:szCs w:val="32"/>
          <w:lang w:eastAsia="zh-CN"/>
        </w:rPr>
        <w:t>企业和</w:t>
      </w:r>
      <w:r>
        <w:rPr>
          <w:rFonts w:hint="eastAsia" w:ascii="仿宋_GB2312" w:hAnsi="仿宋_GB2312" w:eastAsia="仿宋_GB2312" w:cs="仿宋_GB2312"/>
          <w:b w:val="0"/>
          <w:bCs w:val="0"/>
          <w:sz w:val="32"/>
          <w:szCs w:val="32"/>
        </w:rPr>
        <w:t>科研机构构建岭南中药材生产技术服务网络，</w:t>
      </w:r>
      <w:r>
        <w:rPr>
          <w:rFonts w:hint="eastAsia" w:ascii="仿宋_GB2312" w:hAnsi="仿宋_GB2312" w:eastAsia="仿宋_GB2312" w:cs="仿宋_GB2312"/>
          <w:b w:val="0"/>
          <w:bCs w:val="0"/>
          <w:sz w:val="32"/>
          <w:szCs w:val="32"/>
          <w:lang w:eastAsia="zh-CN"/>
        </w:rPr>
        <w:t>促进</w:t>
      </w:r>
      <w:r>
        <w:rPr>
          <w:rFonts w:hint="eastAsia" w:ascii="仿宋_GB2312" w:hAnsi="仿宋_GB2312" w:eastAsia="仿宋_GB2312" w:cs="仿宋_GB2312"/>
          <w:b w:val="0"/>
          <w:bCs w:val="0"/>
          <w:sz w:val="32"/>
          <w:szCs w:val="32"/>
        </w:rPr>
        <w:t>岭南中药材生产先进技术转化和推广应用，提供全面、准确、及时的岭南中药材生产信息及趋势预测。</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第十四条</w:t>
      </w:r>
      <w:r>
        <w:rPr>
          <w:rFonts w:hint="eastAsia" w:ascii="仿宋_GB2312" w:hAnsi="仿宋_GB2312" w:eastAsia="仿宋_GB2312" w:cs="仿宋_GB2312"/>
          <w:b w:val="0"/>
          <w:bCs w:val="0"/>
          <w:sz w:val="32"/>
          <w:szCs w:val="32"/>
        </w:rPr>
        <w:t xml:space="preserve">  省人民政府中医药主管部门应当会同有关部门</w:t>
      </w:r>
      <w:r>
        <w:rPr>
          <w:rFonts w:hint="eastAsia" w:ascii="仿宋_GB2312" w:hAnsi="仿宋_GB2312" w:eastAsia="仿宋_GB2312" w:cs="仿宋_GB2312"/>
          <w:b w:val="0"/>
          <w:bCs w:val="0"/>
          <w:sz w:val="32"/>
          <w:szCs w:val="32"/>
          <w:lang w:eastAsia="zh-CN"/>
        </w:rPr>
        <w:t>依托</w:t>
      </w:r>
      <w:r>
        <w:rPr>
          <w:rFonts w:hint="eastAsia" w:ascii="仿宋_GB2312" w:hAnsi="仿宋_GB2312" w:eastAsia="仿宋_GB2312" w:cs="仿宋_GB2312"/>
          <w:b w:val="0"/>
          <w:bCs w:val="0"/>
          <w:sz w:val="32"/>
          <w:szCs w:val="32"/>
        </w:rPr>
        <w:t>中药资源动态</w:t>
      </w:r>
      <w:r>
        <w:rPr>
          <w:rFonts w:hint="eastAsia" w:ascii="仿宋_GB2312" w:hAnsi="仿宋_GB2312" w:eastAsia="仿宋_GB2312" w:cs="仿宋_GB2312"/>
          <w:b w:val="0"/>
          <w:bCs w:val="0"/>
          <w:sz w:val="32"/>
          <w:szCs w:val="32"/>
          <w:lang w:eastAsia="zh-CN"/>
        </w:rPr>
        <w:t>监测体系，发挥企业和</w:t>
      </w:r>
      <w:r>
        <w:rPr>
          <w:rFonts w:hint="eastAsia" w:ascii="仿宋_GB2312" w:hAnsi="仿宋_GB2312" w:eastAsia="仿宋_GB2312" w:cs="仿宋_GB2312"/>
          <w:b w:val="0"/>
          <w:bCs w:val="0"/>
          <w:sz w:val="32"/>
          <w:szCs w:val="32"/>
        </w:rPr>
        <w:t>科研机构</w:t>
      </w:r>
      <w:r>
        <w:rPr>
          <w:rFonts w:hint="eastAsia" w:ascii="仿宋_GB2312" w:hAnsi="仿宋_GB2312" w:eastAsia="仿宋_GB2312" w:cs="仿宋_GB2312"/>
          <w:b w:val="0"/>
          <w:bCs w:val="0"/>
          <w:sz w:val="32"/>
          <w:szCs w:val="32"/>
          <w:lang w:eastAsia="zh-CN"/>
        </w:rPr>
        <w:t>的作用提供</w:t>
      </w:r>
      <w:r>
        <w:rPr>
          <w:rFonts w:hint="eastAsia" w:ascii="仿宋_GB2312" w:hAnsi="仿宋_GB2312" w:eastAsia="仿宋_GB2312" w:cs="仿宋_GB2312"/>
          <w:b w:val="0"/>
          <w:bCs w:val="0"/>
          <w:sz w:val="32"/>
          <w:szCs w:val="32"/>
        </w:rPr>
        <w:t>中药原料质量监测</w:t>
      </w:r>
      <w:r>
        <w:rPr>
          <w:rFonts w:hint="eastAsia" w:ascii="仿宋_GB2312" w:hAnsi="仿宋_GB2312" w:eastAsia="仿宋_GB2312" w:cs="仿宋_GB2312"/>
          <w:b w:val="0"/>
          <w:bCs w:val="0"/>
          <w:sz w:val="32"/>
          <w:szCs w:val="32"/>
          <w:lang w:eastAsia="zh-CN"/>
        </w:rPr>
        <w:t>技术</w:t>
      </w:r>
      <w:r>
        <w:rPr>
          <w:rFonts w:hint="eastAsia" w:ascii="仿宋_GB2312" w:hAnsi="仿宋_GB2312" w:eastAsia="仿宋_GB2312" w:cs="仿宋_GB2312"/>
          <w:b w:val="0"/>
          <w:bCs w:val="0"/>
          <w:sz w:val="32"/>
          <w:szCs w:val="32"/>
        </w:rPr>
        <w:t>服务，根据需要建立监测站，开展中药资源信息收集、整理与动态监测，及时提供预警信息。</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第十五条</w:t>
      </w:r>
      <w:r>
        <w:rPr>
          <w:rFonts w:hint="eastAsia" w:ascii="仿宋_GB2312" w:hAnsi="仿宋_GB2312" w:eastAsia="仿宋_GB2312" w:cs="仿宋_GB2312"/>
          <w:b w:val="0"/>
          <w:bCs w:val="0"/>
          <w:sz w:val="32"/>
          <w:szCs w:val="32"/>
        </w:rPr>
        <w:t xml:space="preserve">  县级以上人民政府中医药主管部门应当会同</w:t>
      </w:r>
      <w:r>
        <w:rPr>
          <w:rFonts w:hint="eastAsia" w:ascii="仿宋_GB2312" w:hAnsi="仿宋_GB2312" w:eastAsia="仿宋_GB2312" w:cs="仿宋_GB2312"/>
          <w:b w:val="0"/>
          <w:bCs w:val="0"/>
          <w:sz w:val="32"/>
          <w:szCs w:val="32"/>
          <w:lang w:eastAsia="zh-CN"/>
        </w:rPr>
        <w:t>科技、</w:t>
      </w:r>
      <w:r>
        <w:rPr>
          <w:rFonts w:hint="eastAsia" w:ascii="仿宋_GB2312" w:hAnsi="仿宋_GB2312" w:eastAsia="仿宋_GB2312" w:cs="仿宋_GB2312"/>
          <w:b w:val="0"/>
          <w:bCs w:val="0"/>
          <w:sz w:val="32"/>
          <w:szCs w:val="32"/>
        </w:rPr>
        <w:t>农业或者林业等</w:t>
      </w:r>
      <w:r>
        <w:rPr>
          <w:rFonts w:hint="eastAsia" w:ascii="仿宋_GB2312" w:hAnsi="仿宋_GB2312" w:eastAsia="仿宋_GB2312" w:cs="仿宋_GB2312"/>
          <w:b w:val="0"/>
          <w:bCs w:val="0"/>
          <w:sz w:val="32"/>
          <w:szCs w:val="32"/>
          <w:lang w:eastAsia="zh-CN"/>
        </w:rPr>
        <w:t>有关</w:t>
      </w:r>
      <w:r>
        <w:rPr>
          <w:rFonts w:hint="eastAsia" w:ascii="仿宋_GB2312" w:hAnsi="仿宋_GB2312" w:eastAsia="仿宋_GB2312" w:cs="仿宋_GB2312"/>
          <w:b w:val="0"/>
          <w:bCs w:val="0"/>
          <w:sz w:val="32"/>
          <w:szCs w:val="32"/>
        </w:rPr>
        <w:t>部门</w:t>
      </w:r>
      <w:r>
        <w:rPr>
          <w:rFonts w:hint="eastAsia" w:ascii="仿宋_GB2312" w:hAnsi="仿宋_GB2312" w:eastAsia="仿宋_GB2312" w:cs="仿宋_GB2312"/>
          <w:b w:val="0"/>
          <w:bCs w:val="0"/>
          <w:sz w:val="32"/>
          <w:szCs w:val="32"/>
          <w:lang w:eastAsia="zh-CN"/>
        </w:rPr>
        <w:t>促进</w:t>
      </w:r>
      <w:r>
        <w:rPr>
          <w:rFonts w:hint="eastAsia" w:ascii="仿宋_GB2312" w:hAnsi="仿宋_GB2312" w:eastAsia="仿宋_GB2312" w:cs="仿宋_GB2312"/>
          <w:b w:val="0"/>
          <w:bCs w:val="0"/>
          <w:sz w:val="32"/>
          <w:szCs w:val="32"/>
        </w:rPr>
        <w:t>岭南中药材</w:t>
      </w:r>
      <w:r>
        <w:rPr>
          <w:rFonts w:hint="eastAsia" w:ascii="仿宋_GB2312" w:hAnsi="仿宋_GB2312" w:eastAsia="仿宋_GB2312" w:cs="仿宋_GB2312"/>
          <w:b w:val="0"/>
          <w:bCs w:val="0"/>
          <w:sz w:val="32"/>
          <w:szCs w:val="32"/>
          <w:lang w:eastAsia="zh-CN"/>
        </w:rPr>
        <w:t>传统</w:t>
      </w:r>
      <w:r>
        <w:rPr>
          <w:rFonts w:hint="eastAsia" w:ascii="仿宋_GB2312" w:hAnsi="仿宋_GB2312" w:eastAsia="仿宋_GB2312" w:cs="仿宋_GB2312"/>
          <w:b w:val="0"/>
          <w:bCs w:val="0"/>
          <w:sz w:val="32"/>
          <w:szCs w:val="32"/>
        </w:rPr>
        <w:t>生产技术的继承创新，推动岭南中药材</w:t>
      </w:r>
      <w:r>
        <w:rPr>
          <w:rFonts w:hint="eastAsia" w:ascii="仿宋_GB2312" w:hAnsi="仿宋_GB2312" w:eastAsia="仿宋_GB2312" w:cs="仿宋_GB2312"/>
          <w:b w:val="0"/>
          <w:bCs w:val="0"/>
          <w:sz w:val="32"/>
          <w:szCs w:val="32"/>
          <w:lang w:eastAsia="zh-CN"/>
        </w:rPr>
        <w:t>生产</w:t>
      </w:r>
      <w:r>
        <w:rPr>
          <w:rFonts w:hint="eastAsia" w:ascii="仿宋_GB2312" w:hAnsi="仿宋_GB2312" w:eastAsia="仿宋_GB2312" w:cs="仿宋_GB2312"/>
          <w:b w:val="0"/>
          <w:bCs w:val="0"/>
          <w:sz w:val="32"/>
          <w:szCs w:val="32"/>
        </w:rPr>
        <w:t>技术创新和成果转化。以岭南中药材良种繁育基地和优质岭南中药材生产基地为载体，指导保护种类生产者制定相关技术规范，支持科研机构继承和研究岭南中药材种子种苗培育、种植、采收等技术，完善相关技术规范，</w:t>
      </w:r>
      <w:r>
        <w:rPr>
          <w:rFonts w:hint="eastAsia" w:ascii="仿宋_GB2312" w:hAnsi="仿宋_GB2312" w:eastAsia="仿宋_GB2312" w:cs="仿宋_GB2312"/>
          <w:b w:val="0"/>
          <w:bCs w:val="0"/>
          <w:sz w:val="32"/>
          <w:szCs w:val="32"/>
          <w:lang w:eastAsia="zh-CN"/>
        </w:rPr>
        <w:t>并</w:t>
      </w:r>
      <w:r>
        <w:rPr>
          <w:rFonts w:hint="eastAsia" w:ascii="仿宋_GB2312" w:hAnsi="仿宋_GB2312" w:eastAsia="仿宋_GB2312" w:cs="仿宋_GB2312"/>
          <w:b w:val="0"/>
          <w:bCs w:val="0"/>
          <w:sz w:val="32"/>
          <w:szCs w:val="32"/>
        </w:rPr>
        <w:t>在适宜地区</w:t>
      </w:r>
      <w:r>
        <w:rPr>
          <w:rFonts w:hint="eastAsia" w:ascii="仿宋_GB2312" w:hAnsi="仿宋_GB2312" w:eastAsia="仿宋_GB2312" w:cs="仿宋_GB2312"/>
          <w:b w:val="0"/>
          <w:bCs w:val="0"/>
          <w:sz w:val="32"/>
          <w:szCs w:val="32"/>
          <w:lang w:eastAsia="zh-CN"/>
        </w:rPr>
        <w:t>加以</w:t>
      </w:r>
      <w:r>
        <w:rPr>
          <w:rFonts w:hint="eastAsia" w:ascii="仿宋_GB2312" w:hAnsi="仿宋_GB2312" w:eastAsia="仿宋_GB2312" w:cs="仿宋_GB2312"/>
          <w:b w:val="0"/>
          <w:bCs w:val="0"/>
          <w:sz w:val="32"/>
          <w:szCs w:val="32"/>
        </w:rPr>
        <w:t>推广</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第十六条</w:t>
      </w:r>
      <w:r>
        <w:rPr>
          <w:rFonts w:hint="eastAsia" w:ascii="仿宋_GB2312" w:hAnsi="仿宋_GB2312" w:eastAsia="仿宋_GB2312" w:cs="仿宋_GB2312"/>
          <w:b w:val="0"/>
          <w:bCs w:val="0"/>
          <w:sz w:val="32"/>
          <w:szCs w:val="32"/>
        </w:rPr>
        <w:t xml:space="preserve">  县级以上人民政府中医药、农业或者林业主管部门应当将岭南中药材</w:t>
      </w:r>
      <w:r>
        <w:rPr>
          <w:rFonts w:hint="eastAsia" w:ascii="仿宋_GB2312" w:hAnsi="仿宋_GB2312" w:eastAsia="仿宋_GB2312" w:cs="仿宋_GB2312"/>
          <w:b w:val="0"/>
          <w:bCs w:val="0"/>
          <w:sz w:val="32"/>
          <w:szCs w:val="32"/>
          <w:lang w:eastAsia="zh-CN"/>
        </w:rPr>
        <w:t>生产</w:t>
      </w:r>
      <w:r>
        <w:rPr>
          <w:rFonts w:hint="eastAsia" w:ascii="仿宋_GB2312" w:hAnsi="仿宋_GB2312" w:eastAsia="仿宋_GB2312" w:cs="仿宋_GB2312"/>
          <w:b w:val="0"/>
          <w:bCs w:val="0"/>
          <w:sz w:val="32"/>
          <w:szCs w:val="32"/>
        </w:rPr>
        <w:t>从业人员列入农村科技实用人才培训计划，定期举办技术人员培训，组织中药材技术专家巡回指导，</w:t>
      </w:r>
      <w:r>
        <w:rPr>
          <w:rFonts w:hint="eastAsia" w:ascii="仿宋_GB2312" w:hAnsi="仿宋_GB2312" w:eastAsia="仿宋_GB2312" w:cs="仿宋_GB2312"/>
          <w:b w:val="0"/>
          <w:bCs w:val="0"/>
          <w:sz w:val="32"/>
          <w:szCs w:val="32"/>
          <w:lang w:eastAsia="zh-CN"/>
        </w:rPr>
        <w:t>在</w:t>
      </w:r>
      <w:r>
        <w:rPr>
          <w:rFonts w:hint="eastAsia" w:ascii="仿宋_GB2312" w:hAnsi="仿宋_GB2312" w:eastAsia="仿宋_GB2312" w:cs="仿宋_GB2312"/>
          <w:b w:val="0"/>
          <w:bCs w:val="0"/>
          <w:sz w:val="32"/>
          <w:szCs w:val="32"/>
        </w:rPr>
        <w:t>保护种类</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资源保护、繁育种植、鉴定技术和信息服务</w:t>
      </w:r>
      <w:r>
        <w:rPr>
          <w:rFonts w:hint="eastAsia" w:ascii="仿宋_GB2312" w:hAnsi="仿宋_GB2312" w:eastAsia="仿宋_GB2312" w:cs="仿宋_GB2312"/>
          <w:b w:val="0"/>
          <w:bCs w:val="0"/>
          <w:sz w:val="32"/>
          <w:szCs w:val="32"/>
          <w:lang w:eastAsia="zh-CN"/>
        </w:rPr>
        <w:t>方面培养</w:t>
      </w:r>
      <w:r>
        <w:rPr>
          <w:rFonts w:hint="eastAsia" w:ascii="仿宋_GB2312" w:hAnsi="仿宋_GB2312" w:eastAsia="仿宋_GB2312" w:cs="仿宋_GB2312"/>
          <w:b w:val="0"/>
          <w:bCs w:val="0"/>
          <w:sz w:val="32"/>
          <w:szCs w:val="32"/>
        </w:rPr>
        <w:t>专业人才。</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县级以上人民政府</w:t>
      </w:r>
      <w:r>
        <w:rPr>
          <w:rFonts w:hint="eastAsia" w:ascii="仿宋_GB2312" w:hAnsi="仿宋_GB2312" w:eastAsia="仿宋_GB2312" w:cs="仿宋_GB2312"/>
          <w:b w:val="0"/>
          <w:bCs w:val="0"/>
          <w:sz w:val="32"/>
          <w:szCs w:val="32"/>
          <w:lang w:eastAsia="zh-CN"/>
        </w:rPr>
        <w:t>人力资源和社会保障部门、</w:t>
      </w:r>
      <w:r>
        <w:rPr>
          <w:rFonts w:hint="eastAsia" w:ascii="仿宋_GB2312" w:hAnsi="仿宋_GB2312" w:eastAsia="仿宋_GB2312" w:cs="仿宋_GB2312"/>
          <w:b w:val="0"/>
          <w:bCs w:val="0"/>
          <w:sz w:val="32"/>
          <w:szCs w:val="32"/>
        </w:rPr>
        <w:t>中医药主管部门应当建立健全专业技术人才培养和引进机制。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第十七条</w:t>
      </w:r>
      <w:r>
        <w:rPr>
          <w:rFonts w:hint="eastAsia" w:ascii="仿宋_GB2312" w:hAnsi="仿宋_GB2312" w:eastAsia="仿宋_GB2312" w:cs="仿宋_GB2312"/>
          <w:b w:val="0"/>
          <w:bCs w:val="0"/>
          <w:sz w:val="32"/>
          <w:szCs w:val="32"/>
        </w:rPr>
        <w:t xml:space="preserve">  县级以上人民政府应当根据岭南中药材良种繁育基地、优质岭南中药材生产基地、岭南中药材种植以及品牌等保护需要，依法</w:t>
      </w:r>
      <w:r>
        <w:rPr>
          <w:rFonts w:hint="eastAsia" w:ascii="仿宋_GB2312" w:hAnsi="仿宋_GB2312" w:eastAsia="仿宋_GB2312" w:cs="仿宋_GB2312"/>
          <w:b w:val="0"/>
          <w:bCs w:val="0"/>
          <w:sz w:val="32"/>
          <w:szCs w:val="32"/>
          <w:lang w:eastAsia="zh-CN"/>
        </w:rPr>
        <w:t>给予</w:t>
      </w:r>
      <w:r>
        <w:rPr>
          <w:rFonts w:hint="eastAsia" w:ascii="仿宋_GB2312" w:hAnsi="仿宋_GB2312" w:eastAsia="仿宋_GB2312" w:cs="仿宋_GB2312"/>
          <w:b w:val="0"/>
          <w:bCs w:val="0"/>
          <w:sz w:val="32"/>
          <w:szCs w:val="32"/>
        </w:rPr>
        <w:t>政策扶持</w:t>
      </w:r>
      <w:r>
        <w:rPr>
          <w:rFonts w:hint="eastAsia" w:ascii="仿宋_GB2312" w:hAnsi="仿宋_GB2312" w:eastAsia="仿宋_GB2312" w:cs="仿宋_GB2312"/>
          <w:b w:val="0"/>
          <w:bCs w:val="0"/>
          <w:sz w:val="32"/>
          <w:szCs w:val="32"/>
          <w:lang w:eastAsia="zh-CN"/>
        </w:rPr>
        <w:t>和财政</w:t>
      </w:r>
      <w:r>
        <w:rPr>
          <w:rFonts w:hint="eastAsia" w:ascii="仿宋_GB2312" w:hAnsi="仿宋_GB2312" w:eastAsia="仿宋_GB2312" w:cs="仿宋_GB2312"/>
          <w:b w:val="0"/>
          <w:bCs w:val="0"/>
          <w:sz w:val="32"/>
          <w:szCs w:val="32"/>
        </w:rPr>
        <w:t>补贴。</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第十八条</w:t>
      </w:r>
      <w:r>
        <w:rPr>
          <w:rFonts w:hint="eastAsia" w:ascii="仿宋_GB2312" w:hAnsi="仿宋_GB2312" w:eastAsia="仿宋_GB2312" w:cs="仿宋_GB2312"/>
          <w:b w:val="0"/>
          <w:bCs w:val="0"/>
          <w:sz w:val="32"/>
          <w:szCs w:val="32"/>
        </w:rPr>
        <w:t xml:space="preserve">  引导和支持企业与岭南中药材种植者</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通过签订合同</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实行风险共担、利益共享合作模式，由企业提供岭南中药材生产原料和技术服务，并实行成品回购，推进优质优价，促进岭南中药材产品质量的提高。</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lang w:eastAsia="zh-CN"/>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第三章  种源保护</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lang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 xml:space="preserve"> </w:t>
      </w:r>
      <w:r>
        <w:rPr>
          <w:rFonts w:hint="eastAsia" w:ascii="黑体" w:hAnsi="黑体" w:eastAsia="黑体" w:cs="黑体"/>
          <w:b w:val="0"/>
          <w:bCs w:val="0"/>
          <w:sz w:val="32"/>
          <w:szCs w:val="32"/>
        </w:rPr>
        <w:t>第十九条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县级以上人民政府对集中分布的岭南中药材天然种质资源，可以依法设立地方级自然保护区进行保护。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省人民政府中医药主管部门应当按照国家规定开展中药资源普查。</w:t>
      </w:r>
      <w:r>
        <w:rPr>
          <w:rFonts w:hint="eastAsia" w:ascii="仿宋_GB2312" w:hAnsi="仿宋_GB2312" w:eastAsia="仿宋_GB2312" w:cs="仿宋_GB2312"/>
          <w:b w:val="0"/>
          <w:bCs w:val="0"/>
          <w:sz w:val="32"/>
          <w:szCs w:val="32"/>
        </w:rPr>
        <w:t>省人民政府农业或者林业主管部门</w:t>
      </w:r>
      <w:r>
        <w:rPr>
          <w:rFonts w:hint="eastAsia" w:ascii="仿宋_GB2312" w:hAnsi="仿宋_GB2312" w:eastAsia="仿宋_GB2312" w:cs="仿宋_GB2312"/>
          <w:b w:val="0"/>
          <w:bCs w:val="0"/>
          <w:sz w:val="32"/>
          <w:szCs w:val="32"/>
          <w:lang w:eastAsia="zh-CN"/>
        </w:rPr>
        <w:t>可以根据需要</w:t>
      </w:r>
      <w:r>
        <w:rPr>
          <w:rFonts w:hint="eastAsia" w:ascii="仿宋_GB2312" w:hAnsi="仿宋_GB2312" w:eastAsia="仿宋_GB2312" w:cs="仿宋_GB2312"/>
          <w:b w:val="0"/>
          <w:bCs w:val="0"/>
          <w:sz w:val="32"/>
          <w:szCs w:val="32"/>
        </w:rPr>
        <w:t>依托专业机构统一建立保护种类种质资源库</w:t>
      </w:r>
      <w:r>
        <w:rPr>
          <w:rFonts w:hint="eastAsia" w:ascii="仿宋_GB2312" w:hAnsi="仿宋_GB2312" w:eastAsia="仿宋_GB2312" w:cs="仿宋_GB2312"/>
          <w:b w:val="0"/>
          <w:bCs w:val="0"/>
          <w:sz w:val="32"/>
          <w:szCs w:val="32"/>
          <w:lang w:eastAsia="zh-CN"/>
        </w:rPr>
        <w:t>，为良种繁育科学研究提供可持续利用种质资源</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采集</w:t>
      </w:r>
      <w:r>
        <w:rPr>
          <w:rFonts w:hint="eastAsia" w:ascii="仿宋_GB2312" w:hAnsi="仿宋_GB2312" w:eastAsia="仿宋_GB2312" w:cs="仿宋_GB2312"/>
          <w:b w:val="0"/>
          <w:bCs w:val="0"/>
          <w:sz w:val="32"/>
          <w:szCs w:val="32"/>
          <w:lang w:eastAsia="zh-CN"/>
        </w:rPr>
        <w:t>属于国家一、二级保护野生植物的</w:t>
      </w:r>
      <w:r>
        <w:rPr>
          <w:rFonts w:hint="eastAsia" w:ascii="仿宋_GB2312" w:hAnsi="仿宋_GB2312" w:eastAsia="仿宋_GB2312" w:cs="仿宋_GB2312"/>
          <w:b w:val="0"/>
          <w:bCs w:val="0"/>
          <w:sz w:val="32"/>
          <w:szCs w:val="32"/>
        </w:rPr>
        <w:t>岭南中药材天然种质资源，应当经</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人民政府</w:t>
      </w:r>
      <w:r>
        <w:rPr>
          <w:rFonts w:hint="eastAsia" w:ascii="仿宋_GB2312" w:hAnsi="仿宋_GB2312" w:eastAsia="仿宋_GB2312" w:cs="仿宋_GB2312"/>
          <w:b w:val="0"/>
          <w:bCs w:val="0"/>
          <w:sz w:val="32"/>
          <w:szCs w:val="32"/>
          <w:lang w:eastAsia="zh-CN"/>
        </w:rPr>
        <w:t>农业或者林业主管部门</w:t>
      </w:r>
      <w:r>
        <w:rPr>
          <w:rFonts w:hint="eastAsia" w:ascii="仿宋_GB2312" w:hAnsi="仿宋_GB2312" w:eastAsia="仿宋_GB2312" w:cs="仿宋_GB2312"/>
          <w:b w:val="0"/>
          <w:bCs w:val="0"/>
          <w:sz w:val="32"/>
          <w:szCs w:val="32"/>
        </w:rPr>
        <w:t>审核，报省人民政府农业或者林业主管部门批准。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第二十条</w:t>
      </w:r>
      <w:r>
        <w:rPr>
          <w:rFonts w:hint="eastAsia" w:ascii="仿宋_GB2312" w:hAnsi="仿宋_GB2312" w:eastAsia="仿宋_GB2312" w:cs="仿宋_GB2312"/>
          <w:b w:val="0"/>
          <w:bCs w:val="0"/>
          <w:sz w:val="32"/>
          <w:szCs w:val="32"/>
        </w:rPr>
        <w:t xml:space="preserve">  对保护种类种质资源的选育及保护工作，通过设立岭南中药材良种繁育基地进行。岭南中药材良种繁育基地应当设立保护标志</w:t>
      </w:r>
      <w:r>
        <w:rPr>
          <w:rFonts w:hint="eastAsia" w:ascii="仿宋_GB2312" w:hAnsi="仿宋_GB2312" w:eastAsia="仿宋_GB2312" w:cs="仿宋_GB2312"/>
          <w:b w:val="0"/>
          <w:bCs w:val="0"/>
          <w:sz w:val="32"/>
          <w:szCs w:val="32"/>
          <w:lang w:eastAsia="zh-CN"/>
        </w:rPr>
        <w:t>，标明繁育种类、认定单位、建设单位等，接受社会监督</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道地</w:t>
      </w:r>
      <w:r>
        <w:rPr>
          <w:rFonts w:hint="eastAsia" w:ascii="仿宋_GB2312" w:hAnsi="仿宋_GB2312" w:eastAsia="仿宋_GB2312" w:cs="仿宋_GB2312"/>
          <w:b w:val="0"/>
          <w:bCs w:val="0"/>
          <w:sz w:val="32"/>
          <w:szCs w:val="32"/>
        </w:rPr>
        <w:t>化橘红产地化州，</w:t>
      </w:r>
      <w:r>
        <w:rPr>
          <w:rFonts w:hint="eastAsia" w:ascii="仿宋_GB2312" w:hAnsi="仿宋_GB2312" w:eastAsia="仿宋_GB2312" w:cs="仿宋_GB2312"/>
          <w:b w:val="0"/>
          <w:bCs w:val="0"/>
          <w:sz w:val="32"/>
          <w:szCs w:val="32"/>
          <w:lang w:eastAsia="zh-CN"/>
        </w:rPr>
        <w:t>道地</w:t>
      </w:r>
      <w:r>
        <w:rPr>
          <w:rFonts w:hint="eastAsia" w:ascii="仿宋_GB2312" w:hAnsi="仿宋_GB2312" w:eastAsia="仿宋_GB2312" w:cs="仿宋_GB2312"/>
          <w:b w:val="0"/>
          <w:bCs w:val="0"/>
          <w:sz w:val="32"/>
          <w:szCs w:val="32"/>
        </w:rPr>
        <w:t>广陈皮产地新会，</w:t>
      </w:r>
      <w:r>
        <w:rPr>
          <w:rFonts w:hint="eastAsia" w:ascii="仿宋_GB2312" w:hAnsi="仿宋_GB2312" w:eastAsia="仿宋_GB2312" w:cs="仿宋_GB2312"/>
          <w:b w:val="0"/>
          <w:bCs w:val="0"/>
          <w:sz w:val="32"/>
          <w:szCs w:val="32"/>
          <w:lang w:eastAsia="zh-CN"/>
        </w:rPr>
        <w:t>道地</w:t>
      </w:r>
      <w:r>
        <w:rPr>
          <w:rFonts w:hint="eastAsia" w:ascii="仿宋_GB2312" w:hAnsi="仿宋_GB2312" w:eastAsia="仿宋_GB2312" w:cs="仿宋_GB2312"/>
          <w:b w:val="0"/>
          <w:bCs w:val="0"/>
          <w:sz w:val="32"/>
          <w:szCs w:val="32"/>
        </w:rPr>
        <w:t>阳春砂产地阳春，</w:t>
      </w:r>
      <w:r>
        <w:rPr>
          <w:rFonts w:hint="eastAsia" w:ascii="仿宋_GB2312" w:hAnsi="仿宋_GB2312" w:eastAsia="仿宋_GB2312" w:cs="仿宋_GB2312"/>
          <w:b w:val="0"/>
          <w:bCs w:val="0"/>
          <w:sz w:val="32"/>
          <w:szCs w:val="32"/>
          <w:lang w:eastAsia="zh-CN"/>
        </w:rPr>
        <w:t>道地</w:t>
      </w:r>
      <w:r>
        <w:rPr>
          <w:rFonts w:hint="eastAsia" w:ascii="仿宋_GB2312" w:hAnsi="仿宋_GB2312" w:eastAsia="仿宋_GB2312" w:cs="仿宋_GB2312"/>
          <w:b w:val="0"/>
          <w:bCs w:val="0"/>
          <w:sz w:val="32"/>
          <w:szCs w:val="32"/>
        </w:rPr>
        <w:t>巴戟天</w:t>
      </w:r>
      <w:r>
        <w:rPr>
          <w:rFonts w:hint="eastAsia" w:ascii="仿宋_GB2312" w:hAnsi="仿宋_GB2312" w:eastAsia="仿宋_GB2312" w:cs="仿宋_GB2312"/>
          <w:b w:val="0"/>
          <w:bCs w:val="0"/>
          <w:sz w:val="32"/>
          <w:szCs w:val="32"/>
          <w:lang w:eastAsia="zh-CN"/>
        </w:rPr>
        <w:t>产地德庆</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高要，道地</w:t>
      </w:r>
      <w:r>
        <w:rPr>
          <w:rFonts w:hint="eastAsia" w:ascii="仿宋_GB2312" w:hAnsi="仿宋_GB2312" w:eastAsia="仿宋_GB2312" w:cs="仿宋_GB2312"/>
          <w:b w:val="0"/>
          <w:bCs w:val="0"/>
          <w:sz w:val="32"/>
          <w:szCs w:val="32"/>
        </w:rPr>
        <w:t>何首乌产地</w:t>
      </w:r>
      <w:r>
        <w:rPr>
          <w:rFonts w:hint="eastAsia" w:ascii="仿宋_GB2312" w:hAnsi="仿宋_GB2312" w:eastAsia="仿宋_GB2312" w:cs="仿宋_GB2312"/>
          <w:b w:val="0"/>
          <w:bCs w:val="0"/>
          <w:sz w:val="32"/>
          <w:szCs w:val="32"/>
          <w:lang w:eastAsia="zh-CN"/>
        </w:rPr>
        <w:t>德庆等地，</w:t>
      </w:r>
      <w:r>
        <w:rPr>
          <w:rFonts w:hint="eastAsia" w:ascii="仿宋_GB2312" w:hAnsi="仿宋_GB2312" w:eastAsia="仿宋_GB2312" w:cs="仿宋_GB2312"/>
          <w:b w:val="0"/>
          <w:bCs w:val="0"/>
          <w:sz w:val="32"/>
          <w:szCs w:val="32"/>
        </w:rPr>
        <w:t>应当设立岭南中药材良种繁育基地</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广藿香</w:t>
      </w:r>
      <w:r>
        <w:rPr>
          <w:rFonts w:hint="eastAsia" w:ascii="仿宋_GB2312" w:hAnsi="仿宋_GB2312" w:eastAsia="仿宋_GB2312" w:cs="仿宋_GB2312"/>
          <w:b w:val="0"/>
          <w:bCs w:val="0"/>
          <w:sz w:val="32"/>
          <w:szCs w:val="32"/>
          <w:lang w:eastAsia="zh-CN"/>
        </w:rPr>
        <w:t>主</w:t>
      </w:r>
      <w:r>
        <w:rPr>
          <w:rFonts w:hint="eastAsia" w:ascii="仿宋_GB2312" w:hAnsi="仿宋_GB2312" w:eastAsia="仿宋_GB2312" w:cs="仿宋_GB2312"/>
          <w:b w:val="0"/>
          <w:bCs w:val="0"/>
          <w:sz w:val="32"/>
          <w:szCs w:val="32"/>
        </w:rPr>
        <w:t>产地湛江</w:t>
      </w:r>
      <w:r>
        <w:rPr>
          <w:rFonts w:hint="eastAsia" w:ascii="仿宋_GB2312" w:hAnsi="仿宋_GB2312" w:eastAsia="仿宋_GB2312" w:cs="仿宋_GB2312"/>
          <w:b w:val="0"/>
          <w:bCs w:val="0"/>
          <w:sz w:val="32"/>
          <w:szCs w:val="32"/>
          <w:lang w:eastAsia="zh-CN"/>
        </w:rPr>
        <w:t>、肇庆</w:t>
      </w:r>
      <w:r>
        <w:rPr>
          <w:rFonts w:hint="eastAsia" w:ascii="仿宋_GB2312" w:hAnsi="仿宋_GB2312" w:eastAsia="仿宋_GB2312" w:cs="仿宋_GB2312"/>
          <w:b w:val="0"/>
          <w:bCs w:val="0"/>
          <w:sz w:val="32"/>
          <w:szCs w:val="32"/>
        </w:rPr>
        <w:t>，广佛手</w:t>
      </w:r>
      <w:r>
        <w:rPr>
          <w:rFonts w:hint="eastAsia" w:ascii="仿宋_GB2312" w:hAnsi="仿宋_GB2312" w:eastAsia="仿宋_GB2312" w:cs="仿宋_GB2312"/>
          <w:b w:val="0"/>
          <w:bCs w:val="0"/>
          <w:sz w:val="32"/>
          <w:szCs w:val="32"/>
          <w:lang w:eastAsia="zh-CN"/>
        </w:rPr>
        <w:t>主产地肇庆，</w:t>
      </w:r>
      <w:r>
        <w:rPr>
          <w:rFonts w:hint="eastAsia" w:ascii="仿宋_GB2312" w:hAnsi="仿宋_GB2312" w:eastAsia="仿宋_GB2312" w:cs="仿宋_GB2312"/>
          <w:b w:val="0"/>
          <w:bCs w:val="0"/>
          <w:sz w:val="32"/>
          <w:szCs w:val="32"/>
        </w:rPr>
        <w:t>沉香</w:t>
      </w:r>
      <w:r>
        <w:rPr>
          <w:rFonts w:hint="eastAsia" w:ascii="仿宋_GB2312" w:hAnsi="仿宋_GB2312" w:eastAsia="仿宋_GB2312" w:cs="仿宋_GB2312"/>
          <w:b w:val="0"/>
          <w:bCs w:val="0"/>
          <w:sz w:val="32"/>
          <w:szCs w:val="32"/>
          <w:lang w:eastAsia="zh-CN"/>
        </w:rPr>
        <w:t>主</w:t>
      </w:r>
      <w:r>
        <w:rPr>
          <w:rFonts w:hint="eastAsia" w:ascii="仿宋_GB2312" w:hAnsi="仿宋_GB2312" w:eastAsia="仿宋_GB2312" w:cs="仿宋_GB2312"/>
          <w:b w:val="0"/>
          <w:bCs w:val="0"/>
          <w:sz w:val="32"/>
          <w:szCs w:val="32"/>
        </w:rPr>
        <w:t>产地东莞、中山、</w:t>
      </w:r>
      <w:r>
        <w:rPr>
          <w:rFonts w:hint="eastAsia" w:ascii="仿宋_GB2312" w:hAnsi="仿宋_GB2312" w:eastAsia="仿宋_GB2312" w:cs="仿宋_GB2312"/>
          <w:b w:val="0"/>
          <w:bCs w:val="0"/>
          <w:sz w:val="32"/>
          <w:szCs w:val="32"/>
          <w:lang w:eastAsia="zh-CN"/>
        </w:rPr>
        <w:t>茂名、惠州、揭阳</w:t>
      </w:r>
      <w:r>
        <w:rPr>
          <w:rFonts w:hint="eastAsia" w:ascii="仿宋_GB2312" w:hAnsi="仿宋_GB2312" w:eastAsia="仿宋_GB2312" w:cs="仿宋_GB2312"/>
          <w:b w:val="0"/>
          <w:bCs w:val="0"/>
          <w:sz w:val="32"/>
          <w:szCs w:val="32"/>
        </w:rPr>
        <w:t>等地，优先设立岭南中药材良种繁育基地。</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设立岭南中药材良种繁育基地，应当符合以下条件：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（一）</w:t>
      </w:r>
      <w:r>
        <w:rPr>
          <w:rFonts w:hint="eastAsia" w:ascii="仿宋_GB2312" w:hAnsi="仿宋_GB2312" w:eastAsia="仿宋_GB2312" w:cs="仿宋_GB2312"/>
          <w:b w:val="0"/>
          <w:bCs w:val="0"/>
          <w:sz w:val="32"/>
          <w:szCs w:val="32"/>
        </w:rPr>
        <w:t>具备生产保护种类良种隔离、栽培</w:t>
      </w:r>
      <w:r>
        <w:rPr>
          <w:rFonts w:hint="eastAsia" w:ascii="仿宋_GB2312" w:hAnsi="仿宋_GB2312" w:eastAsia="仿宋_GB2312" w:cs="仿宋_GB2312"/>
          <w:b w:val="0"/>
          <w:bCs w:val="0"/>
          <w:sz w:val="32"/>
          <w:szCs w:val="32"/>
          <w:lang w:eastAsia="zh-CN"/>
        </w:rPr>
        <w:t>条件和保存良种的</w:t>
      </w:r>
      <w:r>
        <w:rPr>
          <w:rFonts w:hint="eastAsia" w:ascii="仿宋_GB2312" w:hAnsi="仿宋_GB2312" w:eastAsia="仿宋_GB2312" w:cs="仿宋_GB2312"/>
          <w:b w:val="0"/>
          <w:bCs w:val="0"/>
          <w:sz w:val="32"/>
          <w:szCs w:val="32"/>
        </w:rPr>
        <w:t>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（二）</w:t>
      </w:r>
      <w:r>
        <w:rPr>
          <w:rFonts w:hint="eastAsia" w:ascii="仿宋_GB2312" w:hAnsi="仿宋_GB2312" w:eastAsia="仿宋_GB2312" w:cs="仿宋_GB2312"/>
          <w:b w:val="0"/>
          <w:bCs w:val="0"/>
          <w:sz w:val="32"/>
          <w:szCs w:val="32"/>
        </w:rPr>
        <w:t>配备专业技术人员和必要的检测设备；</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（三）</w:t>
      </w:r>
      <w:r>
        <w:rPr>
          <w:rFonts w:hint="eastAsia" w:ascii="仿宋_GB2312" w:hAnsi="仿宋_GB2312" w:eastAsia="仿宋_GB2312" w:cs="仿宋_GB2312"/>
          <w:b w:val="0"/>
          <w:bCs w:val="0"/>
          <w:sz w:val="32"/>
          <w:szCs w:val="32"/>
          <w:lang w:eastAsia="zh-CN"/>
        </w:rPr>
        <w:t>繁育种源来源清楚、具备道地特征，</w:t>
      </w:r>
      <w:r>
        <w:rPr>
          <w:rFonts w:hint="eastAsia" w:ascii="仿宋_GB2312" w:hAnsi="仿宋_GB2312" w:eastAsia="仿宋_GB2312" w:cs="仿宋_GB2312"/>
          <w:b w:val="0"/>
          <w:bCs w:val="0"/>
          <w:sz w:val="32"/>
          <w:szCs w:val="32"/>
        </w:rPr>
        <w:t>具有相关保护种类的采种林或者母种田；</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（四）</w:t>
      </w:r>
      <w:r>
        <w:rPr>
          <w:rFonts w:hint="eastAsia" w:ascii="仿宋_GB2312" w:hAnsi="仿宋_GB2312" w:eastAsia="仿宋_GB2312" w:cs="仿宋_GB2312"/>
          <w:b w:val="0"/>
          <w:bCs w:val="0"/>
          <w:sz w:val="32"/>
          <w:szCs w:val="32"/>
        </w:rPr>
        <w:t>具备一定的种子种苗产出能力。</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岭南中药材良种繁育基地的设立由生产者、经营者提出申请，经</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人民政府农业或者林业</w:t>
      </w:r>
      <w:r>
        <w:rPr>
          <w:rFonts w:hint="eastAsia" w:ascii="仿宋_GB2312" w:hAnsi="仿宋_GB2312" w:eastAsia="仿宋_GB2312" w:cs="仿宋_GB2312"/>
          <w:b w:val="0"/>
          <w:bCs w:val="0"/>
          <w:sz w:val="32"/>
          <w:szCs w:val="32"/>
          <w:lang w:eastAsia="zh-CN"/>
        </w:rPr>
        <w:t>以及城乡规划</w:t>
      </w:r>
      <w:r>
        <w:rPr>
          <w:rFonts w:hint="eastAsia" w:ascii="仿宋_GB2312" w:hAnsi="仿宋_GB2312" w:eastAsia="仿宋_GB2312" w:cs="仿宋_GB2312"/>
          <w:b w:val="0"/>
          <w:bCs w:val="0"/>
          <w:sz w:val="32"/>
          <w:szCs w:val="32"/>
        </w:rPr>
        <w:t>主管部门审查、本级人民政府批准后向社会公布，并报省人民政府</w:t>
      </w:r>
      <w:r>
        <w:rPr>
          <w:rFonts w:hint="eastAsia" w:ascii="仿宋_GB2312" w:hAnsi="仿宋_GB2312" w:eastAsia="仿宋_GB2312" w:cs="仿宋_GB2312"/>
          <w:b w:val="0"/>
          <w:bCs w:val="0"/>
          <w:sz w:val="32"/>
          <w:szCs w:val="32"/>
          <w:lang w:eastAsia="zh-CN"/>
        </w:rPr>
        <w:t>中医药主管部门</w:t>
      </w:r>
      <w:r>
        <w:rPr>
          <w:rFonts w:hint="eastAsia" w:ascii="仿宋_GB2312" w:hAnsi="仿宋_GB2312" w:eastAsia="仿宋_GB2312" w:cs="仿宋_GB2312"/>
          <w:b w:val="0"/>
          <w:bCs w:val="0"/>
          <w:sz w:val="32"/>
          <w:szCs w:val="32"/>
        </w:rPr>
        <w:t>备案。</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第二十一条</w:t>
      </w:r>
      <w:r>
        <w:rPr>
          <w:rFonts w:hint="eastAsia" w:ascii="仿宋_GB2312" w:hAnsi="仿宋_GB2312" w:eastAsia="仿宋_GB2312" w:cs="仿宋_GB2312"/>
          <w:b w:val="0"/>
          <w:bCs w:val="0"/>
          <w:sz w:val="32"/>
          <w:szCs w:val="32"/>
        </w:rPr>
        <w:t xml:space="preserve">  岭南中药材良种繁育基地的建设和保护，应当执行优质岭南中药材生产基地建设和保护的相关规定，并施行更为严格的环境保护措施。</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不再作为岭南中药材良种繁育基地的，应当报省人民政府批准。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黑体" w:hAnsi="黑体" w:eastAsia="黑体" w:cs="黑体"/>
          <w:b w:val="0"/>
          <w:bCs w:val="0"/>
          <w:sz w:val="32"/>
          <w:szCs w:val="32"/>
        </w:rPr>
        <w:t>第二十二条</w:t>
      </w:r>
      <w:r>
        <w:rPr>
          <w:rFonts w:hint="eastAsia" w:ascii="仿宋_GB2312" w:hAnsi="仿宋_GB2312" w:eastAsia="仿宋_GB2312" w:cs="仿宋_GB2312"/>
          <w:b w:val="0"/>
          <w:bCs w:val="0"/>
          <w:sz w:val="32"/>
          <w:szCs w:val="32"/>
        </w:rPr>
        <w:t xml:space="preserve">  岭南中药材良种繁育基地</w:t>
      </w:r>
      <w:r>
        <w:rPr>
          <w:rFonts w:hint="eastAsia" w:ascii="仿宋_GB2312" w:hAnsi="仿宋_GB2312" w:eastAsia="仿宋_GB2312" w:cs="仿宋_GB2312"/>
          <w:b w:val="0"/>
          <w:bCs w:val="0"/>
          <w:sz w:val="32"/>
          <w:szCs w:val="32"/>
          <w:lang w:eastAsia="zh-CN"/>
        </w:rPr>
        <w:t>生产的种子种苗，在同等条件下应当优先供应优质岭南中药材生产基地。</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禁止私自采集或者采伐岭南中药材良种繁育基地种质资源。</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第二十三条</w:t>
      </w:r>
      <w:r>
        <w:rPr>
          <w:rFonts w:hint="eastAsia" w:ascii="仿宋_GB2312" w:hAnsi="仿宋_GB2312" w:eastAsia="仿宋_GB2312" w:cs="仿宋_GB2312"/>
          <w:b w:val="0"/>
          <w:bCs w:val="0"/>
          <w:sz w:val="32"/>
          <w:szCs w:val="32"/>
        </w:rPr>
        <w:t xml:space="preserve">  岭南中药材良种繁育基地应当制定和执行种子种苗生产技术规程，建立</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质量保证制度，对本基地种子种苗生产、初加工等各环节进行质量控制。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第二十四条</w:t>
      </w:r>
      <w:r>
        <w:rPr>
          <w:rFonts w:hint="eastAsia" w:ascii="仿宋_GB2312" w:hAnsi="仿宋_GB2312" w:eastAsia="仿宋_GB2312" w:cs="仿宋_GB2312"/>
          <w:b w:val="0"/>
          <w:bCs w:val="0"/>
          <w:sz w:val="32"/>
          <w:szCs w:val="32"/>
        </w:rPr>
        <w:t xml:space="preserve">  岭南中药材种子种苗生产实施传统与现代繁育技术相结合，以保持岭南中药材遗传特性的稳定。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在保持道地种性前提下，鼓励利用现代科学技术进行保护种类的种质资源创新、品种复壮、品种改良等培育活动。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黑体" w:hAnsi="黑体" w:eastAsia="黑体" w:cs="黑体"/>
          <w:b w:val="0"/>
          <w:bCs w:val="0"/>
          <w:sz w:val="32"/>
          <w:szCs w:val="32"/>
        </w:rPr>
        <w:t>第二十五条</w:t>
      </w:r>
      <w:r>
        <w:rPr>
          <w:rFonts w:hint="eastAsia" w:ascii="仿宋_GB2312" w:hAnsi="仿宋_GB2312" w:eastAsia="仿宋_GB2312" w:cs="仿宋_GB2312"/>
          <w:b w:val="0"/>
          <w:bCs w:val="0"/>
          <w:sz w:val="32"/>
          <w:szCs w:val="32"/>
        </w:rPr>
        <w:t xml:space="preserve">  种子种苗生产应当执行种子种苗检验、检疫规程。</w:t>
      </w:r>
      <w:r>
        <w:rPr>
          <w:rFonts w:hint="eastAsia" w:ascii="仿宋_GB2312" w:hAnsi="仿宋_GB2312" w:eastAsia="仿宋_GB2312" w:cs="仿宋_GB2312"/>
          <w:b w:val="0"/>
          <w:bCs w:val="0"/>
          <w:sz w:val="32"/>
          <w:szCs w:val="32"/>
          <w:lang w:eastAsia="zh-CN"/>
        </w:rPr>
        <w:t>经农业或者林业主管部门委托的机构检验、检疫，</w:t>
      </w:r>
      <w:r>
        <w:rPr>
          <w:rFonts w:hint="eastAsia" w:ascii="仿宋_GB2312" w:hAnsi="仿宋_GB2312" w:eastAsia="仿宋_GB2312" w:cs="仿宋_GB2312"/>
          <w:b w:val="0"/>
          <w:bCs w:val="0"/>
          <w:sz w:val="32"/>
          <w:szCs w:val="32"/>
        </w:rPr>
        <w:t>不符合标准的，</w:t>
      </w:r>
      <w:r>
        <w:rPr>
          <w:rFonts w:hint="eastAsia" w:ascii="仿宋_GB2312" w:hAnsi="仿宋_GB2312" w:eastAsia="仿宋_GB2312" w:cs="仿宋_GB2312"/>
          <w:b w:val="0"/>
          <w:bCs w:val="0"/>
          <w:sz w:val="32"/>
          <w:szCs w:val="32"/>
          <w:lang w:eastAsia="zh-CN"/>
        </w:rPr>
        <w:t>不得作为种子种苗使用。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禁止假冒岭南中药材良种繁育基地种子种苗产品</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第二十六条</w:t>
      </w:r>
      <w:r>
        <w:rPr>
          <w:rFonts w:hint="eastAsia" w:ascii="仿宋_GB2312" w:hAnsi="仿宋_GB2312" w:eastAsia="仿宋_GB2312" w:cs="仿宋_GB2312"/>
          <w:b w:val="0"/>
          <w:bCs w:val="0"/>
          <w:sz w:val="32"/>
          <w:szCs w:val="32"/>
        </w:rPr>
        <w:t xml:space="preserve">  任何单位和个人向境外提供岭南中药材种质资源，或者与境外机构、个人开展合作研究利用岭南中药材种质资源的，应当向省人民政府农业或者林业主管部门提出申请，并提交国家共享惠益的方案，由受理申请的部门依法办理。</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第四章  产地保护</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第二十七条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对</w:t>
      </w:r>
      <w:r>
        <w:rPr>
          <w:rFonts w:hint="eastAsia" w:ascii="仿宋_GB2312" w:hAnsi="仿宋_GB2312" w:eastAsia="仿宋_GB2312" w:cs="仿宋_GB2312"/>
          <w:b w:val="0"/>
          <w:bCs w:val="0"/>
          <w:sz w:val="32"/>
          <w:szCs w:val="32"/>
        </w:rPr>
        <w:t>保护种类产地</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保护</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通过设立优质岭南中药材生产基地进行。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设立优质岭南中药材生产基地，应当</w:t>
      </w:r>
      <w:r>
        <w:rPr>
          <w:rFonts w:hint="eastAsia" w:ascii="仿宋_GB2312" w:hAnsi="仿宋_GB2312" w:eastAsia="仿宋_GB2312" w:cs="仿宋_GB2312"/>
          <w:b w:val="0"/>
          <w:bCs w:val="0"/>
          <w:sz w:val="32"/>
          <w:szCs w:val="32"/>
          <w:lang w:eastAsia="zh-CN"/>
        </w:rPr>
        <w:t>因地制宜、合理布局，并</w:t>
      </w:r>
      <w:r>
        <w:rPr>
          <w:rFonts w:hint="eastAsia" w:ascii="仿宋_GB2312" w:hAnsi="仿宋_GB2312" w:eastAsia="仿宋_GB2312" w:cs="仿宋_GB2312"/>
          <w:b w:val="0"/>
          <w:bCs w:val="0"/>
          <w:sz w:val="32"/>
          <w:szCs w:val="32"/>
        </w:rPr>
        <w:t>符合以下条件：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（一）具有适宜种植岭南中药材的地理、土壤、气候等自然条件；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（二）已经形成科学的种植方法、良好的质量控制方法，具有一定的资源、技术和效益等优势；</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w:t>
      </w:r>
      <w:r>
        <w:rPr>
          <w:rFonts w:hint="eastAsia" w:ascii="仿宋_GB2312" w:hAnsi="仿宋_GB2312" w:eastAsia="仿宋_GB2312" w:cs="仿宋_GB2312"/>
          <w:b w:val="0"/>
          <w:bCs w:val="0"/>
          <w:sz w:val="32"/>
          <w:szCs w:val="32"/>
          <w:lang w:eastAsia="zh-CN"/>
        </w:rPr>
        <w:t>属于</w:t>
      </w:r>
      <w:r>
        <w:rPr>
          <w:rFonts w:hint="eastAsia" w:ascii="仿宋_GB2312" w:hAnsi="仿宋_GB2312" w:eastAsia="仿宋_GB2312" w:cs="仿宋_GB2312"/>
          <w:b w:val="0"/>
          <w:bCs w:val="0"/>
          <w:sz w:val="32"/>
          <w:szCs w:val="32"/>
        </w:rPr>
        <w:t>生产道地、珍贵、濒危、渐危岭南中药材的特定地区，或者已经形成种植规模、在中药材市场占有较高份额的</w:t>
      </w:r>
      <w:r>
        <w:rPr>
          <w:rFonts w:hint="eastAsia" w:ascii="仿宋_GB2312" w:hAnsi="仿宋_GB2312" w:eastAsia="仿宋_GB2312" w:cs="仿宋_GB2312"/>
          <w:b w:val="0"/>
          <w:bCs w:val="0"/>
          <w:sz w:val="32"/>
          <w:szCs w:val="32"/>
          <w:lang w:eastAsia="zh-CN"/>
        </w:rPr>
        <w:t>岭南中药材</w:t>
      </w:r>
      <w:r>
        <w:rPr>
          <w:rFonts w:hint="eastAsia" w:ascii="仿宋_GB2312" w:hAnsi="仿宋_GB2312" w:eastAsia="仿宋_GB2312" w:cs="仿宋_GB2312"/>
          <w:b w:val="0"/>
          <w:bCs w:val="0"/>
          <w:sz w:val="32"/>
          <w:szCs w:val="32"/>
        </w:rPr>
        <w:t>主产地区</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（四）生产的岭南中药材应当以药用为主或者优先作为药用。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优质岭南中药材生产基地的设立程序</w:t>
      </w:r>
      <w:r>
        <w:rPr>
          <w:rFonts w:hint="eastAsia" w:ascii="仿宋_GB2312" w:hAnsi="仿宋_GB2312" w:eastAsia="仿宋_GB2312" w:cs="仿宋_GB2312"/>
          <w:b w:val="0"/>
          <w:bCs w:val="0"/>
          <w:sz w:val="32"/>
          <w:szCs w:val="32"/>
          <w:lang w:eastAsia="zh-CN"/>
        </w:rPr>
        <w:t>以及保护标志的设立</w:t>
      </w:r>
      <w:r>
        <w:rPr>
          <w:rFonts w:hint="eastAsia" w:ascii="仿宋_GB2312" w:hAnsi="仿宋_GB2312" w:eastAsia="仿宋_GB2312" w:cs="仿宋_GB2312"/>
          <w:b w:val="0"/>
          <w:bCs w:val="0"/>
          <w:sz w:val="32"/>
          <w:szCs w:val="32"/>
        </w:rPr>
        <w:t>，比照岭南中药材良种繁育基地执行。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w:t>
      </w:r>
      <w:r>
        <w:rPr>
          <w:rFonts w:hint="eastAsia" w:ascii="黑体" w:hAnsi="黑体" w:eastAsia="黑体" w:cs="黑体"/>
          <w:b w:val="0"/>
          <w:bCs w:val="0"/>
          <w:sz w:val="32"/>
          <w:szCs w:val="32"/>
          <w:lang w:eastAsia="zh-CN"/>
        </w:rPr>
        <w:t>八</w:t>
      </w:r>
      <w:r>
        <w:rPr>
          <w:rFonts w:hint="eastAsia" w:ascii="黑体" w:hAnsi="黑体" w:eastAsia="黑体" w:cs="黑体"/>
          <w:b w:val="0"/>
          <w:bCs w:val="0"/>
          <w:sz w:val="32"/>
          <w:szCs w:val="32"/>
        </w:rPr>
        <w:t xml:space="preserve">条  </w:t>
      </w:r>
      <w:r>
        <w:rPr>
          <w:rFonts w:hint="eastAsia" w:ascii="仿宋_GB2312" w:hAnsi="仿宋_GB2312" w:eastAsia="仿宋_GB2312" w:cs="仿宋_GB2312"/>
          <w:b w:val="0"/>
          <w:bCs w:val="0"/>
          <w:sz w:val="32"/>
          <w:szCs w:val="32"/>
          <w:lang w:eastAsia="zh-CN"/>
        </w:rPr>
        <w:t>优质岭南中药材生产基地设立后的建设，由地级以上市、县级人民政府依照省岭南中药材保护规划和本级岭南中药材保护计划实施</w:t>
      </w:r>
      <w:r>
        <w:rPr>
          <w:rFonts w:hint="eastAsia" w:ascii="仿宋_GB2312" w:hAnsi="仿宋_GB2312" w:eastAsia="仿宋_GB2312" w:cs="仿宋_GB2312"/>
          <w:b w:val="0"/>
          <w:bCs w:val="0"/>
          <w:sz w:val="32"/>
          <w:szCs w:val="32"/>
        </w:rPr>
        <w:t>。建设优质岭南中药材</w:t>
      </w:r>
      <w:r>
        <w:rPr>
          <w:rFonts w:hint="eastAsia" w:ascii="仿宋_GB2312" w:hAnsi="仿宋_GB2312" w:eastAsia="仿宋_GB2312" w:cs="仿宋_GB2312"/>
          <w:b w:val="0"/>
          <w:bCs w:val="0"/>
          <w:sz w:val="32"/>
          <w:szCs w:val="32"/>
          <w:lang w:eastAsia="zh-CN"/>
        </w:rPr>
        <w:t>生产基地应当按照</w:t>
      </w:r>
      <w:r>
        <w:rPr>
          <w:rFonts w:hint="eastAsia" w:ascii="仿宋_GB2312" w:hAnsi="仿宋_GB2312" w:eastAsia="仿宋_GB2312" w:cs="仿宋_GB2312"/>
          <w:b w:val="0"/>
          <w:bCs w:val="0"/>
          <w:sz w:val="32"/>
          <w:szCs w:val="32"/>
        </w:rPr>
        <w:t>规范化、规模化、产业化的</w:t>
      </w:r>
      <w:r>
        <w:rPr>
          <w:rFonts w:hint="eastAsia" w:ascii="仿宋_GB2312" w:hAnsi="仿宋_GB2312" w:eastAsia="仿宋_GB2312" w:cs="仿宋_GB2312"/>
          <w:b w:val="0"/>
          <w:bCs w:val="0"/>
          <w:sz w:val="32"/>
          <w:szCs w:val="32"/>
          <w:lang w:eastAsia="zh-CN"/>
        </w:rPr>
        <w:t>要求进行</w:t>
      </w:r>
      <w:r>
        <w:rPr>
          <w:rFonts w:hint="eastAsia" w:ascii="仿宋_GB2312" w:hAnsi="仿宋_GB2312" w:eastAsia="仿宋_GB2312" w:cs="仿宋_GB2312"/>
          <w:b w:val="0"/>
          <w:bCs w:val="0"/>
          <w:sz w:val="32"/>
          <w:szCs w:val="32"/>
        </w:rPr>
        <w:t>，在生产基地培育符合国家中药材生产质量管理规范的岭南中药材产地初加工企业。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第二十九条</w:t>
      </w:r>
      <w:r>
        <w:rPr>
          <w:rFonts w:hint="eastAsia" w:ascii="仿宋_GB2312" w:hAnsi="仿宋_GB2312" w:eastAsia="仿宋_GB2312" w:cs="仿宋_GB2312"/>
          <w:b w:val="0"/>
          <w:bCs w:val="0"/>
          <w:sz w:val="32"/>
          <w:szCs w:val="32"/>
        </w:rPr>
        <w:t xml:space="preserve">  岭南中药材生产者应当合理安排岭南中药材生产，不得影响岭南中药材生产的生态环境，对岭南中药材产地造成</w:t>
      </w:r>
      <w:r>
        <w:rPr>
          <w:rFonts w:hint="eastAsia" w:ascii="仿宋_GB2312" w:hAnsi="仿宋_GB2312" w:eastAsia="仿宋_GB2312" w:cs="仿宋_GB2312"/>
          <w:b w:val="0"/>
          <w:bCs w:val="0"/>
          <w:sz w:val="32"/>
          <w:szCs w:val="32"/>
          <w:lang w:eastAsia="zh-CN"/>
        </w:rPr>
        <w:t>破坏</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除</w:t>
      </w:r>
      <w:r>
        <w:rPr>
          <w:rFonts w:hint="eastAsia" w:ascii="仿宋_GB2312" w:hAnsi="仿宋_GB2312" w:eastAsia="仿宋_GB2312" w:cs="仿宋_GB2312"/>
          <w:b w:val="0"/>
          <w:bCs w:val="0"/>
          <w:sz w:val="32"/>
          <w:szCs w:val="32"/>
        </w:rPr>
        <w:t>法律法规另有规定外</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优质岭南中药材生产基地及周边</w:t>
      </w:r>
      <w:r>
        <w:rPr>
          <w:rFonts w:hint="eastAsia" w:ascii="仿宋_GB2312" w:hAnsi="仿宋_GB2312" w:eastAsia="仿宋_GB2312" w:cs="仿宋_GB2312"/>
          <w:b w:val="0"/>
          <w:bCs w:val="0"/>
          <w:sz w:val="32"/>
          <w:szCs w:val="32"/>
          <w:lang w:eastAsia="zh-CN"/>
        </w:rPr>
        <w:t>保护距离内</w:t>
      </w:r>
      <w:r>
        <w:rPr>
          <w:rFonts w:hint="eastAsia" w:ascii="仿宋_GB2312" w:hAnsi="仿宋_GB2312" w:eastAsia="仿宋_GB2312" w:cs="仿宋_GB2312"/>
          <w:b w:val="0"/>
          <w:bCs w:val="0"/>
          <w:sz w:val="32"/>
          <w:szCs w:val="32"/>
        </w:rPr>
        <w:t>不得新建、改建、扩建影响岭南中药材生产</w:t>
      </w:r>
      <w:r>
        <w:rPr>
          <w:rFonts w:hint="eastAsia" w:ascii="仿宋_GB2312" w:hAnsi="仿宋_GB2312" w:eastAsia="仿宋_GB2312" w:cs="仿宋_GB2312"/>
          <w:b w:val="0"/>
          <w:bCs w:val="0"/>
          <w:sz w:val="32"/>
          <w:szCs w:val="32"/>
          <w:lang w:eastAsia="zh-CN"/>
        </w:rPr>
        <w:t>环境</w:t>
      </w:r>
      <w:r>
        <w:rPr>
          <w:rFonts w:hint="eastAsia" w:ascii="仿宋_GB2312" w:hAnsi="仿宋_GB2312" w:eastAsia="仿宋_GB2312" w:cs="仿宋_GB2312"/>
          <w:b w:val="0"/>
          <w:bCs w:val="0"/>
          <w:sz w:val="32"/>
          <w:szCs w:val="32"/>
        </w:rPr>
        <w:t>的建设项目。</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经批准建设的项目，施工时应当采取防护措施，控制扬尘、废气、废水、固体废物等</w:t>
      </w:r>
      <w:r>
        <w:rPr>
          <w:rFonts w:hint="eastAsia" w:ascii="仿宋_GB2312" w:hAnsi="仿宋_GB2312" w:eastAsia="仿宋_GB2312" w:cs="仿宋_GB2312"/>
          <w:b w:val="0"/>
          <w:bCs w:val="0"/>
          <w:sz w:val="32"/>
          <w:szCs w:val="32"/>
          <w:lang w:eastAsia="zh-CN"/>
        </w:rPr>
        <w:t>对岭南中药材生产环境的</w:t>
      </w:r>
      <w:r>
        <w:rPr>
          <w:rFonts w:hint="eastAsia" w:ascii="仿宋_GB2312" w:hAnsi="仿宋_GB2312" w:eastAsia="仿宋_GB2312" w:cs="仿宋_GB2312"/>
          <w:b w:val="0"/>
          <w:bCs w:val="0"/>
          <w:sz w:val="32"/>
          <w:szCs w:val="32"/>
        </w:rPr>
        <w:t>污染。</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优质岭南中药材生产基地周边</w:t>
      </w:r>
      <w:r>
        <w:rPr>
          <w:rFonts w:hint="eastAsia" w:ascii="仿宋_GB2312" w:hAnsi="仿宋_GB2312" w:eastAsia="仿宋_GB2312" w:cs="仿宋_GB2312"/>
          <w:b w:val="0"/>
          <w:bCs w:val="0"/>
          <w:sz w:val="32"/>
          <w:szCs w:val="32"/>
          <w:lang w:eastAsia="zh-CN"/>
        </w:rPr>
        <w:t>保护</w:t>
      </w:r>
      <w:r>
        <w:rPr>
          <w:rFonts w:hint="eastAsia" w:ascii="仿宋_GB2312" w:hAnsi="仿宋_GB2312" w:eastAsia="仿宋_GB2312" w:cs="仿宋_GB2312"/>
          <w:b w:val="0"/>
          <w:bCs w:val="0"/>
          <w:sz w:val="32"/>
          <w:szCs w:val="32"/>
        </w:rPr>
        <w:t>距离由</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级</w:t>
      </w:r>
      <w:r>
        <w:rPr>
          <w:rFonts w:hint="eastAsia" w:ascii="仿宋_GB2312" w:hAnsi="仿宋_GB2312" w:eastAsia="仿宋_GB2312" w:cs="仿宋_GB2312"/>
          <w:b w:val="0"/>
          <w:bCs w:val="0"/>
          <w:sz w:val="32"/>
          <w:szCs w:val="32"/>
        </w:rPr>
        <w:t>人民政府农业或者林业主管部门</w:t>
      </w:r>
      <w:r>
        <w:rPr>
          <w:rFonts w:hint="eastAsia" w:ascii="仿宋_GB2312" w:hAnsi="仿宋_GB2312" w:eastAsia="仿宋_GB2312" w:cs="仿宋_GB2312"/>
          <w:b w:val="0"/>
          <w:bCs w:val="0"/>
          <w:sz w:val="32"/>
          <w:szCs w:val="32"/>
          <w:lang w:eastAsia="zh-CN"/>
        </w:rPr>
        <w:t>会同有关部门</w:t>
      </w:r>
      <w:r>
        <w:rPr>
          <w:rFonts w:hint="eastAsia" w:ascii="仿宋_GB2312" w:hAnsi="仿宋_GB2312" w:eastAsia="仿宋_GB2312" w:cs="仿宋_GB2312"/>
          <w:b w:val="0"/>
          <w:bCs w:val="0"/>
          <w:sz w:val="32"/>
          <w:szCs w:val="32"/>
        </w:rPr>
        <w:t>确定</w:t>
      </w:r>
      <w:r>
        <w:rPr>
          <w:rFonts w:hint="eastAsia" w:ascii="仿宋_GB2312" w:hAnsi="仿宋_GB2312" w:eastAsia="仿宋_GB2312" w:cs="仿宋_GB2312"/>
          <w:b w:val="0"/>
          <w:bCs w:val="0"/>
          <w:sz w:val="32"/>
          <w:szCs w:val="32"/>
          <w:lang w:eastAsia="zh-CN"/>
        </w:rPr>
        <w:t>并公布</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第三十一条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省人民政府中医药主管部门应当会同农业或者林业主管部门定期组织对</w:t>
      </w:r>
      <w:r>
        <w:rPr>
          <w:rFonts w:hint="eastAsia" w:ascii="仿宋_GB2312" w:hAnsi="仿宋_GB2312" w:eastAsia="仿宋_GB2312" w:cs="仿宋_GB2312"/>
          <w:b w:val="0"/>
          <w:bCs w:val="0"/>
          <w:sz w:val="32"/>
          <w:szCs w:val="32"/>
        </w:rPr>
        <w:t>优质岭南中药材生产基地</w:t>
      </w:r>
      <w:r>
        <w:rPr>
          <w:rFonts w:hint="eastAsia" w:ascii="仿宋_GB2312" w:hAnsi="仿宋_GB2312" w:eastAsia="仿宋_GB2312" w:cs="仿宋_GB2312"/>
          <w:b w:val="0"/>
          <w:bCs w:val="0"/>
          <w:sz w:val="32"/>
          <w:szCs w:val="32"/>
          <w:lang w:eastAsia="zh-CN"/>
        </w:rPr>
        <w:t>进行检查评审，对</w:t>
      </w:r>
      <w:r>
        <w:rPr>
          <w:rFonts w:hint="eastAsia" w:ascii="仿宋_GB2312" w:hAnsi="仿宋_GB2312" w:eastAsia="仿宋_GB2312" w:cs="仿宋_GB2312"/>
          <w:b w:val="0"/>
          <w:bCs w:val="0"/>
          <w:sz w:val="32"/>
          <w:szCs w:val="32"/>
        </w:rPr>
        <w:t>不再符合设立条件，影响岭南中药材生产质量的，</w:t>
      </w:r>
      <w:r>
        <w:rPr>
          <w:rFonts w:hint="eastAsia" w:ascii="仿宋_GB2312" w:hAnsi="仿宋_GB2312" w:eastAsia="仿宋_GB2312" w:cs="仿宋_GB2312"/>
          <w:b w:val="0"/>
          <w:bCs w:val="0"/>
          <w:sz w:val="32"/>
          <w:szCs w:val="32"/>
          <w:lang w:eastAsia="zh-CN"/>
        </w:rPr>
        <w:t>经评审确认后，告知所在地地级以上市人民政府，由其决定不再作为优质岭南中药材生产基地</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检查评审可以依托科研机构、高等院校以及有关专家委员会进行。</w:t>
      </w:r>
      <w:r>
        <w:rPr>
          <w:rFonts w:hint="eastAsia" w:ascii="仿宋_GB2312" w:hAnsi="仿宋_GB2312" w:eastAsia="仿宋_GB2312" w:cs="仿宋_GB2312"/>
          <w:b w:val="0"/>
          <w:bCs w:val="0"/>
          <w:sz w:val="32"/>
          <w:szCs w:val="32"/>
        </w:rPr>
        <w:t>需要对基地土壤、</w:t>
      </w:r>
      <w:r>
        <w:rPr>
          <w:rFonts w:hint="eastAsia" w:ascii="仿宋_GB2312" w:hAnsi="仿宋_GB2312" w:eastAsia="仿宋_GB2312" w:cs="仿宋_GB2312"/>
          <w:b w:val="0"/>
          <w:bCs w:val="0"/>
          <w:sz w:val="32"/>
          <w:szCs w:val="32"/>
          <w:lang w:eastAsia="zh-CN"/>
        </w:rPr>
        <w:t>水源、</w:t>
      </w:r>
      <w:r>
        <w:rPr>
          <w:rFonts w:hint="eastAsia" w:ascii="仿宋_GB2312" w:hAnsi="仿宋_GB2312" w:eastAsia="仿宋_GB2312" w:cs="仿宋_GB2312"/>
          <w:b w:val="0"/>
          <w:bCs w:val="0"/>
          <w:sz w:val="32"/>
          <w:szCs w:val="32"/>
        </w:rPr>
        <w:t>空气质量进行检测的，可以委托具有资质的第三方检测。</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第五章  种植保护</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第三十二条</w:t>
      </w:r>
      <w:r>
        <w:rPr>
          <w:rFonts w:hint="eastAsia" w:ascii="仿宋_GB2312" w:hAnsi="仿宋_GB2312" w:eastAsia="仿宋_GB2312" w:cs="仿宋_GB2312"/>
          <w:b w:val="0"/>
          <w:bCs w:val="0"/>
          <w:sz w:val="32"/>
          <w:szCs w:val="32"/>
        </w:rPr>
        <w:t xml:space="preserve">  在优质岭南中药材生产基地种植保护种类</w:t>
      </w:r>
      <w:r>
        <w:rPr>
          <w:rFonts w:hint="eastAsia" w:ascii="仿宋_GB2312" w:hAnsi="仿宋_GB2312" w:eastAsia="仿宋_GB2312" w:cs="仿宋_GB2312"/>
          <w:b w:val="0"/>
          <w:bCs w:val="0"/>
          <w:sz w:val="32"/>
          <w:szCs w:val="32"/>
          <w:lang w:eastAsia="zh-CN"/>
        </w:rPr>
        <w:t>中药材</w:t>
      </w:r>
      <w:r>
        <w:rPr>
          <w:rFonts w:hint="eastAsia" w:ascii="仿宋_GB2312" w:hAnsi="仿宋_GB2312" w:eastAsia="仿宋_GB2312" w:cs="仿宋_GB2312"/>
          <w:b w:val="0"/>
          <w:bCs w:val="0"/>
          <w:sz w:val="32"/>
          <w:szCs w:val="32"/>
        </w:rPr>
        <w:t>，应当优先选用岭南中药材良种繁育基地生产的种子</w:t>
      </w:r>
      <w:r>
        <w:rPr>
          <w:rFonts w:hint="eastAsia" w:ascii="仿宋_GB2312" w:hAnsi="仿宋_GB2312" w:eastAsia="仿宋_GB2312" w:cs="仿宋_GB2312"/>
          <w:b w:val="0"/>
          <w:bCs w:val="0"/>
          <w:sz w:val="32"/>
          <w:szCs w:val="32"/>
          <w:lang w:eastAsia="zh-CN"/>
        </w:rPr>
        <w:t>种苗</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第三十三条</w:t>
      </w:r>
      <w:r>
        <w:rPr>
          <w:rFonts w:hint="eastAsia" w:ascii="仿宋_GB2312" w:hAnsi="仿宋_GB2312" w:eastAsia="仿宋_GB2312" w:cs="仿宋_GB2312"/>
          <w:b w:val="0"/>
          <w:bCs w:val="0"/>
          <w:sz w:val="32"/>
          <w:szCs w:val="32"/>
        </w:rPr>
        <w:t xml:space="preserve">  保护种类种植企业、农民专业合作经济组织应当根据岭南中药材生长发育特性，按照国家中药材生产质量管理规范，制定保护种类种植技术规程，并按照种植技术规程进行生产。</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第三十四条</w:t>
      </w:r>
      <w:r>
        <w:rPr>
          <w:rFonts w:hint="eastAsia" w:ascii="仿宋_GB2312" w:hAnsi="仿宋_GB2312" w:eastAsia="仿宋_GB2312" w:cs="仿宋_GB2312"/>
          <w:b w:val="0"/>
          <w:bCs w:val="0"/>
          <w:sz w:val="32"/>
          <w:szCs w:val="32"/>
        </w:rPr>
        <w:t xml:space="preserve">  优质岭南中药材生产基地应当按照保护种类的特定技术规范进行种植，保持岭南中药材</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质量稳定</w:t>
      </w:r>
      <w:r>
        <w:rPr>
          <w:rFonts w:hint="eastAsia" w:ascii="仿宋_GB2312" w:hAnsi="仿宋_GB2312" w:eastAsia="仿宋_GB2312" w:cs="仿宋_GB2312"/>
          <w:b w:val="0"/>
          <w:bCs w:val="0"/>
          <w:sz w:val="32"/>
          <w:szCs w:val="32"/>
          <w:lang w:eastAsia="zh-CN"/>
        </w:rPr>
        <w:t>，创新种植模式应当符合国家中药材生产质量管理规范</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种植生产不得违反环境保护、林地保护和水土保持法律法规的规定。</w:t>
      </w:r>
      <w:r>
        <w:rPr>
          <w:rFonts w:hint="eastAsia" w:ascii="仿宋_GB2312" w:hAnsi="仿宋_GB2312" w:eastAsia="仿宋_GB2312" w:cs="仿宋_GB2312"/>
          <w:b w:val="0"/>
          <w:bCs w:val="0"/>
          <w:sz w:val="32"/>
          <w:szCs w:val="32"/>
          <w:lang w:eastAsia="zh-CN"/>
        </w:rPr>
        <w:t>禁止使用国家禁用、淘汰的种植投入品，</w:t>
      </w:r>
      <w:r>
        <w:rPr>
          <w:rFonts w:hint="eastAsia" w:ascii="仿宋_GB2312" w:hAnsi="仿宋_GB2312" w:eastAsia="仿宋_GB2312" w:cs="仿宋_GB2312"/>
          <w:b w:val="0"/>
          <w:bCs w:val="0"/>
          <w:sz w:val="32"/>
          <w:szCs w:val="32"/>
        </w:rPr>
        <w:t>禁止使用高毒、剧毒</w:t>
      </w:r>
      <w:r>
        <w:rPr>
          <w:rFonts w:hint="eastAsia" w:ascii="仿宋_GB2312" w:hAnsi="仿宋_GB2312" w:eastAsia="仿宋_GB2312" w:cs="仿宋_GB2312"/>
          <w:b w:val="0"/>
          <w:bCs w:val="0"/>
          <w:sz w:val="32"/>
          <w:szCs w:val="32"/>
          <w:lang w:eastAsia="zh-CN"/>
        </w:rPr>
        <w:t>及高残留</w:t>
      </w:r>
      <w:r>
        <w:rPr>
          <w:rFonts w:hint="eastAsia" w:ascii="仿宋_GB2312" w:hAnsi="仿宋_GB2312" w:eastAsia="仿宋_GB2312" w:cs="仿宋_GB2312"/>
          <w:b w:val="0"/>
          <w:bCs w:val="0"/>
          <w:sz w:val="32"/>
          <w:szCs w:val="32"/>
        </w:rPr>
        <w:t>农药，禁止滥用农药、抗生素、化肥、植物生长调节剂和除草剂。</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第三十五条</w:t>
      </w:r>
      <w:r>
        <w:rPr>
          <w:rFonts w:hint="eastAsia" w:ascii="仿宋_GB2312" w:hAnsi="仿宋_GB2312" w:eastAsia="仿宋_GB2312" w:cs="仿宋_GB2312"/>
          <w:b w:val="0"/>
          <w:bCs w:val="0"/>
          <w:sz w:val="32"/>
          <w:szCs w:val="32"/>
        </w:rPr>
        <w:t xml:space="preserve">  岭南中药材种植环境应当保持适宜的种植自然条件，并符合</w:t>
      </w:r>
      <w:r>
        <w:rPr>
          <w:rFonts w:hint="eastAsia" w:ascii="仿宋_GB2312" w:hAnsi="仿宋_GB2312" w:eastAsia="仿宋_GB2312" w:cs="仿宋_GB2312"/>
          <w:b w:val="0"/>
          <w:bCs w:val="0"/>
          <w:sz w:val="32"/>
          <w:szCs w:val="32"/>
          <w:lang w:eastAsia="zh-CN"/>
        </w:rPr>
        <w:t>国家规定的</w:t>
      </w:r>
      <w:r>
        <w:rPr>
          <w:rFonts w:hint="eastAsia" w:ascii="仿宋_GB2312" w:hAnsi="仿宋_GB2312" w:eastAsia="仿宋_GB2312" w:cs="仿宋_GB2312"/>
          <w:b w:val="0"/>
          <w:bCs w:val="0"/>
          <w:sz w:val="32"/>
          <w:szCs w:val="32"/>
        </w:rPr>
        <w:t>标准</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第三十六条</w:t>
      </w:r>
      <w:r>
        <w:rPr>
          <w:rFonts w:hint="eastAsia" w:ascii="仿宋_GB2312" w:hAnsi="仿宋_GB2312" w:eastAsia="仿宋_GB2312" w:cs="仿宋_GB2312"/>
          <w:b w:val="0"/>
          <w:bCs w:val="0"/>
          <w:sz w:val="32"/>
          <w:szCs w:val="32"/>
        </w:rPr>
        <w:t xml:space="preserve">  岭南中药材种植者应当针对岭南中药材生长发育特性和不同的药用部位，通过田间农艺管理措施调控岭南中药材生长发育，保持</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质量稳定，提高药材产量。</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第三十七条</w:t>
      </w:r>
      <w:r>
        <w:rPr>
          <w:rFonts w:hint="eastAsia" w:ascii="仿宋_GB2312" w:hAnsi="仿宋_GB2312" w:eastAsia="仿宋_GB2312" w:cs="仿宋_GB2312"/>
          <w:b w:val="0"/>
          <w:bCs w:val="0"/>
          <w:sz w:val="32"/>
          <w:szCs w:val="32"/>
        </w:rPr>
        <w:t xml:space="preserve">  种植者应当根据岭南中药材的营养特点及土壤的供肥能力，确定施肥种类、时间、数量和方法，</w:t>
      </w:r>
      <w:r>
        <w:rPr>
          <w:rFonts w:hint="eastAsia" w:ascii="仿宋_GB2312" w:hAnsi="仿宋_GB2312" w:eastAsia="仿宋_GB2312" w:cs="仿宋_GB2312"/>
          <w:b w:val="0"/>
          <w:bCs w:val="0"/>
          <w:sz w:val="32"/>
          <w:szCs w:val="32"/>
          <w:lang w:eastAsia="zh-CN"/>
        </w:rPr>
        <w:t>肥料的种类应当以有机肥为主，</w:t>
      </w:r>
      <w:r>
        <w:rPr>
          <w:rFonts w:hint="eastAsia" w:ascii="仿宋_GB2312" w:hAnsi="仿宋_GB2312" w:eastAsia="仿宋_GB2312" w:cs="仿宋_GB2312"/>
          <w:b w:val="0"/>
          <w:bCs w:val="0"/>
          <w:sz w:val="32"/>
          <w:szCs w:val="32"/>
        </w:rPr>
        <w:t>科学合理地使用肥料。</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第三十八条</w:t>
      </w:r>
      <w:r>
        <w:rPr>
          <w:rFonts w:hint="eastAsia" w:ascii="仿宋_GB2312" w:hAnsi="仿宋_GB2312" w:eastAsia="仿宋_GB2312" w:cs="仿宋_GB2312"/>
          <w:b w:val="0"/>
          <w:bCs w:val="0"/>
          <w:sz w:val="32"/>
          <w:szCs w:val="32"/>
        </w:rPr>
        <w:t xml:space="preserve">  种植者在病虫害的防治过程中</w:t>
      </w:r>
      <w:r>
        <w:rPr>
          <w:rFonts w:hint="eastAsia" w:ascii="仿宋_GB2312" w:hAnsi="仿宋_GB2312" w:eastAsia="仿宋_GB2312" w:cs="仿宋_GB2312"/>
          <w:b w:val="0"/>
          <w:bCs w:val="0"/>
          <w:sz w:val="32"/>
          <w:szCs w:val="32"/>
          <w:lang w:eastAsia="zh-CN"/>
        </w:rPr>
        <w:t>应当优先采用生物防治方法，并</w:t>
      </w:r>
      <w:r>
        <w:rPr>
          <w:rFonts w:hint="eastAsia" w:ascii="仿宋_GB2312" w:hAnsi="仿宋_GB2312" w:eastAsia="仿宋_GB2312" w:cs="仿宋_GB2312"/>
          <w:b w:val="0"/>
          <w:bCs w:val="0"/>
          <w:sz w:val="32"/>
          <w:szCs w:val="32"/>
        </w:rPr>
        <w:t>依法、合理使用农药，</w:t>
      </w:r>
      <w:r>
        <w:rPr>
          <w:rFonts w:hint="eastAsia" w:ascii="仿宋_GB2312" w:hAnsi="仿宋_GB2312" w:eastAsia="仿宋_GB2312" w:cs="仿宋_GB2312"/>
          <w:b w:val="0"/>
          <w:bCs w:val="0"/>
          <w:sz w:val="32"/>
          <w:szCs w:val="32"/>
          <w:lang w:eastAsia="zh-CN"/>
        </w:rPr>
        <w:t>使岭南中</w:t>
      </w:r>
      <w:r>
        <w:rPr>
          <w:rFonts w:hint="eastAsia" w:ascii="仿宋_GB2312" w:hAnsi="仿宋_GB2312" w:eastAsia="仿宋_GB2312" w:cs="仿宋_GB2312"/>
          <w:b w:val="0"/>
          <w:bCs w:val="0"/>
          <w:sz w:val="32"/>
          <w:szCs w:val="32"/>
        </w:rPr>
        <w:t>药材的农药残留</w:t>
      </w:r>
      <w:r>
        <w:rPr>
          <w:rFonts w:hint="eastAsia" w:ascii="仿宋_GB2312" w:hAnsi="仿宋_GB2312" w:eastAsia="仿宋_GB2312" w:cs="仿宋_GB2312"/>
          <w:b w:val="0"/>
          <w:bCs w:val="0"/>
          <w:sz w:val="32"/>
          <w:szCs w:val="32"/>
          <w:lang w:eastAsia="zh-CN"/>
        </w:rPr>
        <w:t>等指标符合质量标准</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第三十九条</w:t>
      </w:r>
      <w:r>
        <w:rPr>
          <w:rFonts w:hint="eastAsia" w:ascii="仿宋_GB2312" w:hAnsi="仿宋_GB2312" w:eastAsia="仿宋_GB2312" w:cs="仿宋_GB2312"/>
          <w:b w:val="0"/>
          <w:bCs w:val="0"/>
          <w:sz w:val="32"/>
          <w:szCs w:val="32"/>
        </w:rPr>
        <w:t xml:space="preserve">  优质岭南中药材生产基地应当确定适宜的采收时间和方法，避免因提早、推迟采收时间或者采收方法不当影响岭南中药材</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优质岭南中药材生产基地</w:t>
      </w:r>
      <w:r>
        <w:rPr>
          <w:rFonts w:hint="eastAsia" w:ascii="仿宋_GB2312" w:hAnsi="仿宋_GB2312" w:eastAsia="仿宋_GB2312" w:cs="仿宋_GB2312"/>
          <w:b w:val="0"/>
          <w:bCs w:val="0"/>
          <w:sz w:val="32"/>
          <w:szCs w:val="32"/>
        </w:rPr>
        <w:t>应当</w:t>
      </w:r>
      <w:r>
        <w:rPr>
          <w:rFonts w:hint="eastAsia" w:ascii="仿宋_GB2312" w:hAnsi="仿宋_GB2312" w:eastAsia="仿宋_GB2312" w:cs="仿宋_GB2312"/>
          <w:b w:val="0"/>
          <w:bCs w:val="0"/>
          <w:sz w:val="32"/>
          <w:szCs w:val="32"/>
          <w:lang w:eastAsia="zh-CN"/>
        </w:rPr>
        <w:t>对采收的保护种类进行</w:t>
      </w:r>
      <w:r>
        <w:rPr>
          <w:rFonts w:hint="eastAsia" w:ascii="仿宋_GB2312" w:hAnsi="仿宋_GB2312" w:eastAsia="仿宋_GB2312" w:cs="仿宋_GB2312"/>
          <w:b w:val="0"/>
          <w:bCs w:val="0"/>
          <w:sz w:val="32"/>
          <w:szCs w:val="32"/>
        </w:rPr>
        <w:t>取样</w:t>
      </w:r>
      <w:r>
        <w:rPr>
          <w:rFonts w:hint="eastAsia" w:ascii="仿宋_GB2312" w:hAnsi="仿宋_GB2312" w:eastAsia="仿宋_GB2312" w:cs="仿宋_GB2312"/>
          <w:b w:val="0"/>
          <w:bCs w:val="0"/>
          <w:sz w:val="32"/>
          <w:szCs w:val="32"/>
          <w:lang w:eastAsia="zh-CN"/>
        </w:rPr>
        <w:t>，送具有资质的检测机构进行检测</w:t>
      </w:r>
      <w:r>
        <w:rPr>
          <w:rFonts w:hint="eastAsia" w:ascii="仿宋_GB2312" w:hAnsi="仿宋_GB2312" w:eastAsia="仿宋_GB2312" w:cs="仿宋_GB2312"/>
          <w:b w:val="0"/>
          <w:bCs w:val="0"/>
          <w:sz w:val="32"/>
          <w:szCs w:val="32"/>
        </w:rPr>
        <w:t>，送检</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质量不达标的，不得入药使用。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第四十条</w:t>
      </w:r>
      <w:r>
        <w:rPr>
          <w:rFonts w:hint="eastAsia" w:ascii="仿宋_GB2312" w:hAnsi="仿宋_GB2312" w:eastAsia="仿宋_GB2312" w:cs="仿宋_GB2312"/>
          <w:b w:val="0"/>
          <w:bCs w:val="0"/>
          <w:sz w:val="32"/>
          <w:szCs w:val="32"/>
        </w:rPr>
        <w:t xml:space="preserve">  岭南中药材进行产地初加工应当符合国家中药材生产质量管理规范，</w:t>
      </w:r>
      <w:r>
        <w:rPr>
          <w:rFonts w:hint="eastAsia" w:ascii="仿宋_GB2312" w:hAnsi="仿宋_GB2312" w:eastAsia="仿宋_GB2312" w:cs="仿宋_GB2312"/>
          <w:b w:val="0"/>
          <w:bCs w:val="0"/>
          <w:sz w:val="32"/>
          <w:szCs w:val="32"/>
          <w:lang w:eastAsia="zh-CN"/>
        </w:rPr>
        <w:t>不得</w:t>
      </w:r>
      <w:r>
        <w:rPr>
          <w:rFonts w:hint="eastAsia" w:ascii="仿宋_GB2312" w:hAnsi="仿宋_GB2312" w:eastAsia="仿宋_GB2312" w:cs="仿宋_GB2312"/>
          <w:b w:val="0"/>
          <w:bCs w:val="0"/>
          <w:sz w:val="32"/>
          <w:szCs w:val="32"/>
        </w:rPr>
        <w:t>污染、</w:t>
      </w:r>
      <w:r>
        <w:rPr>
          <w:rFonts w:hint="eastAsia" w:ascii="仿宋_GB2312" w:hAnsi="仿宋_GB2312" w:eastAsia="仿宋_GB2312" w:cs="仿宋_GB2312"/>
          <w:b w:val="0"/>
          <w:bCs w:val="0"/>
          <w:sz w:val="32"/>
          <w:szCs w:val="32"/>
          <w:lang w:eastAsia="zh-CN"/>
        </w:rPr>
        <w:t>破坏中药材</w:t>
      </w:r>
      <w:r>
        <w:rPr>
          <w:rFonts w:hint="eastAsia" w:ascii="仿宋_GB2312" w:hAnsi="仿宋_GB2312" w:eastAsia="仿宋_GB2312" w:cs="仿宋_GB2312"/>
          <w:b w:val="0"/>
          <w:bCs w:val="0"/>
          <w:sz w:val="32"/>
          <w:szCs w:val="32"/>
        </w:rPr>
        <w:t>有效成分。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第四十一条</w:t>
      </w:r>
      <w:r>
        <w:rPr>
          <w:rFonts w:hint="eastAsia" w:ascii="仿宋_GB2312" w:hAnsi="仿宋_GB2312" w:eastAsia="仿宋_GB2312" w:cs="仿宋_GB2312"/>
          <w:b w:val="0"/>
          <w:bCs w:val="0"/>
          <w:sz w:val="32"/>
          <w:szCs w:val="32"/>
        </w:rPr>
        <w:t xml:space="preserve">  县级以上人民政府应当鼓励保险机构开发岭南中药材种植保险产品，构建市场化的岭南中药材种植风险分散和损失补偿机制。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有条件的</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级</w:t>
      </w:r>
      <w:r>
        <w:rPr>
          <w:rFonts w:hint="eastAsia" w:ascii="仿宋_GB2312" w:hAnsi="仿宋_GB2312" w:eastAsia="仿宋_GB2312" w:cs="仿宋_GB2312"/>
          <w:b w:val="0"/>
          <w:bCs w:val="0"/>
          <w:sz w:val="32"/>
          <w:szCs w:val="32"/>
        </w:rPr>
        <w:t>人民政府可以给予保险费补贴。</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第六章  品牌保护</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第四十二条</w:t>
      </w:r>
      <w:r>
        <w:rPr>
          <w:rFonts w:hint="eastAsia" w:ascii="仿宋_GB2312" w:hAnsi="仿宋_GB2312" w:eastAsia="仿宋_GB2312" w:cs="仿宋_GB2312"/>
          <w:b w:val="0"/>
          <w:bCs w:val="0"/>
          <w:sz w:val="32"/>
          <w:szCs w:val="32"/>
        </w:rPr>
        <w:t xml:space="preserve">  县级以上人民政府应当利用岭南中药材保护</w:t>
      </w:r>
      <w:r>
        <w:rPr>
          <w:rFonts w:hint="eastAsia" w:ascii="仿宋_GB2312" w:hAnsi="仿宋_GB2312" w:eastAsia="仿宋_GB2312" w:cs="仿宋_GB2312"/>
          <w:b w:val="0"/>
          <w:bCs w:val="0"/>
          <w:sz w:val="32"/>
          <w:szCs w:val="32"/>
          <w:lang w:eastAsia="zh-CN"/>
        </w:rPr>
        <w:t>经费</w:t>
      </w:r>
      <w:r>
        <w:rPr>
          <w:rFonts w:hint="eastAsia" w:ascii="仿宋_GB2312" w:hAnsi="仿宋_GB2312" w:eastAsia="仿宋_GB2312" w:cs="仿宋_GB2312"/>
          <w:b w:val="0"/>
          <w:bCs w:val="0"/>
          <w:sz w:val="32"/>
          <w:szCs w:val="32"/>
        </w:rPr>
        <w:t>，支持行业组织设立专门的保护种类品牌推广中心，培育岭南中药材知名品牌</w:t>
      </w:r>
      <w:r>
        <w:rPr>
          <w:rFonts w:hint="eastAsia" w:ascii="仿宋_GB2312" w:hAnsi="仿宋_GB2312" w:eastAsia="仿宋_GB2312" w:cs="仿宋_GB2312"/>
          <w:b w:val="0"/>
          <w:bCs w:val="0"/>
          <w:sz w:val="32"/>
          <w:szCs w:val="32"/>
          <w:lang w:eastAsia="zh-CN"/>
        </w:rPr>
        <w:t>，促进岭南中药材的品牌化经营</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保护种类品牌推广中心应当提供品牌培育、宣传推广、交流合作等服务，协助岭南中药材</w:t>
      </w:r>
      <w:r>
        <w:rPr>
          <w:rFonts w:hint="eastAsia" w:ascii="仿宋_GB2312" w:hAnsi="仿宋_GB2312" w:eastAsia="仿宋_GB2312" w:cs="仿宋_GB2312"/>
          <w:b w:val="0"/>
          <w:bCs w:val="0"/>
          <w:sz w:val="32"/>
          <w:szCs w:val="32"/>
          <w:lang w:eastAsia="zh-CN"/>
        </w:rPr>
        <w:t>品牌</w:t>
      </w:r>
      <w:r>
        <w:rPr>
          <w:rFonts w:hint="eastAsia" w:ascii="仿宋_GB2312" w:hAnsi="仿宋_GB2312" w:eastAsia="仿宋_GB2312" w:cs="仿宋_GB2312"/>
          <w:b w:val="0"/>
          <w:bCs w:val="0"/>
          <w:sz w:val="32"/>
          <w:szCs w:val="32"/>
        </w:rPr>
        <w:t>相关权利持有人扩大品牌影响范围，提高社会认知度。</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第四十三条</w:t>
      </w:r>
      <w:r>
        <w:rPr>
          <w:rFonts w:hint="eastAsia" w:ascii="仿宋_GB2312" w:hAnsi="仿宋_GB2312" w:eastAsia="仿宋_GB2312" w:cs="仿宋_GB2312"/>
          <w:b w:val="0"/>
          <w:bCs w:val="0"/>
          <w:sz w:val="32"/>
          <w:szCs w:val="32"/>
        </w:rPr>
        <w:t xml:space="preserve">  县级以上人民政府及其有关部门应当支持行业协会、岭南中药材生产者依法申请国家地理标志产品保护。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已经获得国家地理标志保护或者已经取得地理标志商标权的保护种类，应当整合保护资源，扩大品牌效应。</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使用岭南中药材地理标志保护产品专用标志的，应当采取防伪标识、电子信息管理等措施，加强品牌信息保护。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第四十四条</w:t>
      </w:r>
      <w:r>
        <w:rPr>
          <w:rFonts w:hint="eastAsia" w:ascii="仿宋_GB2312" w:hAnsi="仿宋_GB2312" w:eastAsia="仿宋_GB2312" w:cs="仿宋_GB2312"/>
          <w:b w:val="0"/>
          <w:bCs w:val="0"/>
          <w:sz w:val="32"/>
          <w:szCs w:val="32"/>
        </w:rPr>
        <w:t xml:space="preserve">  县级以上人民政府及其有关部门应当引导和支持岭南中药材行业协会、生产者等，及时通过申请商标注册获得专用权保护。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经济合作社、行业协会等组织应当及时申请岭南中药材特定种类地理标志集体商标或者证明商标专用权保护，并依法许可其成员或者其他符合规定条件的岭南中药材生产者和经营者使用。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为相关公众所熟知的岭南中药材商标持有人在其权利受到侵害时，可以依法请求驰名商标保护。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第四十五条</w:t>
      </w:r>
      <w:r>
        <w:rPr>
          <w:rFonts w:hint="eastAsia" w:ascii="仿宋_GB2312" w:hAnsi="仿宋_GB2312" w:eastAsia="仿宋_GB2312" w:cs="仿宋_GB2312"/>
          <w:b w:val="0"/>
          <w:bCs w:val="0"/>
          <w:sz w:val="32"/>
          <w:szCs w:val="32"/>
        </w:rPr>
        <w:t xml:space="preserve">  岭南中药材生产者在种子繁育及种植过程中，通过开展科学研究、技术改造、技术引进、技术合作等活动取得发明创造成果的，应当在向社会公开之前及时申请专利。不适宜申请专利制度保护的发明创造成果，</w:t>
      </w:r>
      <w:r>
        <w:rPr>
          <w:rFonts w:hint="eastAsia" w:ascii="仿宋_GB2312" w:hAnsi="仿宋_GB2312" w:eastAsia="仿宋_GB2312" w:cs="仿宋_GB2312"/>
          <w:b w:val="0"/>
          <w:bCs w:val="0"/>
          <w:sz w:val="32"/>
          <w:szCs w:val="32"/>
          <w:lang w:eastAsia="zh-CN"/>
        </w:rPr>
        <w:t>可以</w:t>
      </w:r>
      <w:r>
        <w:rPr>
          <w:rFonts w:hint="eastAsia" w:ascii="仿宋_GB2312" w:hAnsi="仿宋_GB2312" w:eastAsia="仿宋_GB2312" w:cs="仿宋_GB2312"/>
          <w:b w:val="0"/>
          <w:bCs w:val="0"/>
          <w:sz w:val="32"/>
          <w:szCs w:val="32"/>
        </w:rPr>
        <w:t>依法实施商业秘密保护。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鼓励符合条件的岭南中药材新品种向国务院农业或者林业主管部门申请植物新品种权，获得植物新品种权保护。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涉及濒危野生</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岭南中药材培育关键技术和产品的专利申请，应当在提交专利申请书前履行相关审批手续。</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向</w:t>
      </w:r>
      <w:r>
        <w:rPr>
          <w:rFonts w:hint="eastAsia" w:ascii="仿宋_GB2312" w:hAnsi="仿宋_GB2312" w:eastAsia="仿宋_GB2312" w:cs="仿宋_GB2312"/>
          <w:b w:val="0"/>
          <w:bCs w:val="0"/>
          <w:sz w:val="32"/>
          <w:szCs w:val="32"/>
          <w:lang w:eastAsia="zh-CN"/>
        </w:rPr>
        <w:t>境外</w:t>
      </w:r>
      <w:r>
        <w:rPr>
          <w:rFonts w:hint="eastAsia" w:ascii="仿宋_GB2312" w:hAnsi="仿宋_GB2312" w:eastAsia="仿宋_GB2312" w:cs="仿宋_GB2312"/>
          <w:b w:val="0"/>
          <w:bCs w:val="0"/>
          <w:sz w:val="32"/>
          <w:szCs w:val="32"/>
        </w:rPr>
        <w:t>转让濒危野生</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岭南中药材培育技术的，应当按照国家有关保密的规定办理。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w:t>
      </w:r>
      <w:r>
        <w:rPr>
          <w:rFonts w:hint="eastAsia" w:ascii="黑体" w:hAnsi="黑体" w:eastAsia="黑体" w:cs="黑体"/>
          <w:b w:val="0"/>
          <w:bCs w:val="0"/>
          <w:sz w:val="32"/>
          <w:szCs w:val="32"/>
          <w:lang w:val="en-US" w:eastAsia="zh-CN"/>
        </w:rPr>
        <w:t>四十六</w:t>
      </w:r>
      <w:r>
        <w:rPr>
          <w:rFonts w:hint="eastAsia" w:ascii="黑体" w:hAnsi="黑体" w:eastAsia="黑体" w:cs="黑体"/>
          <w:b w:val="0"/>
          <w:bCs w:val="0"/>
          <w:sz w:val="32"/>
          <w:szCs w:val="32"/>
          <w:lang w:eastAsia="zh-CN"/>
        </w:rPr>
        <w:t>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鼓励</w:t>
      </w:r>
      <w:r>
        <w:rPr>
          <w:rFonts w:hint="eastAsia" w:ascii="仿宋_GB2312" w:hAnsi="仿宋_GB2312" w:eastAsia="仿宋_GB2312" w:cs="仿宋_GB2312"/>
          <w:b w:val="0"/>
          <w:bCs w:val="0"/>
          <w:sz w:val="32"/>
          <w:szCs w:val="32"/>
          <w:lang w:eastAsia="zh-CN"/>
        </w:rPr>
        <w:t>、支持</w:t>
      </w:r>
      <w:r>
        <w:rPr>
          <w:rFonts w:hint="eastAsia" w:ascii="仿宋_GB2312" w:hAnsi="仿宋_GB2312" w:eastAsia="仿宋_GB2312" w:cs="仿宋_GB2312"/>
          <w:b w:val="0"/>
          <w:bCs w:val="0"/>
          <w:sz w:val="32"/>
          <w:szCs w:val="32"/>
        </w:rPr>
        <w:t>岭南中药材生产经营者对企业品牌和产品注册域名，依法保护生产经营者的合法权益。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第四十七条</w:t>
      </w:r>
      <w:r>
        <w:rPr>
          <w:rFonts w:hint="eastAsia" w:ascii="仿宋_GB2312" w:hAnsi="仿宋_GB2312" w:eastAsia="仿宋_GB2312" w:cs="仿宋_GB2312"/>
          <w:b w:val="0"/>
          <w:bCs w:val="0"/>
          <w:sz w:val="32"/>
          <w:szCs w:val="32"/>
        </w:rPr>
        <w:t xml:space="preserve">  取得岭南中药材注册商标、地理标志保护产品专用标志的权利人，应当按照商标注册证和专用标志证书核准的范围进行使用；确需增加使用范围的，应当依法另行申请。</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注册商标、专用标志的权利人有权对商标、专用标志的使用进行管理和控制，许可其成员或者其他符合规定条件的使用人在其生产经营的岭南中药材的商品、商品包装或者容器、商品交易文书，以及在广告宣传、展览或者其他商业活动中使用该注册商标、专用标志。</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第四十八条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县级以上</w:t>
      </w:r>
      <w:r>
        <w:rPr>
          <w:rFonts w:hint="eastAsia" w:ascii="仿宋_GB2312" w:hAnsi="仿宋_GB2312" w:eastAsia="仿宋_GB2312" w:cs="仿宋_GB2312"/>
          <w:b w:val="0"/>
          <w:bCs w:val="0"/>
          <w:sz w:val="32"/>
          <w:szCs w:val="32"/>
        </w:rPr>
        <w:t>人民政府</w:t>
      </w:r>
      <w:r>
        <w:rPr>
          <w:rFonts w:hint="eastAsia" w:ascii="仿宋_GB2312" w:hAnsi="仿宋_GB2312" w:eastAsia="仿宋_GB2312" w:cs="仿宋_GB2312"/>
          <w:b w:val="0"/>
          <w:bCs w:val="0"/>
          <w:sz w:val="32"/>
          <w:szCs w:val="32"/>
          <w:lang w:eastAsia="zh-CN"/>
        </w:rPr>
        <w:t>中医药主管部门</w:t>
      </w:r>
      <w:r>
        <w:rPr>
          <w:rFonts w:hint="eastAsia" w:ascii="仿宋_GB2312" w:hAnsi="仿宋_GB2312" w:eastAsia="仿宋_GB2312" w:cs="仿宋_GB2312"/>
          <w:b w:val="0"/>
          <w:bCs w:val="0"/>
          <w:sz w:val="32"/>
          <w:szCs w:val="32"/>
        </w:rPr>
        <w:t>应当</w:t>
      </w:r>
      <w:r>
        <w:rPr>
          <w:rFonts w:hint="eastAsia" w:ascii="仿宋_GB2312" w:hAnsi="仿宋_GB2312" w:eastAsia="仿宋_GB2312" w:cs="仿宋_GB2312"/>
          <w:b w:val="0"/>
          <w:bCs w:val="0"/>
          <w:sz w:val="32"/>
          <w:szCs w:val="32"/>
          <w:lang w:eastAsia="zh-CN"/>
        </w:rPr>
        <w:t>会同文化主管部门</w:t>
      </w:r>
      <w:r>
        <w:rPr>
          <w:rFonts w:hint="eastAsia" w:ascii="仿宋_GB2312" w:hAnsi="仿宋_GB2312" w:eastAsia="仿宋_GB2312" w:cs="仿宋_GB2312"/>
          <w:b w:val="0"/>
          <w:bCs w:val="0"/>
          <w:sz w:val="32"/>
          <w:szCs w:val="32"/>
        </w:rPr>
        <w:t>弘扬岭南中药材文化，加强岭南中药材育种、种植、采收、加工技艺交流，做好岭南中药材珍品、精品收集和有关珍贵资料的整理工作。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eastAsia="zh-CN"/>
        </w:rPr>
        <w:t>第四十九条</w:t>
      </w:r>
      <w:r>
        <w:rPr>
          <w:rFonts w:hint="eastAsia" w:ascii="仿宋_GB2312" w:hAnsi="仿宋_GB2312" w:eastAsia="仿宋_GB2312" w:cs="仿宋_GB2312"/>
          <w:b w:val="0"/>
          <w:bCs w:val="0"/>
          <w:sz w:val="32"/>
          <w:szCs w:val="32"/>
        </w:rPr>
        <w:t xml:space="preserve">  鼓励和支持开展有关岭南中药材的非物质文化遗产代表性项目的保护、传承</w:t>
      </w:r>
      <w:r>
        <w:rPr>
          <w:rFonts w:hint="eastAsia" w:ascii="仿宋_GB2312" w:hAnsi="仿宋_GB2312" w:eastAsia="仿宋_GB2312" w:cs="仿宋_GB2312"/>
          <w:b w:val="0"/>
          <w:bCs w:val="0"/>
          <w:sz w:val="32"/>
          <w:szCs w:val="32"/>
          <w:lang w:val="en-US" w:eastAsia="zh-CN"/>
        </w:rPr>
        <w:t>和传播。</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县级以上人民政府文化主管部门对非物质文化遗产代表性项目，或者具有重要学术价值的岭南中药材理论、制作</w:t>
      </w:r>
      <w:r>
        <w:rPr>
          <w:rFonts w:hint="eastAsia" w:ascii="仿宋_GB2312" w:hAnsi="仿宋_GB2312" w:eastAsia="仿宋_GB2312" w:cs="仿宋_GB2312"/>
          <w:b w:val="0"/>
          <w:bCs w:val="0"/>
          <w:sz w:val="32"/>
          <w:szCs w:val="32"/>
        </w:rPr>
        <w:t>技艺和方法，应当组织遴选保护项目和代表性传承人，并为传承活动提供必要的条件。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eastAsia="zh-CN"/>
        </w:rPr>
        <w:t>第五十条</w:t>
      </w:r>
      <w:r>
        <w:rPr>
          <w:rFonts w:hint="eastAsia" w:ascii="仿宋_GB2312" w:hAnsi="仿宋_GB2312" w:eastAsia="仿宋_GB2312" w:cs="仿宋_GB2312"/>
          <w:b w:val="0"/>
          <w:bCs w:val="0"/>
          <w:sz w:val="32"/>
          <w:szCs w:val="32"/>
        </w:rPr>
        <w:t xml:space="preserve">  支持</w:t>
      </w:r>
      <w:r>
        <w:rPr>
          <w:rFonts w:hint="eastAsia" w:ascii="仿宋_GB2312" w:hAnsi="仿宋_GB2312" w:eastAsia="仿宋_GB2312" w:cs="仿宋_GB2312"/>
          <w:b w:val="0"/>
          <w:bCs w:val="0"/>
          <w:sz w:val="32"/>
          <w:szCs w:val="32"/>
          <w:lang w:eastAsia="zh-CN"/>
        </w:rPr>
        <w:t>开展</w:t>
      </w:r>
      <w:r>
        <w:rPr>
          <w:rFonts w:hint="eastAsia" w:ascii="仿宋_GB2312" w:hAnsi="仿宋_GB2312" w:eastAsia="仿宋_GB2312" w:cs="仿宋_GB2312"/>
          <w:b w:val="0"/>
          <w:bCs w:val="0"/>
          <w:sz w:val="32"/>
          <w:szCs w:val="32"/>
        </w:rPr>
        <w:t>岭南中药材对外交流与合作，推动建立多方认可的岭南中药材标准，促进岭南中药材国际贸易便利化，鼓励岭南中药材出口企业在</w:t>
      </w:r>
      <w:r>
        <w:rPr>
          <w:rFonts w:hint="eastAsia" w:ascii="仿宋_GB2312" w:hAnsi="仿宋_GB2312" w:eastAsia="仿宋_GB2312" w:cs="仿宋_GB2312"/>
          <w:b w:val="0"/>
          <w:bCs w:val="0"/>
          <w:sz w:val="32"/>
          <w:szCs w:val="32"/>
          <w:lang w:val="en-US" w:eastAsia="zh-CN"/>
        </w:rPr>
        <w:t>境外申请商标注册。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第七章  监督管理</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第五十一条</w:t>
      </w:r>
      <w:r>
        <w:rPr>
          <w:rFonts w:hint="eastAsia" w:ascii="仿宋_GB2312" w:hAnsi="仿宋_GB2312" w:eastAsia="仿宋_GB2312" w:cs="仿宋_GB2312"/>
          <w:b w:val="0"/>
          <w:bCs w:val="0"/>
          <w:sz w:val="32"/>
          <w:szCs w:val="32"/>
        </w:rPr>
        <w:t xml:space="preserve">  县级以上人民政</w:t>
      </w:r>
      <w:r>
        <w:rPr>
          <w:rFonts w:hint="eastAsia" w:ascii="仿宋_GB2312" w:hAnsi="仿宋_GB2312" w:eastAsia="仿宋_GB2312" w:cs="仿宋_GB2312"/>
          <w:b w:val="0"/>
          <w:bCs w:val="0"/>
          <w:sz w:val="32"/>
          <w:szCs w:val="32"/>
          <w:lang w:val="en-US" w:eastAsia="zh-CN"/>
        </w:rPr>
        <w:t>府农业、林业主管部门应当会同中医药、食品药品监督管理等有关部门建立岭南中药材良种繁育基地</w:t>
      </w:r>
      <w:r>
        <w:rPr>
          <w:rFonts w:hint="eastAsia" w:ascii="仿宋_GB2312" w:hAnsi="仿宋_GB2312" w:eastAsia="仿宋_GB2312" w:cs="仿宋_GB2312"/>
          <w:b w:val="0"/>
          <w:bCs w:val="0"/>
          <w:sz w:val="32"/>
          <w:szCs w:val="32"/>
        </w:rPr>
        <w:t>、优质岭南中药材生产基地保护管理责任制</w:t>
      </w:r>
      <w:r>
        <w:rPr>
          <w:rFonts w:hint="eastAsia" w:ascii="仿宋_GB2312" w:hAnsi="仿宋_GB2312" w:eastAsia="仿宋_GB2312" w:cs="仿宋_GB2312"/>
          <w:b w:val="0"/>
          <w:bCs w:val="0"/>
          <w:sz w:val="32"/>
          <w:szCs w:val="32"/>
          <w:lang w:val="en-US" w:eastAsia="zh-CN"/>
        </w:rPr>
        <w:t>度，完善专家评审制度，定期进行检查并组织专家评审，促进保护措施的落实。</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第五十二条</w:t>
      </w:r>
      <w:r>
        <w:rPr>
          <w:rFonts w:hint="eastAsia" w:ascii="仿宋_GB2312" w:hAnsi="仿宋_GB2312" w:eastAsia="仿宋_GB2312" w:cs="仿宋_GB2312"/>
          <w:b w:val="0"/>
          <w:bCs w:val="0"/>
          <w:sz w:val="32"/>
          <w:szCs w:val="32"/>
        </w:rPr>
        <w:t xml:space="preserve">  县级</w:t>
      </w:r>
      <w:r>
        <w:rPr>
          <w:rFonts w:hint="eastAsia" w:ascii="仿宋_GB2312" w:hAnsi="仿宋_GB2312" w:eastAsia="仿宋_GB2312" w:cs="仿宋_GB2312"/>
          <w:b w:val="0"/>
          <w:bCs w:val="0"/>
          <w:sz w:val="32"/>
          <w:szCs w:val="32"/>
          <w:lang w:val="en-US" w:eastAsia="zh-CN"/>
        </w:rPr>
        <w:t>以上人民政府食品药品监督管理部门应当会同中医药、农业、林业、安全生产监督管理等有关部门在其职责范围内对保护活动实施以信用记录为核心的监管机制，建立保护种类质量信用等级档案，对保护种类种源、产地、种植、品牌以及生产企业质量安全管理的评价和监</w:t>
      </w:r>
      <w:r>
        <w:rPr>
          <w:rFonts w:hint="eastAsia" w:ascii="仿宋_GB2312" w:hAnsi="仿宋_GB2312" w:eastAsia="仿宋_GB2312" w:cs="仿宋_GB2312"/>
          <w:b w:val="0"/>
          <w:bCs w:val="0"/>
          <w:sz w:val="32"/>
          <w:szCs w:val="32"/>
        </w:rPr>
        <w:t>督结果</w:t>
      </w:r>
      <w:r>
        <w:rPr>
          <w:rFonts w:hint="eastAsia" w:ascii="仿宋_GB2312" w:hAnsi="仿宋_GB2312" w:eastAsia="仿宋_GB2312" w:cs="仿宋_GB2312"/>
          <w:b w:val="0"/>
          <w:bCs w:val="0"/>
          <w:sz w:val="32"/>
          <w:szCs w:val="32"/>
          <w:lang w:eastAsia="zh-CN"/>
        </w:rPr>
        <w:t>等信息</w:t>
      </w:r>
      <w:r>
        <w:rPr>
          <w:rFonts w:hint="eastAsia" w:ascii="仿宋_GB2312" w:hAnsi="仿宋_GB2312" w:eastAsia="仿宋_GB2312" w:cs="仿宋_GB2312"/>
          <w:b w:val="0"/>
          <w:bCs w:val="0"/>
          <w:sz w:val="32"/>
          <w:szCs w:val="32"/>
        </w:rPr>
        <w:t>登记建档，</w:t>
      </w:r>
      <w:r>
        <w:rPr>
          <w:rFonts w:hint="eastAsia" w:ascii="仿宋_GB2312" w:hAnsi="仿宋_GB2312" w:eastAsia="仿宋_GB2312" w:cs="仿宋_GB2312"/>
          <w:b w:val="0"/>
          <w:bCs w:val="0"/>
          <w:sz w:val="32"/>
          <w:szCs w:val="32"/>
          <w:lang w:eastAsia="zh-CN"/>
        </w:rPr>
        <w:t>实行分类</w:t>
      </w:r>
      <w:r>
        <w:rPr>
          <w:rFonts w:hint="eastAsia" w:ascii="仿宋_GB2312" w:hAnsi="仿宋_GB2312" w:eastAsia="仿宋_GB2312" w:cs="仿宋_GB2312"/>
          <w:b w:val="0"/>
          <w:bCs w:val="0"/>
          <w:sz w:val="32"/>
          <w:szCs w:val="32"/>
        </w:rPr>
        <w:t>分级管理并定期向社会公开有关信息。</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第五十三条</w:t>
      </w:r>
      <w:r>
        <w:rPr>
          <w:rFonts w:hint="eastAsia" w:ascii="仿宋_GB2312" w:hAnsi="仿宋_GB2312" w:eastAsia="仿宋_GB2312" w:cs="仿宋_GB2312"/>
          <w:b w:val="0"/>
          <w:bCs w:val="0"/>
          <w:sz w:val="32"/>
          <w:szCs w:val="32"/>
        </w:rPr>
        <w:t xml:space="preserve">  县级以上人民政府</w:t>
      </w:r>
      <w:r>
        <w:rPr>
          <w:rFonts w:hint="eastAsia" w:ascii="仿宋_GB2312" w:hAnsi="仿宋_GB2312" w:eastAsia="仿宋_GB2312" w:cs="仿宋_GB2312"/>
          <w:b w:val="0"/>
          <w:bCs w:val="0"/>
          <w:sz w:val="32"/>
          <w:szCs w:val="32"/>
          <w:lang w:eastAsia="zh-CN"/>
        </w:rPr>
        <w:t>工商行政管理、</w:t>
      </w:r>
      <w:r>
        <w:rPr>
          <w:rFonts w:hint="eastAsia" w:ascii="仿宋_GB2312" w:hAnsi="仿宋_GB2312" w:eastAsia="仿宋_GB2312" w:cs="仿宋_GB2312"/>
          <w:b w:val="0"/>
          <w:bCs w:val="0"/>
          <w:sz w:val="32"/>
          <w:szCs w:val="32"/>
        </w:rPr>
        <w:t>食品药品</w:t>
      </w:r>
      <w:r>
        <w:rPr>
          <w:rFonts w:hint="eastAsia" w:ascii="仿宋_GB2312" w:hAnsi="仿宋_GB2312" w:eastAsia="仿宋_GB2312" w:cs="仿宋_GB2312"/>
          <w:b w:val="0"/>
          <w:bCs w:val="0"/>
          <w:sz w:val="32"/>
          <w:szCs w:val="32"/>
          <w:lang w:eastAsia="zh-CN"/>
        </w:rPr>
        <w:t>监督管理</w:t>
      </w:r>
      <w:r>
        <w:rPr>
          <w:rFonts w:hint="eastAsia" w:ascii="仿宋_GB2312" w:hAnsi="仿宋_GB2312" w:eastAsia="仿宋_GB2312" w:cs="仿宋_GB2312"/>
          <w:b w:val="0"/>
          <w:bCs w:val="0"/>
          <w:sz w:val="32"/>
          <w:szCs w:val="32"/>
        </w:rPr>
        <w:t>等相关市场</w:t>
      </w:r>
      <w:r>
        <w:rPr>
          <w:rFonts w:hint="eastAsia" w:ascii="仿宋_GB2312" w:hAnsi="仿宋_GB2312" w:eastAsia="仿宋_GB2312" w:cs="仿宋_GB2312"/>
          <w:b w:val="0"/>
          <w:bCs w:val="0"/>
          <w:sz w:val="32"/>
          <w:szCs w:val="32"/>
          <w:lang w:eastAsia="zh-CN"/>
        </w:rPr>
        <w:t>监督管</w:t>
      </w:r>
      <w:r>
        <w:rPr>
          <w:rFonts w:hint="eastAsia" w:ascii="仿宋_GB2312" w:hAnsi="仿宋_GB2312" w:eastAsia="仿宋_GB2312" w:cs="仿宋_GB2312"/>
          <w:b w:val="0"/>
          <w:bCs w:val="0"/>
          <w:sz w:val="32"/>
          <w:szCs w:val="32"/>
          <w:lang w:val="en-US" w:eastAsia="zh-CN"/>
        </w:rPr>
        <w:t>理部门应当加强对生产销售假冒伪劣岭南中药材行为的查处，维护</w:t>
      </w:r>
      <w:r>
        <w:rPr>
          <w:rFonts w:hint="eastAsia" w:ascii="仿宋_GB2312" w:hAnsi="仿宋_GB2312" w:eastAsia="仿宋_GB2312" w:cs="仿宋_GB2312"/>
          <w:b w:val="0"/>
          <w:bCs w:val="0"/>
          <w:sz w:val="32"/>
          <w:szCs w:val="32"/>
        </w:rPr>
        <w:t>权利人</w:t>
      </w:r>
      <w:r>
        <w:rPr>
          <w:rFonts w:hint="eastAsia" w:ascii="仿宋_GB2312" w:hAnsi="仿宋_GB2312" w:eastAsia="仿宋_GB2312" w:cs="仿宋_GB2312"/>
          <w:b w:val="0"/>
          <w:bCs w:val="0"/>
          <w:sz w:val="32"/>
          <w:szCs w:val="32"/>
          <w:lang w:eastAsia="zh-CN"/>
        </w:rPr>
        <w:t>和消费者</w:t>
      </w:r>
      <w:r>
        <w:rPr>
          <w:rFonts w:hint="eastAsia" w:ascii="仿宋_GB2312" w:hAnsi="仿宋_GB2312" w:eastAsia="仿宋_GB2312" w:cs="仿宋_GB2312"/>
          <w:b w:val="0"/>
          <w:bCs w:val="0"/>
          <w:sz w:val="32"/>
          <w:szCs w:val="32"/>
        </w:rPr>
        <w:t>的合法权益。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第五十四条</w:t>
      </w:r>
      <w:r>
        <w:rPr>
          <w:rFonts w:hint="eastAsia" w:ascii="仿宋_GB2312" w:hAnsi="仿宋_GB2312" w:eastAsia="仿宋_GB2312" w:cs="仿宋_GB2312"/>
          <w:b w:val="0"/>
          <w:bCs w:val="0"/>
          <w:sz w:val="32"/>
          <w:szCs w:val="32"/>
        </w:rPr>
        <w:t xml:space="preserve">  县</w:t>
      </w:r>
      <w:r>
        <w:rPr>
          <w:rFonts w:hint="eastAsia" w:ascii="仿宋_GB2312" w:hAnsi="仿宋_GB2312" w:eastAsia="仿宋_GB2312" w:cs="仿宋_GB2312"/>
          <w:b w:val="0"/>
          <w:bCs w:val="0"/>
          <w:sz w:val="32"/>
          <w:szCs w:val="32"/>
          <w:lang w:val="en-US" w:eastAsia="zh-CN"/>
        </w:rPr>
        <w:t>级以上人民政府工商行政管理部门对擅自扩大岭南中药材商标使用范围、非法转让或者未经许可使用岭南中药材商标等行为，应</w:t>
      </w:r>
      <w:r>
        <w:rPr>
          <w:rFonts w:hint="eastAsia" w:ascii="仿宋_GB2312" w:hAnsi="仿宋_GB2312" w:eastAsia="仿宋_GB2312" w:cs="仿宋_GB2312"/>
          <w:b w:val="0"/>
          <w:bCs w:val="0"/>
          <w:sz w:val="32"/>
          <w:szCs w:val="32"/>
        </w:rPr>
        <w:t>当依法予以查处。</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第五十五条</w:t>
      </w:r>
      <w:r>
        <w:rPr>
          <w:rFonts w:hint="eastAsia" w:ascii="仿宋_GB2312" w:hAnsi="仿宋_GB2312" w:eastAsia="仿宋_GB2312" w:cs="仿宋_GB2312"/>
          <w:b w:val="0"/>
          <w:bCs w:val="0"/>
          <w:sz w:val="32"/>
          <w:szCs w:val="32"/>
        </w:rPr>
        <w:t xml:space="preserve">  县级以上人民政府质量监督部门对地理标志产</w:t>
      </w:r>
      <w:r>
        <w:rPr>
          <w:rFonts w:hint="eastAsia" w:ascii="仿宋_GB2312" w:hAnsi="仿宋_GB2312" w:eastAsia="仿宋_GB2312" w:cs="仿宋_GB2312"/>
          <w:b w:val="0"/>
          <w:bCs w:val="0"/>
          <w:sz w:val="32"/>
          <w:szCs w:val="32"/>
          <w:lang w:val="en-US" w:eastAsia="zh-CN"/>
        </w:rPr>
        <w:t>品实施保护，对擅自使用、伪造地理标志名称或者专用标志的，或者使用与专用标志相近、易产生误解的名称或者标识以及可能误导消费者的文字或者图案标识，造成消费者误认为的行为，应当依法予</w:t>
      </w:r>
      <w:r>
        <w:rPr>
          <w:rFonts w:hint="eastAsia" w:ascii="仿宋_GB2312" w:hAnsi="仿宋_GB2312" w:eastAsia="仿宋_GB2312" w:cs="仿宋_GB2312"/>
          <w:b w:val="0"/>
          <w:bCs w:val="0"/>
          <w:sz w:val="32"/>
          <w:szCs w:val="32"/>
        </w:rPr>
        <w:t>以查处。</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第五十六条</w:t>
      </w:r>
      <w:r>
        <w:rPr>
          <w:rFonts w:hint="eastAsia" w:ascii="仿宋_GB2312" w:hAnsi="仿宋_GB2312" w:eastAsia="仿宋_GB2312" w:cs="仿宋_GB2312"/>
          <w:b w:val="0"/>
          <w:bCs w:val="0"/>
          <w:sz w:val="32"/>
          <w:szCs w:val="32"/>
        </w:rPr>
        <w:t xml:space="preserve">  任何单位和个人有权检举和控告违</w:t>
      </w:r>
      <w:r>
        <w:rPr>
          <w:rFonts w:hint="eastAsia" w:ascii="仿宋_GB2312" w:hAnsi="仿宋_GB2312" w:eastAsia="仿宋_GB2312" w:cs="仿宋_GB2312"/>
          <w:b w:val="0"/>
          <w:bCs w:val="0"/>
          <w:sz w:val="32"/>
          <w:szCs w:val="32"/>
          <w:lang w:val="en-US" w:eastAsia="zh-CN"/>
        </w:rPr>
        <w:t>反本条例的行为。有关部门发现违法行为或者收到检举和控告，应当依法处理。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第八章  法律责任</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第五十七条</w:t>
      </w:r>
      <w:r>
        <w:rPr>
          <w:rFonts w:hint="eastAsia" w:ascii="仿宋_GB2312" w:hAnsi="仿宋_GB2312" w:eastAsia="仿宋_GB2312" w:cs="仿宋_GB2312"/>
          <w:b w:val="0"/>
          <w:bCs w:val="0"/>
          <w:sz w:val="32"/>
          <w:szCs w:val="32"/>
        </w:rPr>
        <w:t xml:space="preserve">  违反本条例第二十二条规定，私自采集或者采伐岭南中药材良种繁育基地种质资源的，由县级以上人民政府农业或者林业主管部门处五千元以上</w:t>
      </w:r>
      <w:r>
        <w:rPr>
          <w:rFonts w:hint="eastAsia" w:ascii="仿宋_GB2312" w:hAnsi="仿宋_GB2312" w:eastAsia="仿宋_GB2312" w:cs="仿宋_GB2312"/>
          <w:b w:val="0"/>
          <w:bCs w:val="0"/>
          <w:sz w:val="32"/>
          <w:szCs w:val="32"/>
          <w:lang w:eastAsia="zh-CN"/>
        </w:rPr>
        <w:t>五</w:t>
      </w:r>
      <w:r>
        <w:rPr>
          <w:rFonts w:hint="eastAsia" w:ascii="仿宋_GB2312" w:hAnsi="仿宋_GB2312" w:eastAsia="仿宋_GB2312" w:cs="仿宋_GB2312"/>
          <w:b w:val="0"/>
          <w:bCs w:val="0"/>
          <w:sz w:val="32"/>
          <w:szCs w:val="32"/>
        </w:rPr>
        <w:t>万元以下的罚款；</w:t>
      </w:r>
      <w:r>
        <w:rPr>
          <w:rFonts w:hint="eastAsia" w:ascii="仿宋_GB2312" w:hAnsi="仿宋_GB2312" w:eastAsia="仿宋_GB2312" w:cs="仿宋_GB2312"/>
          <w:b w:val="0"/>
          <w:bCs w:val="0"/>
          <w:sz w:val="32"/>
          <w:szCs w:val="32"/>
          <w:lang w:eastAsia="zh-CN"/>
        </w:rPr>
        <w:t>造成损失的，依法承担赔偿责任</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第五十八条</w:t>
      </w:r>
      <w:r>
        <w:rPr>
          <w:rFonts w:hint="eastAsia" w:ascii="仿宋_GB2312" w:hAnsi="仿宋_GB2312" w:eastAsia="仿宋_GB2312" w:cs="仿宋_GB2312"/>
          <w:b w:val="0"/>
          <w:bCs w:val="0"/>
          <w:sz w:val="32"/>
          <w:szCs w:val="32"/>
        </w:rPr>
        <w:t xml:space="preserve">  违反本条例第二十三条规定，不执行种子种苗生产技术规程，影响岭南中药材生产质量的，由县级以上人民政府农业或者林业主管部门责令改正</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情节严重的，取消政策扶持</w:t>
      </w:r>
      <w:r>
        <w:rPr>
          <w:rFonts w:hint="eastAsia" w:ascii="仿宋_GB2312" w:hAnsi="仿宋_GB2312" w:eastAsia="仿宋_GB2312" w:cs="仿宋_GB2312"/>
          <w:b w:val="0"/>
          <w:bCs w:val="0"/>
          <w:sz w:val="32"/>
          <w:szCs w:val="32"/>
          <w:lang w:val="en-US" w:eastAsia="zh-CN"/>
        </w:rPr>
        <w:t>和财政补贴，并可以追回已经发放的补贴经费，并予以公布。</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黑体" w:hAnsi="黑体" w:eastAsia="黑体" w:cs="黑体"/>
          <w:b w:val="0"/>
          <w:bCs w:val="0"/>
          <w:sz w:val="32"/>
          <w:szCs w:val="32"/>
          <w:lang w:eastAsia="zh-CN"/>
        </w:rPr>
        <w:t>第五十九条</w:t>
      </w:r>
      <w:r>
        <w:rPr>
          <w:rFonts w:hint="eastAsia" w:ascii="仿宋_GB2312" w:hAnsi="仿宋_GB2312" w:eastAsia="仿宋_GB2312" w:cs="仿宋_GB2312"/>
          <w:b w:val="0"/>
          <w:bCs w:val="0"/>
          <w:sz w:val="32"/>
          <w:szCs w:val="32"/>
        </w:rPr>
        <w:t xml:space="preserve">  违反本条例第二十五条规定，未执行种子种苗检验、检疫规程，或者经检验、检疫不符合标准</w:t>
      </w:r>
      <w:r>
        <w:rPr>
          <w:rFonts w:hint="eastAsia" w:ascii="仿宋_GB2312" w:hAnsi="仿宋_GB2312" w:eastAsia="仿宋_GB2312" w:cs="仿宋_GB2312"/>
          <w:b w:val="0"/>
          <w:bCs w:val="0"/>
          <w:sz w:val="32"/>
          <w:szCs w:val="32"/>
          <w:lang w:val="en-US" w:eastAsia="zh-CN"/>
        </w:rPr>
        <w:t>仍作为种子种苗使用的，或者假冒岭南中药材良种繁育基地种子种苗产品的，由县级以上人民政府农业或者林业主管部门责令停止生产经营，</w:t>
      </w:r>
      <w:r>
        <w:rPr>
          <w:rFonts w:hint="eastAsia" w:ascii="仿宋_GB2312" w:hAnsi="仿宋_GB2312" w:eastAsia="仿宋_GB2312" w:cs="仿宋_GB2312"/>
          <w:b w:val="0"/>
          <w:bCs w:val="0"/>
          <w:sz w:val="32"/>
          <w:szCs w:val="32"/>
        </w:rPr>
        <w:t>没收违法所得，违法生产经营货值金额不足一万的，并处</w:t>
      </w:r>
      <w:r>
        <w:rPr>
          <w:rFonts w:hint="eastAsia" w:ascii="仿宋_GB2312" w:hAnsi="仿宋_GB2312" w:eastAsia="仿宋_GB2312" w:cs="仿宋_GB2312"/>
          <w:b w:val="0"/>
          <w:bCs w:val="0"/>
          <w:sz w:val="32"/>
          <w:szCs w:val="32"/>
          <w:lang w:eastAsia="zh-CN"/>
        </w:rPr>
        <w:t>五千</w:t>
      </w:r>
      <w:r>
        <w:rPr>
          <w:rFonts w:hint="eastAsia" w:ascii="仿宋_GB2312" w:hAnsi="仿宋_GB2312" w:eastAsia="仿宋_GB2312" w:cs="仿宋_GB2312"/>
          <w:b w:val="0"/>
          <w:bCs w:val="0"/>
          <w:sz w:val="32"/>
          <w:szCs w:val="32"/>
        </w:rPr>
        <w:t>元以上五万元以下的罚款；货值金额一万元以上的，并处货值金额五倍以上十倍以下的罚款</w:t>
      </w:r>
      <w:r>
        <w:rPr>
          <w:rFonts w:hint="eastAsia" w:ascii="仿宋_GB2312" w:hAnsi="仿宋_GB2312" w:eastAsia="仿宋_GB2312" w:cs="仿宋_GB2312"/>
          <w:b w:val="0"/>
          <w:bCs w:val="0"/>
          <w:sz w:val="32"/>
          <w:szCs w:val="32"/>
          <w:lang w:eastAsia="zh-CN"/>
        </w:rPr>
        <w:t>；造成损失的，依法承担赔偿责任。</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第六十条</w:t>
      </w:r>
      <w:r>
        <w:rPr>
          <w:rFonts w:hint="eastAsia" w:ascii="仿宋_GB2312" w:hAnsi="仿宋_GB2312" w:eastAsia="仿宋_GB2312" w:cs="仿宋_GB2312"/>
          <w:b w:val="0"/>
          <w:bCs w:val="0"/>
          <w:sz w:val="32"/>
          <w:szCs w:val="32"/>
        </w:rPr>
        <w:t xml:space="preserve">  违反本条例第</w:t>
      </w:r>
      <w:r>
        <w:rPr>
          <w:rFonts w:hint="eastAsia" w:ascii="仿宋_GB2312" w:hAnsi="仿宋_GB2312" w:eastAsia="仿宋_GB2312" w:cs="仿宋_GB2312"/>
          <w:b w:val="0"/>
          <w:bCs w:val="0"/>
          <w:sz w:val="32"/>
          <w:szCs w:val="32"/>
          <w:lang w:eastAsia="zh-CN"/>
        </w:rPr>
        <w:t>二十九</w:t>
      </w:r>
      <w:r>
        <w:rPr>
          <w:rFonts w:hint="eastAsia" w:ascii="仿宋_GB2312" w:hAnsi="仿宋_GB2312" w:eastAsia="仿宋_GB2312" w:cs="仿宋_GB2312"/>
          <w:b w:val="0"/>
          <w:bCs w:val="0"/>
          <w:sz w:val="32"/>
          <w:szCs w:val="32"/>
        </w:rPr>
        <w:t>条规定，影响岭南</w:t>
      </w:r>
      <w:r>
        <w:rPr>
          <w:rFonts w:hint="eastAsia" w:ascii="仿宋_GB2312" w:hAnsi="仿宋_GB2312" w:eastAsia="仿宋_GB2312" w:cs="仿宋_GB2312"/>
          <w:b w:val="0"/>
          <w:bCs w:val="0"/>
          <w:sz w:val="32"/>
          <w:szCs w:val="32"/>
          <w:lang w:val="en-US" w:eastAsia="zh-CN"/>
        </w:rPr>
        <w:t>中药材生产的生态环境，对岭南中药材产地造成破坏的，由县级以上人</w:t>
      </w:r>
      <w:r>
        <w:rPr>
          <w:rFonts w:hint="eastAsia" w:ascii="仿宋_GB2312" w:hAnsi="仿宋_GB2312" w:eastAsia="仿宋_GB2312" w:cs="仿宋_GB2312"/>
          <w:b w:val="0"/>
          <w:bCs w:val="0"/>
          <w:sz w:val="32"/>
          <w:szCs w:val="32"/>
        </w:rPr>
        <w:t>民政府</w:t>
      </w:r>
      <w:r>
        <w:rPr>
          <w:rFonts w:hint="eastAsia" w:ascii="仿宋_GB2312" w:hAnsi="仿宋_GB2312" w:eastAsia="仿宋_GB2312" w:cs="仿宋_GB2312"/>
          <w:b w:val="0"/>
          <w:bCs w:val="0"/>
          <w:sz w:val="32"/>
          <w:szCs w:val="32"/>
          <w:lang w:eastAsia="zh-CN"/>
        </w:rPr>
        <w:t>农业或者林业</w:t>
      </w:r>
      <w:r>
        <w:rPr>
          <w:rFonts w:hint="eastAsia" w:ascii="仿宋_GB2312" w:hAnsi="仿宋_GB2312" w:eastAsia="仿宋_GB2312" w:cs="仿宋_GB2312"/>
          <w:b w:val="0"/>
          <w:bCs w:val="0"/>
          <w:sz w:val="32"/>
          <w:szCs w:val="32"/>
        </w:rPr>
        <w:t>主管部门责令改正，</w:t>
      </w:r>
      <w:r>
        <w:rPr>
          <w:rFonts w:hint="eastAsia" w:ascii="仿宋_GB2312" w:hAnsi="仿宋_GB2312" w:eastAsia="仿宋_GB2312" w:cs="仿宋_GB2312"/>
          <w:b w:val="0"/>
          <w:bCs w:val="0"/>
          <w:sz w:val="32"/>
          <w:szCs w:val="32"/>
          <w:lang w:eastAsia="zh-CN"/>
        </w:rPr>
        <w:t>恢复原状，并</w:t>
      </w:r>
      <w:r>
        <w:rPr>
          <w:rFonts w:hint="eastAsia" w:ascii="仿宋_GB2312" w:hAnsi="仿宋_GB2312" w:eastAsia="仿宋_GB2312" w:cs="仿宋_GB2312"/>
          <w:b w:val="0"/>
          <w:bCs w:val="0"/>
          <w:sz w:val="32"/>
          <w:szCs w:val="32"/>
        </w:rPr>
        <w:t>处五万元以上十万元以下的罚款。</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第六十一条</w:t>
      </w:r>
      <w:r>
        <w:rPr>
          <w:rFonts w:hint="eastAsia" w:ascii="仿宋_GB2312" w:hAnsi="仿宋_GB2312" w:eastAsia="仿宋_GB2312" w:cs="仿宋_GB2312"/>
          <w:b w:val="0"/>
          <w:bCs w:val="0"/>
          <w:sz w:val="32"/>
          <w:szCs w:val="32"/>
        </w:rPr>
        <w:t xml:space="preserve">  违反本条例第三十条第一款规定，在优质岭南中药材生产基地及周边新建、改建、扩建影响岭南中药材生产的建设项目的，由县级以上人民政府</w:t>
      </w:r>
      <w:r>
        <w:rPr>
          <w:rFonts w:hint="eastAsia" w:ascii="仿宋_GB2312" w:hAnsi="仿宋_GB2312" w:eastAsia="仿宋_GB2312" w:cs="仿宋_GB2312"/>
          <w:b w:val="0"/>
          <w:bCs w:val="0"/>
          <w:sz w:val="32"/>
          <w:szCs w:val="32"/>
          <w:lang w:eastAsia="zh-CN"/>
        </w:rPr>
        <w:t>相关</w:t>
      </w:r>
      <w:r>
        <w:rPr>
          <w:rFonts w:hint="eastAsia" w:ascii="仿宋_GB2312" w:hAnsi="仿宋_GB2312" w:eastAsia="仿宋_GB2312" w:cs="仿宋_GB2312"/>
          <w:b w:val="0"/>
          <w:bCs w:val="0"/>
          <w:sz w:val="32"/>
          <w:szCs w:val="32"/>
        </w:rPr>
        <w:t>部门依法责令改正，恢复原状，并处五千元以上三万元以下的罚款；情节严重的，处三万元以上五万元以下的罚款。</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第六十二条</w:t>
      </w:r>
      <w:r>
        <w:rPr>
          <w:rFonts w:hint="eastAsia" w:ascii="仿宋_GB2312" w:hAnsi="仿宋_GB2312" w:eastAsia="仿宋_GB2312" w:cs="仿宋_GB2312"/>
          <w:b w:val="0"/>
          <w:bCs w:val="0"/>
          <w:sz w:val="32"/>
          <w:szCs w:val="32"/>
        </w:rPr>
        <w:t xml:space="preserve">  违反本条例</w:t>
      </w:r>
      <w:r>
        <w:rPr>
          <w:rFonts w:hint="eastAsia" w:ascii="仿宋_GB2312" w:hAnsi="仿宋_GB2312" w:eastAsia="仿宋_GB2312" w:cs="仿宋_GB2312"/>
          <w:b w:val="0"/>
          <w:bCs w:val="0"/>
          <w:sz w:val="32"/>
          <w:szCs w:val="32"/>
          <w:lang w:eastAsia="zh-CN"/>
        </w:rPr>
        <w:t>第</w:t>
      </w:r>
      <w:r>
        <w:rPr>
          <w:rFonts w:hint="eastAsia" w:ascii="仿宋_GB2312" w:hAnsi="仿宋_GB2312" w:eastAsia="仿宋_GB2312" w:cs="仿宋_GB2312"/>
          <w:b w:val="0"/>
          <w:bCs w:val="0"/>
          <w:sz w:val="32"/>
          <w:szCs w:val="32"/>
        </w:rPr>
        <w:t>三十三条规定，未按照保护种类种植技术规程进行生产的，由县级以上人民政府农业或者</w:t>
      </w:r>
      <w:r>
        <w:rPr>
          <w:rFonts w:hint="eastAsia" w:ascii="仿宋_GB2312" w:hAnsi="仿宋_GB2312" w:eastAsia="仿宋_GB2312" w:cs="仿宋_GB2312"/>
          <w:b w:val="0"/>
          <w:bCs w:val="0"/>
          <w:sz w:val="32"/>
          <w:szCs w:val="32"/>
          <w:lang w:val="en-US" w:eastAsia="zh-CN"/>
        </w:rPr>
        <w:t>林业主管部门责令改正；情节严重的，</w:t>
      </w:r>
      <w:r>
        <w:rPr>
          <w:rFonts w:hint="eastAsia" w:ascii="仿宋_GB2312" w:hAnsi="仿宋_GB2312" w:eastAsia="仿宋_GB2312" w:cs="仿宋_GB2312"/>
          <w:b w:val="0"/>
          <w:bCs w:val="0"/>
          <w:sz w:val="32"/>
          <w:szCs w:val="32"/>
        </w:rPr>
        <w:t>取消政策扶持</w:t>
      </w:r>
      <w:r>
        <w:rPr>
          <w:rFonts w:hint="eastAsia" w:ascii="仿宋_GB2312" w:hAnsi="仿宋_GB2312" w:eastAsia="仿宋_GB2312" w:cs="仿宋_GB2312"/>
          <w:b w:val="0"/>
          <w:bCs w:val="0"/>
          <w:sz w:val="32"/>
          <w:szCs w:val="32"/>
          <w:lang w:val="en-US" w:eastAsia="zh-CN"/>
        </w:rPr>
        <w:t>和财政补贴，并可以追回已经发放的补贴经费，并予以公布。</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第六十三条</w:t>
      </w:r>
      <w:r>
        <w:rPr>
          <w:rFonts w:hint="eastAsia" w:ascii="仿宋_GB2312" w:hAnsi="仿宋_GB2312" w:eastAsia="仿宋_GB2312" w:cs="仿宋_GB2312"/>
          <w:b w:val="0"/>
          <w:bCs w:val="0"/>
          <w:sz w:val="32"/>
          <w:szCs w:val="32"/>
        </w:rPr>
        <w:t xml:space="preserve">  违反本条例第三十四条规定，</w:t>
      </w:r>
      <w:r>
        <w:rPr>
          <w:rFonts w:hint="eastAsia" w:ascii="仿宋_GB2312" w:hAnsi="仿宋_GB2312" w:eastAsia="仿宋_GB2312" w:cs="仿宋_GB2312"/>
          <w:b w:val="0"/>
          <w:bCs w:val="0"/>
          <w:sz w:val="32"/>
          <w:szCs w:val="32"/>
          <w:lang w:eastAsia="zh-CN"/>
        </w:rPr>
        <w:t>使用国家禁用、淘汰的种植投入品，或者</w:t>
      </w:r>
      <w:r>
        <w:rPr>
          <w:rFonts w:hint="eastAsia" w:ascii="仿宋_GB2312" w:hAnsi="仿宋_GB2312" w:eastAsia="仿宋_GB2312" w:cs="仿宋_GB2312"/>
          <w:b w:val="0"/>
          <w:bCs w:val="0"/>
          <w:sz w:val="32"/>
          <w:szCs w:val="32"/>
        </w:rPr>
        <w:t>使用高毒、剧毒</w:t>
      </w:r>
      <w:r>
        <w:rPr>
          <w:rFonts w:hint="eastAsia" w:ascii="仿宋_GB2312" w:hAnsi="仿宋_GB2312" w:eastAsia="仿宋_GB2312" w:cs="仿宋_GB2312"/>
          <w:b w:val="0"/>
          <w:bCs w:val="0"/>
          <w:sz w:val="32"/>
          <w:szCs w:val="32"/>
          <w:lang w:eastAsia="zh-CN"/>
        </w:rPr>
        <w:t>及高残留</w:t>
      </w:r>
      <w:r>
        <w:rPr>
          <w:rFonts w:hint="eastAsia" w:ascii="仿宋_GB2312" w:hAnsi="仿宋_GB2312" w:eastAsia="仿宋_GB2312" w:cs="仿宋_GB2312"/>
          <w:b w:val="0"/>
          <w:bCs w:val="0"/>
          <w:sz w:val="32"/>
          <w:szCs w:val="32"/>
        </w:rPr>
        <w:t>农药，或者滥用农药、抗生素、化肥、植物生长调节剂和除草剂的，由县级以</w:t>
      </w:r>
      <w:r>
        <w:rPr>
          <w:rFonts w:hint="eastAsia" w:ascii="仿宋_GB2312" w:hAnsi="仿宋_GB2312" w:eastAsia="仿宋_GB2312" w:cs="仿宋_GB2312"/>
          <w:b w:val="0"/>
          <w:bCs w:val="0"/>
          <w:sz w:val="32"/>
          <w:szCs w:val="32"/>
          <w:lang w:val="en-US" w:eastAsia="zh-CN"/>
        </w:rPr>
        <w:t>上人民政府农业或者林业主管部门处五千元以上二万元以下的罚款；造成他人人身伤害、财产损失的，依法承担赔偿责任；构成犯罪的，依法追究刑事责任。</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第六十四条</w:t>
      </w:r>
      <w:r>
        <w:rPr>
          <w:rFonts w:hint="eastAsia" w:ascii="仿宋_GB2312" w:hAnsi="仿宋_GB2312" w:eastAsia="仿宋_GB2312" w:cs="仿宋_GB2312"/>
          <w:b w:val="0"/>
          <w:bCs w:val="0"/>
          <w:sz w:val="32"/>
          <w:szCs w:val="32"/>
        </w:rPr>
        <w:t xml:space="preserve">  违反本条例规定，侵犯他人注册商标</w:t>
      </w:r>
      <w:r>
        <w:rPr>
          <w:rFonts w:hint="eastAsia" w:ascii="仿宋_GB2312" w:hAnsi="仿宋_GB2312" w:eastAsia="仿宋_GB2312" w:cs="仿宋_GB2312"/>
          <w:b w:val="0"/>
          <w:bCs w:val="0"/>
          <w:sz w:val="32"/>
          <w:szCs w:val="32"/>
          <w:lang w:eastAsia="zh-CN"/>
        </w:rPr>
        <w:t>、域名</w:t>
      </w:r>
      <w:r>
        <w:rPr>
          <w:rFonts w:hint="eastAsia" w:ascii="仿宋_GB2312" w:hAnsi="仿宋_GB2312" w:eastAsia="仿宋_GB2312" w:cs="仿宋_GB2312"/>
          <w:b w:val="0"/>
          <w:bCs w:val="0"/>
          <w:sz w:val="32"/>
          <w:szCs w:val="32"/>
        </w:rPr>
        <w:t>专用权，违反集体商标、证明商标相关规定使用商标，或者未经许可使用地</w:t>
      </w:r>
      <w:r>
        <w:rPr>
          <w:rFonts w:hint="eastAsia" w:ascii="仿宋_GB2312" w:hAnsi="仿宋_GB2312" w:eastAsia="仿宋_GB2312" w:cs="仿宋_GB2312"/>
          <w:b w:val="0"/>
          <w:bCs w:val="0"/>
          <w:sz w:val="32"/>
          <w:szCs w:val="32"/>
          <w:lang w:val="en-US" w:eastAsia="zh-CN"/>
        </w:rPr>
        <w:t>理标志、与地理标志相近似标识的，应当依法承担民事、行政责任；构成犯罪的，依法追究刑事责任。</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第六十五条</w:t>
      </w:r>
      <w:r>
        <w:rPr>
          <w:rFonts w:hint="eastAsia" w:ascii="仿宋_GB2312" w:hAnsi="仿宋_GB2312" w:eastAsia="仿宋_GB2312" w:cs="仿宋_GB2312"/>
          <w:b w:val="0"/>
          <w:bCs w:val="0"/>
          <w:sz w:val="32"/>
          <w:szCs w:val="32"/>
        </w:rPr>
        <w:t xml:space="preserve">  违反本条例第五十六条规定，县级以上人民政府有关部门发现违法行为或者收到检举和控告，不依</w:t>
      </w:r>
      <w:r>
        <w:rPr>
          <w:rFonts w:hint="eastAsia" w:ascii="仿宋_GB2312" w:hAnsi="仿宋_GB2312" w:eastAsia="仿宋_GB2312" w:cs="仿宋_GB2312"/>
          <w:b w:val="0"/>
          <w:bCs w:val="0"/>
          <w:sz w:val="32"/>
          <w:szCs w:val="32"/>
          <w:lang w:val="en-US" w:eastAsia="zh-CN"/>
        </w:rPr>
        <w:t>法处理的，</w:t>
      </w:r>
      <w:r>
        <w:rPr>
          <w:rFonts w:hint="eastAsia" w:ascii="仿宋_GB2312" w:hAnsi="仿宋_GB2312" w:eastAsia="仿宋_GB2312" w:cs="仿宋_GB2312"/>
          <w:b w:val="0"/>
          <w:bCs w:val="0"/>
          <w:sz w:val="32"/>
          <w:szCs w:val="32"/>
        </w:rPr>
        <w:t>由本级人民政府或者上一级人民政府主管部门责令改正，对直接负责的主管人员和其他直接责任人员依法给予处分。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第六十六条</w:t>
      </w:r>
      <w:r>
        <w:rPr>
          <w:rFonts w:hint="eastAsia" w:ascii="仿宋_GB2312" w:hAnsi="仿宋_GB2312" w:eastAsia="仿宋_GB2312" w:cs="仿宋_GB2312"/>
          <w:b w:val="0"/>
          <w:bCs w:val="0"/>
          <w:sz w:val="32"/>
          <w:szCs w:val="32"/>
        </w:rPr>
        <w:t xml:space="preserve">  县级以上人民政府有关部门及其</w:t>
      </w:r>
      <w:r>
        <w:rPr>
          <w:rFonts w:hint="eastAsia" w:ascii="仿宋_GB2312" w:hAnsi="仿宋_GB2312" w:eastAsia="仿宋_GB2312" w:cs="仿宋_GB2312"/>
          <w:b w:val="0"/>
          <w:bCs w:val="0"/>
          <w:sz w:val="32"/>
          <w:szCs w:val="32"/>
          <w:lang w:eastAsia="zh-CN"/>
        </w:rPr>
        <w:t>依托开展专业检查评审等</w:t>
      </w:r>
      <w:r>
        <w:rPr>
          <w:rFonts w:hint="eastAsia" w:ascii="仿宋_GB2312" w:hAnsi="仿宋_GB2312" w:eastAsia="仿宋_GB2312" w:cs="仿宋_GB2312"/>
          <w:b w:val="0"/>
          <w:bCs w:val="0"/>
          <w:sz w:val="32"/>
          <w:szCs w:val="32"/>
        </w:rPr>
        <w:t>工作</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人员在岭南中药材保护工作中滥用职权、徇私舞弊、玩忽职守的，对直接负责的主管人员和其他直接责任人员依法给予处分；构成犯罪的，依法追究刑事责任。</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第九章  附则</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 xml:space="preserve">    第六十七条</w:t>
      </w:r>
      <w:r>
        <w:rPr>
          <w:rFonts w:hint="eastAsia" w:ascii="仿宋_GB2312" w:hAnsi="仿宋_GB2312" w:eastAsia="仿宋_GB2312" w:cs="仿宋_GB2312"/>
          <w:b w:val="0"/>
          <w:bCs w:val="0"/>
          <w:sz w:val="32"/>
          <w:szCs w:val="32"/>
          <w:lang w:val="en-US" w:eastAsia="zh-CN"/>
        </w:rPr>
        <w:t xml:space="preserve">  保护的岭南中药材种类名称，应当沿用《中华人民共和国药典》及其他法定名录中的名称。</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 xml:space="preserve">    第六十八条</w:t>
      </w:r>
      <w:r>
        <w:rPr>
          <w:rFonts w:hint="eastAsia" w:ascii="仿宋_GB2312" w:hAnsi="仿宋_GB2312" w:eastAsia="仿宋_GB2312" w:cs="仿宋_GB2312"/>
          <w:b w:val="0"/>
          <w:bCs w:val="0"/>
          <w:sz w:val="32"/>
          <w:szCs w:val="32"/>
        </w:rPr>
        <w:t xml:space="preserve">  本条例自</w:t>
      </w:r>
      <w:r>
        <w:rPr>
          <w:rFonts w:hint="eastAsia" w:ascii="仿宋_GB2312" w:hAnsi="仿宋_GB2312" w:eastAsia="仿宋_GB2312" w:cs="仿宋_GB2312"/>
          <w:b w:val="0"/>
          <w:bCs w:val="0"/>
          <w:sz w:val="32"/>
          <w:szCs w:val="32"/>
          <w:lang w:val="en-US" w:eastAsia="zh-CN"/>
        </w:rPr>
        <w:t>2017</w:t>
      </w:r>
      <w:r>
        <w:rPr>
          <w:rFonts w:hint="eastAsia" w:ascii="仿宋_GB2312" w:hAnsi="仿宋_GB2312" w:eastAsia="仿宋_GB2312" w:cs="仿宋_GB2312"/>
          <w:b w:val="0"/>
          <w:bCs w:val="0"/>
          <w:sz w:val="32"/>
          <w:szCs w:val="32"/>
        </w:rPr>
        <w:t>年</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月</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日起施行。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37" w:name="_Toc3344"/>
      <w:r>
        <w:rPr>
          <w:rFonts w:hint="eastAsia" w:ascii="宋体" w:hAnsi="宋体" w:eastAsia="宋体" w:cs="宋体"/>
          <w:color w:val="000000"/>
          <w:sz w:val="44"/>
          <w:szCs w:val="44"/>
        </w:rPr>
        <w:t>广东省爱国卫生工作条例</w:t>
      </w:r>
      <w:bookmarkEnd w:id="437"/>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方正小标宋简体" w:cs="方正小标宋简体"/>
          <w:kern w:val="2"/>
          <w:sz w:val="32"/>
          <w:szCs w:val="32"/>
          <w:lang w:val="en-US" w:eastAsia="zh-CN" w:bidi="ar-SA"/>
        </w:rPr>
      </w:pP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color w:val="000000"/>
          <w:kern w:val="2"/>
          <w:sz w:val="32"/>
          <w:szCs w:val="32"/>
          <w:lang w:val="en-US" w:eastAsia="zh-CN" w:bidi="ar-SA"/>
        </w:rPr>
      </w:pPr>
      <w:r>
        <w:rPr>
          <w:rFonts w:hint="eastAsia" w:ascii="宋体" w:hAnsi="宋体" w:eastAsia="楷体_GB2312" w:cs="楷体_GB2312"/>
          <w:color w:val="000000"/>
          <w:kern w:val="2"/>
          <w:sz w:val="32"/>
          <w:szCs w:val="32"/>
          <w:lang w:val="en-US" w:eastAsia="zh-CN" w:bidi="ar-SA"/>
        </w:rPr>
        <w:t>（2003年7月25日广东省第十届人民代表大会常务委员会第五次会议通过  2018年11月29日广东省第十三届人民代表大会常务委员会第七次会议修订）</w:t>
      </w:r>
    </w:p>
    <w:p>
      <w:pPr>
        <w:widowControl w:val="0"/>
        <w:wordWrap/>
        <w:overflowPunct w:val="0"/>
        <w:adjustRightInd/>
        <w:snapToGrid/>
        <w:spacing w:beforeAutospacing="0" w:afterAutospacing="0" w:line="560" w:lineRule="exact"/>
        <w:ind w:left="640" w:leftChars="200" w:right="640" w:rightChars="200"/>
        <w:jc w:val="both"/>
        <w:textAlignment w:val="auto"/>
        <w:outlineLvl w:val="9"/>
        <w:rPr>
          <w:rFonts w:hint="eastAsia" w:ascii="宋体" w:hAnsi="宋体" w:eastAsia="楷体_GB2312" w:cs="Times New Roman"/>
          <w:kern w:val="2"/>
          <w:sz w:val="32"/>
          <w:szCs w:val="32"/>
          <w:lang w:val="en-US" w:eastAsia="zh-CN" w:bidi="ar-SA"/>
        </w:rPr>
      </w:pPr>
    </w:p>
    <w:p>
      <w:pPr>
        <w:widowControl w:val="0"/>
        <w:wordWrap/>
        <w:overflowPunct w:val="0"/>
        <w:spacing w:beforeAutospacing="0" w:afterAutospacing="0" w:line="560" w:lineRule="exact"/>
        <w:jc w:val="center"/>
        <w:textAlignment w:val="auto"/>
        <w:rPr>
          <w:rFonts w:hint="eastAsia" w:ascii="宋体" w:hAnsi="宋体" w:eastAsia="楷体_GB2312" w:cs="楷体"/>
          <w:color w:val="000000"/>
          <w:sz w:val="32"/>
          <w:szCs w:val="32"/>
        </w:rPr>
      </w:pPr>
      <w:r>
        <w:rPr>
          <w:rFonts w:hint="eastAsia" w:ascii="宋体" w:hAnsi="宋体" w:eastAsia="楷体_GB2312" w:cs="楷体"/>
          <w:color w:val="000000"/>
          <w:sz w:val="32"/>
          <w:szCs w:val="32"/>
        </w:rPr>
        <w:t xml:space="preserve">目 </w:t>
      </w:r>
      <w:r>
        <w:rPr>
          <w:rFonts w:hint="eastAsia" w:ascii="宋体" w:hAnsi="宋体" w:eastAsia="楷体_GB2312" w:cs="楷体"/>
          <w:color w:val="000000"/>
          <w:sz w:val="32"/>
          <w:szCs w:val="32"/>
          <w:lang w:val="en-US" w:eastAsia="zh-CN"/>
        </w:rPr>
        <w:t xml:space="preserve">  </w:t>
      </w:r>
      <w:r>
        <w:rPr>
          <w:rFonts w:hint="eastAsia" w:ascii="宋体" w:hAnsi="宋体" w:eastAsia="楷体_GB2312" w:cs="楷体"/>
          <w:color w:val="000000"/>
          <w:sz w:val="32"/>
          <w:szCs w:val="32"/>
        </w:rPr>
        <w:t xml:space="preserve"> 录</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rPr>
      </w:pPr>
      <w:r>
        <w:rPr>
          <w:rFonts w:hint="eastAsia" w:ascii="宋体" w:hAnsi="宋体" w:eastAsia="楷体_GB2312" w:cs="楷体"/>
          <w:color w:val="000000"/>
          <w:sz w:val="32"/>
          <w:szCs w:val="32"/>
        </w:rPr>
        <w:t>第一章  总则</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lang w:eastAsia="zh-CN"/>
        </w:rPr>
      </w:pPr>
      <w:r>
        <w:rPr>
          <w:rFonts w:hint="eastAsia" w:ascii="宋体" w:hAnsi="宋体" w:eastAsia="楷体_GB2312" w:cs="楷体"/>
          <w:color w:val="000000"/>
          <w:sz w:val="32"/>
          <w:szCs w:val="32"/>
        </w:rPr>
        <w:t xml:space="preserve">第二章  </w:t>
      </w:r>
      <w:r>
        <w:rPr>
          <w:rFonts w:hint="eastAsia" w:ascii="宋体" w:hAnsi="宋体" w:eastAsia="楷体_GB2312" w:cs="楷体"/>
          <w:color w:val="000000"/>
          <w:sz w:val="32"/>
          <w:szCs w:val="32"/>
          <w:lang w:eastAsia="zh-CN"/>
        </w:rPr>
        <w:t>组织和职责</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lang w:eastAsia="zh-CN"/>
        </w:rPr>
      </w:pPr>
      <w:r>
        <w:rPr>
          <w:rFonts w:hint="eastAsia" w:ascii="宋体" w:hAnsi="宋体" w:eastAsia="楷体_GB2312" w:cs="楷体"/>
          <w:color w:val="000000"/>
          <w:sz w:val="32"/>
          <w:szCs w:val="32"/>
        </w:rPr>
        <w:t xml:space="preserve">第三章  </w:t>
      </w:r>
      <w:r>
        <w:rPr>
          <w:rFonts w:hint="eastAsia" w:ascii="宋体" w:hAnsi="宋体" w:eastAsia="楷体_GB2312" w:cs="楷体"/>
          <w:color w:val="000000"/>
          <w:sz w:val="32"/>
          <w:szCs w:val="32"/>
          <w:lang w:eastAsia="zh-CN"/>
        </w:rPr>
        <w:t>环境卫生治理</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rPr>
      </w:pPr>
      <w:r>
        <w:rPr>
          <w:rFonts w:hint="eastAsia" w:ascii="宋体" w:hAnsi="宋体" w:eastAsia="楷体_GB2312" w:cs="楷体"/>
          <w:color w:val="000000"/>
          <w:sz w:val="32"/>
          <w:szCs w:val="32"/>
        </w:rPr>
        <w:t>第四章</w:t>
      </w:r>
      <w:r>
        <w:rPr>
          <w:rFonts w:hint="eastAsia" w:ascii="宋体" w:hAnsi="宋体" w:eastAsia="楷体_GB2312" w:cs="楷体"/>
          <w:color w:val="000000"/>
          <w:sz w:val="32"/>
          <w:szCs w:val="32"/>
          <w:lang w:val="en-US" w:eastAsia="zh-CN"/>
        </w:rPr>
        <w:t xml:space="preserve">  </w:t>
      </w:r>
      <w:r>
        <w:rPr>
          <w:rFonts w:hint="eastAsia" w:ascii="宋体" w:hAnsi="宋体" w:eastAsia="楷体_GB2312"/>
          <w:sz w:val="32"/>
          <w:szCs w:val="32"/>
          <w:lang w:val="en-US" w:eastAsia="zh-CN"/>
        </w:rPr>
        <w:t>厕所建设管理</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rPr>
      </w:pPr>
      <w:r>
        <w:rPr>
          <w:rFonts w:hint="eastAsia" w:ascii="宋体" w:hAnsi="宋体" w:eastAsia="楷体_GB2312" w:cs="楷体"/>
          <w:color w:val="000000"/>
          <w:sz w:val="32"/>
          <w:szCs w:val="32"/>
        </w:rPr>
        <w:t>第</w:t>
      </w:r>
      <w:r>
        <w:rPr>
          <w:rFonts w:hint="eastAsia" w:ascii="宋体" w:hAnsi="宋体" w:eastAsia="楷体_GB2312" w:cs="楷体"/>
          <w:color w:val="000000"/>
          <w:sz w:val="32"/>
          <w:szCs w:val="32"/>
          <w:lang w:eastAsia="zh-CN"/>
        </w:rPr>
        <w:t>五</w:t>
      </w:r>
      <w:r>
        <w:rPr>
          <w:rFonts w:hint="eastAsia" w:ascii="宋体" w:hAnsi="宋体" w:eastAsia="楷体_GB2312" w:cs="楷体"/>
          <w:color w:val="000000"/>
          <w:sz w:val="32"/>
          <w:szCs w:val="32"/>
        </w:rPr>
        <w:t xml:space="preserve">章  </w:t>
      </w:r>
      <w:r>
        <w:rPr>
          <w:rFonts w:hint="eastAsia" w:ascii="宋体" w:hAnsi="宋体" w:eastAsia="楷体_GB2312"/>
          <w:sz w:val="32"/>
          <w:szCs w:val="32"/>
          <w:lang w:val="en-US" w:eastAsia="zh-CN"/>
        </w:rPr>
        <w:t>病媒生物预防控制</w:t>
      </w:r>
    </w:p>
    <w:p>
      <w:pPr>
        <w:widowControl w:val="0"/>
        <w:wordWrap/>
        <w:overflowPunct w:val="0"/>
        <w:spacing w:beforeAutospacing="0" w:afterAutospacing="0" w:line="560" w:lineRule="exact"/>
        <w:ind w:firstLine="640" w:firstLineChars="200"/>
        <w:jc w:val="left"/>
        <w:textAlignment w:val="auto"/>
        <w:rPr>
          <w:rFonts w:hint="eastAsia" w:ascii="宋体" w:hAnsi="宋体"/>
          <w:sz w:val="32"/>
          <w:szCs w:val="32"/>
        </w:rPr>
      </w:pPr>
      <w:r>
        <w:rPr>
          <w:rFonts w:hint="eastAsia" w:ascii="宋体" w:hAnsi="宋体" w:eastAsia="楷体_GB2312" w:cs="楷体"/>
          <w:color w:val="000000"/>
          <w:sz w:val="32"/>
          <w:szCs w:val="32"/>
        </w:rPr>
        <w:t>第</w:t>
      </w:r>
      <w:r>
        <w:rPr>
          <w:rFonts w:hint="eastAsia" w:ascii="宋体" w:hAnsi="宋体" w:eastAsia="楷体_GB2312" w:cs="楷体"/>
          <w:color w:val="000000"/>
          <w:sz w:val="32"/>
          <w:szCs w:val="32"/>
          <w:lang w:eastAsia="zh-CN"/>
        </w:rPr>
        <w:t>六</w:t>
      </w:r>
      <w:r>
        <w:rPr>
          <w:rFonts w:hint="eastAsia" w:ascii="宋体" w:hAnsi="宋体" w:eastAsia="楷体_GB2312" w:cs="楷体"/>
          <w:color w:val="000000"/>
          <w:sz w:val="32"/>
          <w:szCs w:val="32"/>
        </w:rPr>
        <w:t xml:space="preserve">章  </w:t>
      </w:r>
      <w:r>
        <w:rPr>
          <w:rFonts w:hint="eastAsia" w:ascii="宋体" w:hAnsi="宋体" w:eastAsia="楷体_GB2312"/>
          <w:sz w:val="32"/>
          <w:szCs w:val="32"/>
          <w:lang w:val="en-US" w:eastAsia="zh-CN"/>
        </w:rPr>
        <w:t>吸烟控制</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sz w:val="32"/>
          <w:szCs w:val="32"/>
          <w:lang w:val="en-US" w:eastAsia="zh-CN"/>
        </w:rPr>
      </w:pPr>
      <w:r>
        <w:rPr>
          <w:rFonts w:hint="eastAsia" w:ascii="宋体" w:hAnsi="宋体" w:eastAsia="楷体_GB2312" w:cs="楷体"/>
          <w:color w:val="000000"/>
          <w:sz w:val="32"/>
          <w:szCs w:val="32"/>
        </w:rPr>
        <w:t xml:space="preserve">第七章  </w:t>
      </w:r>
      <w:r>
        <w:rPr>
          <w:rFonts w:hint="eastAsia" w:ascii="宋体" w:hAnsi="宋体" w:eastAsia="楷体_GB2312"/>
          <w:sz w:val="32"/>
          <w:szCs w:val="32"/>
          <w:lang w:val="en-US" w:eastAsia="zh-CN"/>
        </w:rPr>
        <w:t>健康促进与教育</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sz w:val="32"/>
          <w:szCs w:val="32"/>
          <w:lang w:val="en-US" w:eastAsia="zh-CN"/>
        </w:rPr>
      </w:pPr>
      <w:r>
        <w:rPr>
          <w:rFonts w:hint="eastAsia" w:ascii="宋体" w:hAnsi="宋体" w:eastAsia="楷体_GB2312"/>
          <w:sz w:val="32"/>
          <w:szCs w:val="32"/>
          <w:lang w:val="en-US" w:eastAsia="zh-CN"/>
        </w:rPr>
        <w:t>第八章  监督管理</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lang w:val="en-US" w:eastAsia="zh-CN"/>
        </w:rPr>
      </w:pPr>
      <w:r>
        <w:rPr>
          <w:rFonts w:hint="eastAsia" w:ascii="宋体" w:hAnsi="宋体" w:eastAsia="楷体_GB2312" w:cs="楷体"/>
          <w:color w:val="000000"/>
          <w:sz w:val="32"/>
          <w:szCs w:val="32"/>
          <w:lang w:val="en-US" w:eastAsia="zh-CN"/>
        </w:rPr>
        <w:t>第九章  法律责任</w:t>
      </w:r>
    </w:p>
    <w:p>
      <w:pPr>
        <w:pStyle w:val="33"/>
        <w:widowControl w:val="0"/>
        <w:wordWrap/>
        <w:overflowPunct w:val="0"/>
        <w:spacing w:beforeAutospacing="0" w:afterAutospacing="0" w:line="560" w:lineRule="exact"/>
        <w:textAlignment w:val="auto"/>
        <w:rPr>
          <w:rFonts w:hint="eastAsia" w:ascii="宋体" w:hAnsi="宋体" w:eastAsia="楷体_GB2312" w:cs="Times New Roman"/>
          <w:kern w:val="2"/>
          <w:sz w:val="32"/>
          <w:szCs w:val="32"/>
          <w:lang w:val="en-US" w:eastAsia="zh-CN"/>
        </w:rPr>
      </w:pPr>
      <w:r>
        <w:rPr>
          <w:rFonts w:hint="eastAsia" w:ascii="宋体" w:hAnsi="宋体" w:eastAsia="楷体_GB2312" w:cs="楷体"/>
          <w:color w:val="000000"/>
          <w:kern w:val="2"/>
          <w:sz w:val="32"/>
          <w:szCs w:val="32"/>
          <w:lang w:val="en-US" w:eastAsia="zh-CN"/>
        </w:rPr>
        <w:t>第十章</w:t>
      </w:r>
      <w:r>
        <w:rPr>
          <w:rFonts w:hint="eastAsia" w:ascii="宋体" w:hAnsi="宋体"/>
          <w:sz w:val="32"/>
          <w:szCs w:val="32"/>
          <w:lang w:val="en-US" w:eastAsia="zh-CN"/>
        </w:rPr>
        <w:t xml:space="preserve">  </w:t>
      </w:r>
      <w:r>
        <w:rPr>
          <w:rFonts w:hint="eastAsia" w:ascii="宋体" w:hAnsi="宋体" w:eastAsia="楷体_GB2312" w:cs="Times New Roman"/>
          <w:kern w:val="2"/>
          <w:sz w:val="32"/>
          <w:szCs w:val="32"/>
          <w:lang w:val="en-US" w:eastAsia="zh-CN"/>
        </w:rPr>
        <w:t>附则</w:t>
      </w:r>
    </w:p>
    <w:p>
      <w:pPr>
        <w:pStyle w:val="43"/>
        <w:widowControl w:val="0"/>
        <w:wordWrap/>
        <w:overflowPunct w:val="0"/>
        <w:adjustRightInd/>
        <w:snapToGrid/>
        <w:spacing w:beforeAutospacing="0" w:afterAutospacing="0" w:line="560" w:lineRule="exact"/>
        <w:ind w:left="0" w:leftChars="0" w:right="0"/>
        <w:jc w:val="both"/>
        <w:textAlignment w:val="auto"/>
        <w:rPr>
          <w:rFonts w:hint="eastAsia" w:ascii="宋体" w:hAnsi="宋体" w:eastAsia="仿宋_GB2312" w:cs="仿宋_GB2312"/>
          <w:color w:val="000000"/>
          <w:sz w:val="32"/>
          <w:szCs w:val="32"/>
        </w:rPr>
      </w:pPr>
    </w:p>
    <w:p>
      <w:pPr>
        <w:pStyle w:val="43"/>
        <w:widowControl w:val="0"/>
        <w:tabs>
          <w:tab w:val="center" w:pos="4482"/>
          <w:tab w:val="left" w:pos="6763"/>
        </w:tabs>
        <w:wordWrap/>
        <w:overflowPunct w:val="0"/>
        <w:adjustRightInd/>
        <w:snapToGrid/>
        <w:spacing w:beforeAutospacing="0" w:afterAutospacing="0" w:line="560" w:lineRule="exact"/>
        <w:ind w:left="0" w:leftChars="0" w:right="0"/>
        <w:jc w:val="left"/>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color w:val="000000"/>
          <w:sz w:val="32"/>
          <w:szCs w:val="32"/>
          <w:lang w:eastAsia="zh-CN"/>
        </w:rPr>
        <w:tab/>
      </w:r>
      <w:r>
        <w:rPr>
          <w:rFonts w:hint="eastAsia" w:ascii="宋体" w:hAnsi="宋体" w:eastAsia="黑体" w:cs="黑体"/>
          <w:color w:val="000000"/>
          <w:sz w:val="32"/>
          <w:szCs w:val="32"/>
          <w:lang w:eastAsia="zh-CN"/>
        </w:rPr>
        <w:t>第一章</w:t>
      </w:r>
      <w:r>
        <w:rPr>
          <w:rFonts w:hint="eastAsia" w:ascii="宋体" w:hAnsi="宋体" w:eastAsia="黑体" w:cs="黑体"/>
          <w:color w:val="000000"/>
          <w:sz w:val="32"/>
          <w:szCs w:val="32"/>
          <w:lang w:val="en-US" w:eastAsia="zh-CN"/>
        </w:rPr>
        <w:t xml:space="preserve">  总则</w:t>
      </w:r>
      <w:r>
        <w:rPr>
          <w:rFonts w:hint="eastAsia" w:ascii="宋体" w:hAnsi="宋体" w:eastAsia="黑体" w:cs="黑体"/>
          <w:color w:val="000000"/>
          <w:sz w:val="32"/>
          <w:szCs w:val="32"/>
          <w:lang w:val="en-US" w:eastAsia="zh-CN"/>
        </w:rPr>
        <w:tab/>
      </w:r>
    </w:p>
    <w:p>
      <w:pPr>
        <w:widowControl w:val="0"/>
        <w:wordWrap/>
        <w:overflowPunct w:val="0"/>
        <w:adjustRightInd/>
        <w:snapToGrid/>
        <w:spacing w:beforeAutospacing="0" w:afterAutospacing="0" w:line="560" w:lineRule="exact"/>
        <w:ind w:left="0" w:leftChars="0" w:right="0" w:firstLine="560"/>
        <w:textAlignment w:val="auto"/>
        <w:outlineLvl w:val="9"/>
        <w:rPr>
          <w:rFonts w:hint="eastAsia" w:ascii="宋体" w:hAnsi="宋体" w:eastAsia="仿宋_GB2312" w:cs="仿宋_GB2312"/>
          <w:color w:val="000000"/>
          <w:sz w:val="32"/>
          <w:szCs w:val="32"/>
        </w:rPr>
      </w:pPr>
    </w:p>
    <w:p>
      <w:pPr>
        <w:widowControl w:val="0"/>
        <w:wordWrap/>
        <w:overflowPunct w:val="0"/>
        <w:adjustRightInd/>
        <w:snapToGrid/>
        <w:spacing w:beforeAutospacing="0" w:afterAutospacing="0" w:line="560" w:lineRule="exact"/>
        <w:ind w:left="0" w:leftChars="0" w:right="0" w:firstLine="56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第一条 </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color w:val="000000"/>
          <w:sz w:val="32"/>
          <w:szCs w:val="32"/>
        </w:rPr>
        <w:t>为了</w:t>
      </w:r>
      <w:r>
        <w:rPr>
          <w:rFonts w:hint="eastAsia" w:ascii="宋体" w:hAnsi="宋体" w:eastAsia="仿宋_GB2312" w:cs="仿宋_GB2312"/>
          <w:color w:val="000000"/>
          <w:sz w:val="32"/>
          <w:szCs w:val="32"/>
          <w:lang w:eastAsia="zh-CN"/>
        </w:rPr>
        <w:t>更好满足人民群众对美好生活的需要，</w:t>
      </w:r>
      <w:r>
        <w:rPr>
          <w:rFonts w:hint="eastAsia" w:ascii="宋体" w:hAnsi="宋体" w:eastAsia="仿宋_GB2312" w:cs="仿宋_GB2312"/>
          <w:color w:val="000000"/>
          <w:sz w:val="32"/>
          <w:szCs w:val="32"/>
        </w:rPr>
        <w:t>促进城乡环境卫生</w:t>
      </w:r>
      <w:r>
        <w:rPr>
          <w:rFonts w:hint="eastAsia" w:ascii="宋体" w:hAnsi="宋体" w:eastAsia="仿宋_GB2312" w:cs="仿宋_GB2312"/>
          <w:color w:val="000000"/>
          <w:sz w:val="32"/>
          <w:szCs w:val="32"/>
          <w:lang w:val="en-US" w:eastAsia="zh-CN"/>
        </w:rPr>
        <w:t>和生态环境</w:t>
      </w:r>
      <w:r>
        <w:rPr>
          <w:rFonts w:hint="eastAsia" w:ascii="宋体" w:hAnsi="宋体" w:eastAsia="仿宋_GB2312" w:cs="仿宋_GB2312"/>
          <w:color w:val="000000"/>
          <w:sz w:val="32"/>
          <w:szCs w:val="32"/>
        </w:rPr>
        <w:t>持续改善，预防</w:t>
      </w:r>
      <w:r>
        <w:rPr>
          <w:rFonts w:hint="eastAsia" w:ascii="宋体" w:hAnsi="宋体" w:eastAsia="仿宋_GB2312" w:cs="仿宋_GB2312"/>
          <w:color w:val="000000"/>
          <w:sz w:val="32"/>
          <w:szCs w:val="32"/>
          <w:lang w:eastAsia="zh-CN"/>
        </w:rPr>
        <w:t>控制</w:t>
      </w:r>
      <w:r>
        <w:rPr>
          <w:rFonts w:hint="eastAsia" w:ascii="宋体" w:hAnsi="宋体" w:eastAsia="仿宋_GB2312" w:cs="仿宋_GB2312"/>
          <w:color w:val="000000"/>
          <w:sz w:val="32"/>
          <w:szCs w:val="32"/>
        </w:rPr>
        <w:t>疾病，提高人民群众健康水平</w:t>
      </w:r>
      <w:r>
        <w:rPr>
          <w:rFonts w:hint="eastAsia" w:ascii="宋体" w:hAnsi="宋体" w:eastAsia="仿宋_GB2312" w:cs="仿宋_GB2312"/>
          <w:color w:val="000000"/>
          <w:sz w:val="32"/>
          <w:szCs w:val="32"/>
          <w:lang w:val="en-US" w:eastAsia="zh-CN"/>
        </w:rPr>
        <w:t>和生活品质</w:t>
      </w:r>
      <w:r>
        <w:rPr>
          <w:rFonts w:hint="eastAsia" w:ascii="宋体" w:hAnsi="宋体" w:eastAsia="仿宋_GB2312" w:cs="仿宋_GB2312"/>
          <w:color w:val="000000"/>
          <w:sz w:val="32"/>
          <w:szCs w:val="32"/>
        </w:rPr>
        <w:t>，推进健康广东建设，根据宪法和有关法律法规，结合本省实际，制定本条例。</w:t>
      </w:r>
    </w:p>
    <w:p>
      <w:pPr>
        <w:widowControl w:val="0"/>
        <w:numPr>
          <w:ilvl w:val="0"/>
          <w:numId w:val="0"/>
        </w:numPr>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第二条</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i w:val="0"/>
          <w:iCs w:val="0"/>
          <w:color w:val="000000"/>
          <w:sz w:val="32"/>
          <w:szCs w:val="32"/>
          <w:u w:val="none"/>
        </w:rPr>
        <w:t>本条例</w:t>
      </w:r>
      <w:r>
        <w:rPr>
          <w:rFonts w:hint="eastAsia" w:ascii="宋体" w:hAnsi="宋体" w:eastAsia="仿宋_GB2312" w:cs="仿宋_GB2312"/>
          <w:i w:val="0"/>
          <w:iCs w:val="0"/>
          <w:color w:val="000000"/>
          <w:sz w:val="32"/>
          <w:szCs w:val="32"/>
          <w:u w:val="none"/>
          <w:lang w:eastAsia="zh-CN"/>
        </w:rPr>
        <w:t>适用于</w:t>
      </w:r>
      <w:r>
        <w:rPr>
          <w:rFonts w:hint="eastAsia" w:ascii="宋体" w:hAnsi="宋体" w:eastAsia="仿宋_GB2312" w:cs="仿宋_GB2312"/>
          <w:i w:val="0"/>
          <w:iCs w:val="0"/>
          <w:color w:val="000000"/>
          <w:sz w:val="32"/>
          <w:szCs w:val="32"/>
          <w:u w:val="none"/>
        </w:rPr>
        <w:t>本省行政区域内的爱国卫生工作</w:t>
      </w:r>
      <w:r>
        <w:rPr>
          <w:rFonts w:hint="eastAsia" w:ascii="宋体" w:hAnsi="宋体" w:eastAsia="仿宋_GB2312" w:cs="仿宋_GB2312"/>
          <w:b w:val="0"/>
          <w:bCs w:val="0"/>
          <w:i w:val="0"/>
          <w:iCs w:val="0"/>
          <w:color w:val="000000"/>
          <w:sz w:val="32"/>
          <w:szCs w:val="32"/>
          <w:u w:val="none"/>
          <w:lang w:eastAsia="zh-CN"/>
        </w:rPr>
        <w:t>以及相关监督管理活动</w:t>
      </w:r>
      <w:r>
        <w:rPr>
          <w:rFonts w:hint="eastAsia" w:ascii="宋体" w:hAnsi="宋体" w:eastAsia="仿宋_GB2312" w:cs="仿宋_GB2312"/>
          <w:i w:val="0"/>
          <w:iCs w:val="0"/>
          <w:color w:val="000000"/>
          <w:sz w:val="32"/>
          <w:szCs w:val="32"/>
          <w:u w:val="none"/>
        </w:rPr>
        <w:t>。</w:t>
      </w:r>
    </w:p>
    <w:p>
      <w:pPr>
        <w:widowControl w:val="0"/>
        <w:numPr>
          <w:ilvl w:val="0"/>
          <w:numId w:val="0"/>
        </w:numPr>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本条例所称爱国卫生工作是指动员全民参与，以改善社会卫生环境，</w:t>
      </w:r>
      <w:r>
        <w:rPr>
          <w:rFonts w:hint="eastAsia" w:ascii="宋体" w:hAnsi="宋体" w:eastAsia="仿宋_GB2312" w:cs="仿宋_GB2312"/>
          <w:b w:val="0"/>
          <w:bCs w:val="0"/>
          <w:color w:val="000000"/>
          <w:sz w:val="32"/>
          <w:szCs w:val="32"/>
          <w:lang w:eastAsia="zh-CN"/>
        </w:rPr>
        <w:t>倡导健康生活方式，</w:t>
      </w:r>
      <w:r>
        <w:rPr>
          <w:rFonts w:hint="eastAsia" w:ascii="宋体" w:hAnsi="宋体" w:eastAsia="仿宋_GB2312" w:cs="仿宋_GB2312"/>
          <w:i w:val="0"/>
          <w:iCs w:val="0"/>
          <w:color w:val="000000"/>
          <w:sz w:val="32"/>
          <w:szCs w:val="32"/>
          <w:u w:val="none"/>
          <w:lang w:val="en-US" w:eastAsia="zh-CN"/>
        </w:rPr>
        <w:t>控制</w:t>
      </w:r>
      <w:r>
        <w:rPr>
          <w:rFonts w:hint="eastAsia" w:ascii="宋体" w:hAnsi="宋体" w:eastAsia="仿宋_GB2312" w:cs="仿宋_GB2312"/>
          <w:color w:val="000000"/>
          <w:sz w:val="32"/>
          <w:szCs w:val="32"/>
        </w:rPr>
        <w:t>危害健康因素，</w:t>
      </w:r>
      <w:r>
        <w:rPr>
          <w:rFonts w:hint="eastAsia" w:ascii="宋体" w:hAnsi="宋体" w:eastAsia="仿宋_GB2312" w:cs="仿宋_GB2312"/>
          <w:b w:val="0"/>
          <w:bCs w:val="0"/>
          <w:i w:val="0"/>
          <w:iCs w:val="0"/>
          <w:color w:val="000000"/>
          <w:sz w:val="32"/>
          <w:szCs w:val="32"/>
          <w:u w:val="none"/>
        </w:rPr>
        <w:t>增强</w:t>
      </w:r>
      <w:r>
        <w:rPr>
          <w:rFonts w:hint="eastAsia" w:ascii="宋体" w:hAnsi="宋体" w:eastAsia="仿宋_GB2312" w:cs="仿宋_GB2312"/>
          <w:b w:val="0"/>
          <w:bCs w:val="0"/>
          <w:i w:val="0"/>
          <w:iCs w:val="0"/>
          <w:color w:val="000000"/>
          <w:sz w:val="32"/>
          <w:szCs w:val="32"/>
          <w:u w:val="none"/>
          <w:lang w:val="en-US" w:eastAsia="zh-CN"/>
        </w:rPr>
        <w:t>城乡居民</w:t>
      </w:r>
      <w:r>
        <w:rPr>
          <w:rFonts w:hint="eastAsia" w:ascii="宋体" w:hAnsi="宋体" w:eastAsia="仿宋_GB2312" w:cs="仿宋_GB2312"/>
          <w:b w:val="0"/>
          <w:bCs w:val="0"/>
          <w:i w:val="0"/>
          <w:iCs w:val="0"/>
          <w:color w:val="000000"/>
          <w:sz w:val="32"/>
          <w:szCs w:val="32"/>
          <w:u w:val="none"/>
        </w:rPr>
        <w:t>体质</w:t>
      </w:r>
      <w:r>
        <w:rPr>
          <w:rFonts w:hint="eastAsia" w:ascii="宋体" w:hAnsi="宋体" w:eastAsia="仿宋_GB2312" w:cs="仿宋_GB2312"/>
          <w:b w:val="0"/>
          <w:bCs w:val="0"/>
          <w:i w:val="0"/>
          <w:iCs w:val="0"/>
          <w:color w:val="000000"/>
          <w:sz w:val="32"/>
          <w:szCs w:val="32"/>
          <w:u w:val="none"/>
          <w:lang w:eastAsia="zh-CN"/>
        </w:rPr>
        <w:t>，</w:t>
      </w:r>
      <w:r>
        <w:rPr>
          <w:rFonts w:hint="eastAsia" w:ascii="宋体" w:hAnsi="宋体" w:eastAsia="仿宋_GB2312" w:cs="仿宋_GB2312"/>
          <w:color w:val="000000"/>
          <w:sz w:val="32"/>
          <w:szCs w:val="32"/>
        </w:rPr>
        <w:t>提高</w:t>
      </w:r>
      <w:r>
        <w:rPr>
          <w:rFonts w:hint="eastAsia" w:ascii="宋体" w:hAnsi="宋体" w:eastAsia="仿宋_GB2312" w:cs="仿宋_GB2312"/>
          <w:i w:val="0"/>
          <w:iCs w:val="0"/>
          <w:color w:val="000000"/>
          <w:sz w:val="32"/>
          <w:szCs w:val="32"/>
          <w:u w:val="none"/>
          <w:lang w:val="en-US" w:eastAsia="zh-CN"/>
        </w:rPr>
        <w:t>城乡居民</w:t>
      </w:r>
      <w:r>
        <w:rPr>
          <w:rFonts w:hint="eastAsia" w:ascii="宋体" w:hAnsi="宋体" w:eastAsia="仿宋_GB2312" w:cs="仿宋_GB2312"/>
          <w:color w:val="000000"/>
          <w:sz w:val="32"/>
          <w:szCs w:val="32"/>
        </w:rPr>
        <w:t>健康素</w:t>
      </w:r>
      <w:r>
        <w:rPr>
          <w:rFonts w:hint="eastAsia" w:ascii="宋体" w:hAnsi="宋体" w:eastAsia="仿宋_GB2312" w:cs="仿宋_GB2312"/>
          <w:i w:val="0"/>
          <w:iCs w:val="0"/>
          <w:color w:val="000000"/>
          <w:sz w:val="32"/>
          <w:szCs w:val="32"/>
          <w:u w:val="none"/>
        </w:rPr>
        <w:t>质</w:t>
      </w:r>
      <w:r>
        <w:rPr>
          <w:rFonts w:hint="eastAsia" w:ascii="宋体" w:hAnsi="宋体" w:eastAsia="仿宋_GB2312" w:cs="仿宋_GB2312"/>
          <w:color w:val="000000"/>
          <w:sz w:val="32"/>
          <w:szCs w:val="32"/>
        </w:rPr>
        <w:t>为目的的社会性、群众性卫生活动</w:t>
      </w:r>
      <w:r>
        <w:rPr>
          <w:rFonts w:hint="eastAsia" w:ascii="宋体" w:hAnsi="宋体" w:eastAsia="仿宋_GB2312" w:cs="仿宋_GB2312"/>
          <w:b w:val="0"/>
          <w:bCs w:val="0"/>
          <w:i w:val="0"/>
          <w:iCs w:val="0"/>
          <w:color w:val="000000"/>
          <w:sz w:val="32"/>
          <w:szCs w:val="32"/>
          <w:u w:val="none" w:color="auto"/>
          <w:lang w:eastAsia="zh-CN"/>
        </w:rPr>
        <w:t>，</w:t>
      </w:r>
      <w:r>
        <w:rPr>
          <w:rFonts w:hint="eastAsia" w:ascii="宋体" w:hAnsi="宋体" w:eastAsia="仿宋_GB2312" w:cs="仿宋_GB2312"/>
          <w:b w:val="0"/>
          <w:bCs w:val="0"/>
          <w:color w:val="000000"/>
          <w:sz w:val="32"/>
          <w:szCs w:val="32"/>
        </w:rPr>
        <w:t>包括环境卫生治理</w:t>
      </w:r>
      <w:r>
        <w:rPr>
          <w:rFonts w:hint="eastAsia" w:ascii="宋体" w:hAnsi="宋体" w:eastAsia="仿宋_GB2312" w:cs="仿宋_GB2312"/>
          <w:b w:val="0"/>
          <w:bCs w:val="0"/>
          <w:color w:val="000000"/>
          <w:sz w:val="32"/>
          <w:szCs w:val="32"/>
          <w:lang w:eastAsia="zh-CN"/>
        </w:rPr>
        <w:t>和卫生健康创建</w:t>
      </w:r>
      <w:r>
        <w:rPr>
          <w:rFonts w:hint="eastAsia" w:ascii="宋体" w:hAnsi="宋体" w:eastAsia="仿宋_GB2312" w:cs="仿宋_GB2312"/>
          <w:b w:val="0"/>
          <w:bCs w:val="0"/>
          <w:color w:val="000000"/>
          <w:sz w:val="32"/>
          <w:szCs w:val="32"/>
        </w:rPr>
        <w:t>、</w:t>
      </w:r>
      <w:r>
        <w:rPr>
          <w:rFonts w:hint="eastAsia" w:ascii="宋体" w:hAnsi="宋体" w:eastAsia="仿宋_GB2312" w:cs="仿宋_GB2312"/>
          <w:b w:val="0"/>
          <w:bCs w:val="0"/>
          <w:color w:val="000000"/>
          <w:sz w:val="32"/>
          <w:szCs w:val="32"/>
          <w:lang w:eastAsia="zh-CN"/>
        </w:rPr>
        <w:t>厕所建设管理、</w:t>
      </w:r>
      <w:r>
        <w:rPr>
          <w:rFonts w:hint="eastAsia" w:ascii="宋体" w:hAnsi="宋体" w:eastAsia="仿宋_GB2312" w:cs="仿宋_GB2312"/>
          <w:b w:val="0"/>
          <w:bCs w:val="0"/>
          <w:color w:val="000000"/>
          <w:sz w:val="32"/>
          <w:szCs w:val="32"/>
        </w:rPr>
        <w:t>病媒生物预防控制</w:t>
      </w:r>
      <w:r>
        <w:rPr>
          <w:rFonts w:hint="eastAsia" w:ascii="宋体" w:hAnsi="宋体" w:eastAsia="仿宋_GB2312" w:cs="仿宋_GB2312"/>
          <w:b w:val="0"/>
          <w:bCs w:val="0"/>
          <w:color w:val="000000"/>
          <w:sz w:val="32"/>
          <w:szCs w:val="32"/>
          <w:lang w:eastAsia="zh-CN"/>
        </w:rPr>
        <w:t>、吸烟</w:t>
      </w:r>
      <w:r>
        <w:rPr>
          <w:rFonts w:hint="eastAsia" w:ascii="宋体" w:hAnsi="宋体" w:eastAsia="仿宋_GB2312" w:cs="仿宋_GB2312"/>
          <w:b w:val="0"/>
          <w:bCs w:val="0"/>
          <w:color w:val="000000"/>
          <w:sz w:val="32"/>
          <w:szCs w:val="32"/>
        </w:rPr>
        <w:t>控制、健康促进</w:t>
      </w:r>
      <w:r>
        <w:rPr>
          <w:rFonts w:hint="eastAsia" w:ascii="宋体" w:hAnsi="宋体" w:eastAsia="仿宋_GB2312" w:cs="仿宋_GB2312"/>
          <w:b w:val="0"/>
          <w:bCs w:val="0"/>
          <w:color w:val="000000"/>
          <w:sz w:val="32"/>
          <w:szCs w:val="32"/>
          <w:lang w:eastAsia="zh-CN"/>
        </w:rPr>
        <w:t>与教育</w:t>
      </w:r>
      <w:r>
        <w:rPr>
          <w:rFonts w:hint="eastAsia" w:ascii="宋体" w:hAnsi="宋体" w:eastAsia="仿宋_GB2312" w:cs="仿宋_GB2312"/>
          <w:b w:val="0"/>
          <w:bCs w:val="0"/>
          <w:color w:val="000000"/>
          <w:sz w:val="32"/>
          <w:szCs w:val="32"/>
        </w:rPr>
        <w:t>等工作。</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第三条</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color w:val="000000"/>
          <w:sz w:val="32"/>
          <w:szCs w:val="32"/>
        </w:rPr>
        <w:t>爱国卫生工作实行</w:t>
      </w:r>
      <w:r>
        <w:rPr>
          <w:rFonts w:hint="eastAsia" w:ascii="宋体" w:hAnsi="宋体" w:eastAsia="仿宋_GB2312" w:cs="仿宋_GB2312"/>
          <w:color w:val="000000"/>
          <w:sz w:val="32"/>
          <w:szCs w:val="32"/>
          <w:lang w:eastAsia="zh-CN"/>
        </w:rPr>
        <w:t>以人民健康为中心，</w:t>
      </w:r>
      <w:r>
        <w:rPr>
          <w:rFonts w:hint="eastAsia" w:ascii="宋体" w:hAnsi="宋体" w:eastAsia="仿宋_GB2312" w:cs="仿宋_GB2312"/>
          <w:color w:val="000000"/>
          <w:sz w:val="32"/>
          <w:szCs w:val="32"/>
        </w:rPr>
        <w:t>政府</w:t>
      </w:r>
      <w:r>
        <w:rPr>
          <w:rFonts w:hint="eastAsia" w:ascii="宋体" w:hAnsi="宋体" w:eastAsia="仿宋_GB2312" w:cs="仿宋_GB2312"/>
          <w:i w:val="0"/>
          <w:iCs w:val="0"/>
          <w:color w:val="000000"/>
          <w:sz w:val="32"/>
          <w:szCs w:val="32"/>
          <w:u w:val="none"/>
          <w:lang w:val="en-US" w:eastAsia="zh-CN"/>
        </w:rPr>
        <w:t>主导</w:t>
      </w:r>
      <w:r>
        <w:rPr>
          <w:rFonts w:hint="eastAsia" w:ascii="宋体" w:hAnsi="宋体" w:eastAsia="仿宋_GB2312" w:cs="仿宋_GB2312"/>
          <w:color w:val="000000"/>
          <w:sz w:val="32"/>
          <w:szCs w:val="32"/>
        </w:rPr>
        <w:t>、</w:t>
      </w:r>
      <w:r>
        <w:rPr>
          <w:rFonts w:hint="eastAsia" w:ascii="宋体" w:hAnsi="宋体" w:eastAsia="仿宋_GB2312" w:cs="仿宋_GB2312"/>
          <w:i w:val="0"/>
          <w:iCs w:val="0"/>
          <w:color w:val="000000"/>
          <w:sz w:val="32"/>
          <w:szCs w:val="32"/>
          <w:u w:val="none"/>
        </w:rPr>
        <w:t>部门</w:t>
      </w:r>
      <w:r>
        <w:rPr>
          <w:rFonts w:hint="eastAsia" w:ascii="宋体" w:hAnsi="宋体" w:eastAsia="仿宋_GB2312" w:cs="仿宋_GB2312"/>
          <w:i w:val="0"/>
          <w:iCs w:val="0"/>
          <w:color w:val="000000"/>
          <w:sz w:val="32"/>
          <w:szCs w:val="32"/>
          <w:u w:val="none"/>
          <w:lang w:eastAsia="zh-CN"/>
        </w:rPr>
        <w:t>协作</w:t>
      </w:r>
      <w:r>
        <w:rPr>
          <w:rFonts w:hint="eastAsia" w:ascii="宋体" w:hAnsi="宋体" w:eastAsia="仿宋_GB2312" w:cs="仿宋_GB2312"/>
          <w:i w:val="0"/>
          <w:iCs w:val="0"/>
          <w:color w:val="000000"/>
          <w:sz w:val="32"/>
          <w:szCs w:val="32"/>
          <w:u w:val="none"/>
        </w:rPr>
        <w:t>、</w:t>
      </w:r>
      <w:r>
        <w:rPr>
          <w:rFonts w:hint="eastAsia" w:ascii="宋体" w:hAnsi="宋体" w:eastAsia="仿宋_GB2312" w:cs="仿宋_GB2312"/>
          <w:color w:val="000000"/>
          <w:sz w:val="32"/>
          <w:szCs w:val="32"/>
        </w:rPr>
        <w:t>全民参与、社会监督</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i w:val="0"/>
          <w:iCs w:val="0"/>
          <w:color w:val="000000"/>
          <w:sz w:val="32"/>
          <w:szCs w:val="32"/>
          <w:u w:val="none"/>
        </w:rPr>
        <w:t>科学治理</w:t>
      </w:r>
      <w:r>
        <w:rPr>
          <w:rFonts w:hint="eastAsia" w:ascii="宋体" w:hAnsi="宋体" w:eastAsia="仿宋_GB2312" w:cs="仿宋_GB2312"/>
          <w:color w:val="000000"/>
          <w:sz w:val="32"/>
          <w:szCs w:val="32"/>
        </w:rPr>
        <w:t>的原则。</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 xml:space="preserve">第四条 </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color w:val="000000"/>
          <w:sz w:val="32"/>
          <w:szCs w:val="32"/>
        </w:rPr>
        <w:t>各级人民政府应当加强对爱国卫生工作的领导，把爱国卫生工作纳入国民经济和社会发展中长期规划和年度计划</w:t>
      </w:r>
      <w:r>
        <w:rPr>
          <w:rFonts w:hint="eastAsia" w:ascii="宋体" w:hAnsi="宋体" w:eastAsia="仿宋_GB2312" w:cs="仿宋_GB2312"/>
          <w:color w:val="000000"/>
          <w:sz w:val="32"/>
          <w:szCs w:val="32"/>
          <w:lang w:eastAsia="zh-CN"/>
        </w:rPr>
        <w:t>。</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sz w:val="32"/>
          <w:szCs w:val="32"/>
          <w:u w:val="none"/>
          <w:lang w:eastAsia="zh-CN"/>
        </w:rPr>
      </w:pPr>
      <w:r>
        <w:rPr>
          <w:rFonts w:hint="eastAsia" w:ascii="宋体" w:hAnsi="宋体" w:eastAsia="仿宋_GB2312" w:cs="仿宋_GB2312"/>
          <w:i w:val="0"/>
          <w:iCs w:val="0"/>
          <w:sz w:val="32"/>
          <w:szCs w:val="32"/>
          <w:u w:val="none"/>
          <w:lang w:eastAsia="zh-CN"/>
        </w:rPr>
        <w:t>各级人民政府应当加强对爱国卫生工作</w:t>
      </w:r>
      <w:r>
        <w:rPr>
          <w:rFonts w:hint="eastAsia" w:ascii="宋体" w:hAnsi="宋体" w:eastAsia="仿宋_GB2312" w:cs="仿宋_GB2312"/>
          <w:i w:val="0"/>
          <w:iCs w:val="0"/>
          <w:color w:val="000000"/>
          <w:sz w:val="32"/>
          <w:szCs w:val="32"/>
          <w:u w:val="none"/>
          <w:lang w:eastAsia="zh-CN"/>
        </w:rPr>
        <w:t>的财政投入力度</w:t>
      </w:r>
      <w:r>
        <w:rPr>
          <w:rFonts w:hint="eastAsia" w:ascii="宋体" w:hAnsi="宋体" w:eastAsia="仿宋_GB2312" w:cs="仿宋_GB2312"/>
          <w:i w:val="0"/>
          <w:iCs w:val="0"/>
          <w:sz w:val="32"/>
          <w:szCs w:val="32"/>
          <w:u w:val="none"/>
          <w:lang w:eastAsia="zh-CN"/>
        </w:rPr>
        <w:t>。</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第五条</w:t>
      </w:r>
      <w:r>
        <w:rPr>
          <w:rFonts w:hint="eastAsia" w:ascii="宋体" w:hAnsi="宋体" w:eastAsia="仿宋_GB2312" w:cs="仿宋_GB2312"/>
          <w:color w:val="000000"/>
          <w:sz w:val="32"/>
          <w:szCs w:val="32"/>
        </w:rPr>
        <w:t xml:space="preserve">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鼓励企业事业单位、社会团体以及个人以各种形式为爱国卫</w:t>
      </w:r>
      <w:r>
        <w:rPr>
          <w:rFonts w:hint="eastAsia" w:ascii="宋体" w:hAnsi="宋体" w:eastAsia="仿宋_GB2312" w:cs="仿宋_GB2312"/>
          <w:i w:val="0"/>
          <w:iCs w:val="0"/>
          <w:color w:val="000000"/>
          <w:sz w:val="32"/>
          <w:szCs w:val="32"/>
          <w:u w:val="none"/>
        </w:rPr>
        <w:t>生工作提</w:t>
      </w:r>
      <w:r>
        <w:rPr>
          <w:rFonts w:hint="eastAsia" w:ascii="宋体" w:hAnsi="宋体" w:eastAsia="仿宋_GB2312" w:cs="仿宋_GB2312"/>
          <w:color w:val="000000"/>
          <w:sz w:val="32"/>
          <w:szCs w:val="32"/>
        </w:rPr>
        <w:t>供支持。</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鼓励和支持志愿服务组织和志愿者参与爱国卫生工作。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rPr>
      </w:pPr>
      <w:r>
        <w:rPr>
          <w:rFonts w:hint="eastAsia" w:ascii="宋体" w:hAnsi="宋体" w:eastAsia="黑体" w:cs="黑体"/>
          <w:color w:val="000000"/>
          <w:kern w:val="2"/>
          <w:sz w:val="32"/>
          <w:szCs w:val="32"/>
          <w:lang w:val="en-US" w:eastAsia="zh-CN" w:bidi="ar-SA"/>
        </w:rPr>
        <w:t xml:space="preserve">第六条 </w:t>
      </w:r>
      <w:r>
        <w:rPr>
          <w:rFonts w:hint="eastAsia" w:ascii="宋体" w:hAnsi="宋体" w:eastAsia="仿宋_GB2312" w:cs="仿宋_GB2312"/>
          <w:i w:val="0"/>
          <w:iCs w:val="0"/>
          <w:color w:val="000000"/>
          <w:sz w:val="32"/>
          <w:szCs w:val="32"/>
          <w:lang w:val="en-US" w:eastAsia="zh-CN"/>
        </w:rPr>
        <w:t xml:space="preserve"> </w:t>
      </w:r>
      <w:r>
        <w:rPr>
          <w:rFonts w:hint="eastAsia" w:ascii="宋体" w:hAnsi="宋体" w:eastAsia="仿宋_GB2312" w:cs="仿宋_GB2312"/>
          <w:i w:val="0"/>
          <w:iCs w:val="0"/>
          <w:color w:val="000000"/>
          <w:sz w:val="32"/>
          <w:szCs w:val="32"/>
        </w:rPr>
        <w:t>各级人民政府对开展爱国卫生工作成绩显著的单位和个人，应当给予表彰或者奖励。</w:t>
      </w:r>
    </w:p>
    <w:p>
      <w:pPr>
        <w:pStyle w:val="33"/>
        <w:widowControl w:val="0"/>
        <w:wordWrap/>
        <w:overflowPunct w:val="0"/>
        <w:spacing w:beforeAutospacing="0" w:afterAutospacing="0" w:line="560" w:lineRule="exact"/>
        <w:ind w:left="0" w:leftChars="0"/>
        <w:textAlignment w:val="auto"/>
        <w:outlineLvl w:val="9"/>
        <w:rPr>
          <w:rFonts w:hint="eastAsia" w:ascii="宋体" w:hAnsi="宋体" w:eastAsia="仿宋_GB2312" w:cs="仿宋_GB2312"/>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第二章  组织和职责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第七条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各级爱国卫生运动委员会（以下简称爱卫会）由同级人民政府有关部门和相关单位组成，在同级人民政府领导下负责组织协调本行政区域的爱国卫生工作</w:t>
      </w:r>
      <w:r>
        <w:rPr>
          <w:rFonts w:hint="eastAsia" w:ascii="宋体" w:hAnsi="宋体" w:eastAsia="仿宋_GB2312" w:cs="仿宋_GB2312"/>
          <w:color w:val="000000"/>
          <w:sz w:val="32"/>
          <w:szCs w:val="32"/>
          <w:lang w:eastAsia="zh-CN"/>
        </w:rPr>
        <w:t>，制定本行政区域内爱国卫生工作规划，组织动员全社会参加爱国卫生活动。</w:t>
      </w:r>
    </w:p>
    <w:p>
      <w:pPr>
        <w:widowControl w:val="0"/>
        <w:wordWrap/>
        <w:overflowPunct w:val="0"/>
        <w:adjustRightInd/>
        <w:snapToGrid/>
        <w:spacing w:beforeAutospacing="0" w:afterAutospacing="0" w:line="560" w:lineRule="exact"/>
        <w:ind w:left="0" w:leftChars="0" w:right="0" w:firstLine="573"/>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爱卫会办公室</w:t>
      </w:r>
      <w:r>
        <w:rPr>
          <w:rFonts w:hint="eastAsia" w:ascii="宋体" w:hAnsi="宋体" w:eastAsia="仿宋_GB2312" w:cs="仿宋_GB2312"/>
          <w:color w:val="000000"/>
          <w:sz w:val="32"/>
          <w:szCs w:val="32"/>
        </w:rPr>
        <w:t>（以下简称爱卫</w:t>
      </w:r>
      <w:r>
        <w:rPr>
          <w:rFonts w:hint="eastAsia" w:ascii="宋体" w:hAnsi="宋体" w:eastAsia="仿宋_GB2312" w:cs="仿宋_GB2312"/>
          <w:color w:val="000000"/>
          <w:sz w:val="32"/>
          <w:szCs w:val="32"/>
          <w:lang w:eastAsia="zh-CN"/>
        </w:rPr>
        <w:t>办</w:t>
      </w:r>
      <w:r>
        <w:rPr>
          <w:rFonts w:hint="eastAsia" w:ascii="宋体" w:hAnsi="宋体" w:eastAsia="仿宋_GB2312" w:cs="仿宋_GB2312"/>
          <w:color w:val="000000"/>
          <w:sz w:val="32"/>
          <w:szCs w:val="32"/>
        </w:rPr>
        <w:t>）</w:t>
      </w:r>
      <w:r>
        <w:rPr>
          <w:rFonts w:hint="eastAsia" w:ascii="宋体" w:hAnsi="宋体" w:eastAsia="仿宋_GB2312" w:cs="仿宋_GB2312"/>
          <w:b w:val="0"/>
          <w:bCs w:val="0"/>
          <w:color w:val="000000"/>
          <w:sz w:val="32"/>
          <w:szCs w:val="32"/>
          <w:lang w:eastAsia="zh-CN"/>
        </w:rPr>
        <w:t>是爱卫会的办事机构，</w:t>
      </w:r>
      <w:r>
        <w:rPr>
          <w:rFonts w:hint="eastAsia" w:ascii="宋体" w:hAnsi="宋体" w:eastAsia="仿宋_GB2312" w:cs="仿宋_GB2312"/>
          <w:i w:val="0"/>
          <w:iCs w:val="0"/>
          <w:color w:val="000000"/>
          <w:sz w:val="32"/>
          <w:szCs w:val="32"/>
          <w:u w:val="none"/>
        </w:rPr>
        <w:t>负责</w:t>
      </w:r>
      <w:r>
        <w:rPr>
          <w:rFonts w:hint="eastAsia" w:ascii="宋体" w:hAnsi="宋体" w:eastAsia="仿宋_GB2312" w:cs="仿宋_GB2312"/>
          <w:i w:val="0"/>
          <w:iCs w:val="0"/>
          <w:color w:val="000000"/>
          <w:sz w:val="32"/>
          <w:szCs w:val="32"/>
          <w:u w:val="none"/>
          <w:lang w:val="en-US" w:eastAsia="zh-CN"/>
        </w:rPr>
        <w:t>爱卫会</w:t>
      </w:r>
      <w:r>
        <w:rPr>
          <w:rFonts w:hint="eastAsia" w:ascii="宋体" w:hAnsi="宋体" w:eastAsia="仿宋_GB2312" w:cs="仿宋_GB2312"/>
          <w:i w:val="0"/>
          <w:iCs w:val="0"/>
          <w:color w:val="000000"/>
          <w:sz w:val="32"/>
          <w:szCs w:val="32"/>
          <w:u w:val="none"/>
        </w:rPr>
        <w:t>日常工作</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组织成员单位开展爱国卫生工作。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黑体" w:cs="黑体"/>
          <w:color w:val="000000"/>
          <w:kern w:val="2"/>
          <w:sz w:val="32"/>
          <w:szCs w:val="32"/>
          <w:lang w:val="en-US" w:eastAsia="zh-CN" w:bidi="ar-SA"/>
        </w:rPr>
        <w:t>第八条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爱</w:t>
      </w:r>
      <w:r>
        <w:rPr>
          <w:rFonts w:hint="eastAsia" w:ascii="宋体" w:hAnsi="宋体" w:eastAsia="仿宋_GB2312" w:cs="仿宋_GB2312"/>
          <w:color w:val="000000"/>
          <w:sz w:val="32"/>
          <w:szCs w:val="32"/>
        </w:rPr>
        <w:t>卫会实行成员单位分工负责制，各成员单位按照法律、法规和本条例规定，在各自职责范围内做好爱国卫生工作</w:t>
      </w:r>
      <w:r>
        <w:rPr>
          <w:rFonts w:hint="eastAsia" w:ascii="宋体" w:hAnsi="宋体" w:eastAsia="仿宋_GB2312" w:cs="仿宋_GB2312"/>
          <w:i w:val="0"/>
          <w:iCs w:val="0"/>
          <w:color w:val="000000"/>
          <w:sz w:val="32"/>
          <w:szCs w:val="32"/>
          <w:u w:val="none"/>
          <w:lang w:eastAsia="zh-CN"/>
        </w:rPr>
        <w:t>：</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一）卫生健康主管部门负责对爱国卫生工作进行监督和技术指导，制定突发公共卫生事件应急预案和技术方案，预防和控制各类传染病和重大疫情的发生和流行，将公共厕所环境综合整治和农村无害化卫生户厕纳入卫生城市、县城、村镇考核标准。</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二）住房和城乡建设主管部门或者负责城市市容环境卫生工作的主管部门负责环境卫生工作的监督管理和环境卫生设施建设，组织开展城乡生活垃圾收集、运输和无害化处理工作，负责建筑工地环境卫生管理和病媒生物预防控制，统筹、组织、督促厕所建设管理工作，负责推进城市公共厕所建设管理和粪便无害化处理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三）交通运输、铁路、民航等主管部门负责车、船、飞机、车站、码头、公路、机场的卫生监督管理、废弃物收集处理、公共厕所公共卫生设施建设管理、环境治理和病媒生物预防控制，协助有关部门开展重大疫情的管制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四）农业农村主管部门负责统筹推进农村公共厕所建设管理和无害化卫生户厕建设，加强对农田、畜牧养殖场等场所环境卫生和病媒生物预防控制的指导监督，与卫生健康等有关部门共同做好人畜共患传染病的防治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（五）旅游主管部门负责旅游景区环境卫生治理和病媒生物预防控制，负责景区、旅游度假区等旅游厕所的建设管理。</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caps w:val="0"/>
          <w:color w:val="auto"/>
          <w:spacing w:val="0"/>
          <w:kern w:val="0"/>
          <w:sz w:val="32"/>
          <w:szCs w:val="32"/>
          <w:shd w:val="clear" w:color="auto" w:fill="auto"/>
          <w:lang w:val="en-US" w:eastAsia="zh-CN"/>
        </w:rPr>
      </w:pPr>
      <w:r>
        <w:rPr>
          <w:rFonts w:hint="eastAsia" w:ascii="宋体" w:hAnsi="宋体" w:eastAsia="仿宋_GB2312" w:cs="仿宋_GB2312"/>
          <w:i w:val="0"/>
          <w:caps w:val="0"/>
          <w:color w:val="auto"/>
          <w:spacing w:val="0"/>
          <w:kern w:val="0"/>
          <w:sz w:val="32"/>
          <w:szCs w:val="32"/>
          <w:shd w:val="clear" w:color="auto" w:fill="auto"/>
          <w:lang w:val="en-US" w:eastAsia="zh-CN"/>
        </w:rPr>
        <w:t>（六）教育主管部门负责各级各类学校学生健康教育、卫生设施改善，</w:t>
      </w:r>
      <w:r>
        <w:rPr>
          <w:rFonts w:hint="eastAsia" w:ascii="宋体" w:hAnsi="宋体" w:eastAsia="仿宋_GB2312" w:cs="仿宋_GB2312"/>
          <w:b w:val="0"/>
          <w:bCs w:val="0"/>
          <w:i w:val="0"/>
          <w:caps w:val="0"/>
          <w:color w:val="auto"/>
          <w:spacing w:val="0"/>
          <w:kern w:val="0"/>
          <w:sz w:val="32"/>
          <w:szCs w:val="32"/>
          <w:shd w:val="clear" w:color="auto" w:fill="auto"/>
          <w:lang w:val="en-US" w:eastAsia="zh-CN"/>
        </w:rPr>
        <w:t>推进学校厕所建设管理</w:t>
      </w:r>
      <w:r>
        <w:rPr>
          <w:rFonts w:hint="eastAsia" w:ascii="宋体" w:hAnsi="宋体" w:eastAsia="仿宋_GB2312" w:cs="仿宋_GB2312"/>
          <w:b w:val="0"/>
          <w:bCs w:val="0"/>
          <w:i w:val="0"/>
          <w:iCs w:val="0"/>
          <w:caps w:val="0"/>
          <w:color w:val="auto"/>
          <w:spacing w:val="0"/>
          <w:kern w:val="0"/>
          <w:sz w:val="32"/>
          <w:szCs w:val="32"/>
          <w:u w:val="none"/>
          <w:shd w:val="clear" w:color="auto" w:fill="auto"/>
          <w:lang w:val="en-US" w:eastAsia="zh-CN"/>
        </w:rPr>
        <w:t>、</w:t>
      </w:r>
      <w:r>
        <w:rPr>
          <w:rFonts w:hint="eastAsia" w:ascii="宋体" w:hAnsi="宋体" w:eastAsia="仿宋_GB2312" w:cs="仿宋_GB2312"/>
          <w:i w:val="0"/>
          <w:caps w:val="0"/>
          <w:color w:val="auto"/>
          <w:spacing w:val="0"/>
          <w:kern w:val="0"/>
          <w:sz w:val="32"/>
          <w:szCs w:val="32"/>
          <w:shd w:val="clear" w:color="auto" w:fill="auto"/>
          <w:lang w:val="en-US" w:eastAsia="zh-CN"/>
        </w:rPr>
        <w:t>环境整洁和病媒生物预防控制，组织学生参加爱国卫生活动。</w:t>
      </w:r>
    </w:p>
    <w:p>
      <w:pPr>
        <w:pStyle w:val="33"/>
        <w:widowControl w:val="0"/>
        <w:wordWrap/>
        <w:overflowPunct w:val="0"/>
        <w:spacing w:beforeAutospacing="0" w:afterAutospacing="0" w:line="560" w:lineRule="exact"/>
        <w:ind w:left="0" w:leftChars="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i w:val="0"/>
          <w:caps w:val="0"/>
          <w:color w:val="auto"/>
          <w:spacing w:val="0"/>
          <w:kern w:val="0"/>
          <w:sz w:val="32"/>
          <w:szCs w:val="32"/>
          <w:shd w:val="clear" w:color="auto" w:fill="auto"/>
          <w:lang w:val="en-US" w:eastAsia="zh-CN"/>
        </w:rPr>
        <w:t>（七）</w:t>
      </w:r>
      <w:r>
        <w:rPr>
          <w:rFonts w:hint="eastAsia" w:ascii="宋体" w:hAnsi="宋体" w:eastAsia="仿宋_GB2312" w:cs="仿宋_GB2312"/>
          <w:b w:val="0"/>
          <w:bCs w:val="0"/>
          <w:i w:val="0"/>
          <w:caps w:val="0"/>
          <w:color w:val="auto"/>
          <w:spacing w:val="0"/>
          <w:kern w:val="0"/>
          <w:sz w:val="32"/>
          <w:szCs w:val="32"/>
          <w:shd w:val="clear" w:color="auto" w:fill="auto"/>
          <w:lang w:val="en-US" w:eastAsia="zh-CN"/>
        </w:rPr>
        <w:t>新闻出版广播电视主管部门</w:t>
      </w:r>
      <w:r>
        <w:rPr>
          <w:rFonts w:hint="eastAsia" w:ascii="宋体" w:hAnsi="宋体" w:eastAsia="仿宋_GB2312" w:cs="仿宋_GB2312"/>
          <w:i w:val="0"/>
          <w:caps w:val="0"/>
          <w:color w:val="auto"/>
          <w:spacing w:val="0"/>
          <w:kern w:val="0"/>
          <w:sz w:val="32"/>
          <w:szCs w:val="32"/>
          <w:shd w:val="clear" w:color="auto" w:fill="auto"/>
          <w:lang w:val="en-US" w:eastAsia="zh-CN"/>
        </w:rPr>
        <w:t>应当采取多种形式，开展全民健康和遵守社会卫生公德的宣传教育，加强舆论监督。</w:t>
      </w:r>
    </w:p>
    <w:p>
      <w:pPr>
        <w:widowControl w:val="0"/>
        <w:numPr>
          <w:ilvl w:val="0"/>
          <w:numId w:val="0"/>
        </w:numPr>
        <w:shd w:val="clear" w:color="auto" w:fill="auto"/>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其他成员单位按照各自职责，做好有关爱国卫生工作。</w:t>
      </w:r>
    </w:p>
    <w:p>
      <w:pPr>
        <w:widowControl w:val="0"/>
        <w:shd w:val="clear" w:color="auto" w:fill="auto"/>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kern w:val="0"/>
          <w:sz w:val="32"/>
          <w:szCs w:val="32"/>
          <w:shd w:val="clear" w:color="auto" w:fill="auto"/>
        </w:rPr>
      </w:pPr>
      <w:r>
        <w:rPr>
          <w:rFonts w:hint="eastAsia" w:ascii="宋体" w:hAnsi="宋体" w:eastAsia="黑体" w:cs="黑体"/>
          <w:color w:val="000000"/>
          <w:kern w:val="2"/>
          <w:sz w:val="32"/>
          <w:szCs w:val="32"/>
          <w:lang w:val="en-US" w:eastAsia="zh-CN" w:bidi="ar-SA"/>
        </w:rPr>
        <w:t xml:space="preserve">第九条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caps w:val="0"/>
          <w:color w:val="000000"/>
          <w:spacing w:val="0"/>
          <w:kern w:val="0"/>
          <w:sz w:val="32"/>
          <w:szCs w:val="32"/>
          <w:shd w:val="clear" w:color="auto" w:fill="auto"/>
          <w:lang w:val="en-US" w:eastAsia="zh-CN"/>
        </w:rPr>
        <w:t>乡镇人民政府、街道办事处负责本辖区爱国卫生工作。</w:t>
      </w:r>
    </w:p>
    <w:p>
      <w:pPr>
        <w:widowControl w:val="0"/>
        <w:numPr>
          <w:ilvl w:val="0"/>
          <w:numId w:val="0"/>
        </w:numPr>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color w:val="000000"/>
          <w:kern w:val="0"/>
          <w:sz w:val="32"/>
          <w:szCs w:val="32"/>
          <w:shd w:val="clear" w:color="auto" w:fill="auto"/>
          <w:lang w:val="en-US" w:eastAsia="zh-CN"/>
        </w:rPr>
        <w:t>村民委员会、居民委员会</w:t>
      </w:r>
      <w:r>
        <w:rPr>
          <w:rFonts w:hint="eastAsia" w:ascii="宋体" w:hAnsi="宋体" w:eastAsia="仿宋_GB2312" w:cs="仿宋_GB2312"/>
          <w:i w:val="0"/>
          <w:iCs w:val="0"/>
          <w:color w:val="000000"/>
          <w:kern w:val="0"/>
          <w:sz w:val="32"/>
          <w:szCs w:val="32"/>
          <w:u w:val="none"/>
          <w:shd w:val="clear" w:color="auto" w:fill="auto"/>
          <w:lang w:val="en-US" w:eastAsia="zh-CN"/>
        </w:rPr>
        <w:t>协助乡镇人民政府和街道办事处开展</w:t>
      </w:r>
      <w:r>
        <w:rPr>
          <w:rFonts w:hint="eastAsia" w:ascii="宋体" w:hAnsi="宋体" w:eastAsia="仿宋_GB2312" w:cs="仿宋_GB2312"/>
          <w:color w:val="000000"/>
          <w:kern w:val="0"/>
          <w:sz w:val="32"/>
          <w:szCs w:val="32"/>
          <w:shd w:val="clear" w:color="auto" w:fill="auto"/>
          <w:lang w:val="en-US" w:eastAsia="zh-CN"/>
        </w:rPr>
        <w:t>爱国卫生工作，组织本区域的单位和个人参加爱国卫生活动。</w:t>
      </w:r>
    </w:p>
    <w:p>
      <w:pPr>
        <w:widowControl w:val="0"/>
        <w:wordWrap/>
        <w:overflowPunct w:val="0"/>
        <w:adjustRightInd/>
        <w:snapToGrid/>
        <w:spacing w:beforeAutospacing="0" w:afterAutospacing="0" w:line="560" w:lineRule="exact"/>
        <w:ind w:left="0" w:leftChars="0" w:right="0" w:firstLine="573"/>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机关、企</w:t>
      </w:r>
      <w:r>
        <w:rPr>
          <w:rFonts w:hint="eastAsia" w:ascii="宋体" w:hAnsi="宋体" w:cs="仿宋_GB2312"/>
          <w:color w:val="000000"/>
          <w:sz w:val="32"/>
          <w:szCs w:val="32"/>
          <w:lang w:eastAsia="zh-CN"/>
        </w:rPr>
        <w:t>业</w:t>
      </w:r>
      <w:r>
        <w:rPr>
          <w:rFonts w:hint="eastAsia" w:ascii="宋体" w:hAnsi="宋体" w:eastAsia="仿宋_GB2312" w:cs="仿宋_GB2312"/>
          <w:color w:val="000000"/>
          <w:sz w:val="32"/>
          <w:szCs w:val="32"/>
        </w:rPr>
        <w:t>事业单位和社会团体应当建立卫生管理制度，确定责任人，配备卫生设施，保证室内外环境卫生达到规定标准；组织本单位职工参加爱国卫生活动，保护和促进职工健康。</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lang w:val="en-US" w:eastAsia="zh-CN"/>
        </w:rPr>
        <w:t>鼓励</w:t>
      </w:r>
      <w:r>
        <w:rPr>
          <w:rFonts w:hint="eastAsia" w:ascii="宋体" w:hAnsi="宋体" w:eastAsia="仿宋_GB2312" w:cs="仿宋_GB2312"/>
          <w:color w:val="000000"/>
          <w:sz w:val="32"/>
          <w:szCs w:val="32"/>
        </w:rPr>
        <w:t>各级公共卫生机构、大专院校及科研机构开展爱国卫生科学研究、推广先进适用技术，提供技术指导和服务。</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lang w:val="en-US" w:eastAsia="zh-CN"/>
        </w:rPr>
        <w:t>个人</w:t>
      </w:r>
      <w:r>
        <w:rPr>
          <w:rFonts w:hint="eastAsia" w:ascii="宋体" w:hAnsi="宋体" w:eastAsia="仿宋_GB2312" w:cs="仿宋_GB2312"/>
          <w:color w:val="000000"/>
          <w:sz w:val="32"/>
          <w:szCs w:val="32"/>
        </w:rPr>
        <w:t>应当自觉维护公共场所卫生，自觉养成良好卫生习惯，保持个人和家庭卫生。</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p>
    <w:p>
      <w:pPr>
        <w:widowControl w:val="0"/>
        <w:wordWrap/>
        <w:overflowPunct w:val="0"/>
        <w:adjustRightInd/>
        <w:snapToGrid/>
        <w:spacing w:beforeAutospacing="0" w:afterAutospacing="0" w:line="560" w:lineRule="exact"/>
        <w:ind w:left="0" w:leftChars="0" w:right="0" w:firstLine="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第三章   环境卫生治理</w:t>
      </w:r>
    </w:p>
    <w:p>
      <w:pPr>
        <w:pStyle w:val="33"/>
        <w:widowControl w:val="0"/>
        <w:tabs>
          <w:tab w:val="left" w:pos="6558"/>
        </w:tabs>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ab/>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第十一条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各级人民政府应当制定和实施环境卫生专项规划，</w:t>
      </w:r>
      <w:r>
        <w:rPr>
          <w:rFonts w:hint="eastAsia" w:ascii="宋体" w:hAnsi="宋体" w:eastAsia="仿宋_GB2312" w:cs="仿宋_GB2312"/>
          <w:sz w:val="32"/>
          <w:szCs w:val="32"/>
          <w:lang w:val="en-US" w:eastAsia="zh-CN"/>
        </w:rPr>
        <w:t>结合本行政区域实际情况</w:t>
      </w:r>
      <w:r>
        <w:rPr>
          <w:rFonts w:hint="eastAsia" w:ascii="宋体" w:hAnsi="宋体" w:eastAsia="仿宋_GB2312" w:cs="仿宋_GB2312"/>
          <w:color w:val="000000"/>
          <w:sz w:val="32"/>
          <w:szCs w:val="32"/>
          <w:lang w:eastAsia="zh-CN"/>
        </w:rPr>
        <w:t>加强对环境卫生重点治理区域的整治，定期</w:t>
      </w:r>
      <w:r>
        <w:rPr>
          <w:rFonts w:hint="eastAsia" w:ascii="宋体" w:hAnsi="宋体" w:eastAsia="仿宋_GB2312" w:cs="仿宋_GB2312"/>
          <w:color w:val="000000"/>
          <w:sz w:val="32"/>
          <w:szCs w:val="32"/>
        </w:rPr>
        <w:t>组织开展环境卫生治理活动，提高城乡环境卫生整体水平。</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仿宋_GB2312" w:cs="仿宋_GB2312"/>
          <w:i w:val="0"/>
          <w:iCs w:val="0"/>
          <w:color w:val="000000"/>
          <w:sz w:val="32"/>
          <w:szCs w:val="32"/>
          <w:u w:val="none"/>
          <w:lang w:val="en-US" w:eastAsia="zh-CN"/>
        </w:rPr>
        <w:t>村民委员会、居民委员会</w:t>
      </w:r>
      <w:r>
        <w:rPr>
          <w:rFonts w:hint="eastAsia" w:ascii="宋体" w:hAnsi="宋体" w:eastAsia="仿宋_GB2312" w:cs="仿宋_GB2312"/>
          <w:color w:val="000000"/>
          <w:sz w:val="32"/>
          <w:szCs w:val="32"/>
          <w:lang w:val="en-US" w:eastAsia="zh-CN"/>
        </w:rPr>
        <w:t>应当有针对性地开展家庭卫生知识和技能宣传培训，引导居民</w:t>
      </w:r>
      <w:r>
        <w:rPr>
          <w:rFonts w:hint="eastAsia" w:ascii="宋体" w:hAnsi="宋体" w:eastAsia="仿宋_GB2312" w:cs="仿宋_GB2312"/>
          <w:i w:val="0"/>
          <w:iCs w:val="0"/>
          <w:color w:val="000000"/>
          <w:sz w:val="32"/>
          <w:szCs w:val="32"/>
          <w:u w:val="none"/>
          <w:lang w:val="en-US" w:eastAsia="zh-CN"/>
        </w:rPr>
        <w:t>做</w:t>
      </w:r>
      <w:r>
        <w:rPr>
          <w:rFonts w:hint="eastAsia" w:ascii="宋体" w:hAnsi="宋体" w:eastAsia="仿宋_GB2312" w:cs="仿宋_GB2312"/>
          <w:color w:val="000000"/>
          <w:sz w:val="32"/>
          <w:szCs w:val="32"/>
          <w:lang w:val="en-US" w:eastAsia="zh-CN"/>
        </w:rPr>
        <w:t>好家庭清洁</w:t>
      </w:r>
      <w:r>
        <w:rPr>
          <w:rFonts w:hint="eastAsia" w:ascii="宋体" w:hAnsi="宋体" w:eastAsia="仿宋_GB2312" w:cs="仿宋_GB2312"/>
          <w:i w:val="0"/>
          <w:iCs w:val="0"/>
          <w:color w:val="000000"/>
          <w:sz w:val="32"/>
          <w:szCs w:val="32"/>
          <w:u w:val="none"/>
          <w:lang w:val="en-US" w:eastAsia="zh-CN"/>
        </w:rPr>
        <w:t>卫生</w:t>
      </w:r>
      <w:r>
        <w:rPr>
          <w:rFonts w:hint="eastAsia" w:ascii="宋体" w:hAnsi="宋体" w:eastAsia="仿宋_GB2312" w:cs="仿宋_GB2312"/>
          <w:color w:val="000000"/>
          <w:sz w:val="32"/>
          <w:szCs w:val="32"/>
          <w:lang w:val="en-US" w:eastAsia="zh-CN"/>
        </w:rPr>
        <w:t>和宅前宅</w:t>
      </w:r>
      <w:r>
        <w:rPr>
          <w:rFonts w:hint="eastAsia" w:ascii="宋体" w:hAnsi="宋体" w:eastAsia="仿宋_GB2312" w:cs="仿宋_GB2312"/>
          <w:i w:val="0"/>
          <w:iCs w:val="0"/>
          <w:color w:val="000000"/>
          <w:sz w:val="32"/>
          <w:szCs w:val="32"/>
          <w:u w:val="none"/>
          <w:lang w:val="en-US" w:eastAsia="zh-CN"/>
        </w:rPr>
        <w:t>后环境卫生。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第十二条 </w:t>
      </w:r>
      <w:r>
        <w:rPr>
          <w:rFonts w:hint="eastAsia" w:ascii="宋体" w:hAnsi="宋体" w:eastAsia="仿宋_GB2312" w:cs="仿宋_GB2312"/>
          <w:i w:val="0"/>
          <w:iCs w:val="0"/>
          <w:color w:val="000000"/>
          <w:sz w:val="32"/>
          <w:szCs w:val="32"/>
          <w:u w:val="none"/>
          <w:lang w:val="en-US" w:eastAsia="zh-CN"/>
        </w:rPr>
        <w:t xml:space="preserve"> </w:t>
      </w:r>
      <w:r>
        <w:rPr>
          <w:rFonts w:hint="eastAsia" w:ascii="宋体" w:hAnsi="宋体" w:eastAsia="仿宋_GB2312" w:cs="仿宋_GB2312"/>
          <w:color w:val="000000"/>
          <w:sz w:val="32"/>
          <w:szCs w:val="32"/>
        </w:rPr>
        <w:t>各级人民政府应当将厕所、污水处理、生活垃圾收集和</w:t>
      </w:r>
      <w:r>
        <w:rPr>
          <w:rFonts w:hint="eastAsia" w:ascii="宋体" w:hAnsi="宋体" w:eastAsia="仿宋_GB2312" w:cs="仿宋_GB2312"/>
          <w:color w:val="000000"/>
          <w:sz w:val="32"/>
          <w:szCs w:val="32"/>
          <w:lang w:eastAsia="zh-CN"/>
        </w:rPr>
        <w:t>运输</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i w:val="0"/>
          <w:iCs w:val="0"/>
          <w:color w:val="000000"/>
          <w:sz w:val="32"/>
          <w:szCs w:val="32"/>
          <w:u w:val="none"/>
          <w:lang w:val="en-US" w:eastAsia="zh-CN"/>
        </w:rPr>
        <w:t>预防控制</w:t>
      </w:r>
      <w:r>
        <w:rPr>
          <w:rFonts w:hint="eastAsia" w:ascii="宋体" w:hAnsi="宋体" w:eastAsia="仿宋_GB2312" w:cs="仿宋_GB2312"/>
          <w:i w:val="0"/>
          <w:iCs w:val="0"/>
          <w:color w:val="000000"/>
          <w:sz w:val="32"/>
          <w:szCs w:val="32"/>
          <w:u w:val="none"/>
        </w:rPr>
        <w:t>病媒生物</w:t>
      </w:r>
      <w:r>
        <w:rPr>
          <w:rFonts w:hint="eastAsia" w:ascii="宋体" w:hAnsi="宋体" w:eastAsia="仿宋_GB2312" w:cs="仿宋_GB2312"/>
          <w:color w:val="000000"/>
          <w:sz w:val="32"/>
          <w:szCs w:val="32"/>
        </w:rPr>
        <w:t>等卫生基础设施建设纳入城乡基础设施建设规划，并明确重点建设区域。</w:t>
      </w:r>
    </w:p>
    <w:p>
      <w:pPr>
        <w:widowControl w:val="0"/>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lang w:eastAsia="zh-CN"/>
        </w:rPr>
        <w:t>农村</w:t>
      </w:r>
      <w:r>
        <w:rPr>
          <w:rFonts w:hint="eastAsia" w:ascii="宋体" w:hAnsi="宋体" w:eastAsia="仿宋_GB2312" w:cs="仿宋_GB2312"/>
          <w:color w:val="000000"/>
          <w:sz w:val="32"/>
          <w:szCs w:val="32"/>
        </w:rPr>
        <w:t>卫生基础设施的用地布局和建设要求，应当纳入</w:t>
      </w:r>
      <w:r>
        <w:rPr>
          <w:rFonts w:hint="eastAsia" w:ascii="宋体" w:hAnsi="宋体" w:eastAsia="仿宋_GB2312" w:cs="仿宋_GB2312"/>
          <w:color w:val="000000"/>
          <w:sz w:val="32"/>
          <w:szCs w:val="32"/>
          <w:lang w:eastAsia="zh-CN"/>
        </w:rPr>
        <w:t>乡村</w:t>
      </w:r>
      <w:r>
        <w:rPr>
          <w:rFonts w:hint="eastAsia" w:ascii="宋体" w:hAnsi="宋体" w:eastAsia="仿宋_GB2312" w:cs="仿宋_GB2312"/>
          <w:color w:val="000000"/>
          <w:sz w:val="32"/>
          <w:szCs w:val="32"/>
        </w:rPr>
        <w:t>规划。</w:t>
      </w:r>
    </w:p>
    <w:p>
      <w:pPr>
        <w:widowControl w:val="0"/>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i w:val="0"/>
          <w:iCs w:val="0"/>
          <w:color w:val="000000"/>
          <w:sz w:val="32"/>
          <w:szCs w:val="32"/>
          <w:u w:val="none"/>
          <w:lang w:eastAsia="zh-CN"/>
        </w:rPr>
        <w:t>卫生基础设施应当与</w:t>
      </w:r>
      <w:r>
        <w:rPr>
          <w:rFonts w:hint="eastAsia" w:ascii="宋体" w:hAnsi="宋体" w:eastAsia="仿宋_GB2312" w:cs="仿宋_GB2312"/>
          <w:i w:val="0"/>
          <w:iCs w:val="0"/>
          <w:color w:val="000000"/>
          <w:sz w:val="32"/>
          <w:szCs w:val="32"/>
          <w:u w:val="none"/>
        </w:rPr>
        <w:t>项目建设主体工程同时设计、同时建设和验收、同时投入使用。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第十三条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公共场所</w:t>
      </w:r>
      <w:r>
        <w:rPr>
          <w:rFonts w:hint="eastAsia" w:ascii="宋体" w:hAnsi="宋体" w:eastAsia="仿宋_GB2312" w:cs="仿宋_GB2312"/>
          <w:color w:val="000000"/>
          <w:sz w:val="32"/>
          <w:szCs w:val="32"/>
          <w:lang w:eastAsia="zh-CN"/>
        </w:rPr>
        <w:t>卫生</w:t>
      </w:r>
      <w:r>
        <w:rPr>
          <w:rFonts w:hint="eastAsia" w:ascii="宋体" w:hAnsi="宋体" w:eastAsia="仿宋_GB2312" w:cs="仿宋_GB2312"/>
          <w:color w:val="000000"/>
          <w:sz w:val="32"/>
          <w:szCs w:val="32"/>
        </w:rPr>
        <w:t>应当符合下列要求：</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（一）</w:t>
      </w:r>
      <w:r>
        <w:rPr>
          <w:rFonts w:hint="eastAsia" w:ascii="宋体" w:hAnsi="宋体" w:eastAsia="仿宋_GB2312" w:cs="仿宋_GB2312"/>
          <w:color w:val="000000"/>
          <w:sz w:val="32"/>
          <w:szCs w:val="32"/>
          <w:lang w:eastAsia="zh-CN"/>
        </w:rPr>
        <w:t>室内外的</w:t>
      </w:r>
      <w:r>
        <w:rPr>
          <w:rFonts w:hint="eastAsia" w:ascii="宋体" w:hAnsi="宋体" w:eastAsia="仿宋_GB2312" w:cs="仿宋_GB2312"/>
          <w:color w:val="000000"/>
          <w:sz w:val="32"/>
          <w:szCs w:val="32"/>
        </w:rPr>
        <w:t>空气、通风、</w:t>
      </w:r>
      <w:r>
        <w:rPr>
          <w:rFonts w:hint="eastAsia" w:ascii="宋体" w:hAnsi="宋体" w:eastAsia="仿宋_GB2312" w:cs="仿宋_GB2312"/>
          <w:i w:val="0"/>
          <w:iCs w:val="0"/>
          <w:color w:val="000000"/>
          <w:sz w:val="32"/>
          <w:szCs w:val="32"/>
          <w:u w:val="none"/>
        </w:rPr>
        <w:t>采光、</w:t>
      </w:r>
      <w:r>
        <w:rPr>
          <w:rFonts w:hint="eastAsia" w:ascii="宋体" w:hAnsi="宋体" w:eastAsia="仿宋_GB2312" w:cs="仿宋_GB2312"/>
          <w:color w:val="000000"/>
          <w:sz w:val="32"/>
          <w:szCs w:val="32"/>
        </w:rPr>
        <w:t>照明、噪音、</w:t>
      </w:r>
      <w:r>
        <w:rPr>
          <w:rFonts w:hint="eastAsia" w:ascii="宋体" w:hAnsi="宋体" w:eastAsia="仿宋_GB2312" w:cs="仿宋_GB2312"/>
          <w:i w:val="0"/>
          <w:iCs w:val="0"/>
          <w:color w:val="000000"/>
          <w:sz w:val="32"/>
          <w:szCs w:val="32"/>
          <w:u w:val="none"/>
        </w:rPr>
        <w:t>水质</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顾客用具和卫生设施符合国家规定的有关标准和要求；</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（二）有完善的卫生管理制度、定期检查制度；</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（三）有专职或者兼职的卫生管理人员，健全的卫生责任制度</w:t>
      </w:r>
      <w:r>
        <w:rPr>
          <w:rFonts w:hint="eastAsia" w:ascii="宋体" w:hAnsi="宋体" w:cs="仿宋_GB2312"/>
          <w:color w:val="000000"/>
          <w:sz w:val="32"/>
          <w:szCs w:val="32"/>
          <w:lang w:eastAsia="zh-CN"/>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i w:val="0"/>
          <w:iCs w:val="0"/>
          <w:color w:val="000000"/>
          <w:sz w:val="32"/>
          <w:szCs w:val="32"/>
          <w:u w:val="none"/>
          <w:lang w:eastAsia="zh-CN"/>
        </w:rPr>
        <w:t>公共场所</w:t>
      </w:r>
      <w:r>
        <w:rPr>
          <w:rFonts w:hint="eastAsia" w:ascii="宋体" w:hAnsi="宋体" w:eastAsia="仿宋_GB2312" w:cs="仿宋_GB2312"/>
          <w:color w:val="000000"/>
          <w:sz w:val="32"/>
          <w:szCs w:val="32"/>
        </w:rPr>
        <w:t>直接为顾客服务的人员，应当接受卫生知识培训，持有健康合格证</w:t>
      </w:r>
      <w:r>
        <w:rPr>
          <w:rFonts w:hint="eastAsia" w:ascii="宋体" w:hAnsi="宋体" w:eastAsia="仿宋_GB2312" w:cs="仿宋_GB2312"/>
          <w:color w:val="000000"/>
          <w:sz w:val="32"/>
          <w:szCs w:val="32"/>
          <w:lang w:eastAsia="zh-CN"/>
        </w:rPr>
        <w:t>明</w:t>
      </w:r>
      <w:r>
        <w:rPr>
          <w:rFonts w:hint="eastAsia" w:ascii="宋体" w:hAnsi="宋体" w:eastAsia="仿宋_GB2312" w:cs="仿宋_GB2312"/>
          <w:color w:val="000000"/>
          <w:sz w:val="32"/>
          <w:szCs w:val="32"/>
        </w:rPr>
        <w:t>，保持个人卫生；患有传染性疾病及其他有碍公共卫生疾病的，治愈前不得从事直接为顾客服务的工作。</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　  第十四条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禽畜饲养场、屠宰场、肉类加工厂以及其他可能对周围环境卫生产生污染和其他公害的各类生产、经营企业及设施，其选址、建设和管理应当符合有关法律法规的规定。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xml:space="preserve">　第十五条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风景名胜区、旅游景点管理机构应当加强景区、景点的公共卫生设施的规划和建设，建立卫生管理制度，做好垃圾、粪便和污水的无害化处理，保持景区、景点环境卫生。</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　　景区、景点内的单位、居民和游客应当遵守景区、景点卫生管理制度。</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　　第十六条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集贸市场的开办者应当设置符合卫生要求的</w:t>
      </w:r>
      <w:r>
        <w:rPr>
          <w:rFonts w:hint="eastAsia" w:ascii="宋体" w:hAnsi="宋体" w:eastAsia="仿宋_GB2312" w:cs="仿宋_GB2312"/>
          <w:i w:val="0"/>
          <w:iCs w:val="0"/>
          <w:color w:val="000000"/>
          <w:sz w:val="32"/>
          <w:szCs w:val="32"/>
          <w:u w:val="none"/>
          <w:lang w:eastAsia="zh-CN"/>
        </w:rPr>
        <w:t>公共厕所</w:t>
      </w:r>
      <w:r>
        <w:rPr>
          <w:rFonts w:hint="eastAsia" w:ascii="宋体" w:hAnsi="宋体" w:eastAsia="仿宋_GB2312" w:cs="仿宋_GB2312"/>
          <w:color w:val="000000"/>
          <w:sz w:val="32"/>
          <w:szCs w:val="32"/>
        </w:rPr>
        <w:t>、垃圾站和供排水等公共卫生设施，配备保洁人员，建立健全相关卫生制度，保持良好的卫生环境。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没有设置公共卫生设施或者公共卫生设施不符合卫生要求的集贸市场，有关部门不得为其办理开业的有关手续。</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color w:val="000000"/>
          <w:sz w:val="32"/>
          <w:szCs w:val="32"/>
        </w:rPr>
        <w:t>涉及活禽经营等行为</w:t>
      </w:r>
      <w:r>
        <w:rPr>
          <w:rFonts w:hint="eastAsia" w:ascii="宋体" w:hAnsi="宋体" w:eastAsia="仿宋_GB2312" w:cs="仿宋_GB2312"/>
          <w:color w:val="000000"/>
          <w:sz w:val="32"/>
          <w:szCs w:val="32"/>
          <w:lang w:eastAsia="zh-CN"/>
        </w:rPr>
        <w:t>的</w:t>
      </w:r>
      <w:r>
        <w:rPr>
          <w:rFonts w:hint="eastAsia" w:ascii="宋体" w:hAnsi="宋体" w:eastAsia="仿宋_GB2312" w:cs="仿宋_GB2312"/>
          <w:color w:val="000000"/>
          <w:sz w:val="32"/>
          <w:szCs w:val="32"/>
        </w:rPr>
        <w:t>，应</w:t>
      </w:r>
      <w:r>
        <w:rPr>
          <w:rFonts w:hint="eastAsia" w:ascii="宋体" w:hAnsi="宋体" w:eastAsia="仿宋_GB2312" w:cs="仿宋_GB2312"/>
          <w:color w:val="000000"/>
          <w:sz w:val="32"/>
          <w:szCs w:val="32"/>
          <w:lang w:eastAsia="zh-CN"/>
        </w:rPr>
        <w:t>当</w:t>
      </w:r>
      <w:r>
        <w:rPr>
          <w:rFonts w:hint="eastAsia" w:ascii="宋体" w:hAnsi="宋体" w:eastAsia="仿宋_GB2312" w:cs="仿宋_GB2312"/>
          <w:i w:val="0"/>
          <w:iCs w:val="0"/>
          <w:color w:val="000000"/>
          <w:sz w:val="32"/>
          <w:szCs w:val="32"/>
          <w:u w:val="none"/>
          <w:lang w:eastAsia="zh-CN"/>
        </w:rPr>
        <w:t>做好</w:t>
      </w:r>
      <w:r>
        <w:rPr>
          <w:rFonts w:hint="eastAsia" w:ascii="宋体" w:hAnsi="宋体" w:eastAsia="仿宋_GB2312" w:cs="仿宋_GB2312"/>
          <w:color w:val="000000"/>
          <w:sz w:val="32"/>
          <w:szCs w:val="32"/>
        </w:rPr>
        <w:t>清洁消毒</w:t>
      </w:r>
      <w:r>
        <w:rPr>
          <w:rFonts w:hint="eastAsia" w:ascii="宋体" w:hAnsi="宋体" w:eastAsia="仿宋_GB2312" w:cs="仿宋_GB2312"/>
          <w:i w:val="0"/>
          <w:iCs w:val="0"/>
          <w:color w:val="000000"/>
          <w:sz w:val="32"/>
          <w:szCs w:val="32"/>
          <w:u w:val="none"/>
          <w:lang w:eastAsia="zh-CN"/>
        </w:rPr>
        <w:t>和</w:t>
      </w:r>
      <w:r>
        <w:rPr>
          <w:rFonts w:hint="eastAsia" w:ascii="宋体" w:hAnsi="宋体" w:eastAsia="仿宋_GB2312" w:cs="仿宋_GB2312"/>
          <w:color w:val="000000"/>
          <w:sz w:val="32"/>
          <w:szCs w:val="32"/>
        </w:rPr>
        <w:t>废弃物</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病死禽只</w:t>
      </w:r>
      <w:r>
        <w:rPr>
          <w:rFonts w:hint="eastAsia" w:ascii="宋体" w:hAnsi="宋体" w:eastAsia="仿宋_GB2312" w:cs="仿宋_GB2312"/>
          <w:color w:val="000000"/>
          <w:sz w:val="32"/>
          <w:szCs w:val="32"/>
          <w:lang w:eastAsia="zh-CN"/>
        </w:rPr>
        <w:t>的</w:t>
      </w:r>
      <w:r>
        <w:rPr>
          <w:rFonts w:hint="eastAsia" w:ascii="宋体" w:hAnsi="宋体" w:eastAsia="仿宋_GB2312" w:cs="仿宋_GB2312"/>
          <w:color w:val="000000"/>
          <w:sz w:val="32"/>
          <w:szCs w:val="32"/>
        </w:rPr>
        <w:t>无害化处理。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第十七条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施工单位应当妥善处理垃圾、粪便和污水。</w:t>
      </w:r>
      <w:r>
        <w:rPr>
          <w:rFonts w:hint="eastAsia" w:ascii="宋体" w:hAnsi="宋体" w:eastAsia="仿宋_GB2312" w:cs="仿宋_GB2312"/>
          <w:i w:val="0"/>
          <w:iCs w:val="0"/>
          <w:color w:val="000000"/>
          <w:sz w:val="32"/>
          <w:szCs w:val="32"/>
          <w:u w:val="none"/>
          <w:lang w:eastAsia="zh-CN"/>
        </w:rPr>
        <w:t>施工</w:t>
      </w:r>
      <w:r>
        <w:rPr>
          <w:rFonts w:hint="eastAsia" w:ascii="宋体" w:hAnsi="宋体" w:eastAsia="仿宋_GB2312" w:cs="仿宋_GB2312"/>
          <w:color w:val="000000"/>
          <w:sz w:val="32"/>
          <w:szCs w:val="32"/>
        </w:rPr>
        <w:t>工地的宿舍、厨房、厕所应当符合卫生要求。</w:t>
      </w:r>
    </w:p>
    <w:p>
      <w:pPr>
        <w:widowControl w:val="0"/>
        <w:wordWrap/>
        <w:overflowPunct w:val="0"/>
        <w:adjustRightInd/>
        <w:snapToGrid/>
        <w:spacing w:beforeAutospacing="0" w:afterAutospacing="0" w:line="560" w:lineRule="exact"/>
        <w:ind w:left="0" w:leftChars="0" w:right="0" w:firstLine="0" w:firstLineChars="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rPr>
        <w:t>施工单位</w:t>
      </w:r>
      <w:r>
        <w:rPr>
          <w:rFonts w:hint="eastAsia" w:ascii="宋体" w:hAnsi="宋体" w:eastAsia="仿宋_GB2312" w:cs="仿宋_GB2312"/>
          <w:b w:val="0"/>
          <w:bCs w:val="0"/>
          <w:color w:val="000000"/>
          <w:sz w:val="32"/>
          <w:szCs w:val="32"/>
          <w:lang w:eastAsia="zh-CN"/>
        </w:rPr>
        <w:t>应当做好</w:t>
      </w:r>
      <w:r>
        <w:rPr>
          <w:rFonts w:hint="eastAsia" w:ascii="宋体" w:hAnsi="宋体" w:eastAsia="仿宋_GB2312" w:cs="仿宋_GB2312"/>
          <w:b w:val="0"/>
          <w:bCs w:val="0"/>
          <w:color w:val="000000"/>
          <w:sz w:val="32"/>
          <w:szCs w:val="32"/>
        </w:rPr>
        <w:t>建筑垃圾和生活垃圾分类</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收集和处理。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第十八条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生活饮用水应当符合国家卫生标准。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　　各级人民政府应当加强生活饮用水卫生设施建设和管理</w:t>
      </w:r>
      <w:r>
        <w:rPr>
          <w:rFonts w:hint="eastAsia" w:ascii="宋体" w:hAnsi="宋体" w:eastAsia="仿宋_GB2312" w:cs="仿宋_GB2312"/>
          <w:color w:val="000000"/>
          <w:sz w:val="32"/>
          <w:szCs w:val="32"/>
          <w:lang w:eastAsia="zh-CN"/>
        </w:rPr>
        <w:t>，推进</w:t>
      </w:r>
      <w:r>
        <w:rPr>
          <w:rFonts w:hint="eastAsia" w:ascii="宋体" w:hAnsi="宋体" w:eastAsia="仿宋_GB2312" w:cs="仿宋_GB2312"/>
          <w:i w:val="0"/>
          <w:iCs w:val="0"/>
          <w:color w:val="000000"/>
          <w:sz w:val="32"/>
          <w:szCs w:val="32"/>
          <w:u w:val="none"/>
        </w:rPr>
        <w:t>城市供水管网向农村延伸</w:t>
      </w:r>
      <w:r>
        <w:rPr>
          <w:rFonts w:hint="eastAsia" w:ascii="宋体" w:hAnsi="宋体" w:eastAsia="仿宋_GB2312" w:cs="仿宋_GB2312"/>
          <w:i w:val="0"/>
          <w:iCs w:val="0"/>
          <w:color w:val="000000"/>
          <w:sz w:val="32"/>
          <w:szCs w:val="32"/>
          <w:u w:val="none"/>
          <w:lang w:eastAsia="zh-CN"/>
        </w:rPr>
        <w:t>和</w:t>
      </w:r>
      <w:r>
        <w:rPr>
          <w:rFonts w:hint="eastAsia" w:ascii="宋体" w:hAnsi="宋体" w:eastAsia="仿宋_GB2312" w:cs="仿宋_GB2312"/>
          <w:i w:val="0"/>
          <w:iCs w:val="0"/>
          <w:color w:val="000000"/>
          <w:sz w:val="32"/>
          <w:szCs w:val="32"/>
          <w:u w:val="none"/>
        </w:rPr>
        <w:t>农村生活饮用水工程</w:t>
      </w:r>
      <w:r>
        <w:rPr>
          <w:rFonts w:hint="eastAsia" w:ascii="宋体" w:hAnsi="宋体" w:eastAsia="仿宋_GB2312" w:cs="仿宋_GB2312"/>
          <w:i w:val="0"/>
          <w:iCs w:val="0"/>
          <w:color w:val="000000"/>
          <w:sz w:val="32"/>
          <w:szCs w:val="32"/>
          <w:u w:val="none"/>
          <w:lang w:eastAsia="zh-CN"/>
        </w:rPr>
        <w:t>建设。</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集中式供水单位应当有水质净化消毒设施</w:t>
      </w:r>
      <w:r>
        <w:rPr>
          <w:rFonts w:hint="eastAsia" w:ascii="宋体" w:hAnsi="宋体" w:eastAsia="仿宋_GB2312" w:cs="仿宋_GB2312"/>
          <w:color w:val="000000"/>
          <w:sz w:val="32"/>
          <w:szCs w:val="32"/>
          <w:lang w:eastAsia="zh-CN"/>
        </w:rPr>
        <w:t>和</w:t>
      </w:r>
      <w:r>
        <w:rPr>
          <w:rFonts w:hint="eastAsia" w:ascii="宋体" w:hAnsi="宋体" w:eastAsia="仿宋_GB2312" w:cs="仿宋_GB2312"/>
          <w:color w:val="000000"/>
          <w:sz w:val="32"/>
          <w:szCs w:val="32"/>
        </w:rPr>
        <w:t>必要的水质检验检测仪器、设备</w:t>
      </w:r>
      <w:r>
        <w:rPr>
          <w:rFonts w:hint="eastAsia" w:ascii="宋体" w:hAnsi="宋体" w:eastAsia="仿宋_GB2312" w:cs="仿宋_GB2312"/>
          <w:i w:val="0"/>
          <w:iCs w:val="0"/>
          <w:color w:val="000000"/>
          <w:sz w:val="32"/>
          <w:szCs w:val="32"/>
          <w:u w:val="none"/>
          <w:lang w:eastAsia="zh-CN"/>
        </w:rPr>
        <w:t>及</w:t>
      </w:r>
      <w:r>
        <w:rPr>
          <w:rFonts w:hint="eastAsia" w:ascii="宋体" w:hAnsi="宋体" w:eastAsia="仿宋_GB2312" w:cs="仿宋_GB2312"/>
          <w:color w:val="000000"/>
          <w:sz w:val="32"/>
          <w:szCs w:val="32"/>
        </w:rPr>
        <w:t>人员，对水质进行日常检验；二次供水设施应当由持有健康合格证的人员定期进行清洗消毒和卫生维护，</w:t>
      </w:r>
      <w:r>
        <w:rPr>
          <w:rFonts w:hint="eastAsia" w:ascii="宋体" w:hAnsi="宋体" w:eastAsia="仿宋_GB2312" w:cs="仿宋_GB2312"/>
          <w:i w:val="0"/>
          <w:iCs w:val="0"/>
          <w:color w:val="000000"/>
          <w:sz w:val="32"/>
          <w:szCs w:val="32"/>
          <w:u w:val="none"/>
          <w:lang w:val="en-US" w:eastAsia="zh-CN"/>
        </w:rPr>
        <w:t>保证</w:t>
      </w:r>
      <w:r>
        <w:rPr>
          <w:rFonts w:hint="eastAsia" w:ascii="宋体" w:hAnsi="宋体" w:eastAsia="仿宋_GB2312" w:cs="仿宋_GB2312"/>
          <w:color w:val="000000"/>
          <w:sz w:val="32"/>
          <w:szCs w:val="32"/>
        </w:rPr>
        <w:t>二次供水清洁卫生。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第十九条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农村生活垃圾应当定点</w:t>
      </w:r>
      <w:r>
        <w:rPr>
          <w:rFonts w:hint="eastAsia" w:ascii="宋体" w:hAnsi="宋体" w:eastAsia="仿宋_GB2312" w:cs="仿宋_GB2312"/>
          <w:i w:val="0"/>
          <w:iCs w:val="0"/>
          <w:color w:val="000000"/>
          <w:sz w:val="32"/>
          <w:szCs w:val="32"/>
          <w:u w:val="none"/>
          <w:lang w:val="en-US" w:eastAsia="zh-CN"/>
        </w:rPr>
        <w:t>收集</w:t>
      </w:r>
      <w:r>
        <w:rPr>
          <w:rFonts w:hint="eastAsia" w:ascii="宋体" w:hAnsi="宋体" w:eastAsia="仿宋_GB2312" w:cs="仿宋_GB2312"/>
          <w:color w:val="000000"/>
          <w:sz w:val="32"/>
          <w:szCs w:val="32"/>
        </w:rPr>
        <w:t>，统一处理</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收集点应当保持清洁。不得在巷道、河涌、河堤、河滩、池塘、沟渠倾倒或堆放垃圾和余泥。</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第二十条  </w:t>
      </w:r>
      <w:r>
        <w:rPr>
          <w:rFonts w:hint="eastAsia" w:ascii="宋体" w:hAnsi="宋体" w:eastAsia="仿宋_GB2312" w:cs="仿宋_GB2312"/>
          <w:color w:val="000000"/>
          <w:sz w:val="32"/>
          <w:szCs w:val="32"/>
        </w:rPr>
        <w:t>医疗卫生机构、屠宰场和生物制品、化学制品的生产加工企业等单位应当对其产生的废弃物及污水进行无害化处理。禁止将未经无害化处理废弃物混入生活垃圾或者其他废弃物中堆放</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清运。</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第二十一条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iCs w:val="0"/>
          <w:color w:val="000000"/>
          <w:sz w:val="32"/>
          <w:szCs w:val="32"/>
          <w:u w:val="none"/>
          <w:lang w:val="en-US" w:eastAsia="zh-CN"/>
        </w:rPr>
        <w:t>居民</w:t>
      </w:r>
      <w:r>
        <w:rPr>
          <w:rFonts w:hint="eastAsia" w:ascii="宋体" w:hAnsi="宋体" w:eastAsia="仿宋_GB2312" w:cs="仿宋_GB2312"/>
          <w:color w:val="000000"/>
          <w:sz w:val="32"/>
          <w:szCs w:val="32"/>
        </w:rPr>
        <w:t>应当养成文明、卫生的饮食习惯，摒弃吃野生动物的习俗，不吃法律法规保护、容易传播疾病或者未经检疫的野生动物</w:t>
      </w:r>
      <w:r>
        <w:rPr>
          <w:rFonts w:hint="eastAsia" w:ascii="宋体" w:hAnsi="宋体" w:eastAsia="仿宋_GB2312" w:cs="仿宋_GB2312"/>
          <w:i w:val="0"/>
          <w:iCs w:val="0"/>
          <w:color w:val="000000"/>
          <w:sz w:val="32"/>
          <w:szCs w:val="32"/>
          <w:u w:val="none"/>
          <w:lang w:eastAsia="zh-CN"/>
        </w:rPr>
        <w:t>及其制品</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黑体" w:cs="黑体"/>
          <w:color w:val="000000"/>
          <w:kern w:val="2"/>
          <w:sz w:val="32"/>
          <w:szCs w:val="32"/>
          <w:lang w:val="en-US" w:eastAsia="zh-CN" w:bidi="ar-SA"/>
        </w:rPr>
        <w:t>第二十二条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iCs w:val="0"/>
          <w:color w:val="000000"/>
          <w:sz w:val="32"/>
          <w:szCs w:val="32"/>
          <w:u w:val="none"/>
          <w:lang w:eastAsia="zh-CN"/>
        </w:rPr>
        <w:t>禁止在公共场所</w:t>
      </w:r>
      <w:r>
        <w:rPr>
          <w:rFonts w:hint="eastAsia" w:ascii="宋体" w:hAnsi="宋体" w:eastAsia="仿宋_GB2312" w:cs="仿宋_GB2312"/>
          <w:color w:val="000000"/>
          <w:sz w:val="32"/>
          <w:szCs w:val="32"/>
        </w:rPr>
        <w:t>随地吐痰、便溺，乱扔果皮、纸屑、烟蒂、口香糖、废电池</w:t>
      </w:r>
      <w:r>
        <w:rPr>
          <w:rFonts w:hint="eastAsia" w:ascii="宋体" w:hAnsi="宋体" w:eastAsia="仿宋_GB2312" w:cs="仿宋_GB2312"/>
          <w:color w:val="000000"/>
          <w:sz w:val="32"/>
          <w:szCs w:val="32"/>
          <w:lang w:eastAsia="zh-CN"/>
        </w:rPr>
        <w:t>以及</w:t>
      </w:r>
      <w:r>
        <w:rPr>
          <w:rFonts w:hint="eastAsia" w:ascii="宋体" w:hAnsi="宋体" w:eastAsia="仿宋_GB2312" w:cs="仿宋_GB2312"/>
          <w:color w:val="000000"/>
          <w:sz w:val="32"/>
          <w:szCs w:val="32"/>
        </w:rPr>
        <w:t>各种食品包装物等废弃物</w:t>
      </w:r>
      <w:r>
        <w:rPr>
          <w:rFonts w:hint="eastAsia" w:ascii="宋体" w:hAnsi="宋体" w:eastAsia="仿宋_GB2312" w:cs="仿宋_GB2312"/>
          <w:i w:val="0"/>
          <w:iCs w:val="0"/>
          <w:color w:val="000000"/>
          <w:sz w:val="32"/>
          <w:szCs w:val="32"/>
          <w:u w:val="none"/>
        </w:rPr>
        <w:t>；</w:t>
      </w:r>
      <w:r>
        <w:rPr>
          <w:rFonts w:hint="eastAsia" w:ascii="宋体" w:hAnsi="宋体" w:eastAsia="仿宋_GB2312" w:cs="仿宋_GB2312"/>
          <w:i w:val="0"/>
          <w:iCs w:val="0"/>
          <w:color w:val="000000"/>
          <w:sz w:val="32"/>
          <w:szCs w:val="32"/>
          <w:u w:val="none"/>
          <w:lang w:eastAsia="zh-CN"/>
        </w:rPr>
        <w:t>禁止</w:t>
      </w:r>
      <w:r>
        <w:rPr>
          <w:rFonts w:hint="eastAsia" w:ascii="宋体" w:hAnsi="宋体" w:eastAsia="仿宋_GB2312" w:cs="仿宋_GB2312"/>
          <w:color w:val="000000"/>
          <w:sz w:val="32"/>
          <w:szCs w:val="32"/>
        </w:rPr>
        <w:t>乱倒垃圾、粪便和污水</w:t>
      </w:r>
      <w:r>
        <w:rPr>
          <w:rFonts w:hint="eastAsia" w:ascii="宋体" w:hAnsi="宋体" w:eastAsia="仿宋_GB2312" w:cs="仿宋_GB2312"/>
          <w:i w:val="0"/>
          <w:iCs w:val="0"/>
          <w:color w:val="000000"/>
          <w:sz w:val="32"/>
          <w:szCs w:val="32"/>
          <w:u w:val="none"/>
          <w:lang w:eastAsia="zh-CN"/>
        </w:rPr>
        <w:t>。</w:t>
      </w:r>
    </w:p>
    <w:p>
      <w:pPr>
        <w:pStyle w:val="33"/>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color w:val="000000"/>
          <w:sz w:val="32"/>
          <w:szCs w:val="32"/>
          <w:u w:val="none"/>
          <w:lang w:val="en-US" w:eastAsia="zh-CN"/>
        </w:rPr>
      </w:pPr>
      <w:r>
        <w:rPr>
          <w:rFonts w:hint="eastAsia" w:ascii="宋体" w:hAnsi="宋体" w:eastAsia="黑体" w:cs="黑体"/>
          <w:color w:val="000000"/>
          <w:kern w:val="2"/>
          <w:sz w:val="32"/>
          <w:szCs w:val="32"/>
          <w:lang w:val="en-US" w:eastAsia="zh-CN" w:bidi="ar-SA"/>
        </w:rPr>
        <w:t xml:space="preserve">第二十三条 </w:t>
      </w:r>
      <w:r>
        <w:rPr>
          <w:rFonts w:hint="eastAsia" w:ascii="宋体" w:hAnsi="宋体" w:eastAsia="仿宋_GB2312" w:cs="仿宋_GB2312"/>
          <w:i w:val="0"/>
          <w:iCs w:val="0"/>
          <w:color w:val="000000"/>
          <w:sz w:val="32"/>
          <w:szCs w:val="32"/>
          <w:u w:val="none"/>
          <w:lang w:val="en-US" w:eastAsia="zh-CN"/>
        </w:rPr>
        <w:t xml:space="preserve"> 除</w:t>
      </w:r>
      <w:r>
        <w:rPr>
          <w:rFonts w:hint="eastAsia" w:ascii="宋体" w:hAnsi="宋体" w:eastAsia="仿宋_GB2312" w:cs="仿宋_GB2312"/>
          <w:color w:val="000000"/>
          <w:sz w:val="32"/>
          <w:szCs w:val="32"/>
          <w:u w:val="none"/>
          <w:lang w:val="en-US" w:eastAsia="zh-CN"/>
        </w:rPr>
        <w:t>因教学、科研以及其他特殊需要饲养的外，城市市区内禁止饲养鸡、鸭、鹅、兔、羊、猪等家畜家禽。</w:t>
      </w:r>
    </w:p>
    <w:p>
      <w:pPr>
        <w:pStyle w:val="33"/>
        <w:widowControl w:val="0"/>
        <w:wordWrap/>
        <w:overflowPunct w:val="0"/>
        <w:spacing w:beforeAutospacing="0" w:afterAutospacing="0" w:line="560" w:lineRule="exact"/>
        <w:ind w:firstLine="640"/>
        <w:textAlignment w:val="auto"/>
        <w:outlineLvl w:val="9"/>
        <w:rPr>
          <w:rFonts w:hint="eastAsia" w:ascii="宋体" w:hAnsi="宋体"/>
          <w:sz w:val="32"/>
          <w:szCs w:val="32"/>
          <w:lang w:eastAsia="zh-CN"/>
        </w:rPr>
      </w:pPr>
      <w:r>
        <w:rPr>
          <w:rFonts w:hint="eastAsia" w:ascii="宋体" w:hAnsi="宋体" w:eastAsia="仿宋_GB2312" w:cs="黑体"/>
          <w:color w:val="000000"/>
          <w:kern w:val="0"/>
          <w:sz w:val="32"/>
          <w:szCs w:val="32"/>
          <w:lang w:val="en-US" w:eastAsia="zh-CN" w:bidi="ar-SA"/>
        </w:rPr>
        <w:t>除携带缉毒犬、搜救犬、导盲犬、扶助犬等工作犬外，禁止携带犬、猫、家禽及观赏鸟类等动物乘坐公共交通工具、进入室内公共场所及设有禁止动物进入标志的室外公共场所。</w:t>
      </w:r>
    </w:p>
    <w:p>
      <w:pPr>
        <w:pStyle w:val="33"/>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i w:val="0"/>
          <w:iCs w:val="0"/>
          <w:color w:val="000000"/>
          <w:kern w:val="2"/>
          <w:sz w:val="32"/>
          <w:szCs w:val="32"/>
          <w:u w:val="none"/>
          <w:lang w:val="en-US" w:eastAsia="zh-CN"/>
        </w:rPr>
      </w:pPr>
      <w:r>
        <w:rPr>
          <w:rFonts w:hint="eastAsia" w:ascii="宋体" w:hAnsi="宋体" w:eastAsia="仿宋_GB2312" w:cs="黑体"/>
          <w:color w:val="000000"/>
          <w:kern w:val="0"/>
          <w:sz w:val="32"/>
          <w:szCs w:val="32"/>
          <w:lang w:val="en-US" w:eastAsia="zh-CN" w:bidi="ar-SA"/>
        </w:rPr>
        <w:t>为动物开设的专门服务场所和区域不受前款规定限制。</w:t>
      </w:r>
    </w:p>
    <w:p>
      <w:pPr>
        <w:widowControl w:val="0"/>
        <w:wordWrap/>
        <w:overflowPunct w:val="0"/>
        <w:adjustRightInd/>
        <w:snapToGrid/>
        <w:spacing w:beforeAutospacing="0" w:afterAutospacing="0" w:line="560" w:lineRule="exact"/>
        <w:ind w:left="0" w:leftChars="0" w:right="0" w:firstLine="640" w:firstLineChars="0"/>
        <w:jc w:val="both"/>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仿宋_GB2312" w:cs="仿宋_GB2312"/>
          <w:i w:val="0"/>
          <w:iCs w:val="0"/>
          <w:color w:val="000000"/>
          <w:kern w:val="2"/>
          <w:sz w:val="32"/>
          <w:szCs w:val="32"/>
          <w:u w:val="none"/>
          <w:lang w:val="en-US" w:eastAsia="zh-CN"/>
        </w:rPr>
        <w:t>县级以上</w:t>
      </w:r>
      <w:r>
        <w:rPr>
          <w:rFonts w:hint="eastAsia" w:ascii="宋体" w:hAnsi="宋体" w:eastAsia="仿宋_GB2312" w:cs="仿宋_GB2312"/>
          <w:i w:val="0"/>
          <w:iCs w:val="0"/>
          <w:color w:val="000000"/>
          <w:sz w:val="32"/>
          <w:szCs w:val="32"/>
          <w:u w:val="none"/>
          <w:lang w:eastAsia="zh-CN"/>
        </w:rPr>
        <w:t>人民政府应当加强对流浪犬、猫等动物的管理和动物尸体的无害化处理。</w:t>
      </w:r>
    </w:p>
    <w:p>
      <w:pPr>
        <w:pStyle w:val="33"/>
        <w:widowControl w:val="0"/>
        <w:wordWrap/>
        <w:overflowPunct w:val="0"/>
        <w:adjustRightInd/>
        <w:snapToGrid/>
        <w:spacing w:beforeAutospacing="0" w:afterAutospacing="0" w:line="560" w:lineRule="exact"/>
        <w:ind w:left="0" w:leftChars="0" w:right="0" w:firstLine="640" w:firstLineChars="0"/>
        <w:jc w:val="both"/>
        <w:textAlignment w:val="auto"/>
        <w:outlineLvl w:val="9"/>
        <w:rPr>
          <w:rFonts w:hint="eastAsia" w:ascii="宋体" w:hAnsi="宋体" w:eastAsia="仿宋_GB2312" w:cs="仿宋_GB2312"/>
          <w:color w:val="000000"/>
          <w:sz w:val="32"/>
          <w:szCs w:val="32"/>
          <w:u w:val="none"/>
          <w:lang w:val="en-US" w:eastAsia="zh-CN"/>
        </w:rPr>
      </w:pPr>
      <w:r>
        <w:rPr>
          <w:rFonts w:hint="eastAsia" w:ascii="宋体" w:hAnsi="宋体" w:eastAsia="黑体" w:cs="黑体"/>
          <w:color w:val="000000"/>
          <w:kern w:val="2"/>
          <w:sz w:val="32"/>
          <w:szCs w:val="32"/>
          <w:lang w:val="en-US" w:eastAsia="zh-CN" w:bidi="ar-SA"/>
        </w:rPr>
        <w:t>第二十四条</w:t>
      </w:r>
      <w:r>
        <w:rPr>
          <w:rFonts w:hint="eastAsia" w:ascii="宋体" w:hAnsi="宋体" w:eastAsia="仿宋_GB2312" w:cs="仿宋_GB2312"/>
          <w:color w:val="000000"/>
          <w:sz w:val="32"/>
          <w:szCs w:val="32"/>
          <w:u w:val="none"/>
          <w:lang w:val="en-US" w:eastAsia="zh-CN"/>
        </w:rPr>
        <w:t xml:space="preserve">  </w:t>
      </w:r>
      <w:r>
        <w:rPr>
          <w:rFonts w:hint="eastAsia" w:ascii="宋体" w:hAnsi="宋体" w:eastAsia="仿宋_GB2312" w:cs="仿宋_GB2312"/>
          <w:color w:val="000000"/>
          <w:sz w:val="32"/>
          <w:szCs w:val="32"/>
          <w:lang w:eastAsia="zh-CN"/>
        </w:rPr>
        <w:t>饲养</w:t>
      </w:r>
      <w:r>
        <w:rPr>
          <w:rFonts w:hint="eastAsia" w:ascii="宋体" w:hAnsi="宋体" w:eastAsia="仿宋_GB2312" w:cs="仿宋_GB2312"/>
          <w:b w:val="0"/>
          <w:bCs w:val="0"/>
          <w:color w:val="000000"/>
          <w:sz w:val="32"/>
          <w:szCs w:val="32"/>
          <w:lang w:eastAsia="zh-CN"/>
        </w:rPr>
        <w:t>动</w:t>
      </w:r>
      <w:r>
        <w:rPr>
          <w:rFonts w:hint="eastAsia" w:ascii="宋体" w:hAnsi="宋体" w:eastAsia="仿宋_GB2312" w:cs="仿宋_GB2312"/>
          <w:b w:val="0"/>
          <w:bCs w:val="0"/>
          <w:color w:val="000000"/>
          <w:sz w:val="32"/>
          <w:szCs w:val="32"/>
        </w:rPr>
        <w:t>物</w:t>
      </w:r>
      <w:r>
        <w:rPr>
          <w:rFonts w:hint="eastAsia" w:ascii="宋体" w:hAnsi="宋体" w:eastAsia="仿宋_GB2312" w:cs="仿宋_GB2312"/>
          <w:b w:val="0"/>
          <w:bCs w:val="0"/>
          <w:color w:val="000000"/>
          <w:sz w:val="32"/>
          <w:szCs w:val="32"/>
          <w:lang w:eastAsia="zh-CN"/>
        </w:rPr>
        <w:t>应当依法进行疫病检疫免疫。</w:t>
      </w:r>
      <w:r>
        <w:rPr>
          <w:rFonts w:hint="eastAsia" w:ascii="宋体" w:hAnsi="宋体" w:eastAsia="仿宋_GB2312" w:cs="仿宋_GB2312"/>
          <w:i w:val="0"/>
          <w:iCs w:val="0"/>
          <w:color w:val="000000"/>
          <w:sz w:val="32"/>
          <w:szCs w:val="32"/>
          <w:u w:val="none"/>
          <w:lang w:val="en-US" w:eastAsia="zh-CN"/>
        </w:rPr>
        <w:t>依法需要进行疫病强制免疫的动物，</w:t>
      </w:r>
      <w:r>
        <w:rPr>
          <w:rFonts w:hint="eastAsia" w:ascii="宋体" w:hAnsi="宋体" w:eastAsia="仿宋_GB2312" w:cs="仿宋_GB2312"/>
          <w:b w:val="0"/>
          <w:bCs w:val="0"/>
          <w:i w:val="0"/>
          <w:iCs w:val="0"/>
          <w:color w:val="000000"/>
          <w:sz w:val="32"/>
          <w:szCs w:val="32"/>
          <w:u w:val="none"/>
          <w:lang w:eastAsia="zh-CN"/>
        </w:rPr>
        <w:t>未经免疫不得携带外出</w:t>
      </w:r>
      <w:r>
        <w:rPr>
          <w:rFonts w:hint="eastAsia" w:ascii="宋体" w:hAnsi="宋体" w:eastAsia="仿宋_GB2312" w:cs="仿宋_GB2312"/>
          <w:i w:val="0"/>
          <w:iCs w:val="0"/>
          <w:color w:val="000000"/>
          <w:sz w:val="32"/>
          <w:szCs w:val="32"/>
          <w:u w:val="none"/>
          <w:lang w:val="en-US" w:eastAsia="zh-CN"/>
        </w:rPr>
        <w:t>。</w:t>
      </w:r>
    </w:p>
    <w:p>
      <w:pPr>
        <w:pStyle w:val="33"/>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仿宋_GB2312" w:cs="仿宋_GB2312"/>
          <w:i w:val="0"/>
          <w:iCs w:val="0"/>
          <w:color w:val="000000"/>
          <w:sz w:val="32"/>
          <w:szCs w:val="32"/>
          <w:u w:val="none"/>
          <w:lang w:eastAsia="zh-CN"/>
        </w:rPr>
        <w:t>在城市市区范围内携带犬、猫等动物外出的，应当由成年人用牵引带牵领或者装入笼内，主动避让行人，即时清理动物粪便等排泄物</w:t>
      </w:r>
      <w:r>
        <w:rPr>
          <w:rFonts w:hint="eastAsia" w:ascii="宋体" w:hAnsi="宋体" w:eastAsia="仿宋_GB2312" w:cs="仿宋_GB2312"/>
          <w:i w:val="0"/>
          <w:iCs w:val="0"/>
          <w:color w:val="000000"/>
          <w:sz w:val="32"/>
          <w:szCs w:val="32"/>
          <w:u w:val="none"/>
          <w:lang w:val="en-US" w:eastAsia="zh-CN"/>
        </w:rPr>
        <w:t>，携带依法需要进行疫病强制免疫的动物外出的，应当携带已免疫证明或者为动物佩戴相应标牌</w:t>
      </w:r>
      <w:r>
        <w:rPr>
          <w:rFonts w:hint="eastAsia" w:ascii="宋体" w:hAnsi="宋体" w:eastAsia="仿宋_GB2312" w:cs="仿宋_GB2312"/>
          <w:i w:val="0"/>
          <w:iCs w:val="0"/>
          <w:color w:val="000000"/>
          <w:sz w:val="32"/>
          <w:szCs w:val="32"/>
          <w:u w:val="none"/>
          <w:lang w:eastAsia="zh-CN"/>
        </w:rPr>
        <w:t>。犬只应当佩戴口嚼或者嘴套，并禁止进入人口密集区域。</w:t>
      </w:r>
    </w:p>
    <w:p>
      <w:pPr>
        <w:widowControl w:val="0"/>
        <w:numPr>
          <w:ilvl w:val="0"/>
          <w:numId w:val="0"/>
        </w:numPr>
        <w:wordWrap/>
        <w:overflowPunct w:val="0"/>
        <w:adjustRightInd/>
        <w:snapToGrid/>
        <w:spacing w:beforeAutospacing="0" w:afterAutospacing="0" w:line="560" w:lineRule="exact"/>
        <w:ind w:right="0" w:firstLine="640" w:firstLineChars="200"/>
        <w:jc w:val="both"/>
        <w:textAlignment w:val="auto"/>
        <w:outlineLvl w:val="9"/>
        <w:rPr>
          <w:rFonts w:hint="eastAsia" w:ascii="宋体" w:hAnsi="宋体" w:eastAsia="仿宋_GB2312" w:cs="仿宋_GB2312"/>
          <w:color w:val="000000"/>
          <w:sz w:val="32"/>
          <w:szCs w:val="32"/>
          <w:u w:val="none"/>
          <w:lang w:eastAsia="zh-CN"/>
        </w:rPr>
      </w:pPr>
      <w:r>
        <w:rPr>
          <w:rFonts w:hint="eastAsia" w:ascii="宋体" w:hAnsi="宋体" w:eastAsia="仿宋_GB2312" w:cs="仿宋_GB2312"/>
          <w:color w:val="000000"/>
          <w:sz w:val="32"/>
          <w:szCs w:val="32"/>
          <w:u w:val="none"/>
          <w:lang w:eastAsia="zh-CN"/>
        </w:rPr>
        <w:t>动物伤害他人的，动物饲养者或者管理者应当</w:t>
      </w:r>
      <w:r>
        <w:rPr>
          <w:rFonts w:hint="eastAsia" w:ascii="宋体" w:hAnsi="宋体" w:eastAsia="仿宋_GB2312" w:cs="仿宋_GB2312"/>
          <w:color w:val="000000"/>
          <w:sz w:val="32"/>
          <w:szCs w:val="32"/>
          <w:u w:val="none"/>
          <w:lang w:val="en-US" w:eastAsia="zh-CN"/>
        </w:rPr>
        <w:t>立即将</w:t>
      </w:r>
      <w:r>
        <w:rPr>
          <w:rFonts w:hint="eastAsia" w:ascii="宋体" w:hAnsi="宋体" w:eastAsia="仿宋_GB2312" w:cs="仿宋_GB2312"/>
          <w:color w:val="000000"/>
          <w:sz w:val="32"/>
          <w:szCs w:val="32"/>
          <w:u w:val="none"/>
          <w:lang w:eastAsia="zh-CN"/>
        </w:rPr>
        <w:t>被伤害人送至医疗机构诊治</w:t>
      </w:r>
      <w:r>
        <w:rPr>
          <w:rFonts w:hint="eastAsia" w:ascii="宋体" w:hAnsi="宋体" w:eastAsia="仿宋_GB2312" w:cs="仿宋_GB2312"/>
          <w:color w:val="000000"/>
          <w:sz w:val="32"/>
          <w:szCs w:val="32"/>
          <w:u w:val="none"/>
          <w:lang w:val="en-US" w:eastAsia="zh-CN"/>
        </w:rPr>
        <w:t>，先行垫付医疗费用，配合做好疫病防控工作。</w:t>
      </w:r>
      <w:r>
        <w:rPr>
          <w:rFonts w:hint="eastAsia" w:ascii="宋体" w:hAnsi="宋体" w:eastAsia="仿宋_GB2312" w:cs="仿宋_GB2312"/>
          <w:color w:val="000000"/>
          <w:sz w:val="32"/>
          <w:szCs w:val="32"/>
          <w:u w:val="none"/>
          <w:lang w:eastAsia="zh-CN"/>
        </w:rPr>
        <w:t>被伤害人是未成年人、老年人或者残疾人的，应当立即告知被伤害人的监护人或者家属。</w:t>
      </w:r>
    </w:p>
    <w:p>
      <w:pPr>
        <w:pStyle w:val="33"/>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第二十五条</w:t>
      </w:r>
      <w:r>
        <w:rPr>
          <w:rFonts w:hint="eastAsia" w:ascii="宋体" w:hAnsi="宋体" w:eastAsia="仿宋_GB2312" w:cs="仿宋_GB2312"/>
          <w:color w:val="000000"/>
          <w:sz w:val="32"/>
          <w:szCs w:val="32"/>
          <w:u w:val="none"/>
          <w:lang w:val="en-US" w:eastAsia="zh-CN" w:bidi="ar-SA"/>
        </w:rPr>
        <w:t xml:space="preserve">  </w:t>
      </w:r>
      <w:r>
        <w:rPr>
          <w:rFonts w:hint="eastAsia" w:ascii="宋体" w:hAnsi="宋体" w:eastAsia="仿宋_GB2312" w:cs="仿宋_GB2312"/>
          <w:color w:val="000000"/>
          <w:sz w:val="32"/>
          <w:szCs w:val="32"/>
          <w:lang w:eastAsia="zh-CN"/>
        </w:rPr>
        <w:t>物业服务企业、业主委员会</w:t>
      </w:r>
      <w:r>
        <w:rPr>
          <w:rFonts w:hint="eastAsia" w:ascii="宋体" w:hAnsi="宋体" w:eastAsia="仿宋_GB2312" w:cs="仿宋_GB2312"/>
          <w:i w:val="0"/>
          <w:iCs w:val="0"/>
          <w:color w:val="000000"/>
          <w:sz w:val="32"/>
          <w:szCs w:val="32"/>
          <w:u w:val="none"/>
          <w:lang w:eastAsia="zh-CN"/>
        </w:rPr>
        <w:t>对在物业管理区域内违反规定饲养动物的，</w:t>
      </w:r>
      <w:r>
        <w:rPr>
          <w:rFonts w:hint="eastAsia" w:ascii="宋体" w:hAnsi="宋体" w:eastAsia="仿宋_GB2312" w:cs="仿宋_GB2312"/>
          <w:color w:val="000000"/>
          <w:sz w:val="32"/>
          <w:szCs w:val="32"/>
          <w:lang w:eastAsia="zh-CN"/>
        </w:rPr>
        <w:t>应当予以劝阻、制止，及时处理业主、物业使用人的投诉、举报。劝阻、制止无效的，应当及时报告有关行政主管部门。</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黑体" w:cs="黑体"/>
          <w:color w:val="000000"/>
          <w:kern w:val="2"/>
          <w:sz w:val="32"/>
          <w:szCs w:val="32"/>
          <w:lang w:val="en-US" w:eastAsia="zh-CN" w:bidi="ar-SA"/>
        </w:rPr>
        <w:t>第二十六条</w:t>
      </w:r>
      <w:r>
        <w:rPr>
          <w:rFonts w:hint="eastAsia" w:ascii="宋体" w:hAnsi="宋体" w:eastAsia="仿宋_GB2312" w:cs="仿宋_GB2312"/>
          <w:i w:val="0"/>
          <w:iCs w:val="0"/>
          <w:color w:val="000000"/>
          <w:sz w:val="32"/>
          <w:szCs w:val="32"/>
          <w:u w:val="none"/>
          <w:lang w:val="en-US" w:eastAsia="zh-CN" w:bidi="ar-SA"/>
        </w:rPr>
        <w:t xml:space="preserve">  </w:t>
      </w:r>
      <w:r>
        <w:rPr>
          <w:rFonts w:hint="eastAsia" w:ascii="宋体" w:hAnsi="宋体" w:eastAsia="仿宋_GB2312" w:cs="仿宋_GB2312"/>
          <w:i w:val="0"/>
          <w:iCs w:val="0"/>
          <w:color w:val="000000"/>
          <w:sz w:val="32"/>
          <w:szCs w:val="32"/>
          <w:u w:val="none"/>
          <w:lang w:val="en-US" w:eastAsia="zh-CN"/>
        </w:rPr>
        <w:t>各地级以上市应当制定养犬管理办法，结合本地实际就养犬免疫及管理作出具体规定。</w:t>
      </w:r>
    </w:p>
    <w:p>
      <w:pPr>
        <w:widowControl w:val="0"/>
        <w:wordWrap/>
        <w:overflowPunct w:val="0"/>
        <w:adjustRightInd/>
        <w:snapToGrid/>
        <w:spacing w:beforeAutospacing="0" w:afterAutospacing="0" w:line="560" w:lineRule="exact"/>
        <w:ind w:left="0" w:leftChars="0" w:right="0" w:firstLine="0" w:firstLineChars="0"/>
        <w:jc w:val="both"/>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 xml:space="preserve">    第二十七条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各级人民政府应当组织</w:t>
      </w:r>
      <w:r>
        <w:rPr>
          <w:rFonts w:hint="eastAsia" w:ascii="宋体" w:hAnsi="宋体" w:eastAsia="仿宋_GB2312" w:cs="仿宋_GB2312"/>
          <w:color w:val="000000"/>
          <w:sz w:val="32"/>
          <w:szCs w:val="32"/>
          <w:lang w:eastAsia="zh-CN"/>
        </w:rPr>
        <w:t>开展</w:t>
      </w:r>
      <w:r>
        <w:rPr>
          <w:rFonts w:hint="eastAsia" w:ascii="宋体" w:hAnsi="宋体" w:eastAsia="仿宋_GB2312" w:cs="仿宋_GB2312"/>
          <w:color w:val="000000"/>
          <w:sz w:val="32"/>
          <w:szCs w:val="32"/>
        </w:rPr>
        <w:t>卫生城市、卫生</w:t>
      </w:r>
      <w:r>
        <w:rPr>
          <w:rFonts w:hint="eastAsia" w:ascii="宋体" w:hAnsi="宋体" w:eastAsia="仿宋_GB2312" w:cs="仿宋_GB2312"/>
          <w:i w:val="0"/>
          <w:iCs w:val="0"/>
          <w:color w:val="000000"/>
          <w:sz w:val="32"/>
          <w:szCs w:val="32"/>
          <w:u w:val="none"/>
        </w:rPr>
        <w:t>镇</w:t>
      </w:r>
      <w:r>
        <w:rPr>
          <w:rFonts w:hint="eastAsia" w:ascii="宋体" w:hAnsi="宋体" w:eastAsia="仿宋_GB2312" w:cs="仿宋_GB2312"/>
          <w:color w:val="000000"/>
          <w:sz w:val="32"/>
          <w:szCs w:val="32"/>
          <w:lang w:eastAsia="zh-CN"/>
        </w:rPr>
        <w:t>街</w:t>
      </w:r>
      <w:r>
        <w:rPr>
          <w:rFonts w:hint="eastAsia" w:ascii="宋体" w:hAnsi="宋体" w:eastAsia="仿宋_GB2312" w:cs="仿宋_GB2312"/>
          <w:i w:val="0"/>
          <w:iCs w:val="0"/>
          <w:color w:val="000000"/>
          <w:sz w:val="32"/>
          <w:szCs w:val="32"/>
          <w:u w:val="none"/>
        </w:rPr>
        <w:t>、</w:t>
      </w:r>
      <w:r>
        <w:rPr>
          <w:rFonts w:hint="eastAsia" w:ascii="宋体" w:hAnsi="宋体" w:eastAsia="仿宋_GB2312" w:cs="仿宋_GB2312"/>
          <w:i w:val="0"/>
          <w:iCs w:val="0"/>
          <w:color w:val="000000"/>
          <w:sz w:val="32"/>
          <w:szCs w:val="32"/>
          <w:u w:val="none"/>
          <w:lang w:eastAsia="zh-CN"/>
        </w:rPr>
        <w:t>卫生</w:t>
      </w:r>
      <w:r>
        <w:rPr>
          <w:rFonts w:hint="eastAsia" w:ascii="宋体" w:hAnsi="宋体" w:eastAsia="仿宋_GB2312" w:cs="仿宋_GB2312"/>
          <w:i w:val="0"/>
          <w:iCs w:val="0"/>
          <w:color w:val="000000"/>
          <w:sz w:val="32"/>
          <w:szCs w:val="32"/>
          <w:u w:val="none"/>
          <w:lang w:val="en-US" w:eastAsia="zh-CN"/>
        </w:rPr>
        <w:t>乡</w:t>
      </w:r>
      <w:r>
        <w:rPr>
          <w:rFonts w:hint="eastAsia" w:ascii="宋体" w:hAnsi="宋体" w:eastAsia="仿宋_GB2312" w:cs="仿宋_GB2312"/>
          <w:i w:val="0"/>
          <w:iCs w:val="0"/>
          <w:color w:val="000000"/>
          <w:sz w:val="32"/>
          <w:szCs w:val="32"/>
          <w:u w:val="none"/>
          <w:lang w:eastAsia="zh-CN"/>
        </w:rPr>
        <w:t>村</w:t>
      </w:r>
      <w:r>
        <w:rPr>
          <w:rFonts w:hint="eastAsia" w:ascii="宋体" w:hAnsi="宋体" w:eastAsia="仿宋_GB2312" w:cs="仿宋_GB2312"/>
          <w:color w:val="000000"/>
          <w:sz w:val="32"/>
          <w:szCs w:val="32"/>
          <w:lang w:eastAsia="zh-CN"/>
        </w:rPr>
        <w:t>、卫生单位</w:t>
      </w:r>
      <w:r>
        <w:rPr>
          <w:rFonts w:hint="eastAsia" w:ascii="宋体" w:hAnsi="宋体" w:eastAsia="仿宋_GB2312" w:cs="仿宋_GB2312"/>
          <w:color w:val="000000"/>
          <w:sz w:val="32"/>
          <w:szCs w:val="32"/>
        </w:rPr>
        <w:t>创建工作，按照国家有关标准，制定和实施卫生创建规划和计划。</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黑体" w:cs="黑体"/>
          <w:color w:val="000000"/>
          <w:kern w:val="2"/>
          <w:sz w:val="32"/>
          <w:szCs w:val="32"/>
          <w:lang w:val="en-US" w:eastAsia="zh-CN" w:bidi="ar-SA"/>
        </w:rPr>
        <w:t xml:space="preserve">第二十八条 </w:t>
      </w:r>
      <w:r>
        <w:rPr>
          <w:rFonts w:hint="eastAsia" w:ascii="宋体" w:hAnsi="宋体" w:eastAsia="仿宋_GB2312" w:cs="仿宋_GB2312"/>
          <w:i w:val="0"/>
          <w:iCs w:val="0"/>
          <w:color w:val="000000"/>
          <w:sz w:val="32"/>
          <w:szCs w:val="32"/>
          <w:u w:val="none"/>
          <w:lang w:val="en-US" w:eastAsia="zh-CN" w:bidi="ar-SA"/>
        </w:rPr>
        <w:t xml:space="preserve"> </w:t>
      </w:r>
      <w:r>
        <w:rPr>
          <w:rFonts w:hint="eastAsia" w:ascii="宋体" w:hAnsi="宋体" w:eastAsia="仿宋_GB2312" w:cs="仿宋_GB2312"/>
          <w:i w:val="0"/>
          <w:iCs w:val="0"/>
          <w:color w:val="000000"/>
          <w:sz w:val="32"/>
          <w:szCs w:val="32"/>
          <w:u w:val="none"/>
        </w:rPr>
        <w:t>各级人民政府应当推进健康城市</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i w:val="0"/>
          <w:iCs w:val="0"/>
          <w:color w:val="000000"/>
          <w:sz w:val="32"/>
          <w:szCs w:val="32"/>
          <w:u w:val="none"/>
        </w:rPr>
        <w:t>健康乡村建设，编制发展规划，推进重点健康治理项目，促进城</w:t>
      </w:r>
      <w:r>
        <w:rPr>
          <w:rFonts w:hint="eastAsia" w:ascii="宋体" w:hAnsi="宋体" w:eastAsia="仿宋_GB2312" w:cs="仿宋_GB2312"/>
          <w:i w:val="0"/>
          <w:iCs w:val="0"/>
          <w:color w:val="000000"/>
          <w:sz w:val="32"/>
          <w:szCs w:val="32"/>
          <w:u w:val="none"/>
          <w:lang w:eastAsia="zh-CN"/>
        </w:rPr>
        <w:t>乡</w:t>
      </w:r>
      <w:r>
        <w:rPr>
          <w:rFonts w:hint="eastAsia" w:ascii="宋体" w:hAnsi="宋体" w:eastAsia="仿宋_GB2312" w:cs="仿宋_GB2312"/>
          <w:i w:val="0"/>
          <w:iCs w:val="0"/>
          <w:color w:val="000000"/>
          <w:sz w:val="32"/>
          <w:szCs w:val="32"/>
          <w:u w:val="none"/>
        </w:rPr>
        <w:t>建设与人民健康协调发展。</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各级爱卫会应当组织开展健康社区、健康单位、健康学校、健康家庭等建设活动，定期开展建设效果评价。</w:t>
      </w: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仿宋_GB2312" w:cs="仿宋_GB2312"/>
          <w:color w:val="000000"/>
          <w:sz w:val="32"/>
          <w:szCs w:val="32"/>
          <w:u w:val="none"/>
          <w:lang w:val="en-US" w:eastAsia="zh-CN" w:bidi="ar-SA"/>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第四章  厕所建设管理</w:t>
      </w:r>
    </w:p>
    <w:p>
      <w:pPr>
        <w:pStyle w:val="33"/>
        <w:widowControl w:val="0"/>
        <w:wordWrap/>
        <w:overflowPunct w:val="0"/>
        <w:adjustRightInd/>
        <w:snapToGrid/>
        <w:spacing w:beforeAutospacing="0" w:afterAutospacing="0" w:line="560" w:lineRule="exact"/>
        <w:ind w:left="0" w:leftChars="0" w:right="0" w:firstLine="0" w:firstLineChars="0"/>
        <w:textAlignment w:val="auto"/>
        <w:outlineLvl w:val="9"/>
        <w:rPr>
          <w:rFonts w:hint="eastAsia" w:ascii="宋体" w:hAnsi="宋体" w:eastAsia="仿宋_GB2312" w:cs="仿宋_GB2312"/>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黑体" w:cs="黑体"/>
          <w:color w:val="000000"/>
          <w:kern w:val="2"/>
          <w:sz w:val="32"/>
          <w:szCs w:val="32"/>
          <w:lang w:val="en-US" w:eastAsia="zh-CN" w:bidi="ar-SA"/>
        </w:rPr>
        <w:t>第二十九条</w:t>
      </w:r>
      <w:r>
        <w:rPr>
          <w:rFonts w:hint="eastAsia" w:ascii="宋体" w:hAnsi="宋体" w:eastAsia="仿宋_GB2312" w:cs="仿宋_GB2312"/>
          <w:b/>
          <w:bCs/>
          <w:color w:val="000000"/>
          <w:sz w:val="32"/>
          <w:szCs w:val="32"/>
          <w:lang w:val="en-US" w:eastAsia="zh-CN"/>
        </w:rPr>
        <w:t xml:space="preserve">  </w:t>
      </w:r>
      <w:r>
        <w:rPr>
          <w:rFonts w:hint="eastAsia" w:ascii="宋体" w:hAnsi="宋体" w:eastAsia="仿宋_GB2312" w:cs="仿宋_GB2312"/>
          <w:b w:val="0"/>
          <w:bCs w:val="0"/>
          <w:color w:val="000000"/>
          <w:sz w:val="32"/>
          <w:szCs w:val="32"/>
        </w:rPr>
        <w:t>厕所建设管理实行属地管理原则。各级人民政府应当制定厕所建设管理</w:t>
      </w:r>
      <w:r>
        <w:rPr>
          <w:rFonts w:hint="eastAsia" w:ascii="宋体" w:hAnsi="宋体" w:eastAsia="仿宋_GB2312" w:cs="仿宋_GB2312"/>
          <w:b w:val="0"/>
          <w:bCs w:val="0"/>
          <w:i w:val="0"/>
          <w:iCs w:val="0"/>
          <w:color w:val="000000"/>
          <w:sz w:val="32"/>
          <w:szCs w:val="32"/>
          <w:u w:val="none"/>
        </w:rPr>
        <w:t>专项</w:t>
      </w:r>
      <w:r>
        <w:rPr>
          <w:rFonts w:hint="eastAsia" w:ascii="宋体" w:hAnsi="宋体" w:eastAsia="仿宋_GB2312" w:cs="仿宋_GB2312"/>
          <w:b w:val="0"/>
          <w:bCs w:val="0"/>
          <w:color w:val="000000"/>
          <w:sz w:val="32"/>
          <w:szCs w:val="32"/>
        </w:rPr>
        <w:t>规划和年度工作计划，提出工作目标和任务，制定相应管理办法，明确相关部门职责。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黑体" w:cs="黑体"/>
          <w:color w:val="000000"/>
          <w:kern w:val="2"/>
          <w:sz w:val="32"/>
          <w:szCs w:val="32"/>
          <w:lang w:val="en-US" w:eastAsia="zh-CN" w:bidi="ar-SA"/>
        </w:rPr>
        <w:t xml:space="preserve">第三十条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各级人民政府应当因地制宜，统筹考虑布局、面积、通风、采光、标识、方便实用、节能环保等方面因素</w:t>
      </w:r>
      <w:r>
        <w:rPr>
          <w:rFonts w:hint="eastAsia" w:ascii="宋体" w:hAnsi="宋体" w:eastAsia="仿宋_GB2312" w:cs="仿宋_GB2312"/>
          <w:color w:val="000000"/>
          <w:sz w:val="32"/>
          <w:szCs w:val="32"/>
          <w:lang w:val="en-US" w:eastAsia="zh-CN"/>
        </w:rPr>
        <w:t>规划建设城乡厕所</w:t>
      </w:r>
      <w:r>
        <w:rPr>
          <w:rFonts w:hint="eastAsia" w:ascii="宋体" w:hAnsi="宋体" w:eastAsia="仿宋_GB2312" w:cs="仿宋_GB2312"/>
          <w:i w:val="0"/>
          <w:iCs w:val="0"/>
          <w:color w:val="000000"/>
          <w:sz w:val="32"/>
          <w:szCs w:val="32"/>
          <w:u w:val="none"/>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i w:val="0"/>
          <w:iCs w:val="0"/>
          <w:color w:val="000000"/>
          <w:sz w:val="32"/>
          <w:szCs w:val="32"/>
          <w:u w:val="none"/>
        </w:rPr>
        <w:t>城市</w:t>
      </w:r>
      <w:r>
        <w:rPr>
          <w:rFonts w:hint="eastAsia" w:ascii="宋体" w:hAnsi="宋体" w:eastAsia="仿宋_GB2312" w:cs="仿宋_GB2312"/>
          <w:color w:val="000000"/>
          <w:sz w:val="32"/>
          <w:szCs w:val="32"/>
        </w:rPr>
        <w:t>各类</w:t>
      </w:r>
      <w:r>
        <w:rPr>
          <w:rFonts w:hint="eastAsia" w:ascii="宋体" w:hAnsi="宋体" w:eastAsia="仿宋_GB2312" w:cs="仿宋_GB2312"/>
          <w:i w:val="0"/>
          <w:iCs w:val="0"/>
          <w:color w:val="000000"/>
          <w:sz w:val="32"/>
          <w:szCs w:val="32"/>
          <w:u w:val="none"/>
        </w:rPr>
        <w:t>厕所</w:t>
      </w:r>
      <w:r>
        <w:rPr>
          <w:rFonts w:hint="eastAsia" w:ascii="宋体" w:hAnsi="宋体" w:eastAsia="仿宋_GB2312" w:cs="仿宋_GB2312"/>
          <w:color w:val="000000"/>
          <w:sz w:val="32"/>
          <w:szCs w:val="32"/>
        </w:rPr>
        <w:t>的设计和建设应当符合相关标准，</w:t>
      </w:r>
      <w:r>
        <w:rPr>
          <w:rFonts w:hint="eastAsia" w:ascii="宋体" w:hAnsi="宋体" w:eastAsia="仿宋_GB2312" w:cs="仿宋_GB2312"/>
          <w:color w:val="000000"/>
          <w:sz w:val="32"/>
          <w:szCs w:val="32"/>
          <w:lang w:eastAsia="zh-CN"/>
        </w:rPr>
        <w:t>并</w:t>
      </w:r>
      <w:r>
        <w:rPr>
          <w:rFonts w:hint="eastAsia" w:ascii="宋体" w:hAnsi="宋体" w:eastAsia="仿宋_GB2312" w:cs="仿宋_GB2312"/>
          <w:i w:val="0"/>
          <w:iCs w:val="0"/>
          <w:color w:val="000000"/>
          <w:sz w:val="32"/>
          <w:szCs w:val="32"/>
          <w:u w:val="none"/>
        </w:rPr>
        <w:t>在供电、供水、排污等方面与城市基础管网相衔接。</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公</w:t>
      </w:r>
      <w:r>
        <w:rPr>
          <w:rFonts w:hint="eastAsia" w:ascii="宋体" w:hAnsi="宋体" w:eastAsia="仿宋_GB2312" w:cs="仿宋_GB2312"/>
          <w:i w:val="0"/>
          <w:iCs w:val="0"/>
          <w:color w:val="000000"/>
          <w:sz w:val="32"/>
          <w:szCs w:val="32"/>
          <w:u w:val="none"/>
        </w:rPr>
        <w:t>共</w:t>
      </w:r>
      <w:r>
        <w:rPr>
          <w:rFonts w:hint="eastAsia" w:ascii="宋体" w:hAnsi="宋体" w:eastAsia="仿宋_GB2312" w:cs="仿宋_GB2312"/>
          <w:color w:val="000000"/>
          <w:sz w:val="32"/>
          <w:szCs w:val="32"/>
        </w:rPr>
        <w:t>厕所应当根据实际配备供残疾人使用的无障碍设施，合理规划男女厕位比例、第三卫生间数量，保障残疾人、母婴、</w:t>
      </w:r>
      <w:r>
        <w:rPr>
          <w:rFonts w:hint="eastAsia" w:ascii="宋体" w:hAnsi="宋体" w:eastAsia="仿宋_GB2312" w:cs="仿宋_GB2312"/>
          <w:color w:val="000000"/>
          <w:sz w:val="32"/>
          <w:szCs w:val="32"/>
          <w:lang w:eastAsia="zh-CN"/>
        </w:rPr>
        <w:t>儿童、</w:t>
      </w:r>
      <w:r>
        <w:rPr>
          <w:rFonts w:hint="eastAsia" w:ascii="宋体" w:hAnsi="宋体" w:eastAsia="仿宋_GB2312" w:cs="仿宋_GB2312"/>
          <w:color w:val="000000"/>
          <w:sz w:val="32"/>
          <w:szCs w:val="32"/>
        </w:rPr>
        <w:t>老年人等特殊群体用厕需求。</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第三十一条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rPr>
        <w:t>农村</w:t>
      </w:r>
      <w:r>
        <w:rPr>
          <w:rFonts w:hint="eastAsia" w:ascii="宋体" w:hAnsi="宋体" w:eastAsia="仿宋_GB2312" w:cs="仿宋_GB2312"/>
          <w:b w:val="0"/>
          <w:bCs w:val="0"/>
          <w:color w:val="000000"/>
          <w:sz w:val="32"/>
          <w:szCs w:val="32"/>
          <w:lang w:eastAsia="zh-CN"/>
        </w:rPr>
        <w:t>公共厕所</w:t>
      </w:r>
      <w:r>
        <w:rPr>
          <w:rFonts w:hint="eastAsia" w:ascii="宋体" w:hAnsi="宋体" w:eastAsia="仿宋_GB2312" w:cs="仿宋_GB2312"/>
          <w:b w:val="0"/>
          <w:bCs w:val="0"/>
          <w:color w:val="000000"/>
          <w:sz w:val="32"/>
          <w:szCs w:val="32"/>
        </w:rPr>
        <w:t>、农村无害化卫生户厕建设管理应当纳入乡村振兴战略</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美丽乡村建设、农村人居环境整治、</w:t>
      </w:r>
      <w:r>
        <w:rPr>
          <w:rFonts w:hint="eastAsia" w:ascii="宋体" w:hAnsi="宋体" w:eastAsia="仿宋_GB2312" w:cs="仿宋_GB2312"/>
          <w:b w:val="0"/>
          <w:bCs w:val="0"/>
          <w:i w:val="0"/>
          <w:iCs w:val="0"/>
          <w:color w:val="000000"/>
          <w:sz w:val="32"/>
          <w:szCs w:val="32"/>
          <w:u w:val="none"/>
          <w:lang w:eastAsia="zh-CN"/>
        </w:rPr>
        <w:t>脱贫攻坚</w:t>
      </w:r>
      <w:r>
        <w:rPr>
          <w:rFonts w:hint="eastAsia" w:ascii="宋体" w:hAnsi="宋体" w:eastAsia="仿宋_GB2312" w:cs="仿宋_GB2312"/>
          <w:b w:val="0"/>
          <w:bCs w:val="0"/>
          <w:color w:val="000000"/>
          <w:sz w:val="32"/>
          <w:szCs w:val="32"/>
        </w:rPr>
        <w:t>等规划。</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第三十二条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省人民政府</w:t>
      </w:r>
      <w:r>
        <w:rPr>
          <w:rFonts w:hint="eastAsia" w:ascii="宋体" w:hAnsi="宋体" w:eastAsia="仿宋_GB2312" w:cs="仿宋_GB2312"/>
          <w:color w:val="000000"/>
          <w:sz w:val="32"/>
          <w:szCs w:val="32"/>
          <w:lang w:eastAsia="zh-CN"/>
        </w:rPr>
        <w:t>有关主管部门</w:t>
      </w:r>
      <w:r>
        <w:rPr>
          <w:rFonts w:hint="eastAsia" w:ascii="宋体" w:hAnsi="宋体" w:eastAsia="仿宋_GB2312" w:cs="仿宋_GB2312"/>
          <w:color w:val="000000"/>
          <w:sz w:val="32"/>
          <w:szCs w:val="32"/>
        </w:rPr>
        <w:t>应当制定农村</w:t>
      </w:r>
      <w:r>
        <w:rPr>
          <w:rFonts w:hint="eastAsia" w:ascii="宋体" w:hAnsi="宋体" w:eastAsia="仿宋_GB2312" w:cs="仿宋_GB2312"/>
          <w:color w:val="000000"/>
          <w:sz w:val="32"/>
          <w:szCs w:val="32"/>
          <w:lang w:eastAsia="zh-CN"/>
        </w:rPr>
        <w:t>公共厕所</w:t>
      </w:r>
      <w:r>
        <w:rPr>
          <w:rFonts w:hint="eastAsia" w:ascii="宋体" w:hAnsi="宋体" w:eastAsia="仿宋_GB2312" w:cs="仿宋_GB2312"/>
          <w:color w:val="000000"/>
          <w:sz w:val="32"/>
          <w:szCs w:val="32"/>
        </w:rPr>
        <w:t>建设标准，加快推进农村</w:t>
      </w:r>
      <w:r>
        <w:rPr>
          <w:rFonts w:hint="eastAsia" w:ascii="宋体" w:hAnsi="宋体" w:eastAsia="仿宋_GB2312" w:cs="仿宋_GB2312"/>
          <w:color w:val="000000"/>
          <w:sz w:val="32"/>
          <w:szCs w:val="32"/>
          <w:lang w:eastAsia="zh-CN"/>
        </w:rPr>
        <w:t>公共厕所</w:t>
      </w:r>
      <w:r>
        <w:rPr>
          <w:rFonts w:hint="eastAsia" w:ascii="宋体" w:hAnsi="宋体" w:eastAsia="仿宋_GB2312" w:cs="仿宋_GB2312"/>
          <w:color w:val="000000"/>
          <w:sz w:val="32"/>
          <w:szCs w:val="32"/>
        </w:rPr>
        <w:t>建设。</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各级人民政府应当加快推进农村无害化卫生户厕建设和改造，加强农村无害化卫生户厕设计建设的技术技能培训与指导，普及无害化卫生户厕。农村</w:t>
      </w:r>
      <w:r>
        <w:rPr>
          <w:rFonts w:hint="eastAsia" w:ascii="宋体" w:hAnsi="宋体" w:eastAsia="仿宋_GB2312" w:cs="仿宋_GB2312"/>
          <w:color w:val="000000"/>
          <w:sz w:val="32"/>
          <w:szCs w:val="32"/>
          <w:lang w:eastAsia="zh-CN"/>
        </w:rPr>
        <w:t>无害化卫生</w:t>
      </w:r>
      <w:r>
        <w:rPr>
          <w:rFonts w:hint="eastAsia" w:ascii="宋体" w:hAnsi="宋体" w:eastAsia="仿宋_GB2312" w:cs="仿宋_GB2312"/>
          <w:color w:val="000000"/>
          <w:sz w:val="32"/>
          <w:szCs w:val="32"/>
        </w:rPr>
        <w:t>户厕建设应当根据当地的自然环境、经济发展状况、镇村建设规划、居民生活习惯情况等，合理选择</w:t>
      </w:r>
      <w:r>
        <w:rPr>
          <w:rFonts w:hint="eastAsia" w:ascii="宋体" w:hAnsi="宋体" w:eastAsia="仿宋_GB2312" w:cs="仿宋_GB2312"/>
          <w:color w:val="000000"/>
          <w:sz w:val="32"/>
          <w:szCs w:val="32"/>
          <w:lang w:eastAsia="zh-CN"/>
        </w:rPr>
        <w:t>地点和</w:t>
      </w:r>
      <w:r>
        <w:rPr>
          <w:rFonts w:hint="eastAsia" w:ascii="宋体" w:hAnsi="宋体" w:eastAsia="仿宋_GB2312" w:cs="仿宋_GB2312"/>
          <w:color w:val="000000"/>
          <w:sz w:val="32"/>
          <w:szCs w:val="32"/>
        </w:rPr>
        <w:t>模式</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避开水源及其他水体，</w:t>
      </w:r>
      <w:r>
        <w:rPr>
          <w:rFonts w:hint="eastAsia" w:ascii="宋体" w:hAnsi="宋体" w:eastAsia="仿宋_GB2312" w:cs="仿宋_GB2312"/>
          <w:color w:val="000000"/>
          <w:sz w:val="32"/>
          <w:szCs w:val="32"/>
          <w:lang w:eastAsia="zh-CN"/>
        </w:rPr>
        <w:t>不得</w:t>
      </w:r>
      <w:r>
        <w:rPr>
          <w:rFonts w:hint="eastAsia" w:ascii="宋体" w:hAnsi="宋体" w:eastAsia="仿宋_GB2312" w:cs="仿宋_GB2312"/>
          <w:color w:val="000000"/>
          <w:sz w:val="32"/>
          <w:szCs w:val="32"/>
        </w:rPr>
        <w:t>对水体造成污染</w:t>
      </w:r>
      <w:r>
        <w:rPr>
          <w:rFonts w:hint="eastAsia" w:ascii="宋体" w:hAnsi="宋体" w:eastAsia="仿宋_GB2312" w:cs="仿宋_GB2312"/>
          <w:color w:val="000000"/>
          <w:sz w:val="32"/>
          <w:szCs w:val="32"/>
          <w:lang w:eastAsia="zh-CN"/>
        </w:rPr>
        <w:t>，不得影响居民生活</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农村新建住房和保障性安居工程等项目应当配套建设无害化卫生厕所。</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color w:val="000000"/>
          <w:sz w:val="32"/>
          <w:szCs w:val="32"/>
        </w:rPr>
        <w:t>各级人民政府应当</w:t>
      </w:r>
      <w:r>
        <w:rPr>
          <w:rFonts w:hint="eastAsia" w:ascii="宋体" w:hAnsi="宋体" w:eastAsia="仿宋_GB2312" w:cs="仿宋_GB2312"/>
          <w:color w:val="000000"/>
          <w:sz w:val="32"/>
          <w:szCs w:val="32"/>
          <w:lang w:eastAsia="zh-CN"/>
        </w:rPr>
        <w:t>在集中居住的自然村建设与当地人口规模相适应的集中污水处理设施，推进农村厕所污水集中处理。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第三十三条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iCs w:val="0"/>
          <w:color w:val="000000"/>
          <w:sz w:val="32"/>
          <w:szCs w:val="32"/>
          <w:u w:val="none"/>
          <w:lang w:eastAsia="zh-CN"/>
        </w:rPr>
        <w:t>地级以上市</w:t>
      </w:r>
      <w:r>
        <w:rPr>
          <w:rFonts w:hint="eastAsia" w:ascii="宋体" w:hAnsi="宋体" w:eastAsia="仿宋_GB2312" w:cs="仿宋_GB2312"/>
          <w:color w:val="000000"/>
          <w:sz w:val="32"/>
          <w:szCs w:val="32"/>
        </w:rPr>
        <w:t>人民政府应当对本行政区域内厕所产权归属和管理情况进行调查登记，健全厕所日常管理制度和厕所资源共享机制，加强厕所运营规范化管理和监督。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i w:val="0"/>
          <w:iCs w:val="0"/>
          <w:color w:val="000000"/>
          <w:sz w:val="32"/>
          <w:szCs w:val="32"/>
          <w:u w:val="none"/>
          <w:lang w:eastAsia="zh-CN"/>
        </w:rPr>
        <w:t>地级以上市</w:t>
      </w:r>
      <w:r>
        <w:rPr>
          <w:rFonts w:hint="eastAsia" w:ascii="宋体" w:hAnsi="宋体" w:eastAsia="仿宋_GB2312" w:cs="仿宋_GB2312"/>
          <w:color w:val="000000"/>
          <w:sz w:val="32"/>
          <w:szCs w:val="32"/>
        </w:rPr>
        <w:t>人民政府应当制定</w:t>
      </w:r>
      <w:r>
        <w:rPr>
          <w:rFonts w:hint="eastAsia" w:ascii="宋体" w:hAnsi="宋体" w:eastAsia="仿宋_GB2312" w:cs="仿宋_GB2312"/>
          <w:i w:val="0"/>
          <w:iCs w:val="0"/>
          <w:color w:val="000000"/>
          <w:sz w:val="32"/>
          <w:szCs w:val="32"/>
          <w:u w:val="none"/>
          <w:lang w:eastAsia="zh-CN"/>
        </w:rPr>
        <w:t>公共厕所</w:t>
      </w:r>
      <w:r>
        <w:rPr>
          <w:rFonts w:hint="eastAsia" w:ascii="宋体" w:hAnsi="宋体" w:eastAsia="仿宋_GB2312" w:cs="仿宋_GB2312"/>
          <w:color w:val="000000"/>
          <w:sz w:val="32"/>
          <w:szCs w:val="32"/>
        </w:rPr>
        <w:t>服务规范标准，提升</w:t>
      </w:r>
      <w:r>
        <w:rPr>
          <w:rFonts w:hint="eastAsia" w:ascii="宋体" w:hAnsi="宋体" w:eastAsia="仿宋_GB2312" w:cs="仿宋_GB2312"/>
          <w:color w:val="000000"/>
          <w:sz w:val="32"/>
          <w:szCs w:val="32"/>
          <w:lang w:eastAsia="zh-CN"/>
        </w:rPr>
        <w:t>公共</w:t>
      </w:r>
      <w:r>
        <w:rPr>
          <w:rFonts w:hint="eastAsia" w:ascii="宋体" w:hAnsi="宋体" w:eastAsia="仿宋_GB2312" w:cs="仿宋_GB2312"/>
          <w:color w:val="000000"/>
          <w:sz w:val="32"/>
          <w:szCs w:val="32"/>
        </w:rPr>
        <w:t>厕所管理水平。</w:t>
      </w:r>
      <w:r>
        <w:rPr>
          <w:rFonts w:hint="eastAsia" w:ascii="宋体" w:hAnsi="宋体" w:eastAsia="仿宋_GB2312" w:cs="仿宋_GB2312"/>
          <w:i w:val="0"/>
          <w:iCs w:val="0"/>
          <w:color w:val="000000"/>
          <w:sz w:val="32"/>
          <w:szCs w:val="32"/>
          <w:u w:val="none"/>
          <w:lang w:eastAsia="zh-CN"/>
        </w:rPr>
        <w:t>农村公共厕所主管部门应当</w:t>
      </w:r>
      <w:r>
        <w:rPr>
          <w:rFonts w:hint="eastAsia" w:ascii="宋体" w:hAnsi="宋体" w:eastAsia="仿宋_GB2312" w:cs="仿宋_GB2312"/>
          <w:i w:val="0"/>
          <w:iCs w:val="0"/>
          <w:color w:val="000000"/>
          <w:sz w:val="32"/>
          <w:szCs w:val="32"/>
          <w:u w:val="none"/>
        </w:rPr>
        <w:t>建立厕所日常管护制度，落实专人保洁、维护和管理。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公共厕所维护管理单位应当在醒目位置设置公共厕所标示和导向牌，并公示监督电话</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合理配备管理人员和保洁人员，落实卫生保洁、维修维护和监督检查等制度。</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仿宋_GB2312" w:cs="仿宋_GB2312"/>
          <w:i w:val="0"/>
          <w:iCs w:val="0"/>
          <w:color w:val="000000"/>
          <w:sz w:val="32"/>
          <w:szCs w:val="32"/>
          <w:u w:val="none"/>
          <w:lang w:eastAsia="zh-CN"/>
        </w:rPr>
        <w:t>农村卫生户厕应当保持清洁、无蝇蛆、无臭，贮粪池不渗、不漏、密闭有盖，定期清理并进行无害化处理。农村卫生户厕推广粪肥利用，对不使用粪肥的农村，县级人民政府应当建立对粪液、粪渣等进行集中收集、清运的管护机制。</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第三十四条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各</w:t>
      </w:r>
      <w:r>
        <w:rPr>
          <w:rFonts w:hint="eastAsia" w:ascii="宋体" w:hAnsi="宋体" w:eastAsia="仿宋_GB2312" w:cs="仿宋_GB2312"/>
          <w:color w:val="000000"/>
          <w:sz w:val="32"/>
          <w:szCs w:val="32"/>
        </w:rPr>
        <w:t>级人民政府应当引导和支持与厕所建设管理相关的科技研发和成果转化，采取有效措施支持厕所设施设备生产企业发展，鼓励新建和改建厕所使用绿色环保材料和新型技术，鼓励运用互联网技术，提供厕所定位导航、信息发布</w:t>
      </w:r>
      <w:r>
        <w:rPr>
          <w:rFonts w:hint="eastAsia" w:ascii="宋体" w:hAnsi="宋体" w:eastAsia="仿宋_GB2312" w:cs="仿宋_GB2312"/>
          <w:color w:val="000000"/>
          <w:sz w:val="32"/>
          <w:szCs w:val="32"/>
          <w:lang w:eastAsia="zh-CN"/>
        </w:rPr>
        <w:t>和接受公众投诉</w:t>
      </w:r>
      <w:r>
        <w:rPr>
          <w:rFonts w:hint="eastAsia" w:ascii="宋体" w:hAnsi="宋体" w:eastAsia="仿宋_GB2312" w:cs="仿宋_GB2312"/>
          <w:color w:val="000000"/>
          <w:sz w:val="32"/>
          <w:szCs w:val="32"/>
        </w:rPr>
        <w:t>等服务。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第三十五条 </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color w:val="000000"/>
          <w:sz w:val="32"/>
          <w:szCs w:val="32"/>
        </w:rPr>
        <w:t>各级人民政府应当将城乡公共厕所建设管理所需经费纳入地方财政预算，加大对厕所建设管理的财政投入力度</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i w:val="0"/>
          <w:iCs w:val="0"/>
          <w:color w:val="000000"/>
          <w:sz w:val="32"/>
          <w:szCs w:val="32"/>
          <w:u w:val="none"/>
          <w:lang w:val="en-US" w:eastAsia="zh-CN"/>
        </w:rPr>
        <w:t>引导</w:t>
      </w:r>
      <w:r>
        <w:rPr>
          <w:rFonts w:hint="eastAsia" w:ascii="宋体" w:hAnsi="宋体" w:eastAsia="仿宋_GB2312" w:cs="仿宋_GB2312"/>
          <w:i w:val="0"/>
          <w:iCs w:val="0"/>
          <w:color w:val="000000"/>
          <w:sz w:val="32"/>
          <w:szCs w:val="32"/>
          <w:u w:val="none"/>
        </w:rPr>
        <w:t>社会资本参与</w:t>
      </w:r>
      <w:r>
        <w:rPr>
          <w:rFonts w:hint="eastAsia" w:ascii="宋体" w:hAnsi="宋体" w:eastAsia="仿宋_GB2312" w:cs="仿宋_GB2312"/>
          <w:i w:val="0"/>
          <w:iCs w:val="0"/>
          <w:color w:val="000000"/>
          <w:sz w:val="32"/>
          <w:szCs w:val="32"/>
          <w:u w:val="none"/>
          <w:lang w:val="en-US" w:eastAsia="zh-CN"/>
        </w:rPr>
        <w:t>公共厕所</w:t>
      </w:r>
      <w:r>
        <w:rPr>
          <w:rFonts w:hint="eastAsia" w:ascii="宋体" w:hAnsi="宋体" w:eastAsia="仿宋_GB2312" w:cs="仿宋_GB2312"/>
          <w:i w:val="0"/>
          <w:iCs w:val="0"/>
          <w:color w:val="000000"/>
          <w:sz w:val="32"/>
          <w:szCs w:val="32"/>
          <w:u w:val="none"/>
        </w:rPr>
        <w:t>建设和运营管理</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各级人民政府应当</w:t>
      </w:r>
      <w:r>
        <w:rPr>
          <w:rFonts w:hint="eastAsia" w:ascii="宋体" w:hAnsi="宋体" w:eastAsia="仿宋_GB2312" w:cs="仿宋_GB2312"/>
          <w:i w:val="0"/>
          <w:iCs w:val="0"/>
          <w:color w:val="000000"/>
          <w:sz w:val="32"/>
          <w:szCs w:val="32"/>
          <w:u w:val="none"/>
          <w:lang w:val="en-US" w:eastAsia="zh-CN"/>
        </w:rPr>
        <w:t>充分保障</w:t>
      </w:r>
      <w:r>
        <w:rPr>
          <w:rFonts w:hint="eastAsia" w:ascii="宋体" w:hAnsi="宋体" w:eastAsia="仿宋_GB2312" w:cs="仿宋_GB2312"/>
          <w:i w:val="0"/>
          <w:iCs w:val="0"/>
          <w:color w:val="000000"/>
          <w:sz w:val="32"/>
          <w:szCs w:val="32"/>
          <w:u w:val="none"/>
        </w:rPr>
        <w:t>厕所用地，</w:t>
      </w:r>
      <w:r>
        <w:rPr>
          <w:rFonts w:hint="eastAsia" w:ascii="宋体" w:hAnsi="宋体" w:eastAsia="仿宋_GB2312" w:cs="仿宋_GB2312"/>
          <w:color w:val="000000"/>
          <w:sz w:val="32"/>
          <w:szCs w:val="32"/>
        </w:rPr>
        <w:t>简化厕所立项、</w:t>
      </w:r>
      <w:r>
        <w:rPr>
          <w:rFonts w:hint="eastAsia" w:ascii="宋体" w:hAnsi="宋体" w:eastAsia="仿宋_GB2312" w:cs="仿宋_GB2312"/>
          <w:i w:val="0"/>
          <w:iCs w:val="0"/>
          <w:color w:val="000000"/>
          <w:sz w:val="32"/>
          <w:szCs w:val="32"/>
          <w:u w:val="none"/>
        </w:rPr>
        <w:t>用地</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用水、用电等方面审批</w:t>
      </w:r>
      <w:r>
        <w:rPr>
          <w:rFonts w:hint="eastAsia" w:ascii="宋体" w:hAnsi="宋体" w:eastAsia="仿宋_GB2312" w:cs="仿宋_GB2312"/>
          <w:i w:val="0"/>
          <w:iCs w:val="0"/>
          <w:color w:val="000000"/>
          <w:sz w:val="32"/>
          <w:szCs w:val="32"/>
          <w:u w:val="none"/>
        </w:rPr>
        <w:t>手续</w:t>
      </w:r>
      <w:r>
        <w:rPr>
          <w:rFonts w:hint="eastAsia" w:ascii="宋体" w:hAnsi="宋体" w:eastAsia="仿宋_GB2312" w:cs="仿宋_GB2312"/>
          <w:i w:val="0"/>
          <w:iCs w:val="0"/>
          <w:color w:val="000000"/>
          <w:sz w:val="32"/>
          <w:szCs w:val="32"/>
          <w:u w:val="none"/>
          <w:lang w:val="en-US" w:eastAsia="zh-CN"/>
        </w:rPr>
        <w:t>和流程</w:t>
      </w:r>
      <w:r>
        <w:rPr>
          <w:rFonts w:hint="eastAsia" w:ascii="宋体" w:hAnsi="宋体" w:eastAsia="仿宋_GB2312" w:cs="仿宋_GB2312"/>
          <w:i w:val="0"/>
          <w:iCs w:val="0"/>
          <w:color w:val="000000"/>
          <w:sz w:val="32"/>
          <w:szCs w:val="32"/>
          <w:u w:val="none"/>
        </w:rPr>
        <w:t>。</w:t>
      </w:r>
    </w:p>
    <w:p>
      <w:pPr>
        <w:pStyle w:val="33"/>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kern w:val="2"/>
          <w:sz w:val="32"/>
          <w:szCs w:val="32"/>
          <w:u w:val="none"/>
          <w:lang w:val="en-US" w:eastAsia="zh-CN"/>
        </w:rPr>
        <w:t>任何单位和个人不得随意拆除公共厕所，确因旧城改造、道路拓宽等需要拆除的，要遵循拆一补一、就近建设原则，不得减少现有公共厕所数量和建筑面积，不得擅自占用或者改变公共厕所使用性质。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第三十六条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公共厕所应当免费向公众开放。</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i w:val="0"/>
          <w:iCs w:val="0"/>
          <w:color w:val="000000"/>
          <w:sz w:val="32"/>
          <w:szCs w:val="32"/>
          <w:u w:val="none"/>
        </w:rPr>
        <w:t>鼓励机关团体</w:t>
      </w:r>
      <w:r>
        <w:rPr>
          <w:rFonts w:hint="eastAsia" w:ascii="宋体" w:hAnsi="宋体" w:eastAsia="仿宋_GB2312" w:cs="仿宋_GB2312"/>
          <w:color w:val="000000"/>
          <w:sz w:val="32"/>
          <w:szCs w:val="32"/>
          <w:lang w:eastAsia="zh-CN"/>
        </w:rPr>
        <w:t>、企</w:t>
      </w:r>
      <w:r>
        <w:rPr>
          <w:rFonts w:hint="eastAsia" w:ascii="宋体" w:hAnsi="宋体" w:cs="仿宋_GB2312"/>
          <w:color w:val="000000"/>
          <w:sz w:val="32"/>
          <w:szCs w:val="32"/>
          <w:lang w:eastAsia="zh-CN"/>
        </w:rPr>
        <w:t>业</w:t>
      </w:r>
      <w:r>
        <w:rPr>
          <w:rFonts w:hint="eastAsia" w:ascii="宋体" w:hAnsi="宋体" w:eastAsia="仿宋_GB2312" w:cs="仿宋_GB2312"/>
          <w:color w:val="000000"/>
          <w:sz w:val="32"/>
          <w:szCs w:val="32"/>
          <w:lang w:eastAsia="zh-CN"/>
        </w:rPr>
        <w:t>事业单位、宾馆、酒楼、商场等内设公共厕所向公众开放，服务社会。</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u w:val="none"/>
        </w:rPr>
      </w:pPr>
      <w:r>
        <w:rPr>
          <w:rFonts w:hint="eastAsia" w:ascii="宋体" w:hAnsi="宋体" w:eastAsia="黑体" w:cs="黑体"/>
          <w:color w:val="000000"/>
          <w:kern w:val="2"/>
          <w:sz w:val="32"/>
          <w:szCs w:val="32"/>
          <w:lang w:val="en-US" w:eastAsia="zh-CN" w:bidi="ar-SA"/>
        </w:rPr>
        <w:t>第三十七条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u w:val="none"/>
        </w:rPr>
        <w:t>各级人民政府应当在节假日和重大活动等人流密集的场所，设置移动环保</w:t>
      </w:r>
      <w:r>
        <w:rPr>
          <w:rFonts w:hint="eastAsia" w:ascii="宋体" w:hAnsi="宋体" w:eastAsia="仿宋_GB2312" w:cs="仿宋_GB2312"/>
          <w:i w:val="0"/>
          <w:iCs w:val="0"/>
          <w:color w:val="000000"/>
          <w:sz w:val="32"/>
          <w:szCs w:val="32"/>
          <w:u w:val="none"/>
          <w:lang w:eastAsia="zh-CN"/>
        </w:rPr>
        <w:t>公共厕所</w:t>
      </w:r>
      <w:r>
        <w:rPr>
          <w:rFonts w:hint="eastAsia" w:ascii="宋体" w:hAnsi="宋体" w:eastAsia="仿宋_GB2312" w:cs="仿宋_GB2312"/>
          <w:color w:val="000000"/>
          <w:sz w:val="32"/>
          <w:szCs w:val="32"/>
          <w:u w:val="none"/>
        </w:rPr>
        <w:t>，满足公众用厕需求。</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第三十八条 </w:t>
      </w:r>
      <w:r>
        <w:rPr>
          <w:rFonts w:hint="eastAsia" w:ascii="宋体" w:hAnsi="宋体" w:eastAsia="仿宋_GB2312" w:cs="仿宋_GB2312"/>
          <w:color w:val="000000"/>
          <w:sz w:val="32"/>
          <w:szCs w:val="32"/>
          <w:u w:val="none"/>
          <w:lang w:val="en-US" w:eastAsia="zh-CN"/>
        </w:rPr>
        <w:t xml:space="preserve"> </w:t>
      </w:r>
      <w:r>
        <w:rPr>
          <w:rFonts w:hint="eastAsia" w:ascii="宋体" w:hAnsi="宋体" w:eastAsia="仿宋_GB2312" w:cs="仿宋_GB2312"/>
          <w:color w:val="000000"/>
          <w:sz w:val="32"/>
          <w:szCs w:val="32"/>
        </w:rPr>
        <w:t>各级人民政府应当利用各种媒体平台、多种宣传形式在全社会开展文明如厕宣传活动，</w:t>
      </w:r>
      <w:r>
        <w:rPr>
          <w:rFonts w:hint="eastAsia" w:ascii="宋体" w:hAnsi="宋体" w:eastAsia="仿宋_GB2312" w:cs="仿宋_GB2312"/>
          <w:color w:val="000000"/>
          <w:sz w:val="32"/>
          <w:szCs w:val="32"/>
          <w:lang w:eastAsia="zh-CN"/>
        </w:rPr>
        <w:t>结合爱国卫生月、世界厕所日、全球洗手日等主题活动，</w:t>
      </w:r>
      <w:r>
        <w:rPr>
          <w:rFonts w:hint="eastAsia" w:ascii="宋体" w:hAnsi="宋体" w:eastAsia="仿宋_GB2312" w:cs="仿宋_GB2312"/>
          <w:color w:val="000000"/>
          <w:sz w:val="32"/>
          <w:szCs w:val="32"/>
        </w:rPr>
        <w:t>引导社会公众爱护公共厕所设施设备，</w:t>
      </w:r>
      <w:r>
        <w:rPr>
          <w:rFonts w:hint="eastAsia" w:ascii="宋体" w:hAnsi="宋体" w:eastAsia="仿宋_GB2312" w:cs="仿宋_GB2312"/>
          <w:i w:val="0"/>
          <w:iCs w:val="0"/>
          <w:color w:val="000000"/>
          <w:sz w:val="32"/>
          <w:szCs w:val="32"/>
          <w:u w:val="none"/>
          <w:lang w:eastAsia="zh-CN"/>
        </w:rPr>
        <w:t>培养文明</w:t>
      </w:r>
      <w:r>
        <w:rPr>
          <w:rFonts w:hint="eastAsia" w:ascii="宋体" w:hAnsi="宋体" w:eastAsia="仿宋_GB2312" w:cs="仿宋_GB2312"/>
          <w:color w:val="000000"/>
          <w:sz w:val="32"/>
          <w:szCs w:val="32"/>
        </w:rPr>
        <w:t>如厕行为</w:t>
      </w:r>
      <w:r>
        <w:rPr>
          <w:rFonts w:hint="eastAsia" w:ascii="宋体" w:hAnsi="宋体" w:eastAsia="仿宋_GB2312" w:cs="仿宋_GB2312"/>
          <w:color w:val="000000"/>
          <w:sz w:val="32"/>
          <w:szCs w:val="32"/>
          <w:lang w:eastAsia="zh-CN"/>
        </w:rPr>
        <w:t>习惯</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仿宋_GB2312" w:cs="仿宋_GB2312"/>
          <w:color w:val="000000"/>
          <w:sz w:val="32"/>
          <w:szCs w:val="32"/>
          <w:lang w:eastAsia="zh-CN"/>
        </w:rPr>
        <w:t>任何单位和个人</w:t>
      </w:r>
      <w:r>
        <w:rPr>
          <w:rFonts w:hint="eastAsia" w:ascii="宋体" w:hAnsi="宋体" w:eastAsia="仿宋_GB2312" w:cs="仿宋_GB2312"/>
          <w:i w:val="0"/>
          <w:iCs w:val="0"/>
          <w:color w:val="000000"/>
          <w:sz w:val="32"/>
          <w:szCs w:val="32"/>
          <w:u w:val="none"/>
          <w:lang w:eastAsia="zh-CN"/>
        </w:rPr>
        <w:t>不得损坏公共厕所设施设备，不得乱堆放、乱涂画、乱张贴。</w:t>
      </w:r>
    </w:p>
    <w:p>
      <w:pPr>
        <w:pStyle w:val="33"/>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sz w:val="32"/>
          <w:szCs w:val="32"/>
          <w:lang w:eastAsia="zh-CN"/>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第五章  病媒生物预防控制</w:t>
      </w:r>
    </w:p>
    <w:p>
      <w:pPr>
        <w:pStyle w:val="33"/>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第三十九条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各级人民政府应当组织全社会采取以环境治理为主的病媒生物综合</w:t>
      </w:r>
      <w:r>
        <w:rPr>
          <w:rFonts w:hint="eastAsia" w:ascii="宋体" w:hAnsi="宋体" w:eastAsia="仿宋_GB2312" w:cs="仿宋_GB2312"/>
          <w:i w:val="0"/>
          <w:iCs w:val="0"/>
          <w:color w:val="000000"/>
          <w:sz w:val="32"/>
          <w:szCs w:val="32"/>
          <w:u w:val="none"/>
          <w:lang w:val="en-US" w:eastAsia="zh-CN"/>
        </w:rPr>
        <w:t>预防控制</w:t>
      </w:r>
      <w:r>
        <w:rPr>
          <w:rFonts w:hint="eastAsia" w:ascii="宋体" w:hAnsi="宋体" w:eastAsia="仿宋_GB2312" w:cs="仿宋_GB2312"/>
          <w:color w:val="000000"/>
          <w:sz w:val="32"/>
          <w:szCs w:val="32"/>
        </w:rPr>
        <w:t>措施，</w:t>
      </w:r>
      <w:r>
        <w:rPr>
          <w:rFonts w:hint="eastAsia" w:ascii="宋体" w:hAnsi="宋体" w:eastAsia="仿宋_GB2312" w:cs="仿宋_GB2312"/>
          <w:i w:val="0"/>
          <w:iCs w:val="0"/>
          <w:color w:val="000000"/>
          <w:sz w:val="32"/>
          <w:szCs w:val="32"/>
          <w:u w:val="none"/>
          <w:lang w:eastAsia="zh-CN"/>
        </w:rPr>
        <w:t>消灭</w:t>
      </w:r>
      <w:r>
        <w:rPr>
          <w:rFonts w:hint="eastAsia" w:ascii="宋体" w:hAnsi="宋体" w:eastAsia="仿宋_GB2312" w:cs="仿宋_GB2312"/>
          <w:color w:val="000000"/>
          <w:sz w:val="32"/>
          <w:szCs w:val="32"/>
        </w:rPr>
        <w:t>老鼠、苍蝇、蚊子、蟑螂等病媒生物</w:t>
      </w:r>
      <w:r>
        <w:rPr>
          <w:rFonts w:hint="eastAsia" w:ascii="宋体" w:hAnsi="宋体" w:eastAsia="仿宋_GB2312" w:cs="仿宋_GB2312"/>
          <w:color w:val="000000"/>
          <w:sz w:val="32"/>
          <w:szCs w:val="32"/>
          <w:lang w:eastAsia="zh-CN"/>
        </w:rPr>
        <w:t>，消除</w:t>
      </w:r>
      <w:r>
        <w:rPr>
          <w:rFonts w:hint="eastAsia" w:ascii="宋体" w:hAnsi="宋体" w:eastAsia="仿宋_GB2312" w:cs="仿宋_GB2312"/>
          <w:color w:val="000000"/>
          <w:sz w:val="32"/>
          <w:szCs w:val="32"/>
        </w:rPr>
        <w:t>病媒生物孳生条件。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第四十条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病媒生物预防控制工作实行单位责任制。机关、企业事业单位和村民委员会</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居民委员会等</w:t>
      </w:r>
      <w:r>
        <w:rPr>
          <w:rFonts w:hint="eastAsia" w:ascii="宋体" w:hAnsi="宋体" w:eastAsia="仿宋_GB2312" w:cs="仿宋_GB2312"/>
          <w:color w:val="000000"/>
          <w:sz w:val="32"/>
          <w:szCs w:val="32"/>
          <w:lang w:val="en-US" w:eastAsia="zh-CN"/>
        </w:rPr>
        <w:t>应当</w:t>
      </w:r>
      <w:r>
        <w:rPr>
          <w:rFonts w:hint="eastAsia" w:ascii="宋体" w:hAnsi="宋体" w:eastAsia="仿宋_GB2312" w:cs="仿宋_GB2312"/>
          <w:color w:val="000000"/>
          <w:sz w:val="32"/>
          <w:szCs w:val="32"/>
        </w:rPr>
        <w:t>建立日常的病媒生物预防控制制度，采取有效措施，控制病媒生物密度，清除病媒生物孳生地，避免和减少病媒生物危害的发生。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黑体" w:cs="黑体"/>
          <w:color w:val="000000"/>
          <w:kern w:val="2"/>
          <w:sz w:val="32"/>
          <w:szCs w:val="32"/>
          <w:lang w:val="en-US" w:eastAsia="zh-CN" w:bidi="ar-SA"/>
        </w:rPr>
        <w:t xml:space="preserve">第四十一条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各级疾病预防控制机构应当组织开展病媒生物种群分布、密度和抗药性监测，建立病媒生物监测网络，定期开展风险评估</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00000"/>
          <w:sz w:val="32"/>
          <w:szCs w:val="32"/>
        </w:rPr>
        <w:t>风险</w:t>
      </w:r>
      <w:r>
        <w:rPr>
          <w:rFonts w:hint="eastAsia" w:ascii="宋体" w:hAnsi="宋体" w:eastAsia="仿宋_GB2312" w:cs="仿宋_GB2312"/>
          <w:b w:val="0"/>
          <w:bCs w:val="0"/>
          <w:color w:val="000000"/>
          <w:sz w:val="32"/>
          <w:szCs w:val="32"/>
          <w:lang w:eastAsia="zh-CN"/>
        </w:rPr>
        <w:t>报告和控制效果评价，并及时将监测结果报告当地爱卫会。</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疾病预防控制机构</w:t>
      </w:r>
      <w:r>
        <w:rPr>
          <w:rFonts w:hint="eastAsia" w:ascii="宋体" w:hAnsi="宋体" w:eastAsia="仿宋_GB2312" w:cs="仿宋_GB2312"/>
          <w:color w:val="000000"/>
          <w:sz w:val="32"/>
          <w:szCs w:val="32"/>
          <w:lang w:eastAsia="zh-CN"/>
        </w:rPr>
        <w:t>应当</w:t>
      </w:r>
      <w:r>
        <w:rPr>
          <w:rFonts w:hint="eastAsia" w:ascii="宋体" w:hAnsi="宋体" w:eastAsia="仿宋_GB2312" w:cs="仿宋_GB2312"/>
          <w:color w:val="000000"/>
          <w:sz w:val="32"/>
          <w:szCs w:val="32"/>
        </w:rPr>
        <w:t>协助爱卫会开展病媒生物预防控制的技术指导和专业培训工作。</w:t>
      </w:r>
    </w:p>
    <w:p>
      <w:pPr>
        <w:widowControl w:val="0"/>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第四十二条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单位和个人应当保持室内外清洁卫生，</w:t>
      </w:r>
      <w:r>
        <w:rPr>
          <w:rFonts w:hint="eastAsia" w:ascii="宋体" w:hAnsi="宋体" w:eastAsia="仿宋_GB2312" w:cs="仿宋_GB2312"/>
          <w:color w:val="000000"/>
          <w:sz w:val="32"/>
          <w:szCs w:val="32"/>
          <w:lang w:eastAsia="zh-CN"/>
        </w:rPr>
        <w:t>完善防</w:t>
      </w:r>
      <w:r>
        <w:rPr>
          <w:rFonts w:hint="eastAsia" w:ascii="宋体" w:hAnsi="宋体" w:eastAsia="仿宋_GB2312" w:cs="仿宋_GB2312"/>
          <w:color w:val="000000"/>
          <w:sz w:val="32"/>
          <w:szCs w:val="32"/>
        </w:rPr>
        <w:t>鼠、</w:t>
      </w:r>
      <w:r>
        <w:rPr>
          <w:rFonts w:hint="eastAsia" w:ascii="宋体" w:hAnsi="宋体" w:eastAsia="仿宋_GB2312" w:cs="仿宋_GB2312"/>
          <w:color w:val="000000"/>
          <w:sz w:val="32"/>
          <w:szCs w:val="32"/>
          <w:lang w:eastAsia="zh-CN"/>
        </w:rPr>
        <w:t>防</w:t>
      </w:r>
      <w:r>
        <w:rPr>
          <w:rFonts w:hint="eastAsia" w:ascii="宋体" w:hAnsi="宋体" w:eastAsia="仿宋_GB2312" w:cs="仿宋_GB2312"/>
          <w:color w:val="000000"/>
          <w:sz w:val="32"/>
          <w:szCs w:val="32"/>
        </w:rPr>
        <w:t>蝇、</w:t>
      </w:r>
      <w:r>
        <w:rPr>
          <w:rFonts w:hint="eastAsia" w:ascii="宋体" w:hAnsi="宋体" w:eastAsia="仿宋_GB2312" w:cs="仿宋_GB2312"/>
          <w:color w:val="000000"/>
          <w:sz w:val="32"/>
          <w:szCs w:val="32"/>
          <w:lang w:eastAsia="zh-CN"/>
        </w:rPr>
        <w:t>防</w:t>
      </w:r>
      <w:r>
        <w:rPr>
          <w:rFonts w:hint="eastAsia" w:ascii="宋体" w:hAnsi="宋体" w:eastAsia="仿宋_GB2312" w:cs="仿宋_GB2312"/>
          <w:color w:val="000000"/>
          <w:sz w:val="32"/>
          <w:szCs w:val="32"/>
        </w:rPr>
        <w:t>蚊、</w:t>
      </w:r>
      <w:r>
        <w:rPr>
          <w:rFonts w:hint="eastAsia" w:ascii="宋体" w:hAnsi="宋体" w:eastAsia="仿宋_GB2312" w:cs="仿宋_GB2312"/>
          <w:color w:val="000000"/>
          <w:sz w:val="32"/>
          <w:szCs w:val="32"/>
          <w:lang w:eastAsia="zh-CN"/>
        </w:rPr>
        <w:t>防</w:t>
      </w:r>
      <w:r>
        <w:rPr>
          <w:rFonts w:hint="eastAsia" w:ascii="宋体" w:hAnsi="宋体" w:eastAsia="仿宋_GB2312" w:cs="仿宋_GB2312"/>
          <w:color w:val="000000"/>
          <w:sz w:val="32"/>
          <w:szCs w:val="32"/>
        </w:rPr>
        <w:t>蟑螂</w:t>
      </w:r>
      <w:r>
        <w:rPr>
          <w:rFonts w:hint="eastAsia" w:ascii="宋体" w:hAnsi="宋体" w:eastAsia="仿宋_GB2312" w:cs="仿宋_GB2312"/>
          <w:color w:val="000000"/>
          <w:sz w:val="32"/>
          <w:szCs w:val="32"/>
          <w:lang w:eastAsia="zh-CN"/>
        </w:rPr>
        <w:t>设施，</w:t>
      </w:r>
      <w:r>
        <w:rPr>
          <w:rFonts w:hint="eastAsia" w:ascii="宋体" w:hAnsi="宋体" w:eastAsia="仿宋_GB2312" w:cs="仿宋_GB2312"/>
          <w:color w:val="000000"/>
          <w:sz w:val="32"/>
          <w:szCs w:val="32"/>
        </w:rPr>
        <w:t>及时清除积水、垃圾，密封粪池并定期清理，消除病媒生物及其孳生条件</w:t>
      </w:r>
      <w:r>
        <w:rPr>
          <w:rFonts w:hint="eastAsia" w:ascii="宋体" w:hAnsi="宋体" w:eastAsia="仿宋_GB2312" w:cs="仿宋_GB2312"/>
          <w:i w:val="0"/>
          <w:iCs w:val="0"/>
          <w:color w:val="000000"/>
          <w:sz w:val="32"/>
          <w:szCs w:val="32"/>
        </w:rPr>
        <w:t>，</w:t>
      </w:r>
      <w:r>
        <w:rPr>
          <w:rFonts w:hint="eastAsia" w:ascii="宋体" w:hAnsi="宋体" w:eastAsia="仿宋_GB2312" w:cs="仿宋_GB2312"/>
          <w:color w:val="000000"/>
          <w:sz w:val="32"/>
          <w:szCs w:val="32"/>
        </w:rPr>
        <w:t>将病媒生物密度控制在国家规定的标准范围内。</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第四十三条</w:t>
      </w:r>
      <w:r>
        <w:rPr>
          <w:rFonts w:hint="eastAsia" w:ascii="宋体" w:hAnsi="宋体" w:eastAsia="仿宋_GB2312" w:cs="仿宋_GB2312"/>
          <w:i w:val="0"/>
          <w:iCs w:val="0"/>
          <w:color w:val="000000"/>
          <w:sz w:val="32"/>
          <w:szCs w:val="32"/>
          <w:u w:val="none"/>
          <w:lang w:val="en-US" w:eastAsia="zh-CN"/>
        </w:rPr>
        <w:t xml:space="preserve">  医疗卫生机构、学</w:t>
      </w:r>
      <w:r>
        <w:rPr>
          <w:rFonts w:hint="eastAsia" w:ascii="宋体" w:hAnsi="宋体" w:eastAsia="仿宋_GB2312" w:cs="仿宋_GB2312"/>
          <w:i w:val="0"/>
          <w:iCs w:val="0"/>
          <w:color w:val="000000"/>
          <w:sz w:val="32"/>
          <w:szCs w:val="32"/>
          <w:u w:val="none"/>
        </w:rPr>
        <w:t>校</w:t>
      </w:r>
      <w:r>
        <w:rPr>
          <w:rFonts w:hint="eastAsia" w:ascii="宋体" w:hAnsi="宋体" w:eastAsia="仿宋_GB2312" w:cs="仿宋_GB2312"/>
          <w:i w:val="0"/>
          <w:iCs w:val="0"/>
          <w:color w:val="000000"/>
          <w:sz w:val="32"/>
          <w:szCs w:val="32"/>
          <w:u w:val="none"/>
          <w:lang w:eastAsia="zh-CN"/>
        </w:rPr>
        <w:t>、住宅</w:t>
      </w:r>
      <w:r>
        <w:rPr>
          <w:rFonts w:hint="eastAsia" w:ascii="宋体" w:hAnsi="宋体" w:eastAsia="仿宋_GB2312" w:cs="仿宋_GB2312"/>
          <w:i w:val="0"/>
          <w:iCs w:val="0"/>
          <w:color w:val="000000"/>
          <w:sz w:val="32"/>
          <w:szCs w:val="32"/>
          <w:u w:val="none"/>
        </w:rPr>
        <w:t>小区</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建筑工地、</w:t>
      </w:r>
      <w:r>
        <w:rPr>
          <w:rFonts w:hint="eastAsia" w:ascii="宋体" w:hAnsi="宋体" w:eastAsia="仿宋_GB2312" w:cs="仿宋_GB2312"/>
          <w:i w:val="0"/>
          <w:iCs w:val="0"/>
          <w:color w:val="000000"/>
          <w:sz w:val="32"/>
          <w:szCs w:val="32"/>
          <w:u w:val="none"/>
          <w:lang w:val="en-US" w:eastAsia="zh-CN"/>
        </w:rPr>
        <w:t>集贸市场</w:t>
      </w:r>
      <w:r>
        <w:rPr>
          <w:rFonts w:hint="eastAsia" w:ascii="宋体" w:hAnsi="宋体" w:eastAsia="仿宋_GB2312" w:cs="仿宋_GB2312"/>
          <w:color w:val="000000"/>
          <w:sz w:val="32"/>
          <w:szCs w:val="32"/>
        </w:rPr>
        <w:t>、花卉市场、</w:t>
      </w:r>
      <w:r>
        <w:rPr>
          <w:rFonts w:hint="eastAsia" w:ascii="宋体" w:hAnsi="宋体" w:eastAsia="仿宋_GB2312" w:cs="仿宋_GB2312"/>
          <w:color w:val="000000"/>
          <w:sz w:val="32"/>
          <w:szCs w:val="32"/>
          <w:lang w:eastAsia="zh-CN"/>
        </w:rPr>
        <w:t>公园、</w:t>
      </w:r>
      <w:r>
        <w:rPr>
          <w:rFonts w:hint="eastAsia" w:ascii="宋体" w:hAnsi="宋体" w:eastAsia="仿宋_GB2312" w:cs="仿宋_GB2312"/>
          <w:b w:val="0"/>
          <w:bCs w:val="0"/>
          <w:color w:val="000000"/>
          <w:sz w:val="32"/>
          <w:szCs w:val="32"/>
        </w:rPr>
        <w:t>公共厕所、</w:t>
      </w:r>
      <w:r>
        <w:rPr>
          <w:rFonts w:hint="eastAsia" w:ascii="宋体" w:hAnsi="宋体" w:eastAsia="仿宋_GB2312" w:cs="仿宋_GB2312"/>
          <w:color w:val="000000"/>
          <w:sz w:val="32"/>
          <w:szCs w:val="32"/>
          <w:lang w:eastAsia="zh-CN"/>
        </w:rPr>
        <w:t>资源回收站</w:t>
      </w:r>
      <w:r>
        <w:rPr>
          <w:rFonts w:hint="eastAsia" w:ascii="宋体" w:hAnsi="宋体" w:eastAsia="仿宋_GB2312" w:cs="仿宋_GB2312"/>
          <w:i w:val="0"/>
          <w:iCs w:val="0"/>
          <w:color w:val="000000"/>
          <w:sz w:val="32"/>
          <w:szCs w:val="32"/>
          <w:u w:val="none"/>
          <w:lang w:val="en-US" w:eastAsia="zh-CN"/>
        </w:rPr>
        <w:t>、垃圾中转站、垃圾处理场、市政管井、下水道系统等易孳生病媒生物场</w:t>
      </w:r>
      <w:r>
        <w:rPr>
          <w:rFonts w:hint="eastAsia" w:ascii="宋体" w:hAnsi="宋体" w:eastAsia="仿宋_GB2312" w:cs="仿宋_GB2312"/>
          <w:color w:val="000000"/>
          <w:sz w:val="32"/>
          <w:szCs w:val="32"/>
        </w:rPr>
        <w:t>所</w:t>
      </w:r>
      <w:r>
        <w:rPr>
          <w:rFonts w:hint="eastAsia" w:ascii="宋体" w:hAnsi="宋体" w:eastAsia="仿宋_GB2312" w:cs="仿宋_GB2312"/>
          <w:color w:val="000000"/>
          <w:sz w:val="32"/>
          <w:szCs w:val="32"/>
          <w:lang w:val="en-US" w:eastAsia="zh-CN"/>
        </w:rPr>
        <w:t>和设施</w:t>
      </w:r>
      <w:r>
        <w:rPr>
          <w:rFonts w:hint="eastAsia" w:ascii="宋体" w:hAnsi="宋体" w:eastAsia="仿宋_GB2312" w:cs="仿宋_GB2312"/>
          <w:color w:val="000000"/>
          <w:sz w:val="32"/>
          <w:szCs w:val="32"/>
        </w:rPr>
        <w:t>，应当完善和落实病媒生物</w:t>
      </w:r>
      <w:r>
        <w:rPr>
          <w:rFonts w:hint="eastAsia" w:ascii="宋体" w:hAnsi="宋体" w:eastAsia="仿宋_GB2312" w:cs="仿宋_GB2312"/>
          <w:i w:val="0"/>
          <w:iCs w:val="0"/>
          <w:color w:val="000000"/>
          <w:sz w:val="32"/>
          <w:szCs w:val="32"/>
          <w:u w:val="none"/>
          <w:lang w:val="en-US" w:eastAsia="zh-CN"/>
        </w:rPr>
        <w:t>预防控制</w:t>
      </w:r>
      <w:r>
        <w:rPr>
          <w:rFonts w:hint="eastAsia" w:ascii="宋体" w:hAnsi="宋体" w:eastAsia="仿宋_GB2312" w:cs="仿宋_GB2312"/>
          <w:color w:val="000000"/>
          <w:sz w:val="32"/>
          <w:szCs w:val="32"/>
        </w:rPr>
        <w:t>措施。</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第四十四条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食品生产经营者应当配备相应设施设备，采取措施消除</w:t>
      </w:r>
      <w:r>
        <w:rPr>
          <w:rFonts w:hint="eastAsia" w:ascii="宋体" w:hAnsi="宋体" w:eastAsia="仿宋_GB2312" w:cs="仿宋_GB2312"/>
          <w:color w:val="000000"/>
          <w:sz w:val="32"/>
          <w:szCs w:val="32"/>
        </w:rPr>
        <w:t>病媒生物及其孳生条件</w:t>
      </w:r>
      <w:r>
        <w:rPr>
          <w:rFonts w:hint="eastAsia" w:ascii="宋体" w:hAnsi="宋体" w:eastAsia="仿宋_GB2312" w:cs="仿宋_GB2312"/>
          <w:i w:val="0"/>
          <w:iCs w:val="0"/>
          <w:color w:val="000000"/>
          <w:sz w:val="32"/>
          <w:szCs w:val="32"/>
        </w:rPr>
        <w:t>，</w:t>
      </w:r>
      <w:r>
        <w:rPr>
          <w:rFonts w:hint="eastAsia" w:ascii="宋体" w:hAnsi="宋体" w:eastAsia="仿宋_GB2312" w:cs="仿宋_GB2312"/>
          <w:color w:val="000000"/>
          <w:sz w:val="32"/>
          <w:szCs w:val="32"/>
        </w:rPr>
        <w:t>病媒生物密度</w:t>
      </w:r>
      <w:r>
        <w:rPr>
          <w:rFonts w:hint="eastAsia" w:ascii="宋体" w:hAnsi="宋体" w:eastAsia="仿宋_GB2312" w:cs="仿宋_GB2312"/>
          <w:color w:val="000000"/>
          <w:sz w:val="32"/>
          <w:szCs w:val="32"/>
          <w:lang w:eastAsia="zh-CN"/>
        </w:rPr>
        <w:t>应当符合</w:t>
      </w:r>
      <w:r>
        <w:rPr>
          <w:rFonts w:hint="eastAsia" w:ascii="宋体" w:hAnsi="宋体" w:eastAsia="仿宋_GB2312" w:cs="仿宋_GB2312"/>
          <w:color w:val="000000"/>
          <w:sz w:val="32"/>
          <w:szCs w:val="32"/>
        </w:rPr>
        <w:t>国家规定</w:t>
      </w:r>
      <w:r>
        <w:rPr>
          <w:rFonts w:hint="eastAsia" w:ascii="宋体" w:hAnsi="宋体" w:eastAsia="仿宋_GB2312" w:cs="仿宋_GB2312"/>
          <w:color w:val="000000"/>
          <w:sz w:val="32"/>
          <w:szCs w:val="32"/>
          <w:lang w:eastAsia="zh-CN"/>
        </w:rPr>
        <w:t>要求。</w:t>
      </w:r>
    </w:p>
    <w:p>
      <w:pPr>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sz w:val="32"/>
          <w:szCs w:val="32"/>
          <w:lang w:eastAsia="zh-CN"/>
        </w:rPr>
      </w:pPr>
      <w:r>
        <w:rPr>
          <w:rFonts w:hint="eastAsia" w:ascii="宋体" w:hAnsi="宋体" w:eastAsia="黑体" w:cs="黑体"/>
          <w:color w:val="000000"/>
          <w:kern w:val="2"/>
          <w:sz w:val="32"/>
          <w:szCs w:val="32"/>
          <w:lang w:val="en-US" w:eastAsia="zh-CN" w:bidi="ar-SA"/>
        </w:rPr>
        <w:t xml:space="preserve">第四十五条 </w:t>
      </w:r>
      <w:r>
        <w:rPr>
          <w:rFonts w:hint="eastAsia" w:ascii="宋体" w:hAnsi="宋体" w:eastAsia="仿宋_GB2312" w:cs="仿宋_GB2312"/>
          <w:sz w:val="32"/>
          <w:szCs w:val="32"/>
          <w:lang w:val="en-US" w:eastAsia="zh-CN"/>
        </w:rPr>
        <w:t xml:space="preserve"> </w:t>
      </w:r>
      <w:r>
        <w:rPr>
          <w:rFonts w:hint="eastAsia" w:ascii="宋体" w:hAnsi="宋体" w:eastAsia="仿宋_GB2312" w:cs="仿宋_GB2312"/>
          <w:sz w:val="32"/>
          <w:szCs w:val="32"/>
          <w:lang w:eastAsia="zh-CN"/>
        </w:rPr>
        <w:t>县级以上人民政府应当</w:t>
      </w:r>
      <w:r>
        <w:rPr>
          <w:rFonts w:hint="eastAsia" w:ascii="宋体" w:hAnsi="宋体" w:eastAsia="仿宋_GB2312" w:cs="仿宋_GB2312"/>
          <w:sz w:val="32"/>
          <w:szCs w:val="32"/>
        </w:rPr>
        <w:t>结合</w:t>
      </w:r>
      <w:r>
        <w:rPr>
          <w:rFonts w:hint="eastAsia" w:ascii="宋体" w:hAnsi="宋体" w:eastAsia="仿宋_GB2312" w:cs="仿宋_GB2312"/>
          <w:sz w:val="32"/>
          <w:szCs w:val="32"/>
          <w:lang w:eastAsia="zh-CN"/>
        </w:rPr>
        <w:t>农村</w:t>
      </w:r>
      <w:r>
        <w:rPr>
          <w:rFonts w:hint="eastAsia" w:ascii="宋体" w:hAnsi="宋体" w:eastAsia="仿宋_GB2312" w:cs="仿宋_GB2312"/>
          <w:sz w:val="32"/>
          <w:szCs w:val="32"/>
        </w:rPr>
        <w:t>改厕、垃圾与粪便管理</w:t>
      </w:r>
      <w:r>
        <w:rPr>
          <w:rFonts w:hint="eastAsia" w:ascii="宋体" w:hAnsi="宋体" w:eastAsia="仿宋_GB2312" w:cs="仿宋_GB2312"/>
          <w:sz w:val="32"/>
          <w:szCs w:val="32"/>
          <w:lang w:eastAsia="zh-CN"/>
        </w:rPr>
        <w:t>、</w:t>
      </w:r>
      <w:r>
        <w:rPr>
          <w:rFonts w:hint="eastAsia" w:ascii="宋体" w:hAnsi="宋体" w:eastAsia="仿宋_GB2312" w:cs="仿宋_GB2312"/>
          <w:i w:val="0"/>
          <w:iCs w:val="0"/>
          <w:sz w:val="32"/>
          <w:szCs w:val="32"/>
          <w:u w:val="none"/>
        </w:rPr>
        <w:t>环境改造</w:t>
      </w:r>
      <w:r>
        <w:rPr>
          <w:rFonts w:hint="eastAsia" w:ascii="宋体" w:hAnsi="宋体" w:eastAsia="仿宋_GB2312" w:cs="仿宋_GB2312"/>
          <w:sz w:val="32"/>
          <w:szCs w:val="32"/>
        </w:rPr>
        <w:t>工作，</w:t>
      </w:r>
      <w:r>
        <w:rPr>
          <w:rFonts w:hint="eastAsia" w:ascii="宋体" w:hAnsi="宋体" w:eastAsia="仿宋_GB2312" w:cs="仿宋_GB2312"/>
          <w:sz w:val="32"/>
          <w:szCs w:val="32"/>
          <w:lang w:eastAsia="zh-CN"/>
        </w:rPr>
        <w:t>加强农村病媒生物预防控制工作，清除病媒孳生地。</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第四十六条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生产、销售、使用杀灭病媒生物的药品、器械，应当符合国家和省的有关标准与规定</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00000"/>
          <w:sz w:val="32"/>
          <w:szCs w:val="32"/>
        </w:rPr>
        <w:t>禁止使用违禁、伪劣药物和器械</w:t>
      </w:r>
      <w:r>
        <w:rPr>
          <w:rFonts w:hint="eastAsia" w:ascii="宋体" w:hAnsi="宋体" w:eastAsia="仿宋_GB2312" w:cs="仿宋_GB2312"/>
          <w:color w:val="000000"/>
          <w:sz w:val="32"/>
          <w:szCs w:val="32"/>
          <w:lang w:eastAsia="zh-CN"/>
        </w:rPr>
        <w:t>。</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 xml:space="preserve">第四十七条 </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rPr>
        <w:t>各级人民政府应当引导和支持病媒生物预防控制相关基础研究和应用技术研究，鼓励科研成果转化，鼓励安全绿色环保</w:t>
      </w:r>
      <w:r>
        <w:rPr>
          <w:rFonts w:hint="eastAsia" w:ascii="宋体" w:hAnsi="宋体" w:eastAsia="仿宋_GB2312" w:cs="仿宋_GB2312"/>
          <w:b w:val="0"/>
          <w:bCs w:val="0"/>
          <w:color w:val="000000"/>
          <w:sz w:val="32"/>
          <w:szCs w:val="32"/>
          <w:lang w:eastAsia="zh-CN"/>
        </w:rPr>
        <w:t>消杀</w:t>
      </w:r>
      <w:r>
        <w:rPr>
          <w:rFonts w:hint="eastAsia" w:ascii="宋体" w:hAnsi="宋体" w:eastAsia="仿宋_GB2312" w:cs="仿宋_GB2312"/>
          <w:b w:val="0"/>
          <w:bCs w:val="0"/>
          <w:color w:val="000000"/>
          <w:sz w:val="32"/>
          <w:szCs w:val="32"/>
        </w:rPr>
        <w:t>药物研发和新型技术应用。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第四十八条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rPr>
        <w:t>鼓励病媒生物预防控制服务机构为单位和个人提供符合质量安全要求、收费合理的病媒生物预防控制服务。</w:t>
      </w:r>
    </w:p>
    <w:p>
      <w:pPr>
        <w:pStyle w:val="33"/>
        <w:widowControl w:val="0"/>
        <w:wordWrap/>
        <w:overflowPunct w:val="0"/>
        <w:spacing w:beforeAutospacing="0" w:afterAutospacing="0" w:line="560" w:lineRule="exact"/>
        <w:ind w:left="0" w:leftChars="0"/>
        <w:textAlignment w:val="auto"/>
        <w:outlineLvl w:val="9"/>
        <w:rPr>
          <w:rFonts w:hint="eastAsia" w:ascii="宋体" w:hAnsi="宋体" w:eastAsia="仿宋_GB2312" w:cs="仿宋_GB2312"/>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第六章   吸烟控制</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sz w:val="32"/>
          <w:szCs w:val="32"/>
          <w:lang w:val="en-US" w:eastAsia="zh-CN"/>
        </w:rPr>
      </w:pPr>
    </w:p>
    <w:p>
      <w:pPr>
        <w:pStyle w:val="33"/>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第四十九条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iCs w:val="0"/>
          <w:color w:val="000000"/>
          <w:sz w:val="32"/>
          <w:szCs w:val="32"/>
          <w:u w:val="none"/>
          <w:lang w:val="en-US" w:eastAsia="zh-CN"/>
        </w:rPr>
        <w:t>倡导吸烟控制</w:t>
      </w:r>
      <w:r>
        <w:rPr>
          <w:rFonts w:hint="eastAsia" w:ascii="宋体" w:hAnsi="宋体" w:eastAsia="仿宋_GB2312" w:cs="仿宋_GB2312"/>
          <w:color w:val="000000"/>
          <w:sz w:val="32"/>
          <w:szCs w:val="32"/>
          <w:lang w:val="en-US" w:eastAsia="zh-CN"/>
        </w:rPr>
        <w:t>，减少吸烟对公民健康的危害，创造良好公共卫生环境。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 xml:space="preserve">第五十条 </w:t>
      </w:r>
      <w:r>
        <w:rPr>
          <w:rFonts w:hint="eastAsia" w:ascii="宋体" w:hAnsi="宋体" w:eastAsia="仿宋_GB2312" w:cs="仿宋_GB2312"/>
          <w:b w:val="0"/>
          <w:bCs w:val="0"/>
          <w:i w:val="0"/>
          <w:iCs w:val="0"/>
          <w:color w:val="000000"/>
          <w:sz w:val="32"/>
          <w:szCs w:val="32"/>
          <w:u w:val="none"/>
          <w:lang w:val="en-US" w:eastAsia="zh-CN"/>
        </w:rPr>
        <w:t xml:space="preserve"> </w:t>
      </w:r>
      <w:r>
        <w:rPr>
          <w:rFonts w:hint="eastAsia" w:ascii="宋体" w:hAnsi="宋体" w:eastAsia="仿宋_GB2312" w:cs="仿宋_GB2312"/>
          <w:b w:val="0"/>
          <w:bCs w:val="0"/>
          <w:color w:val="000000"/>
          <w:sz w:val="32"/>
          <w:szCs w:val="32"/>
          <w:lang w:eastAsia="zh-CN"/>
        </w:rPr>
        <w:t>下列</w:t>
      </w:r>
      <w:r>
        <w:rPr>
          <w:rFonts w:hint="eastAsia" w:ascii="宋体" w:hAnsi="宋体" w:eastAsia="仿宋_GB2312" w:cs="仿宋_GB2312"/>
          <w:b w:val="0"/>
          <w:bCs w:val="0"/>
          <w:i w:val="0"/>
          <w:iCs w:val="0"/>
          <w:color w:val="000000"/>
          <w:sz w:val="32"/>
          <w:szCs w:val="32"/>
          <w:u w:val="none"/>
        </w:rPr>
        <w:t>公共场所</w:t>
      </w:r>
      <w:r>
        <w:rPr>
          <w:rFonts w:hint="eastAsia" w:ascii="宋体" w:hAnsi="宋体" w:eastAsia="仿宋_GB2312" w:cs="仿宋_GB2312"/>
          <w:b w:val="0"/>
          <w:bCs w:val="0"/>
          <w:color w:val="000000"/>
          <w:sz w:val="32"/>
          <w:szCs w:val="32"/>
          <w:lang w:eastAsia="zh-CN"/>
        </w:rPr>
        <w:t>禁止吸烟</w:t>
      </w:r>
      <w:r>
        <w:rPr>
          <w:rFonts w:hint="eastAsia" w:ascii="宋体" w:hAnsi="宋体" w:eastAsia="仿宋_GB2312" w:cs="仿宋_GB2312"/>
          <w:b w:val="0"/>
          <w:bCs w:val="0"/>
          <w:color w:val="000000"/>
          <w:sz w:val="32"/>
          <w:szCs w:val="32"/>
        </w:rPr>
        <w:t>：</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color w:val="0C0C0C"/>
          <w:kern w:val="2"/>
          <w:sz w:val="32"/>
          <w:szCs w:val="32"/>
          <w:lang w:val="en-US" w:eastAsia="zh-CN"/>
        </w:rPr>
      </w:pPr>
      <w:r>
        <w:rPr>
          <w:rFonts w:hint="eastAsia" w:ascii="宋体" w:hAnsi="宋体" w:eastAsia="仿宋_GB2312" w:cs="仿宋_GB2312"/>
          <w:color w:val="0C0C0C"/>
          <w:kern w:val="2"/>
          <w:sz w:val="32"/>
          <w:szCs w:val="32"/>
          <w:lang w:val="en-US" w:eastAsia="zh-CN"/>
        </w:rPr>
        <w:t>（一）城市市区室内公共场所和室内公共办公场所；</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kern w:val="2"/>
          <w:sz w:val="32"/>
          <w:szCs w:val="32"/>
          <w:lang w:val="en-US" w:eastAsia="zh-CN"/>
        </w:rPr>
        <w:t>（</w:t>
      </w:r>
      <w:r>
        <w:rPr>
          <w:rFonts w:hint="eastAsia" w:ascii="宋体" w:hAnsi="宋体" w:eastAsia="仿宋_GB2312" w:cs="仿宋_GB2312"/>
          <w:color w:val="0C0C0C"/>
          <w:kern w:val="2"/>
          <w:sz w:val="32"/>
          <w:szCs w:val="32"/>
          <w:lang w:val="en-US" w:eastAsia="zh-CN" w:bidi="ar-SA"/>
        </w:rPr>
        <w:t>二</w:t>
      </w:r>
      <w:r>
        <w:rPr>
          <w:rFonts w:hint="eastAsia" w:ascii="宋体" w:hAnsi="宋体" w:eastAsia="仿宋_GB2312" w:cs="仿宋_GB2312"/>
          <w:b w:val="0"/>
          <w:bCs w:val="0"/>
          <w:color w:val="000000"/>
          <w:kern w:val="2"/>
          <w:sz w:val="32"/>
          <w:szCs w:val="32"/>
          <w:lang w:val="en-US" w:eastAsia="zh-CN"/>
        </w:rPr>
        <w:t>）托儿所、幼儿园、中小学校、少年宫、青少年活动中心、教育培训机构以及儿童福利院等以未</w:t>
      </w:r>
      <w:r>
        <w:rPr>
          <w:rFonts w:hint="eastAsia" w:ascii="宋体" w:hAnsi="宋体" w:eastAsia="仿宋_GB2312" w:cs="仿宋_GB2312"/>
          <w:b w:val="0"/>
          <w:bCs w:val="0"/>
          <w:color w:val="000000"/>
          <w:sz w:val="32"/>
          <w:szCs w:val="32"/>
        </w:rPr>
        <w:t>成年人为主要活动人群的公共场所</w:t>
      </w:r>
      <w:r>
        <w:rPr>
          <w:rFonts w:hint="eastAsia" w:ascii="宋体" w:hAnsi="宋体" w:eastAsia="仿宋_GB2312" w:cs="仿宋_GB2312"/>
          <w:b w:val="0"/>
          <w:bCs w:val="0"/>
          <w:color w:val="000000"/>
          <w:sz w:val="32"/>
          <w:szCs w:val="32"/>
          <w:lang w:eastAsia="zh-CN"/>
        </w:rPr>
        <w:t>；</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C0C0C"/>
          <w:kern w:val="2"/>
          <w:sz w:val="32"/>
          <w:szCs w:val="32"/>
          <w:lang w:val="en-US" w:eastAsia="zh-CN" w:bidi="ar-SA"/>
        </w:rPr>
        <w:t>三</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i w:val="0"/>
          <w:iCs w:val="0"/>
          <w:color w:val="000000"/>
          <w:sz w:val="32"/>
          <w:szCs w:val="32"/>
          <w:u w:val="none"/>
          <w:lang w:eastAsia="zh-CN"/>
        </w:rPr>
        <w:t>各级各类医疗</w:t>
      </w:r>
      <w:r>
        <w:rPr>
          <w:rFonts w:hint="eastAsia" w:ascii="宋体" w:hAnsi="宋体" w:eastAsia="仿宋_GB2312" w:cs="仿宋_GB2312"/>
          <w:i w:val="0"/>
          <w:iCs w:val="0"/>
          <w:color w:val="000000"/>
          <w:sz w:val="32"/>
          <w:szCs w:val="32"/>
          <w:u w:val="none"/>
          <w:lang w:val="en-US" w:eastAsia="zh-CN"/>
        </w:rPr>
        <w:t>卫生</w:t>
      </w:r>
      <w:r>
        <w:rPr>
          <w:rFonts w:hint="eastAsia" w:ascii="宋体" w:hAnsi="宋体" w:eastAsia="仿宋_GB2312" w:cs="仿宋_GB2312"/>
          <w:i w:val="0"/>
          <w:iCs w:val="0"/>
          <w:color w:val="000000"/>
          <w:sz w:val="32"/>
          <w:szCs w:val="32"/>
          <w:u w:val="none"/>
          <w:lang w:eastAsia="zh-CN"/>
        </w:rPr>
        <w:t>机构</w:t>
      </w:r>
      <w:r>
        <w:rPr>
          <w:rFonts w:hint="eastAsia" w:ascii="宋体" w:hAnsi="宋体" w:eastAsia="仿宋_GB2312" w:cs="仿宋_GB2312"/>
          <w:b w:val="0"/>
          <w:bCs w:val="0"/>
          <w:color w:val="000000"/>
          <w:kern w:val="2"/>
          <w:sz w:val="32"/>
          <w:szCs w:val="32"/>
          <w:lang w:val="en-US" w:eastAsia="zh-CN"/>
        </w:rPr>
        <w:t>的室内区域、妇幼保健机构和儿童医院</w:t>
      </w:r>
      <w:r>
        <w:rPr>
          <w:rFonts w:hint="eastAsia" w:ascii="宋体" w:hAnsi="宋体" w:eastAsia="仿宋_GB2312" w:cs="仿宋_GB2312"/>
          <w:b w:val="0"/>
          <w:bCs w:val="0"/>
          <w:color w:val="000000"/>
          <w:sz w:val="32"/>
          <w:szCs w:val="32"/>
          <w:lang w:eastAsia="zh-CN"/>
        </w:rPr>
        <w:t>；</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C0C0C"/>
          <w:kern w:val="2"/>
          <w:sz w:val="32"/>
          <w:szCs w:val="32"/>
          <w:lang w:val="en-US" w:eastAsia="zh-CN" w:bidi="ar-SA"/>
        </w:rPr>
        <w:t>四</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体育场</w:t>
      </w:r>
      <w:r>
        <w:rPr>
          <w:rFonts w:hint="eastAsia" w:ascii="宋体" w:hAnsi="宋体" w:eastAsia="仿宋_GB2312" w:cs="仿宋_GB2312"/>
          <w:b w:val="0"/>
          <w:bCs w:val="0"/>
          <w:i w:val="0"/>
          <w:iCs w:val="0"/>
          <w:color w:val="000000"/>
          <w:sz w:val="32"/>
          <w:szCs w:val="32"/>
          <w:u w:val="none"/>
        </w:rPr>
        <w:t>馆</w:t>
      </w:r>
      <w:r>
        <w:rPr>
          <w:rFonts w:hint="eastAsia" w:ascii="宋体" w:hAnsi="宋体" w:eastAsia="仿宋_GB2312" w:cs="仿宋_GB2312"/>
          <w:b w:val="0"/>
          <w:bCs w:val="0"/>
          <w:i w:val="0"/>
          <w:iCs w:val="0"/>
          <w:color w:val="000000"/>
          <w:sz w:val="32"/>
          <w:szCs w:val="32"/>
          <w:u w:val="none"/>
          <w:lang w:eastAsia="zh-CN"/>
        </w:rPr>
        <w:t>室内</w:t>
      </w:r>
      <w:r>
        <w:rPr>
          <w:rFonts w:hint="eastAsia" w:ascii="宋体" w:hAnsi="宋体" w:eastAsia="仿宋_GB2312" w:cs="仿宋_GB2312"/>
          <w:b w:val="0"/>
          <w:bCs w:val="0"/>
          <w:color w:val="000000"/>
          <w:sz w:val="32"/>
          <w:szCs w:val="32"/>
        </w:rPr>
        <w:t>的观众坐席和比赛区域</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i w:val="0"/>
          <w:iCs w:val="0"/>
          <w:color w:val="000000"/>
          <w:sz w:val="32"/>
          <w:szCs w:val="32"/>
          <w:u w:val="none"/>
          <w:lang w:eastAsia="zh-CN"/>
        </w:rPr>
        <w:t>健身场所室内的运动区域</w:t>
      </w:r>
      <w:r>
        <w:rPr>
          <w:rFonts w:hint="eastAsia" w:ascii="宋体" w:hAnsi="宋体" w:eastAsia="仿宋_GB2312" w:cs="仿宋_GB2312"/>
          <w:b w:val="0"/>
          <w:bCs w:val="0"/>
          <w:color w:val="000000"/>
          <w:sz w:val="32"/>
          <w:szCs w:val="32"/>
          <w:lang w:eastAsia="zh-CN"/>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五</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公共交通工具</w:t>
      </w:r>
      <w:r>
        <w:rPr>
          <w:rFonts w:hint="eastAsia" w:ascii="宋体" w:hAnsi="宋体" w:eastAsia="仿宋_GB2312" w:cs="仿宋_GB2312"/>
          <w:b w:val="0"/>
          <w:bCs w:val="0"/>
          <w:color w:val="000000"/>
          <w:sz w:val="32"/>
          <w:szCs w:val="32"/>
          <w:lang w:eastAsia="zh-CN"/>
        </w:rPr>
        <w:t>和公共电梯内；</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i w:val="0"/>
          <w:iCs w:val="0"/>
          <w:color w:val="0C0C0C"/>
          <w:kern w:val="2"/>
          <w:sz w:val="32"/>
          <w:szCs w:val="32"/>
          <w:u w:val="none"/>
          <w:lang w:val="en-US" w:eastAsia="zh-CN"/>
        </w:rPr>
        <w:t>六</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00000"/>
          <w:sz w:val="32"/>
          <w:szCs w:val="32"/>
        </w:rPr>
        <w:t>根据</w:t>
      </w:r>
      <w:r>
        <w:rPr>
          <w:rFonts w:hint="eastAsia" w:ascii="宋体" w:hAnsi="宋体" w:eastAsia="仿宋_GB2312" w:cs="仿宋_GB2312"/>
          <w:color w:val="000000"/>
          <w:sz w:val="32"/>
          <w:szCs w:val="32"/>
          <w:lang w:eastAsia="zh-CN"/>
        </w:rPr>
        <w:t>举办</w:t>
      </w:r>
      <w:r>
        <w:rPr>
          <w:rFonts w:hint="eastAsia" w:ascii="宋体" w:hAnsi="宋体" w:eastAsia="仿宋_GB2312" w:cs="仿宋_GB2312"/>
          <w:color w:val="000000"/>
          <w:sz w:val="32"/>
          <w:szCs w:val="32"/>
        </w:rPr>
        <w:t>大型活动需要设立</w:t>
      </w:r>
      <w:r>
        <w:rPr>
          <w:rFonts w:hint="eastAsia" w:ascii="宋体" w:hAnsi="宋体" w:eastAsia="仿宋_GB2312" w:cs="仿宋_GB2312"/>
          <w:color w:val="000000"/>
          <w:sz w:val="32"/>
          <w:szCs w:val="32"/>
          <w:lang w:eastAsia="zh-CN"/>
        </w:rPr>
        <w:t>的</w:t>
      </w:r>
      <w:r>
        <w:rPr>
          <w:rFonts w:hint="eastAsia" w:ascii="宋体" w:hAnsi="宋体" w:eastAsia="仿宋_GB2312" w:cs="仿宋_GB2312"/>
          <w:color w:val="000000"/>
          <w:sz w:val="32"/>
          <w:szCs w:val="32"/>
        </w:rPr>
        <w:t>临时禁止吸烟区域</w:t>
      </w:r>
      <w:r>
        <w:rPr>
          <w:rFonts w:hint="eastAsia" w:ascii="宋体" w:hAnsi="宋体" w:eastAsia="仿宋_GB2312" w:cs="仿宋_GB2312"/>
          <w:color w:val="000000"/>
          <w:sz w:val="32"/>
          <w:szCs w:val="32"/>
          <w:lang w:eastAsia="zh-CN"/>
        </w:rPr>
        <w:t>；</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C0C0C"/>
          <w:kern w:val="2"/>
          <w:sz w:val="32"/>
          <w:szCs w:val="32"/>
          <w:lang w:val="en-US" w:eastAsia="zh-CN" w:bidi="ar-SA"/>
        </w:rPr>
        <w:t>七</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法律、法规、规章规定的其他公共场所。</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黑体" w:cs="黑体"/>
          <w:color w:val="000000"/>
          <w:kern w:val="2"/>
          <w:sz w:val="32"/>
          <w:szCs w:val="32"/>
          <w:lang w:val="en-US" w:eastAsia="zh-CN" w:bidi="ar-SA"/>
        </w:rPr>
        <w:t xml:space="preserve">第五十一条  </w:t>
      </w:r>
      <w:r>
        <w:rPr>
          <w:rFonts w:hint="eastAsia" w:ascii="宋体" w:hAnsi="宋体" w:eastAsia="仿宋_GB2312" w:cs="仿宋_GB2312"/>
          <w:b w:val="0"/>
          <w:bCs w:val="0"/>
          <w:i w:val="0"/>
          <w:iCs w:val="0"/>
          <w:color w:val="000000"/>
          <w:sz w:val="32"/>
          <w:szCs w:val="32"/>
          <w:u w:val="none"/>
          <w:lang w:eastAsia="zh-CN"/>
        </w:rPr>
        <w:t>公共场所设置的吸烟区，应当符合</w:t>
      </w:r>
      <w:r>
        <w:rPr>
          <w:rFonts w:hint="eastAsia" w:ascii="宋体" w:hAnsi="宋体" w:eastAsia="仿宋_GB2312" w:cs="仿宋_GB2312"/>
          <w:i w:val="0"/>
          <w:iCs w:val="0"/>
          <w:color w:val="000000"/>
          <w:sz w:val="32"/>
          <w:szCs w:val="32"/>
          <w:u w:val="none"/>
        </w:rPr>
        <w:t>下列</w:t>
      </w:r>
      <w:r>
        <w:rPr>
          <w:rFonts w:hint="eastAsia" w:ascii="宋体" w:hAnsi="宋体" w:eastAsia="仿宋_GB2312" w:cs="仿宋_GB2312"/>
          <w:i w:val="0"/>
          <w:iCs w:val="0"/>
          <w:color w:val="000000"/>
          <w:sz w:val="32"/>
          <w:szCs w:val="32"/>
          <w:u w:val="none"/>
          <w:lang w:eastAsia="zh-CN"/>
        </w:rPr>
        <w:t>规定</w:t>
      </w:r>
      <w:r>
        <w:rPr>
          <w:rFonts w:hint="eastAsia" w:ascii="宋体" w:hAnsi="宋体" w:eastAsia="仿宋_GB2312" w:cs="仿宋_GB2312"/>
          <w:i w:val="0"/>
          <w:iCs w:val="0"/>
          <w:color w:val="000000"/>
          <w:sz w:val="32"/>
          <w:szCs w:val="32"/>
          <w:u w:val="none"/>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（一）远离行人必经的主要通道；</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（二）设置吸烟</w:t>
      </w:r>
      <w:r>
        <w:rPr>
          <w:rFonts w:hint="eastAsia" w:ascii="宋体" w:hAnsi="宋体" w:eastAsia="仿宋_GB2312" w:cs="仿宋_GB2312"/>
          <w:i w:val="0"/>
          <w:iCs w:val="0"/>
          <w:color w:val="000000"/>
          <w:sz w:val="32"/>
          <w:szCs w:val="32"/>
          <w:u w:val="none"/>
          <w:lang w:eastAsia="zh-CN"/>
        </w:rPr>
        <w:t>区</w:t>
      </w:r>
      <w:r>
        <w:rPr>
          <w:rFonts w:hint="eastAsia" w:ascii="宋体" w:hAnsi="宋体" w:eastAsia="仿宋_GB2312" w:cs="仿宋_GB2312"/>
          <w:i w:val="0"/>
          <w:iCs w:val="0"/>
          <w:color w:val="000000"/>
          <w:sz w:val="32"/>
          <w:szCs w:val="32"/>
          <w:u w:val="none"/>
        </w:rPr>
        <w:t>标识、引导标识，并在吸烟</w:t>
      </w:r>
      <w:r>
        <w:rPr>
          <w:rFonts w:hint="eastAsia" w:ascii="宋体" w:hAnsi="宋体" w:eastAsia="仿宋_GB2312" w:cs="仿宋_GB2312"/>
          <w:i w:val="0"/>
          <w:iCs w:val="0"/>
          <w:color w:val="000000"/>
          <w:sz w:val="32"/>
          <w:szCs w:val="32"/>
          <w:u w:val="none"/>
          <w:lang w:eastAsia="zh-CN"/>
        </w:rPr>
        <w:t>区</w:t>
      </w:r>
      <w:r>
        <w:rPr>
          <w:rFonts w:hint="eastAsia" w:ascii="宋体" w:hAnsi="宋体" w:eastAsia="仿宋_GB2312" w:cs="仿宋_GB2312"/>
          <w:i w:val="0"/>
          <w:iCs w:val="0"/>
          <w:color w:val="000000"/>
          <w:sz w:val="32"/>
          <w:szCs w:val="32"/>
          <w:u w:val="none"/>
        </w:rPr>
        <w:t>设置吸烟危害健康的警示标识；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（三）放置收集烟灰、烟蒂等器具；</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w:t>
      </w:r>
      <w:r>
        <w:rPr>
          <w:rFonts w:hint="eastAsia" w:ascii="宋体" w:hAnsi="宋体" w:eastAsia="仿宋_GB2312" w:cs="仿宋_GB2312"/>
          <w:i w:val="0"/>
          <w:iCs w:val="0"/>
          <w:color w:val="000000"/>
          <w:sz w:val="32"/>
          <w:szCs w:val="32"/>
          <w:u w:val="none"/>
          <w:lang w:eastAsia="zh-CN"/>
        </w:rPr>
        <w:t>四</w:t>
      </w:r>
      <w:r>
        <w:rPr>
          <w:rFonts w:hint="eastAsia" w:ascii="宋体" w:hAnsi="宋体" w:eastAsia="仿宋_GB2312" w:cs="仿宋_GB2312"/>
          <w:i w:val="0"/>
          <w:iCs w:val="0"/>
          <w:color w:val="000000"/>
          <w:sz w:val="32"/>
          <w:szCs w:val="32"/>
          <w:u w:val="none"/>
        </w:rPr>
        <w:t>）符合消防安全要求。</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黑体" w:cs="黑体"/>
          <w:color w:val="000000"/>
          <w:kern w:val="2"/>
          <w:sz w:val="32"/>
          <w:szCs w:val="32"/>
          <w:lang w:val="en-US" w:eastAsia="zh-CN" w:bidi="ar-SA"/>
        </w:rPr>
        <w:t xml:space="preserve">第五十二条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b w:val="0"/>
          <w:bCs w:val="0"/>
          <w:color w:val="000000"/>
          <w:sz w:val="32"/>
          <w:szCs w:val="32"/>
          <w:lang w:eastAsia="zh-CN"/>
        </w:rPr>
        <w:t>个人应当遵守法律法规规定，不得在禁止吸烟场所吸烟。</w:t>
      </w:r>
    </w:p>
    <w:p>
      <w:pPr>
        <w:widowControl w:val="0"/>
        <w:shd w:val="clear" w:color="auto" w:fill="auto"/>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sz w:val="32"/>
          <w:szCs w:val="32"/>
        </w:rPr>
      </w:pPr>
      <w:r>
        <w:rPr>
          <w:rFonts w:hint="eastAsia" w:ascii="宋体" w:hAnsi="宋体" w:eastAsia="仿宋_GB2312" w:cs="仿宋_GB2312"/>
          <w:color w:val="000000"/>
          <w:sz w:val="32"/>
          <w:szCs w:val="32"/>
          <w:shd w:val="clear" w:color="auto" w:fill="auto"/>
        </w:rPr>
        <w:t>禁止吸烟场所</w:t>
      </w:r>
      <w:r>
        <w:rPr>
          <w:rFonts w:hint="eastAsia" w:ascii="宋体" w:hAnsi="宋体" w:eastAsia="仿宋_GB2312" w:cs="仿宋_GB2312"/>
          <w:i w:val="0"/>
          <w:iCs w:val="0"/>
          <w:color w:val="000000"/>
          <w:sz w:val="32"/>
          <w:szCs w:val="32"/>
          <w:u w:val="none"/>
          <w:shd w:val="clear" w:color="auto" w:fill="auto"/>
          <w:lang w:eastAsia="zh-CN"/>
        </w:rPr>
        <w:t>的经营者、管理者</w:t>
      </w:r>
      <w:r>
        <w:rPr>
          <w:rFonts w:hint="eastAsia" w:ascii="宋体" w:hAnsi="宋体" w:eastAsia="仿宋_GB2312" w:cs="仿宋_GB2312"/>
          <w:color w:val="000000"/>
          <w:sz w:val="32"/>
          <w:szCs w:val="32"/>
        </w:rPr>
        <w:t>应当</w:t>
      </w:r>
      <w:r>
        <w:rPr>
          <w:rFonts w:hint="eastAsia" w:ascii="宋体" w:hAnsi="宋体" w:eastAsia="仿宋_GB2312" w:cs="仿宋_GB2312"/>
          <w:b w:val="0"/>
          <w:bCs w:val="0"/>
          <w:color w:val="000000"/>
          <w:sz w:val="32"/>
          <w:szCs w:val="32"/>
          <w:lang w:eastAsia="zh-CN"/>
        </w:rPr>
        <w:t>在场所醒目位置设置统一的禁止吸烟标识和监管电话，不设置任何与吸烟有关的器具，并对吸烟者进行劝阻</w:t>
      </w:r>
      <w:r>
        <w:rPr>
          <w:rFonts w:hint="eastAsia" w:ascii="宋体" w:hAnsi="宋体" w:eastAsia="仿宋_GB2312" w:cs="仿宋_GB2312"/>
          <w:i w:val="0"/>
          <w:iCs w:val="0"/>
          <w:color w:val="000000"/>
          <w:sz w:val="32"/>
          <w:szCs w:val="32"/>
          <w:u w:val="none"/>
          <w:shd w:val="clear" w:color="auto" w:fill="auto"/>
          <w:lang w:eastAsia="zh-CN"/>
        </w:rPr>
        <w:t>。</w:t>
      </w:r>
    </w:p>
    <w:p>
      <w:pPr>
        <w:widowControl w:val="0"/>
        <w:wordWrap/>
        <w:overflowPunct w:val="0"/>
        <w:adjustRightInd/>
        <w:snapToGrid/>
        <w:spacing w:beforeAutospacing="0" w:afterAutospacing="0" w:line="560" w:lineRule="exact"/>
        <w:ind w:left="0" w:leftChars="0" w:right="0" w:firstLine="640" w:firstLineChars="0"/>
        <w:jc w:val="both"/>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第五十三条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lang w:eastAsia="zh-CN"/>
        </w:rPr>
        <w:t>各级</w:t>
      </w:r>
      <w:r>
        <w:rPr>
          <w:rFonts w:hint="eastAsia" w:ascii="宋体" w:hAnsi="宋体" w:eastAsia="仿宋_GB2312" w:cs="仿宋_GB2312"/>
          <w:b w:val="0"/>
          <w:bCs w:val="0"/>
          <w:color w:val="000000"/>
          <w:sz w:val="32"/>
          <w:szCs w:val="32"/>
        </w:rPr>
        <w:t>爱卫会</w:t>
      </w:r>
      <w:r>
        <w:rPr>
          <w:rFonts w:hint="eastAsia" w:ascii="宋体" w:hAnsi="宋体" w:eastAsia="仿宋_GB2312" w:cs="仿宋_GB2312"/>
          <w:b w:val="0"/>
          <w:bCs w:val="0"/>
          <w:color w:val="000000"/>
          <w:sz w:val="32"/>
          <w:szCs w:val="32"/>
          <w:lang w:eastAsia="zh-CN"/>
        </w:rPr>
        <w:t>相关成员单位</w:t>
      </w:r>
      <w:r>
        <w:rPr>
          <w:rFonts w:hint="eastAsia" w:ascii="宋体" w:hAnsi="宋体" w:eastAsia="仿宋_GB2312" w:cs="仿宋_GB2312"/>
          <w:b w:val="0"/>
          <w:bCs w:val="0"/>
          <w:color w:val="000000"/>
          <w:sz w:val="32"/>
          <w:szCs w:val="32"/>
        </w:rPr>
        <w:t>应当组织开展多种形式的控制吸烟宣传教育工作，增强全社会营造无烟环境的意识。</w:t>
      </w:r>
    </w:p>
    <w:p>
      <w:pPr>
        <w:widowControl w:val="0"/>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sz w:val="32"/>
          <w:szCs w:val="32"/>
        </w:rPr>
        <w:t>学校、医院等单位应当定期开展烟草烟雾危害和控制吸烟的宣传教育活动。</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sz w:val="32"/>
          <w:szCs w:val="32"/>
          <w:lang w:val="en-US" w:eastAsia="zh-CN"/>
        </w:rPr>
        <w:t>鼓励</w:t>
      </w:r>
      <w:r>
        <w:rPr>
          <w:rFonts w:hint="eastAsia" w:ascii="宋体" w:hAnsi="宋体" w:eastAsia="仿宋_GB2312" w:cs="仿宋_GB2312"/>
          <w:b w:val="0"/>
          <w:bCs w:val="0"/>
          <w:color w:val="000000"/>
          <w:sz w:val="32"/>
          <w:szCs w:val="32"/>
        </w:rPr>
        <w:t>广播、电视、报刊、网站等媒体开展吸烟和被动吸烟有害健康的公益宣传活动。</w:t>
      </w:r>
    </w:p>
    <w:p>
      <w:pPr>
        <w:widowControl w:val="0"/>
        <w:wordWrap/>
        <w:overflowPunct w:val="0"/>
        <w:adjustRightInd/>
        <w:snapToGrid/>
        <w:spacing w:beforeAutospacing="0" w:afterAutospacing="0" w:line="560" w:lineRule="exact"/>
        <w:ind w:right="0" w:firstLine="640"/>
        <w:textAlignment w:val="auto"/>
        <w:outlineLvl w:val="9"/>
        <w:rPr>
          <w:rFonts w:hint="eastAsia" w:ascii="宋体" w:hAnsi="宋体" w:eastAsia="仿宋_GB2312" w:cs="仿宋_GB2312"/>
          <w:i w:val="0"/>
          <w:iCs w:val="0"/>
          <w:color w:val="000000"/>
          <w:sz w:val="32"/>
          <w:szCs w:val="32"/>
          <w:u w:val="none"/>
          <w:shd w:val="clear" w:color="auto" w:fill="auto"/>
        </w:rPr>
      </w:pPr>
      <w:r>
        <w:rPr>
          <w:rFonts w:hint="eastAsia" w:ascii="宋体" w:hAnsi="宋体" w:eastAsia="仿宋_GB2312" w:cs="仿宋_GB2312"/>
          <w:i w:val="0"/>
          <w:iCs w:val="0"/>
          <w:color w:val="000000"/>
          <w:sz w:val="32"/>
          <w:szCs w:val="32"/>
          <w:u w:val="none"/>
          <w:shd w:val="clear" w:color="auto" w:fill="auto"/>
        </w:rPr>
        <w:t>鼓励控烟志愿者组织、</w:t>
      </w:r>
      <w:r>
        <w:rPr>
          <w:rFonts w:hint="eastAsia" w:ascii="宋体" w:hAnsi="宋体" w:eastAsia="仿宋_GB2312" w:cs="仿宋_GB2312"/>
          <w:i w:val="0"/>
          <w:iCs w:val="0"/>
          <w:color w:val="000000"/>
          <w:sz w:val="32"/>
          <w:szCs w:val="32"/>
          <w:u w:val="none"/>
          <w:shd w:val="clear" w:color="auto" w:fill="auto"/>
          <w:lang w:eastAsia="zh-CN"/>
        </w:rPr>
        <w:t>有关</w:t>
      </w:r>
      <w:r>
        <w:rPr>
          <w:rFonts w:hint="eastAsia" w:ascii="宋体" w:hAnsi="宋体" w:eastAsia="仿宋_GB2312" w:cs="仿宋_GB2312"/>
          <w:i w:val="0"/>
          <w:iCs w:val="0"/>
          <w:color w:val="000000"/>
          <w:sz w:val="32"/>
          <w:szCs w:val="32"/>
          <w:u w:val="none"/>
          <w:shd w:val="clear" w:color="auto" w:fill="auto"/>
        </w:rPr>
        <w:t>社会组织开展控烟宣传活动。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color w:val="000000"/>
          <w:kern w:val="2"/>
          <w:sz w:val="32"/>
          <w:szCs w:val="32"/>
          <w:lang w:val="en-US" w:eastAsia="zh-CN" w:bidi="ar-SA"/>
        </w:rPr>
        <w:t xml:space="preserve">第五十四条  </w:t>
      </w:r>
      <w:r>
        <w:rPr>
          <w:rFonts w:hint="eastAsia" w:ascii="宋体" w:hAnsi="宋体" w:eastAsia="仿宋_GB2312" w:cs="仿宋_GB2312"/>
          <w:b w:val="0"/>
          <w:bCs/>
          <w:color w:val="000000"/>
          <w:sz w:val="32"/>
          <w:szCs w:val="32"/>
          <w:lang w:eastAsia="zh-CN"/>
        </w:rPr>
        <w:t>倡导吸烟者戒烟。鼓励</w:t>
      </w:r>
      <w:r>
        <w:rPr>
          <w:rFonts w:hint="eastAsia" w:ascii="宋体" w:hAnsi="宋体" w:eastAsia="仿宋_GB2312" w:cs="仿宋_GB2312"/>
          <w:b w:val="0"/>
          <w:bCs/>
          <w:color w:val="000000"/>
          <w:sz w:val="32"/>
          <w:szCs w:val="32"/>
        </w:rPr>
        <w:t>医疗卫生机构</w:t>
      </w:r>
      <w:r>
        <w:rPr>
          <w:rFonts w:hint="eastAsia" w:ascii="宋体" w:hAnsi="宋体" w:eastAsia="仿宋_GB2312" w:cs="仿宋_GB2312"/>
          <w:b w:val="0"/>
          <w:bCs/>
          <w:color w:val="000000"/>
          <w:sz w:val="32"/>
          <w:szCs w:val="32"/>
          <w:lang w:eastAsia="zh-CN"/>
        </w:rPr>
        <w:t>通过</w:t>
      </w:r>
      <w:r>
        <w:rPr>
          <w:rFonts w:hint="eastAsia" w:ascii="宋体" w:hAnsi="宋体" w:eastAsia="仿宋_GB2312" w:cs="仿宋_GB2312"/>
          <w:b w:val="0"/>
          <w:bCs/>
          <w:color w:val="000000"/>
          <w:sz w:val="32"/>
          <w:szCs w:val="32"/>
        </w:rPr>
        <w:t>开设戒烟门诊、设置戒烟咨询热线等形式向公众提供戒烟服务。</w:t>
      </w:r>
    </w:p>
    <w:p>
      <w:pPr>
        <w:pStyle w:val="33"/>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shd w:val="clear" w:color="auto" w:fill="auto"/>
          <w:lang w:eastAsia="zh-CN"/>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第七章   健康促进与教育</w:t>
      </w:r>
    </w:p>
    <w:p>
      <w:pPr>
        <w:pStyle w:val="33"/>
        <w:widowControl w:val="0"/>
        <w:wordWrap/>
        <w:overflowPunct w:val="0"/>
        <w:spacing w:beforeAutospacing="0" w:afterAutospacing="0" w:line="560" w:lineRule="exact"/>
        <w:textAlignment w:val="auto"/>
        <w:outlineLvl w:val="9"/>
        <w:rPr>
          <w:rFonts w:hint="eastAsia" w:ascii="宋体" w:hAnsi="宋体"/>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第五十五条 </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lang w:val="en-US" w:eastAsia="zh-CN"/>
        </w:rPr>
        <w:t>各级人民政府应当制定和实施健康促进与教育工作规划，加强健康促进与教育人才和网络建设，</w:t>
      </w:r>
      <w:r>
        <w:rPr>
          <w:rFonts w:hint="eastAsia" w:ascii="宋体" w:hAnsi="宋体" w:eastAsia="仿宋_GB2312" w:cs="仿宋_GB2312"/>
          <w:i w:val="0"/>
          <w:iCs w:val="0"/>
          <w:color w:val="000000"/>
          <w:sz w:val="32"/>
          <w:szCs w:val="32"/>
          <w:u w:val="none"/>
          <w:lang w:val="en-US" w:eastAsia="zh-CN"/>
        </w:rPr>
        <w:t>组织全社会开展健康教育活动</w:t>
      </w:r>
      <w:r>
        <w:rPr>
          <w:rFonts w:hint="eastAsia" w:ascii="宋体" w:hAnsi="宋体" w:eastAsia="仿宋_GB2312" w:cs="仿宋_GB2312"/>
          <w:color w:val="000000"/>
          <w:sz w:val="32"/>
          <w:szCs w:val="32"/>
          <w:lang w:val="en-US" w:eastAsia="zh-CN"/>
        </w:rPr>
        <w:t>。</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color w:val="000000"/>
          <w:kern w:val="0"/>
          <w:sz w:val="32"/>
          <w:szCs w:val="32"/>
          <w:lang w:val="en-US" w:eastAsia="zh-CN"/>
        </w:rPr>
      </w:pPr>
      <w:r>
        <w:rPr>
          <w:rFonts w:hint="eastAsia" w:ascii="宋体" w:hAnsi="宋体" w:eastAsia="仿宋_GB2312" w:cs="仿宋_GB2312"/>
          <w:color w:val="000000"/>
          <w:kern w:val="0"/>
          <w:sz w:val="32"/>
          <w:szCs w:val="32"/>
          <w:lang w:val="en-US" w:eastAsia="zh-CN"/>
        </w:rPr>
        <w:t>各级人民政府卫生健康主管部门应当组织开展健康促进与教育工作，加强对传染病、慢性病等疾病防治的宣传教育，普及卫生健康知识，及时向公众发布疾病及相关防治信息。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第五十六条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color w:val="000000"/>
          <w:sz w:val="32"/>
          <w:szCs w:val="32"/>
        </w:rPr>
        <w:t>学校、学前教育机构应当按照国家和省有关要求开设健康教育课程、开展健康教育活动，培养学生健康的生活方式和行为习惯。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第五十七条 </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lang w:val="en-US" w:eastAsia="zh-CN"/>
        </w:rPr>
        <w:t>机关、企业事业单位和其他组织应当对本单位职工进行健康教育</w:t>
      </w:r>
      <w:r>
        <w:rPr>
          <w:rFonts w:hint="eastAsia" w:ascii="宋体" w:hAnsi="宋体" w:eastAsia="仿宋_GB2312" w:cs="仿宋_GB2312"/>
          <w:i w:val="0"/>
          <w:iCs w:val="0"/>
          <w:color w:val="000000"/>
          <w:sz w:val="32"/>
          <w:szCs w:val="32"/>
          <w:u w:val="none"/>
          <w:lang w:val="en-US" w:eastAsia="zh-CN"/>
        </w:rPr>
        <w:t>，</w:t>
      </w:r>
      <w:r>
        <w:rPr>
          <w:rFonts w:hint="eastAsia" w:ascii="宋体" w:hAnsi="宋体" w:eastAsia="仿宋_GB2312" w:cs="仿宋_GB2312"/>
          <w:color w:val="000000"/>
          <w:sz w:val="32"/>
          <w:szCs w:val="32"/>
          <w:lang w:val="en-US" w:eastAsia="zh-CN"/>
        </w:rPr>
        <w:t>组织健康检查，减少和控制职业伤害、职业病以及其他相关疾病发生。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第五十八条 </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lang w:val="en-US" w:eastAsia="zh-CN"/>
        </w:rPr>
        <w:t>公共场所应当通过设置健康教育宣传栏、电子显示装置，建设健康步道、健康主题公园、健康场馆等形式，开展健康促进与教育。</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第五十九条  </w:t>
      </w:r>
      <w:r>
        <w:rPr>
          <w:rFonts w:hint="eastAsia" w:ascii="宋体" w:hAnsi="宋体" w:eastAsia="仿宋_GB2312" w:cs="仿宋_GB2312"/>
          <w:b w:val="0"/>
          <w:bCs w:val="0"/>
          <w:color w:val="000000"/>
          <w:sz w:val="32"/>
          <w:szCs w:val="32"/>
          <w:lang w:eastAsia="zh-CN"/>
        </w:rPr>
        <w:t>鼓励</w:t>
      </w:r>
      <w:r>
        <w:rPr>
          <w:rFonts w:hint="eastAsia" w:ascii="宋体" w:hAnsi="宋体" w:eastAsia="仿宋_GB2312" w:cs="仿宋_GB2312"/>
          <w:color w:val="000000"/>
          <w:sz w:val="32"/>
          <w:szCs w:val="32"/>
          <w:lang w:val="en-US" w:eastAsia="zh-CN"/>
        </w:rPr>
        <w:t>新闻媒体设置健康教育专栏，发布公益健康广告，开展健康知识宣传和教育。</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在传染病流行期间或者突发公共卫生事件发生后，新闻媒体应当及时准确发布信息，正确引导健康防病舆论导向，配合做好相关宣传教育工作。</w:t>
      </w:r>
    </w:p>
    <w:p>
      <w:pPr>
        <w:widowControl w:val="0"/>
        <w:numPr>
          <w:ilvl w:val="0"/>
          <w:numId w:val="0"/>
        </w:numPr>
        <w:wordWrap/>
        <w:overflowPunct w:val="0"/>
        <w:adjustRightInd/>
        <w:snapToGrid/>
        <w:spacing w:beforeAutospacing="0" w:afterAutospacing="0" w:line="560" w:lineRule="exact"/>
        <w:ind w:left="0" w:leftChars="0" w:right="0" w:firstLine="0" w:firstLineChars="0"/>
        <w:textAlignment w:val="auto"/>
        <w:outlineLvl w:val="9"/>
        <w:rPr>
          <w:rFonts w:hint="eastAsia" w:ascii="宋体" w:hAnsi="宋体" w:eastAsia="仿宋_GB2312" w:cs="仿宋_GB2312"/>
          <w:b/>
          <w:bCs/>
          <w:color w:val="00000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第八章  监督管理</w:t>
      </w:r>
    </w:p>
    <w:p>
      <w:pPr>
        <w:pStyle w:val="33"/>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p>
    <w:p>
      <w:pPr>
        <w:widowControl w:val="0"/>
        <w:wordWrap/>
        <w:overflowPunct w:val="0"/>
        <w:adjustRightInd/>
        <w:snapToGrid/>
        <w:spacing w:beforeAutospacing="0" w:afterAutospacing="0" w:line="560" w:lineRule="exact"/>
        <w:ind w:left="0" w:leftChars="0" w:right="0" w:firstLine="0"/>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u w:val="none"/>
          <w:lang w:val="en-US" w:eastAsia="zh-CN"/>
        </w:rPr>
        <w:t xml:space="preserve"> </w:t>
      </w:r>
      <w:r>
        <w:rPr>
          <w:rFonts w:hint="eastAsia" w:ascii="宋体" w:hAnsi="宋体" w:eastAsia="黑体" w:cs="黑体"/>
          <w:color w:val="000000"/>
          <w:kern w:val="2"/>
          <w:sz w:val="32"/>
          <w:szCs w:val="32"/>
          <w:lang w:val="en-US" w:eastAsia="zh-CN" w:bidi="ar-SA"/>
        </w:rPr>
        <w:t xml:space="preserve"> 第六十条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rPr>
        <w:t>各级人民政府应当强化对城乡厕所建设管理工作的监督检查，</w:t>
      </w:r>
      <w:r>
        <w:rPr>
          <w:rFonts w:hint="eastAsia" w:ascii="宋体" w:hAnsi="宋体" w:eastAsia="仿宋_GB2312" w:cs="仿宋_GB2312"/>
          <w:i w:val="0"/>
          <w:iCs w:val="0"/>
          <w:color w:val="000000"/>
          <w:sz w:val="32"/>
          <w:szCs w:val="32"/>
          <w:u w:val="none"/>
          <w:lang w:val="en-US" w:eastAsia="zh-CN"/>
        </w:rPr>
        <w:t>加强对</w:t>
      </w:r>
      <w:r>
        <w:rPr>
          <w:rFonts w:hint="eastAsia" w:ascii="宋体" w:hAnsi="宋体" w:eastAsia="仿宋_GB2312" w:cs="仿宋_GB2312"/>
          <w:color w:val="000000"/>
          <w:sz w:val="32"/>
          <w:szCs w:val="32"/>
        </w:rPr>
        <w:t>厕所建设管理</w:t>
      </w:r>
      <w:r>
        <w:rPr>
          <w:rFonts w:hint="eastAsia" w:ascii="宋体" w:hAnsi="宋体" w:eastAsia="仿宋_GB2312" w:cs="仿宋_GB2312"/>
          <w:color w:val="000000"/>
          <w:sz w:val="32"/>
          <w:szCs w:val="32"/>
          <w:lang w:val="en-US" w:eastAsia="zh-CN"/>
        </w:rPr>
        <w:t>等爱国卫生工作的</w:t>
      </w:r>
      <w:r>
        <w:rPr>
          <w:rFonts w:hint="eastAsia" w:ascii="宋体" w:hAnsi="宋体" w:eastAsia="仿宋_GB2312" w:cs="仿宋_GB2312"/>
          <w:color w:val="000000"/>
          <w:sz w:val="32"/>
          <w:szCs w:val="32"/>
        </w:rPr>
        <w:t>考核</w:t>
      </w:r>
      <w:r>
        <w:rPr>
          <w:rFonts w:hint="eastAsia" w:ascii="宋体" w:hAnsi="宋体" w:eastAsia="仿宋_GB2312" w:cs="仿宋_GB2312"/>
          <w:color w:val="000000"/>
          <w:sz w:val="32"/>
          <w:szCs w:val="32"/>
          <w:lang w:eastAsia="zh-CN"/>
        </w:rPr>
        <w:t>。</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sz w:val="32"/>
          <w:szCs w:val="32"/>
        </w:rPr>
      </w:pPr>
      <w:r>
        <w:rPr>
          <w:rFonts w:hint="eastAsia" w:ascii="宋体" w:hAnsi="宋体" w:eastAsia="黑体" w:cs="黑体"/>
          <w:color w:val="000000"/>
          <w:kern w:val="2"/>
          <w:sz w:val="32"/>
          <w:szCs w:val="32"/>
          <w:lang w:val="en-US" w:eastAsia="zh-CN" w:bidi="ar-SA"/>
        </w:rPr>
        <w:t xml:space="preserve">第六十一条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各级爱卫会应当定期对爱国卫生工作进行指导、检查</w:t>
      </w:r>
      <w:r>
        <w:rPr>
          <w:rFonts w:hint="eastAsia" w:ascii="宋体" w:hAnsi="宋体" w:eastAsia="仿宋_GB2312" w:cs="仿宋_GB2312"/>
          <w:color w:val="000000"/>
          <w:sz w:val="32"/>
          <w:szCs w:val="32"/>
          <w:lang w:val="en-US" w:eastAsia="zh-CN"/>
        </w:rPr>
        <w:t>和监督，</w:t>
      </w:r>
      <w:r>
        <w:rPr>
          <w:rFonts w:hint="eastAsia" w:ascii="宋体" w:hAnsi="宋体" w:eastAsia="仿宋_GB2312" w:cs="仿宋_GB2312"/>
          <w:color w:val="000000"/>
          <w:sz w:val="32"/>
          <w:szCs w:val="32"/>
        </w:rPr>
        <w:t>督促</w:t>
      </w:r>
      <w:r>
        <w:rPr>
          <w:rFonts w:hint="eastAsia" w:ascii="宋体" w:hAnsi="宋体" w:eastAsia="仿宋_GB2312" w:cs="仿宋_GB2312"/>
          <w:color w:val="000000"/>
          <w:sz w:val="32"/>
          <w:szCs w:val="32"/>
          <w:lang w:val="en-US" w:eastAsia="zh-CN"/>
        </w:rPr>
        <w:t>落实爱国卫生措施</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第六十二条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rPr>
        <w:t>爱卫会应当采取部门监督与社会监督相结合、定期检查与随机抽查相结合的方式，开展爱国卫生工作的监督检查，并定期向社会公布监督检查结果。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bCs/>
          <w:color w:val="000000"/>
          <w:sz w:val="32"/>
          <w:szCs w:val="32"/>
        </w:rPr>
      </w:pPr>
      <w:r>
        <w:rPr>
          <w:rFonts w:hint="eastAsia" w:ascii="宋体" w:hAnsi="宋体" w:eastAsia="仿宋_GB2312" w:cs="仿宋_GB2312"/>
          <w:b w:val="0"/>
          <w:bCs w:val="0"/>
          <w:color w:val="000000"/>
          <w:sz w:val="32"/>
          <w:szCs w:val="32"/>
        </w:rPr>
        <w:t>爱卫会可以聘请人大代表、政协委员和社会卫生专业人员、志愿者等担任爱国</w:t>
      </w:r>
      <w:r>
        <w:rPr>
          <w:rFonts w:hint="eastAsia" w:ascii="宋体" w:hAnsi="宋体" w:eastAsia="仿宋_GB2312" w:cs="仿宋_GB2312"/>
          <w:b w:val="0"/>
          <w:bCs w:val="0"/>
          <w:i w:val="0"/>
          <w:iCs w:val="0"/>
          <w:color w:val="000000"/>
          <w:sz w:val="32"/>
          <w:szCs w:val="32"/>
          <w:u w:val="none"/>
        </w:rPr>
        <w:t>卫生义务监</w:t>
      </w:r>
      <w:r>
        <w:rPr>
          <w:rFonts w:hint="eastAsia" w:ascii="宋体" w:hAnsi="宋体" w:eastAsia="仿宋_GB2312" w:cs="仿宋_GB2312"/>
          <w:b w:val="0"/>
          <w:bCs w:val="0"/>
          <w:color w:val="000000"/>
          <w:sz w:val="32"/>
          <w:szCs w:val="32"/>
        </w:rPr>
        <w:t>督员，组织其开展爱国卫生监督，协助有关部门查处违法行为。爱国</w:t>
      </w:r>
      <w:r>
        <w:rPr>
          <w:rFonts w:hint="eastAsia" w:ascii="宋体" w:hAnsi="宋体" w:eastAsia="仿宋_GB2312" w:cs="仿宋_GB2312"/>
          <w:b w:val="0"/>
          <w:bCs w:val="0"/>
          <w:i w:val="0"/>
          <w:iCs w:val="0"/>
          <w:color w:val="000000"/>
          <w:sz w:val="32"/>
          <w:szCs w:val="32"/>
          <w:u w:val="none"/>
        </w:rPr>
        <w:t>卫生义务监督</w:t>
      </w:r>
      <w:r>
        <w:rPr>
          <w:rFonts w:hint="eastAsia" w:ascii="宋体" w:hAnsi="宋体" w:eastAsia="仿宋_GB2312" w:cs="仿宋_GB2312"/>
          <w:b w:val="0"/>
          <w:bCs w:val="0"/>
          <w:color w:val="000000"/>
          <w:sz w:val="32"/>
          <w:szCs w:val="32"/>
        </w:rPr>
        <w:t>员在进行监督检查时，应当佩戴标志或者出示证件。</w:t>
      </w:r>
    </w:p>
    <w:p>
      <w:pPr>
        <w:widowControl w:val="0"/>
        <w:shd w:val="clear" w:color="auto" w:fill="auto"/>
        <w:wordWrap/>
        <w:overflowPunct w:val="0"/>
        <w:adjustRightInd/>
        <w:snapToGrid/>
        <w:spacing w:beforeAutospacing="0" w:afterAutospacing="0" w:line="560" w:lineRule="exact"/>
        <w:ind w:left="0" w:leftChars="0" w:right="0" w:firstLine="640"/>
        <w:jc w:val="left"/>
        <w:textAlignment w:val="auto"/>
        <w:outlineLvl w:val="9"/>
        <w:rPr>
          <w:rFonts w:hint="eastAsia" w:ascii="宋体" w:hAnsi="宋体" w:eastAsia="仿宋_GB2312" w:cs="仿宋_GB2312"/>
          <w:b w:val="0"/>
          <w:bCs w:val="0"/>
          <w:i w:val="0"/>
          <w:caps w:val="0"/>
          <w:color w:val="000000"/>
          <w:spacing w:val="0"/>
          <w:kern w:val="0"/>
          <w:sz w:val="32"/>
          <w:szCs w:val="32"/>
          <w:shd w:val="clear" w:color="080000" w:fill="FFFFFF"/>
          <w:lang w:val="en-US" w:eastAsia="zh-CN"/>
        </w:rPr>
      </w:pPr>
      <w:r>
        <w:rPr>
          <w:rFonts w:hint="eastAsia" w:ascii="宋体" w:hAnsi="宋体" w:eastAsia="黑体" w:cs="黑体"/>
          <w:color w:val="000000"/>
          <w:kern w:val="2"/>
          <w:sz w:val="32"/>
          <w:szCs w:val="32"/>
          <w:lang w:val="en-US" w:eastAsia="zh-CN" w:bidi="ar-SA"/>
        </w:rPr>
        <w:t xml:space="preserve">第六十三条  </w:t>
      </w:r>
      <w:r>
        <w:rPr>
          <w:rFonts w:hint="eastAsia" w:ascii="宋体" w:hAnsi="宋体" w:eastAsia="仿宋_GB2312" w:cs="仿宋_GB2312"/>
          <w:b w:val="0"/>
          <w:bCs w:val="0"/>
          <w:i w:val="0"/>
          <w:iCs w:val="0"/>
          <w:caps w:val="0"/>
          <w:color w:val="000000"/>
          <w:spacing w:val="0"/>
          <w:kern w:val="0"/>
          <w:sz w:val="32"/>
          <w:szCs w:val="32"/>
          <w:u w:val="none"/>
          <w:shd w:val="clear" w:color="080000" w:fill="FFFFFF"/>
          <w:lang w:val="en-US" w:eastAsia="zh-CN"/>
        </w:rPr>
        <w:t>任何单位和个人都有权举报</w:t>
      </w:r>
      <w:r>
        <w:rPr>
          <w:rFonts w:hint="eastAsia" w:ascii="宋体" w:hAnsi="宋体" w:eastAsia="仿宋_GB2312" w:cs="仿宋_GB2312"/>
          <w:b w:val="0"/>
          <w:bCs w:val="0"/>
          <w:i w:val="0"/>
          <w:caps w:val="0"/>
          <w:color w:val="000000"/>
          <w:spacing w:val="0"/>
          <w:kern w:val="0"/>
          <w:sz w:val="32"/>
          <w:szCs w:val="32"/>
          <w:shd w:val="clear" w:color="080000" w:fill="FFFFFF"/>
          <w:lang w:val="en-US" w:eastAsia="zh-CN"/>
        </w:rPr>
        <w:t>违反本条例规定的行为。</w:t>
      </w:r>
    </w:p>
    <w:p>
      <w:pPr>
        <w:widowControl w:val="0"/>
        <w:shd w:val="clear" w:color="auto" w:fill="auto"/>
        <w:wordWrap/>
        <w:overflowPunct w:val="0"/>
        <w:adjustRightInd/>
        <w:snapToGrid/>
        <w:spacing w:beforeAutospacing="0" w:afterAutospacing="0" w:line="560" w:lineRule="exact"/>
        <w:ind w:left="0" w:leftChars="0" w:right="0" w:firstLine="640"/>
        <w:jc w:val="left"/>
        <w:textAlignment w:val="auto"/>
        <w:outlineLvl w:val="9"/>
        <w:rPr>
          <w:rFonts w:hint="eastAsia" w:ascii="宋体" w:hAnsi="宋体" w:eastAsia="仿宋_GB2312" w:cs="仿宋_GB2312"/>
          <w:b w:val="0"/>
          <w:bCs w:val="0"/>
          <w:i w:val="0"/>
          <w:caps w:val="0"/>
          <w:color w:val="000000"/>
          <w:spacing w:val="0"/>
          <w:kern w:val="0"/>
          <w:sz w:val="32"/>
          <w:szCs w:val="32"/>
          <w:shd w:val="clear" w:color="080000" w:fill="FFFFFF"/>
          <w:lang w:val="en-US" w:eastAsia="zh-CN"/>
        </w:rPr>
      </w:pPr>
      <w:r>
        <w:rPr>
          <w:rFonts w:hint="eastAsia" w:ascii="宋体" w:hAnsi="宋体" w:eastAsia="仿宋_GB2312" w:cs="仿宋_GB2312"/>
          <w:b w:val="0"/>
          <w:bCs w:val="0"/>
          <w:i w:val="0"/>
          <w:caps w:val="0"/>
          <w:color w:val="000000"/>
          <w:spacing w:val="0"/>
          <w:kern w:val="0"/>
          <w:sz w:val="32"/>
          <w:szCs w:val="32"/>
          <w:shd w:val="clear" w:color="080000" w:fill="FFFFFF"/>
          <w:lang w:val="en-US" w:eastAsia="zh-CN"/>
        </w:rPr>
        <w:t>爱卫会应当建立举报制度，公开举报电话、信箱或者电子邮件地址；爱卫会及其成员单位对举报事项应当及时处理。</w:t>
      </w:r>
    </w:p>
    <w:p>
      <w:pPr>
        <w:widowControl w:val="0"/>
        <w:shd w:val="clear" w:color="auto" w:fill="auto"/>
        <w:wordWrap/>
        <w:overflowPunct w:val="0"/>
        <w:adjustRightInd/>
        <w:snapToGrid/>
        <w:spacing w:beforeAutospacing="0" w:afterAutospacing="0" w:line="560" w:lineRule="exact"/>
        <w:ind w:left="0" w:leftChars="0" w:right="0" w:firstLine="0"/>
        <w:jc w:val="center"/>
        <w:textAlignment w:val="auto"/>
        <w:outlineLvl w:val="9"/>
        <w:rPr>
          <w:rFonts w:hint="eastAsia" w:ascii="宋体" w:hAnsi="宋体" w:eastAsia="仿宋_GB2312" w:cs="仿宋_GB2312"/>
          <w:b w:val="0"/>
          <w:bCs w:val="0"/>
          <w:i w:val="0"/>
          <w:caps w:val="0"/>
          <w:color w:val="000000"/>
          <w:spacing w:val="0"/>
          <w:kern w:val="2"/>
          <w:sz w:val="32"/>
          <w:szCs w:val="32"/>
          <w:u w:val="none"/>
          <w:shd w:val="clear" w:color="auto" w:fill="auto"/>
          <w:lang w:val="en-US" w:eastAsia="zh-CN"/>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第九章  法律责任</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sz w:val="32"/>
          <w:szCs w:val="32"/>
          <w:lang w:val="en-US" w:eastAsia="zh-CN"/>
        </w:rPr>
      </w:pP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第六十四条</w:t>
      </w:r>
      <w:r>
        <w:rPr>
          <w:rFonts w:hint="eastAsia" w:ascii="宋体" w:hAnsi="宋体" w:eastAsia="仿宋_GB2312" w:cs="仿宋_GB2312"/>
          <w:color w:val="000000"/>
          <w:sz w:val="32"/>
          <w:szCs w:val="32"/>
          <w:lang w:val="en-US" w:eastAsia="zh-CN"/>
        </w:rPr>
        <w:t xml:space="preserve">  单位违反本条例第</w:t>
      </w:r>
      <w:r>
        <w:rPr>
          <w:rFonts w:hint="eastAsia" w:ascii="宋体" w:hAnsi="宋体" w:eastAsia="仿宋_GB2312" w:cs="仿宋_GB2312"/>
          <w:i w:val="0"/>
          <w:iCs w:val="0"/>
          <w:color w:val="000000"/>
          <w:sz w:val="32"/>
          <w:szCs w:val="32"/>
          <w:u w:val="none"/>
          <w:lang w:val="en-US" w:eastAsia="zh-CN"/>
        </w:rPr>
        <w:t>十</w:t>
      </w:r>
      <w:r>
        <w:rPr>
          <w:rFonts w:hint="eastAsia" w:ascii="宋体" w:hAnsi="宋体" w:eastAsia="仿宋_GB2312" w:cs="仿宋_GB2312"/>
          <w:color w:val="000000"/>
          <w:sz w:val="32"/>
          <w:szCs w:val="32"/>
          <w:lang w:val="en-US" w:eastAsia="zh-CN"/>
        </w:rPr>
        <w:t>条规定，未建立卫生管理制度、</w:t>
      </w:r>
      <w:r>
        <w:rPr>
          <w:rFonts w:hint="eastAsia" w:ascii="宋体" w:hAnsi="宋体" w:eastAsia="仿宋_GB2312" w:cs="仿宋_GB2312"/>
          <w:i w:val="0"/>
          <w:iCs w:val="0"/>
          <w:color w:val="000000"/>
          <w:sz w:val="32"/>
          <w:szCs w:val="32"/>
          <w:u w:val="none"/>
          <w:lang w:val="en-US" w:eastAsia="zh-CN"/>
        </w:rPr>
        <w:t>确定责任人或者</w:t>
      </w:r>
      <w:r>
        <w:rPr>
          <w:rFonts w:hint="eastAsia" w:ascii="宋体" w:hAnsi="宋体" w:eastAsia="仿宋_GB2312" w:cs="仿宋_GB2312"/>
          <w:color w:val="000000"/>
          <w:sz w:val="32"/>
          <w:szCs w:val="32"/>
          <w:lang w:val="en-US" w:eastAsia="zh-CN"/>
        </w:rPr>
        <w:t>配备卫生设施，室内外环境卫生未达到规定标准的，由县级以上负责城市市容环境卫生工作的主管部门或者政府指定的主管部门责令限期改正；逾期不改的，处一千元以上五千元以下罚款。</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第六十五条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违反本条例第</w:t>
      </w:r>
      <w:r>
        <w:rPr>
          <w:rFonts w:hint="eastAsia" w:ascii="宋体" w:hAnsi="宋体" w:eastAsia="仿宋_GB2312" w:cs="仿宋_GB2312"/>
          <w:i w:val="0"/>
          <w:iCs w:val="0"/>
          <w:color w:val="000000"/>
          <w:sz w:val="32"/>
          <w:szCs w:val="32"/>
          <w:u w:val="none"/>
          <w:lang w:val="en-US" w:eastAsia="zh-CN"/>
        </w:rPr>
        <w:t>十七</w:t>
      </w:r>
      <w:r>
        <w:rPr>
          <w:rFonts w:hint="eastAsia" w:ascii="宋体" w:hAnsi="宋体" w:eastAsia="仿宋_GB2312" w:cs="仿宋_GB2312"/>
          <w:color w:val="000000"/>
          <w:sz w:val="32"/>
          <w:szCs w:val="32"/>
        </w:rPr>
        <w:t>条规定的，由县级以上</w:t>
      </w:r>
      <w:r>
        <w:rPr>
          <w:rFonts w:hint="eastAsia" w:ascii="宋体" w:hAnsi="宋体" w:eastAsia="仿宋_GB2312" w:cs="仿宋_GB2312"/>
          <w:color w:val="000000"/>
          <w:sz w:val="32"/>
          <w:szCs w:val="32"/>
          <w:lang w:eastAsia="zh-CN"/>
        </w:rPr>
        <w:t>负责城市</w:t>
      </w:r>
      <w:r>
        <w:rPr>
          <w:rFonts w:hint="eastAsia" w:ascii="宋体" w:hAnsi="宋体" w:eastAsia="仿宋_GB2312" w:cs="仿宋_GB2312"/>
          <w:color w:val="000000"/>
          <w:sz w:val="32"/>
          <w:szCs w:val="32"/>
        </w:rPr>
        <w:t>市容环境卫生</w:t>
      </w:r>
      <w:r>
        <w:rPr>
          <w:rFonts w:hint="eastAsia" w:ascii="宋体" w:hAnsi="宋体" w:eastAsia="仿宋_GB2312" w:cs="仿宋_GB2312"/>
          <w:color w:val="000000"/>
          <w:sz w:val="32"/>
          <w:szCs w:val="32"/>
          <w:lang w:eastAsia="zh-CN"/>
        </w:rPr>
        <w:t>工作的</w:t>
      </w:r>
      <w:r>
        <w:rPr>
          <w:rFonts w:hint="eastAsia" w:ascii="宋体" w:hAnsi="宋体" w:eastAsia="仿宋_GB2312" w:cs="仿宋_GB2312"/>
          <w:i w:val="0"/>
          <w:iCs w:val="0"/>
          <w:color w:val="000000"/>
          <w:sz w:val="32"/>
          <w:szCs w:val="32"/>
          <w:u w:val="none" w:color="auto"/>
          <w:lang w:eastAsia="zh-CN"/>
        </w:rPr>
        <w:t>主管</w:t>
      </w:r>
      <w:r>
        <w:rPr>
          <w:rFonts w:hint="eastAsia" w:ascii="宋体" w:hAnsi="宋体" w:eastAsia="仿宋_GB2312" w:cs="仿宋_GB2312"/>
          <w:color w:val="000000"/>
          <w:sz w:val="32"/>
          <w:szCs w:val="32"/>
        </w:rPr>
        <w:t>部门责令限期改正，逾期不改的，处一千元以上五千元以下罚款；情节严重的，由建设</w:t>
      </w:r>
      <w:r>
        <w:rPr>
          <w:rFonts w:hint="eastAsia" w:ascii="宋体" w:hAnsi="宋体" w:eastAsia="仿宋_GB2312" w:cs="仿宋_GB2312"/>
          <w:i w:val="0"/>
          <w:iCs w:val="0"/>
          <w:color w:val="000000"/>
          <w:sz w:val="32"/>
          <w:szCs w:val="32"/>
          <w:u w:val="none" w:color="auto"/>
          <w:lang w:eastAsia="zh-CN"/>
        </w:rPr>
        <w:t>主管</w:t>
      </w:r>
      <w:r>
        <w:rPr>
          <w:rFonts w:hint="eastAsia" w:ascii="宋体" w:hAnsi="宋体" w:eastAsia="仿宋_GB2312" w:cs="仿宋_GB2312"/>
          <w:color w:val="000000"/>
          <w:sz w:val="32"/>
          <w:szCs w:val="32"/>
        </w:rPr>
        <w:t>部门责令其停工整顿。</w:t>
      </w:r>
    </w:p>
    <w:p>
      <w:pPr>
        <w:pStyle w:val="33"/>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color w:val="000000"/>
          <w:kern w:val="2"/>
          <w:sz w:val="32"/>
          <w:szCs w:val="32"/>
          <w:lang w:val="en-US" w:eastAsia="zh-CN" w:bidi="ar-SA"/>
        </w:rPr>
        <w:t xml:space="preserve">第六十六条 </w:t>
      </w:r>
      <w:r>
        <w:rPr>
          <w:rFonts w:hint="eastAsia" w:ascii="宋体" w:hAnsi="宋体" w:eastAsia="仿宋_GB2312" w:cs="仿宋_GB2312"/>
          <w:i w:val="0"/>
          <w:iCs w:val="0"/>
          <w:color w:val="000000"/>
          <w:sz w:val="32"/>
          <w:szCs w:val="32"/>
          <w:u w:val="none"/>
          <w:lang w:val="en-US" w:eastAsia="zh-CN"/>
        </w:rPr>
        <w:t xml:space="preserve"> 个人违反本条例第二十二条规定的，由县级以上</w:t>
      </w:r>
      <w:r>
        <w:rPr>
          <w:rFonts w:hint="eastAsia" w:ascii="宋体" w:hAnsi="宋体" w:eastAsia="仿宋_GB2312" w:cs="仿宋_GB2312"/>
          <w:color w:val="000000"/>
          <w:sz w:val="32"/>
          <w:szCs w:val="32"/>
          <w:lang w:eastAsia="zh-CN"/>
        </w:rPr>
        <w:t>负责城市</w:t>
      </w:r>
      <w:r>
        <w:rPr>
          <w:rFonts w:hint="eastAsia" w:ascii="宋体" w:hAnsi="宋体" w:eastAsia="仿宋_GB2312" w:cs="仿宋_GB2312"/>
          <w:i w:val="0"/>
          <w:iCs w:val="0"/>
          <w:color w:val="000000"/>
          <w:sz w:val="32"/>
          <w:szCs w:val="32"/>
          <w:u w:val="none"/>
          <w:lang w:val="en-US" w:eastAsia="zh-CN"/>
        </w:rPr>
        <w:t>市容环境卫生工作的主管部门或者政府指定的主管部门责令改正，处一百元以上五百元以下罚款。</w:t>
      </w:r>
    </w:p>
    <w:p>
      <w:pPr>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i w:val="0"/>
          <w:iCs w:val="0"/>
          <w:color w:val="auto"/>
          <w:kern w:val="2"/>
          <w:sz w:val="32"/>
          <w:szCs w:val="32"/>
          <w:u w:val="none"/>
          <w:lang w:val="en-US" w:eastAsia="zh-CN"/>
        </w:rPr>
      </w:pPr>
      <w:r>
        <w:rPr>
          <w:rFonts w:hint="eastAsia" w:ascii="宋体" w:hAnsi="宋体" w:eastAsia="黑体" w:cs="黑体"/>
          <w:color w:val="000000"/>
          <w:kern w:val="2"/>
          <w:sz w:val="32"/>
          <w:szCs w:val="32"/>
          <w:lang w:val="en-US" w:eastAsia="zh-CN" w:bidi="ar-SA"/>
        </w:rPr>
        <w:t>第六十七条</w:t>
      </w:r>
      <w:r>
        <w:rPr>
          <w:rFonts w:hint="eastAsia" w:ascii="宋体" w:hAnsi="宋体" w:eastAsia="仿宋_GB2312" w:cs="仿宋_GB2312"/>
          <w:i w:val="0"/>
          <w:iCs w:val="0"/>
          <w:color w:val="000000"/>
          <w:sz w:val="32"/>
          <w:szCs w:val="32"/>
          <w:u w:val="none"/>
          <w:lang w:val="en-US" w:eastAsia="zh-CN"/>
        </w:rPr>
        <w:t xml:space="preserve">  </w:t>
      </w:r>
      <w:r>
        <w:rPr>
          <w:rFonts w:hint="eastAsia" w:ascii="宋体" w:hAnsi="宋体" w:eastAsia="仿宋_GB2312" w:cs="仿宋_GB2312"/>
          <w:i w:val="0"/>
          <w:iCs w:val="0"/>
          <w:color w:val="auto"/>
          <w:kern w:val="2"/>
          <w:sz w:val="32"/>
          <w:szCs w:val="32"/>
          <w:u w:val="none"/>
          <w:lang w:val="en-US" w:eastAsia="zh-CN"/>
        </w:rPr>
        <w:t>违反本条例第二十三条第一款规定，饲养家禽家畜</w:t>
      </w:r>
      <w:r>
        <w:rPr>
          <w:rFonts w:hint="eastAsia" w:ascii="宋体" w:hAnsi="宋体" w:eastAsia="仿宋_GB2312" w:cs="仿宋_GB2312"/>
          <w:i w:val="0"/>
          <w:iCs w:val="0"/>
          <w:color w:val="auto"/>
          <w:sz w:val="32"/>
          <w:szCs w:val="32"/>
          <w:u w:val="none"/>
          <w:lang w:val="en-US" w:eastAsia="zh-CN"/>
        </w:rPr>
        <w:t>影响市容和环境卫生的，</w:t>
      </w:r>
      <w:r>
        <w:rPr>
          <w:rFonts w:hint="eastAsia" w:ascii="宋体" w:hAnsi="宋体" w:eastAsia="仿宋_GB2312" w:cs="仿宋_GB2312"/>
          <w:i w:val="0"/>
          <w:iCs w:val="0"/>
          <w:color w:val="auto"/>
          <w:kern w:val="2"/>
          <w:sz w:val="32"/>
          <w:szCs w:val="32"/>
          <w:u w:val="none"/>
          <w:lang w:val="en-US" w:eastAsia="zh-CN"/>
        </w:rPr>
        <w:t>由县级以上负责城市市容环境卫生工作的主管部门或者其委托的单位，责令其限期处理或者予以没收，处五十元以上二百元以下罚款。</w:t>
      </w:r>
    </w:p>
    <w:p>
      <w:pPr>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i w:val="0"/>
          <w:iCs w:val="0"/>
          <w:color w:val="auto"/>
          <w:kern w:val="2"/>
          <w:sz w:val="32"/>
          <w:szCs w:val="32"/>
          <w:u w:val="none"/>
          <w:lang w:val="en-US" w:eastAsia="zh-CN"/>
        </w:rPr>
      </w:pPr>
      <w:r>
        <w:rPr>
          <w:rFonts w:hint="eastAsia" w:ascii="宋体" w:hAnsi="宋体" w:eastAsia="仿宋_GB2312" w:cs="仿宋_GB2312"/>
          <w:i w:val="0"/>
          <w:iCs w:val="0"/>
          <w:color w:val="auto"/>
          <w:kern w:val="2"/>
          <w:sz w:val="32"/>
          <w:szCs w:val="32"/>
          <w:u w:val="none"/>
          <w:lang w:val="en-US" w:eastAsia="zh-CN"/>
        </w:rPr>
        <w:t>违反本条例第二十三条第二款规定的，由公安机关或者政府指定的主管部门责令改正，处五十元以上二百元以下罚款。</w:t>
      </w:r>
    </w:p>
    <w:p>
      <w:pPr>
        <w:pStyle w:val="33"/>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黑体" w:cs="黑体"/>
          <w:color w:val="000000"/>
          <w:kern w:val="2"/>
          <w:sz w:val="32"/>
          <w:szCs w:val="32"/>
          <w:lang w:val="en-US" w:eastAsia="zh-CN" w:bidi="ar-SA"/>
        </w:rPr>
        <w:t xml:space="preserve">第六十八条 </w:t>
      </w:r>
      <w:r>
        <w:rPr>
          <w:rFonts w:hint="eastAsia" w:ascii="宋体" w:hAnsi="宋体" w:eastAsia="仿宋_GB2312" w:cs="仿宋_GB2312"/>
          <w:i w:val="0"/>
          <w:iCs w:val="0"/>
          <w:color w:val="000000"/>
          <w:sz w:val="32"/>
          <w:szCs w:val="32"/>
          <w:u w:val="none"/>
          <w:lang w:val="en-US" w:eastAsia="zh-CN"/>
        </w:rPr>
        <w:t xml:space="preserve"> 违反本条例第二十四条第一款规定，携带未免疫饲养动物外出的，由公安机关或者政府指定的主管部门责令改正，对单位处二千元以上五千元以下罚款，对个人处五百元以上一千元以下罚款。</w:t>
      </w:r>
    </w:p>
    <w:p>
      <w:pPr>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i w:val="0"/>
          <w:iCs w:val="0"/>
          <w:color w:val="auto"/>
          <w:sz w:val="32"/>
          <w:szCs w:val="32"/>
          <w:u w:val="none"/>
          <w:lang w:val="en-US" w:eastAsia="zh-CN"/>
        </w:rPr>
      </w:pPr>
      <w:r>
        <w:rPr>
          <w:rFonts w:hint="eastAsia" w:ascii="宋体" w:hAnsi="宋体" w:eastAsia="仿宋_GB2312" w:cs="仿宋_GB2312"/>
          <w:i w:val="0"/>
          <w:iCs w:val="0"/>
          <w:color w:val="auto"/>
          <w:sz w:val="32"/>
          <w:szCs w:val="32"/>
          <w:u w:val="none"/>
          <w:lang w:val="en-US" w:eastAsia="zh-CN"/>
        </w:rPr>
        <w:t>违反本条例第二十四条第二款规定，未即时清理动物的粪便等排泄物，污染市容环境卫生的，由县级以上负责城市市容环境卫生工作的主管部门或者政府指定的主管部门责令改正，清除污物，处五十元以上二百元以下罚款。除未即时清理动物的粪便等排泄物外，违反本条例第二十四条第二款规定的，由公安机关或者政府指定的主管部门责令改正，对单位处一千元以上二千元以下罚款，对个人处五十元以上二百元以下罚款。</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黑体" w:cs="黑体"/>
          <w:color w:val="000000"/>
          <w:kern w:val="2"/>
          <w:sz w:val="32"/>
          <w:szCs w:val="32"/>
          <w:lang w:val="en-US" w:eastAsia="zh-CN" w:bidi="ar-SA"/>
        </w:rPr>
        <w:t>第六十九条</w:t>
      </w:r>
      <w:r>
        <w:rPr>
          <w:rFonts w:hint="eastAsia" w:ascii="宋体" w:hAnsi="宋体" w:eastAsia="仿宋_GB2312" w:cs="仿宋_GB2312"/>
          <w:i w:val="0"/>
          <w:iCs w:val="0"/>
          <w:color w:val="000000"/>
          <w:sz w:val="32"/>
          <w:szCs w:val="32"/>
          <w:u w:val="none"/>
          <w:lang w:val="en-US" w:eastAsia="zh-CN"/>
        </w:rPr>
        <w:t xml:space="preserve">  违反本条例第四十二条规定的，由县级以上卫生健康主管部门或者政府指定的主管部门给予警告，限期改正；逾期不改的，对单位处五百元以上一千元以下罚款，对住户处</w:t>
      </w:r>
      <w:r>
        <w:rPr>
          <w:rFonts w:hint="eastAsia" w:ascii="宋体" w:hAnsi="宋体" w:eastAsia="仿宋_GB2312" w:cs="仿宋_GB2312"/>
          <w:i w:val="0"/>
          <w:iCs w:val="0"/>
          <w:color w:val="auto"/>
          <w:kern w:val="2"/>
          <w:sz w:val="32"/>
          <w:szCs w:val="32"/>
          <w:u w:val="none"/>
          <w:lang w:val="en-US" w:eastAsia="zh-CN"/>
        </w:rPr>
        <w:t>五十元以上</w:t>
      </w:r>
      <w:r>
        <w:rPr>
          <w:rFonts w:hint="eastAsia" w:ascii="宋体" w:hAnsi="宋体" w:eastAsia="仿宋_GB2312" w:cs="仿宋_GB2312"/>
          <w:i w:val="0"/>
          <w:iCs w:val="0"/>
          <w:color w:val="000000"/>
          <w:sz w:val="32"/>
          <w:szCs w:val="32"/>
          <w:u w:val="none"/>
          <w:lang w:val="en-US" w:eastAsia="zh-CN"/>
        </w:rPr>
        <w:t>一百元以下罚款。</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第七十条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违反本条例第</w:t>
      </w:r>
      <w:r>
        <w:rPr>
          <w:rFonts w:hint="eastAsia" w:ascii="宋体" w:hAnsi="宋体" w:eastAsia="仿宋_GB2312" w:cs="仿宋_GB2312"/>
          <w:i w:val="0"/>
          <w:iCs w:val="0"/>
          <w:color w:val="000000"/>
          <w:sz w:val="32"/>
          <w:szCs w:val="32"/>
          <w:u w:val="none"/>
          <w:lang w:eastAsia="zh-CN"/>
        </w:rPr>
        <w:t>四十三</w:t>
      </w:r>
      <w:r>
        <w:rPr>
          <w:rFonts w:hint="eastAsia" w:ascii="宋体" w:hAnsi="宋体" w:eastAsia="仿宋_GB2312" w:cs="仿宋_GB2312"/>
          <w:color w:val="000000"/>
          <w:sz w:val="32"/>
          <w:szCs w:val="32"/>
        </w:rPr>
        <w:t>条</w:t>
      </w:r>
      <w:r>
        <w:rPr>
          <w:rFonts w:hint="eastAsia" w:ascii="宋体" w:hAnsi="宋体" w:eastAsia="仿宋_GB2312" w:cs="仿宋_GB2312"/>
          <w:color w:val="000000"/>
          <w:sz w:val="32"/>
          <w:szCs w:val="32"/>
          <w:lang w:eastAsia="zh-CN"/>
        </w:rPr>
        <w:t>、第四十四条</w:t>
      </w:r>
      <w:r>
        <w:rPr>
          <w:rFonts w:hint="eastAsia" w:ascii="宋体" w:hAnsi="宋体" w:eastAsia="仿宋_GB2312" w:cs="仿宋_GB2312"/>
          <w:color w:val="000000"/>
          <w:sz w:val="32"/>
          <w:szCs w:val="32"/>
        </w:rPr>
        <w:t>规定的，由县级以上卫生</w:t>
      </w:r>
      <w:r>
        <w:rPr>
          <w:rFonts w:hint="eastAsia" w:ascii="宋体" w:hAnsi="宋体" w:eastAsia="仿宋_GB2312" w:cs="仿宋_GB2312"/>
          <w:i w:val="0"/>
          <w:iCs w:val="0"/>
          <w:color w:val="000000"/>
          <w:sz w:val="32"/>
          <w:szCs w:val="32"/>
          <w:u w:val="none" w:color="auto"/>
          <w:lang w:eastAsia="zh-CN"/>
        </w:rPr>
        <w:t>健康主管</w:t>
      </w:r>
      <w:r>
        <w:rPr>
          <w:rFonts w:hint="eastAsia" w:ascii="宋体" w:hAnsi="宋体" w:eastAsia="仿宋_GB2312" w:cs="仿宋_GB2312"/>
          <w:color w:val="000000"/>
          <w:sz w:val="32"/>
          <w:szCs w:val="32"/>
        </w:rPr>
        <w:t>部门或者政府指定的</w:t>
      </w:r>
      <w:r>
        <w:rPr>
          <w:rFonts w:hint="eastAsia" w:ascii="宋体" w:hAnsi="宋体" w:eastAsia="仿宋_GB2312" w:cs="仿宋_GB2312"/>
          <w:i w:val="0"/>
          <w:iCs w:val="0"/>
          <w:color w:val="000000"/>
          <w:sz w:val="32"/>
          <w:szCs w:val="32"/>
          <w:u w:val="none" w:color="auto"/>
          <w:lang w:eastAsia="zh-CN"/>
        </w:rPr>
        <w:t>主管</w:t>
      </w:r>
      <w:r>
        <w:rPr>
          <w:rFonts w:hint="eastAsia" w:ascii="宋体" w:hAnsi="宋体" w:eastAsia="仿宋_GB2312" w:cs="仿宋_GB2312"/>
          <w:color w:val="000000"/>
          <w:sz w:val="32"/>
          <w:szCs w:val="32"/>
        </w:rPr>
        <w:t>部门责令</w:t>
      </w:r>
      <w:r>
        <w:rPr>
          <w:rFonts w:hint="eastAsia" w:ascii="宋体" w:hAnsi="宋体" w:eastAsia="仿宋_GB2312" w:cs="仿宋_GB2312"/>
          <w:color w:val="000000"/>
          <w:sz w:val="32"/>
          <w:szCs w:val="32"/>
          <w:lang w:eastAsia="zh-CN"/>
        </w:rPr>
        <w:t>限期</w:t>
      </w:r>
      <w:r>
        <w:rPr>
          <w:rFonts w:hint="eastAsia" w:ascii="宋体" w:hAnsi="宋体" w:eastAsia="仿宋_GB2312" w:cs="仿宋_GB2312"/>
          <w:color w:val="000000"/>
          <w:sz w:val="32"/>
          <w:szCs w:val="32"/>
        </w:rPr>
        <w:t>改正；逾期不改的，处一千元以上一万元以下罚款。</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第七十一条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各级人民政府、各级爱卫会及其成员单位，违反本条例规定未依法履行职责的，由其上级机关责令改正；情节严重或者造成严重后果的，由有关机关对主管人员和其他直接责任人员依法给予处分。</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第七十二条</w:t>
      </w:r>
      <w:r>
        <w:rPr>
          <w:rFonts w:hint="eastAsia" w:ascii="宋体" w:hAnsi="宋体" w:eastAsia="仿宋_GB2312" w:cs="仿宋_GB2312"/>
          <w:i w:val="0"/>
          <w:iCs w:val="0"/>
          <w:color w:val="0C0C0C"/>
          <w:sz w:val="32"/>
          <w:szCs w:val="32"/>
          <w:u w:val="none" w:color="auto"/>
          <w:shd w:val="clear" w:color="auto" w:fill="auto"/>
          <w:lang w:val="en-US" w:eastAsia="zh-CN"/>
        </w:rPr>
        <w:t xml:space="preserve">  违反公共场所控制吸烟规定的法律责任，由</w:t>
      </w:r>
      <w:r>
        <w:rPr>
          <w:rFonts w:hint="eastAsia" w:ascii="宋体" w:hAnsi="宋体" w:eastAsia="仿宋_GB2312" w:cs="仿宋_GB2312"/>
          <w:color w:val="000000"/>
          <w:sz w:val="32"/>
          <w:szCs w:val="32"/>
          <w:lang w:val="en-US" w:eastAsia="zh-CN"/>
        </w:rPr>
        <w:t>地级以上</w:t>
      </w:r>
      <w:r>
        <w:rPr>
          <w:rFonts w:hint="eastAsia" w:ascii="宋体" w:hAnsi="宋体" w:eastAsia="仿宋_GB2312" w:cs="仿宋_GB2312"/>
          <w:color w:val="000000"/>
          <w:sz w:val="32"/>
          <w:szCs w:val="32"/>
          <w:lang w:eastAsia="zh-CN"/>
        </w:rPr>
        <w:t>市结合本地实际作出具体规定。</w:t>
      </w:r>
    </w:p>
    <w:p>
      <w:pPr>
        <w:pStyle w:val="33"/>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第十章  附则</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p>
    <w:p>
      <w:pPr>
        <w:widowControl w:val="0"/>
        <w:wordWrap/>
        <w:overflowPunct w:val="0"/>
        <w:spacing w:beforeAutospacing="0" w:afterAutospacing="0" w:line="560" w:lineRule="exact"/>
        <w:ind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第七十三条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本条例自</w:t>
      </w:r>
      <w:r>
        <w:rPr>
          <w:rFonts w:hint="eastAsia" w:ascii="宋体" w:hAnsi="宋体" w:cs="仿宋_GB2312"/>
          <w:color w:val="000000"/>
          <w:sz w:val="32"/>
          <w:szCs w:val="32"/>
          <w:lang w:val="en-US" w:eastAsia="zh-CN"/>
        </w:rPr>
        <w:t>2019</w:t>
      </w:r>
      <w:r>
        <w:rPr>
          <w:rFonts w:hint="eastAsia" w:ascii="宋体" w:hAnsi="宋体" w:eastAsia="仿宋_GB2312" w:cs="仿宋_GB2312"/>
          <w:color w:val="000000"/>
          <w:sz w:val="32"/>
          <w:szCs w:val="32"/>
        </w:rPr>
        <w:t>年</w:t>
      </w:r>
      <w:r>
        <w:rPr>
          <w:rFonts w:hint="eastAsia" w:ascii="宋体" w:hAnsi="宋体" w:cs="仿宋_GB2312"/>
          <w:color w:val="000000"/>
          <w:sz w:val="32"/>
          <w:szCs w:val="32"/>
          <w:lang w:val="en-US" w:eastAsia="zh-CN"/>
        </w:rPr>
        <w:t>1</w:t>
      </w:r>
      <w:r>
        <w:rPr>
          <w:rFonts w:hint="eastAsia" w:ascii="宋体" w:hAnsi="宋体" w:eastAsia="仿宋_GB2312" w:cs="仿宋_GB2312"/>
          <w:color w:val="000000"/>
          <w:sz w:val="32"/>
          <w:szCs w:val="32"/>
        </w:rPr>
        <w:t>月</w:t>
      </w:r>
      <w:r>
        <w:rPr>
          <w:rFonts w:hint="eastAsia" w:ascii="宋体" w:hAnsi="宋体" w:cs="仿宋_GB2312"/>
          <w:color w:val="000000"/>
          <w:sz w:val="32"/>
          <w:szCs w:val="32"/>
          <w:lang w:val="en-US" w:eastAsia="zh-CN"/>
        </w:rPr>
        <w:t>1</w:t>
      </w:r>
      <w:r>
        <w:rPr>
          <w:rFonts w:hint="eastAsia" w:ascii="宋体" w:hAnsi="宋体" w:eastAsia="仿宋_GB2312" w:cs="仿宋_GB2312"/>
          <w:color w:val="000000"/>
          <w:sz w:val="32"/>
          <w:szCs w:val="32"/>
        </w:rPr>
        <w:t>日起施行。</w:t>
      </w:r>
    </w:p>
    <w:p>
      <w:pPr>
        <w:widowControl w:val="0"/>
        <w:wordWrap/>
        <w:overflowPunct w:val="0"/>
        <w:spacing w:beforeAutospacing="0" w:afterAutospacing="0" w:line="560" w:lineRule="exact"/>
        <w:textAlignment w:val="auto"/>
        <w:rPr>
          <w:rFonts w:hint="eastAsia" w:ascii="宋体" w:hAnsi="宋体" w:eastAsia="仿宋_GB2312" w:cs="Times New Roman"/>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pStyle w:val="33"/>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pStyle w:val="33"/>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pStyle w:val="33"/>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pStyle w:val="33"/>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widowControl w:val="0"/>
        <w:wordWrap/>
        <w:overflowPunct w:val="0"/>
        <w:adjustRightInd/>
        <w:snapToGrid w:val="0"/>
        <w:spacing w:beforeAutospacing="0" w:afterAutospacing="0" w:line="560" w:lineRule="exact"/>
        <w:ind w:right="0"/>
        <w:jc w:val="center"/>
        <w:textAlignment w:val="auto"/>
        <w:outlineLvl w:val="9"/>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bCs/>
          <w:color w:val="000000"/>
          <w:kern w:val="2"/>
          <w:sz w:val="32"/>
          <w:szCs w:val="32"/>
          <w:lang w:val="en-US" w:eastAsia="zh-CN" w:bidi="ar-SA"/>
        </w:rPr>
      </w:pP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bCs/>
          <w:color w:val="000000"/>
          <w:kern w:val="2"/>
          <w:sz w:val="32"/>
          <w:szCs w:val="32"/>
          <w:lang w:val="en-US" w:eastAsia="zh-CN" w:bidi="ar-SA"/>
        </w:rPr>
      </w:pP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bCs/>
          <w:color w:val="000000"/>
          <w:kern w:val="2"/>
          <w:sz w:val="32"/>
          <w:szCs w:val="32"/>
          <w:lang w:val="en-US" w:eastAsia="zh-CN" w:bidi="ar-SA"/>
        </w:rPr>
      </w:pPr>
      <w:r>
        <w:rPr>
          <w:rFonts w:hint="eastAsia" w:ascii="宋体" w:hAnsi="宋体" w:eastAsia="宋体" w:cs="宋体"/>
          <w:bCs/>
          <w:color w:val="000000"/>
          <w:kern w:val="2"/>
          <w:sz w:val="32"/>
          <w:szCs w:val="32"/>
          <w:lang w:val="en-US" w:eastAsia="zh-CN" w:bidi="ar-SA"/>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lang w:val="en-US" w:eastAsia="zh-CN"/>
        </w:rPr>
      </w:pPr>
      <w:bookmarkStart w:id="438" w:name="_Toc17700"/>
      <w:r>
        <w:rPr>
          <w:rFonts w:hint="eastAsia" w:ascii="宋体" w:hAnsi="宋体" w:eastAsia="宋体" w:cs="宋体"/>
          <w:color w:val="000000"/>
          <w:sz w:val="44"/>
          <w:szCs w:val="44"/>
          <w:lang w:val="en-US" w:eastAsia="zh-CN"/>
        </w:rPr>
        <w:t>广东省医疗废物管理条例</w:t>
      </w:r>
      <w:bookmarkEnd w:id="438"/>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bCs/>
          <w:color w:val="000000"/>
          <w:kern w:val="2"/>
          <w:sz w:val="32"/>
          <w:szCs w:val="32"/>
          <w:lang w:val="en-US" w:eastAsia="zh-CN" w:bidi="ar-SA"/>
        </w:rPr>
      </w:pPr>
    </w:p>
    <w:p>
      <w:pPr>
        <w:pStyle w:val="35"/>
        <w:widowControl w:val="0"/>
        <w:wordWrap/>
        <w:overflowPunct w:val="0"/>
        <w:adjustRightInd w:val="0"/>
        <w:snapToGrid w:val="0"/>
        <w:spacing w:beforeAutospacing="0" w:afterAutospacing="0" w:line="560" w:lineRule="exact"/>
        <w:ind w:right="640" w:rightChars="200"/>
        <w:jc w:val="both"/>
        <w:textAlignment w:val="auto"/>
        <w:outlineLvl w:val="9"/>
        <w:rPr>
          <w:rFonts w:hint="eastAsia" w:ascii="宋体" w:hAnsi="宋体" w:eastAsia="楷体_GB2312"/>
          <w:bCs/>
          <w:sz w:val="32"/>
          <w:szCs w:val="32"/>
        </w:rPr>
      </w:pPr>
      <w:r>
        <w:rPr>
          <w:rFonts w:hint="eastAsia" w:ascii="宋体" w:hAnsi="宋体" w:eastAsia="楷体_GB2312"/>
          <w:bCs/>
          <w:sz w:val="32"/>
          <w:szCs w:val="32"/>
        </w:rPr>
        <w:t>（2007年5月31日广东省第十届人民代表大会常务委员会第三十二次会议通过  2007年5月31日公布  自2007年7月1日起施行）</w:t>
      </w: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sz w:val="32"/>
          <w:szCs w:val="32"/>
        </w:rPr>
      </w:pPr>
    </w:p>
    <w:p>
      <w:pPr>
        <w:pStyle w:val="35"/>
        <w:widowControl w:val="0"/>
        <w:wordWrap/>
        <w:overflowPunct w:val="0"/>
        <w:adjustRightInd w:val="0"/>
        <w:snapToGrid w:val="0"/>
        <w:spacing w:beforeAutospacing="0" w:afterAutospacing="0" w:line="560" w:lineRule="exact"/>
        <w:ind w:left="0" w:leftChars="0" w:firstLine="642"/>
        <w:jc w:val="center"/>
        <w:textAlignment w:val="auto"/>
        <w:outlineLvl w:val="9"/>
        <w:rPr>
          <w:rFonts w:hint="eastAsia" w:ascii="宋体" w:hAnsi="宋体" w:eastAsia="宋体" w:cs="宋体"/>
          <w:bCs/>
          <w:sz w:val="32"/>
          <w:szCs w:val="32"/>
        </w:rPr>
      </w:pPr>
      <w:r>
        <w:rPr>
          <w:rFonts w:hint="eastAsia" w:ascii="宋体" w:hAnsi="宋体" w:eastAsia="楷体_GB2312"/>
          <w:bCs/>
          <w:sz w:val="32"/>
          <w:szCs w:val="32"/>
        </w:rPr>
        <w:t>目    录</w:t>
      </w:r>
    </w:p>
    <w:p>
      <w:pPr>
        <w:pStyle w:val="35"/>
        <w:widowControl w:val="0"/>
        <w:wordWrap/>
        <w:overflowPunct w:val="0"/>
        <w:adjustRightInd w:val="0"/>
        <w:snapToGrid w:val="0"/>
        <w:spacing w:beforeAutospacing="0" w:afterAutospacing="0" w:line="560" w:lineRule="exact"/>
        <w:ind w:right="640" w:rightChars="200"/>
        <w:jc w:val="left"/>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第二章  一般规定</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第三章  收集和暂时贮存</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第四章  集中处置</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第五章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第六章  附则</w:t>
      </w: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sz w:val="32"/>
          <w:szCs w:val="32"/>
        </w:rPr>
      </w:pPr>
    </w:p>
    <w:p>
      <w:pPr>
        <w:widowControl w:val="0"/>
        <w:numPr>
          <w:ilvl w:val="0"/>
          <w:numId w:val="0"/>
        </w:numPr>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kern w:val="0"/>
          <w:sz w:val="32"/>
          <w:szCs w:val="32"/>
          <w:lang w:val="zh-CN"/>
        </w:rPr>
      </w:pPr>
      <w:r>
        <w:rPr>
          <w:rFonts w:hint="eastAsia" w:ascii="宋体" w:hAnsi="宋体" w:eastAsia="黑体" w:cs="黑体"/>
          <w:kern w:val="0"/>
          <w:sz w:val="32"/>
          <w:szCs w:val="32"/>
          <w:lang w:val="zh-CN"/>
        </w:rPr>
        <w:t>第一章　总则</w:t>
      </w:r>
    </w:p>
    <w:p>
      <w:pPr>
        <w:widowControl w:val="0"/>
        <w:numPr>
          <w:ilvl w:val="0"/>
          <w:numId w:val="0"/>
        </w:numPr>
        <w:wordWrap/>
        <w:overflowPunct w:val="0"/>
        <w:adjustRightInd w:val="0"/>
        <w:snapToGrid w:val="0"/>
        <w:spacing w:beforeAutospacing="0" w:afterAutospacing="0" w:line="560" w:lineRule="exact"/>
        <w:jc w:val="both"/>
        <w:textAlignment w:val="auto"/>
        <w:outlineLvl w:val="9"/>
        <w:rPr>
          <w:rFonts w:hint="eastAsia" w:ascii="宋体" w:hAnsi="宋体" w:eastAsia="宋体" w:cs="宋体"/>
          <w:kern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第一条</w:t>
      </w:r>
      <w:r>
        <w:rPr>
          <w:rFonts w:hint="eastAsia" w:ascii="宋体" w:hAnsi="宋体" w:eastAsia="仿宋_GB2312" w:cs="仿宋_GB2312"/>
          <w:b w:val="0"/>
          <w:bCs w:val="0"/>
          <w:sz w:val="32"/>
          <w:szCs w:val="32"/>
        </w:rPr>
        <w:t xml:space="preserve">  为加强医疗废物管理，防止疾病传播，保护环境，保障人体健康，根据有关法律法规，结合本省实际，制定本条例。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第二条</w:t>
      </w:r>
      <w:r>
        <w:rPr>
          <w:rFonts w:hint="eastAsia" w:ascii="宋体" w:hAnsi="宋体" w:eastAsia="仿宋_GB2312" w:cs="仿宋_GB2312"/>
          <w:b w:val="0"/>
          <w:bCs w:val="0"/>
          <w:sz w:val="32"/>
          <w:szCs w:val="32"/>
        </w:rPr>
        <w:t xml:space="preserve">  本条例所称医疗废物，是指医疗卫生机构在医疗、预防、保健以及其他相关活动中产生的具有直接或者间接感染性、毒性以及其他危害性的废物。</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医疗废物分类按国家有关规定执行。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第三条</w:t>
      </w:r>
      <w:r>
        <w:rPr>
          <w:rFonts w:hint="eastAsia" w:ascii="宋体" w:hAnsi="宋体" w:eastAsia="仿宋_GB2312" w:cs="仿宋_GB2312"/>
          <w:b w:val="0"/>
          <w:bCs w:val="0"/>
          <w:sz w:val="32"/>
          <w:szCs w:val="32"/>
        </w:rPr>
        <w:t xml:space="preserve">  本省行政区域内医疗废物的收集、运送、贮存、处置以及监督管理等活动，适用本条例。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第四条</w:t>
      </w:r>
      <w:r>
        <w:rPr>
          <w:rFonts w:hint="eastAsia" w:ascii="宋体" w:hAnsi="宋体" w:eastAsia="仿宋_GB2312" w:cs="仿宋_GB2312"/>
          <w:b w:val="0"/>
          <w:bCs w:val="0"/>
          <w:sz w:val="32"/>
          <w:szCs w:val="32"/>
        </w:rPr>
        <w:t xml:space="preserve">  县级以上人民政府应当把防治医疗废物污染工作纳入国民经济和社会发展规划，并采取有利于防治医疗废物污染的经济、技术政策和措施，推行医疗废物集中无害化处置。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第五条</w:t>
      </w:r>
      <w:r>
        <w:rPr>
          <w:rFonts w:hint="eastAsia" w:ascii="宋体" w:hAnsi="宋体" w:eastAsia="仿宋_GB2312" w:cs="仿宋_GB2312"/>
          <w:b w:val="0"/>
          <w:bCs w:val="0"/>
          <w:sz w:val="32"/>
          <w:szCs w:val="32"/>
        </w:rPr>
        <w:t xml:space="preserve">  县级以上人民政府卫生行政主管部门对医疗废物收集、运送、贮存、处置活动中的疾病防治工作实施统一监督管理。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县级以上人民政府环境保护行政主管部门对医疗废物收集、运送、贮存、处置活动中的环境污染防治工作实施统一监督管理。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县级以上人民政府其他有关部门在各自的职责范围内负责与医疗废物处置有关的监督管理工作。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第六条</w:t>
      </w:r>
      <w:r>
        <w:rPr>
          <w:rFonts w:hint="eastAsia" w:ascii="宋体" w:hAnsi="宋体" w:eastAsia="仿宋_GB2312" w:cs="仿宋_GB2312"/>
          <w:b w:val="0"/>
          <w:bCs w:val="0"/>
          <w:sz w:val="32"/>
          <w:szCs w:val="32"/>
        </w:rPr>
        <w:t xml:space="preserve">  县级以上人民政府卫生行政主管部门、环境保护行政主管部门应当按职责分工，对医疗卫生机构和医疗废物集中处置单位从事医疗废物集中处置活动的疾病防治和环境污染防治工作进行定期监督检查或不定期抽查，发现存在隐患时应当责令其立即消除。</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第二章　一般规定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黑体" w:cs="黑体"/>
          <w:kern w:val="0"/>
          <w:sz w:val="32"/>
          <w:szCs w:val="32"/>
          <w:lang w:val="zh-CN"/>
        </w:rPr>
        <w:t>第七条</w:t>
      </w:r>
      <w:r>
        <w:rPr>
          <w:rFonts w:hint="eastAsia" w:ascii="宋体" w:hAnsi="宋体" w:eastAsia="仿宋_GB2312" w:cs="仿宋_GB2312"/>
          <w:b w:val="0"/>
          <w:bCs w:val="0"/>
          <w:sz w:val="32"/>
          <w:szCs w:val="32"/>
        </w:rPr>
        <w:t xml:space="preserve">  医疗卫生机构和医疗废物集中处置单位，应当依法设置负责监控医疗废物安全处置工作的部门或者配备专（兼）职人员，</w:t>
      </w:r>
      <w:r>
        <w:rPr>
          <w:rFonts w:hint="eastAsia" w:ascii="宋体" w:hAnsi="宋体" w:eastAsia="仿宋_GB2312" w:cs="仿宋_GB2312"/>
          <w:b w:val="0"/>
          <w:bCs w:val="0"/>
          <w:sz w:val="32"/>
          <w:szCs w:val="32"/>
          <w:lang w:val="zh-CN"/>
        </w:rPr>
        <w:t>负责检查、督促、落实本单位医疗废物的管理工作。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第八条</w:t>
      </w:r>
      <w:r>
        <w:rPr>
          <w:rFonts w:hint="eastAsia" w:ascii="宋体" w:hAnsi="宋体" w:eastAsia="仿宋_GB2312" w:cs="仿宋_GB2312"/>
          <w:b w:val="0"/>
          <w:bCs w:val="0"/>
          <w:sz w:val="32"/>
          <w:szCs w:val="32"/>
        </w:rPr>
        <w:t xml:space="preserve">  医疗卫生机构和医疗废物集中处置单位应当落实医疗废物管理责任制，制定下列医疗废物管理制度：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（一）</w:t>
      </w:r>
      <w:r>
        <w:rPr>
          <w:rFonts w:hint="eastAsia" w:ascii="宋体" w:hAnsi="宋体" w:eastAsia="仿宋_GB2312" w:cs="仿宋_GB2312"/>
          <w:b w:val="0"/>
          <w:bCs w:val="0"/>
          <w:sz w:val="32"/>
          <w:szCs w:val="32"/>
        </w:rPr>
        <w:t>对工作人员和管理人员定期进行相关法律和专业技术、安全防护及紧急处理等知识培训制度;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（二）</w:t>
      </w:r>
      <w:r>
        <w:rPr>
          <w:rFonts w:hint="eastAsia" w:ascii="宋体" w:hAnsi="宋体" w:eastAsia="仿宋_GB2312" w:cs="仿宋_GB2312"/>
          <w:b w:val="0"/>
          <w:bCs w:val="0"/>
          <w:sz w:val="32"/>
          <w:szCs w:val="32"/>
        </w:rPr>
        <w:t>工作人员职业安全防护制度；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（三）</w:t>
      </w:r>
      <w:r>
        <w:rPr>
          <w:rFonts w:hint="eastAsia" w:ascii="宋体" w:hAnsi="宋体" w:eastAsia="仿宋_GB2312" w:cs="仿宋_GB2312"/>
          <w:b w:val="0"/>
          <w:bCs w:val="0"/>
          <w:sz w:val="32"/>
          <w:szCs w:val="32"/>
        </w:rPr>
        <w:t>分类收集、进行特殊处置制度；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（四）</w:t>
      </w:r>
      <w:r>
        <w:rPr>
          <w:rFonts w:hint="eastAsia" w:ascii="宋体" w:hAnsi="宋体" w:eastAsia="仿宋_GB2312" w:cs="仿宋_GB2312"/>
          <w:b w:val="0"/>
          <w:bCs w:val="0"/>
          <w:sz w:val="32"/>
          <w:szCs w:val="32"/>
        </w:rPr>
        <w:t>收集时间、内部和外部运送路线、贮存地点等制度；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（五）</w:t>
      </w:r>
      <w:r>
        <w:rPr>
          <w:rFonts w:hint="eastAsia" w:ascii="宋体" w:hAnsi="宋体" w:eastAsia="仿宋_GB2312" w:cs="仿宋_GB2312"/>
          <w:b w:val="0"/>
          <w:bCs w:val="0"/>
          <w:sz w:val="32"/>
          <w:szCs w:val="32"/>
        </w:rPr>
        <w:t>产生地点、暂时贮存地点管理制度；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（六）</w:t>
      </w:r>
      <w:r>
        <w:rPr>
          <w:rFonts w:hint="eastAsia" w:ascii="宋体" w:hAnsi="宋体" w:eastAsia="仿宋_GB2312" w:cs="仿宋_GB2312"/>
          <w:b w:val="0"/>
          <w:bCs w:val="0"/>
          <w:sz w:val="32"/>
          <w:szCs w:val="32"/>
        </w:rPr>
        <w:t>内部和外部交接、转移管理制度；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（七）</w:t>
      </w:r>
      <w:r>
        <w:rPr>
          <w:rFonts w:hint="eastAsia" w:ascii="宋体" w:hAnsi="宋体" w:eastAsia="仿宋_GB2312" w:cs="仿宋_GB2312"/>
          <w:b w:val="0"/>
          <w:bCs w:val="0"/>
          <w:sz w:val="32"/>
          <w:szCs w:val="32"/>
        </w:rPr>
        <w:t>设施、设备、运输工具达到卫生、环境保护要求保障制度；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（八）</w:t>
      </w:r>
      <w:r>
        <w:rPr>
          <w:rFonts w:hint="eastAsia" w:ascii="宋体" w:hAnsi="宋体" w:eastAsia="仿宋_GB2312" w:cs="仿宋_GB2312"/>
          <w:b w:val="0"/>
          <w:bCs w:val="0"/>
          <w:sz w:val="32"/>
          <w:szCs w:val="32"/>
        </w:rPr>
        <w:t>防止流失、泄漏、扩散制度和发生意外事故的应急处理方案；</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（九）</w:t>
      </w:r>
      <w:r>
        <w:rPr>
          <w:rFonts w:hint="eastAsia" w:ascii="宋体" w:hAnsi="宋体" w:eastAsia="仿宋_GB2312" w:cs="仿宋_GB2312"/>
          <w:b w:val="0"/>
          <w:bCs w:val="0"/>
          <w:sz w:val="32"/>
          <w:szCs w:val="32"/>
        </w:rPr>
        <w:t>登记、评价、监测资料档案管理制度；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（十）</w:t>
      </w:r>
      <w:r>
        <w:rPr>
          <w:rFonts w:hint="eastAsia" w:ascii="宋体" w:hAnsi="宋体" w:eastAsia="仿宋_GB2312" w:cs="仿宋_GB2312"/>
          <w:b w:val="0"/>
          <w:bCs w:val="0"/>
          <w:sz w:val="32"/>
          <w:szCs w:val="32"/>
        </w:rPr>
        <w:t>依法应当制定的其他管理制度。</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医疗卫生机构和医疗废物集中处置单位制定的医疗废物管理制度应当报所在地县级人民政府卫生行政主管部门和环境保护行政主管部门备案。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第九条</w:t>
      </w:r>
      <w:r>
        <w:rPr>
          <w:rFonts w:hint="eastAsia" w:ascii="宋体" w:hAnsi="宋体" w:eastAsia="仿宋_GB2312" w:cs="仿宋_GB2312"/>
          <w:b w:val="0"/>
          <w:bCs w:val="0"/>
          <w:sz w:val="32"/>
          <w:szCs w:val="32"/>
        </w:rPr>
        <w:t xml:space="preserve">  医疗卫生机构和医疗废物集中处置单位应当为从事医疗废物收集、运送、贮存、处置等工作的人员和管理人员配备必要的防护用品，每年组织一次健康检查，其中对直接接触医疗废物人员每半年组织一次；必要时对有关人员进行免疫接种，</w:t>
      </w:r>
      <w:r>
        <w:rPr>
          <w:rFonts w:hint="eastAsia" w:ascii="宋体" w:hAnsi="宋体" w:eastAsia="仿宋_GB2312" w:cs="仿宋_GB2312"/>
          <w:b w:val="0"/>
          <w:bCs w:val="0"/>
          <w:sz w:val="32"/>
          <w:szCs w:val="32"/>
          <w:lang w:val="zh-CN"/>
        </w:rPr>
        <w:t>防止其健康受到损害</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第十条</w:t>
      </w:r>
      <w:r>
        <w:rPr>
          <w:rFonts w:hint="eastAsia" w:ascii="宋体" w:hAnsi="宋体" w:eastAsia="仿宋_GB2312" w:cs="仿宋_GB2312"/>
          <w:b w:val="0"/>
          <w:bCs w:val="0"/>
          <w:sz w:val="32"/>
          <w:szCs w:val="32"/>
        </w:rPr>
        <w:t xml:space="preserve">  医疗卫生机构和医疗废物集中处置单位应当采取有效措施，保证本单位有关医疗废物收集、暂存、运送、处置的监管、登记、交接工作符合国家有关危险废物转移联单管理规定。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 xml:space="preserve">第十一条 </w:t>
      </w:r>
      <w:r>
        <w:rPr>
          <w:rFonts w:hint="eastAsia" w:ascii="宋体" w:hAnsi="宋体" w:eastAsia="仿宋_GB2312" w:cs="仿宋_GB2312"/>
          <w:b w:val="0"/>
          <w:bCs w:val="0"/>
          <w:sz w:val="32"/>
          <w:szCs w:val="32"/>
        </w:rPr>
        <w:t xml:space="preserve"> 有下列情形之一的，属于医疗废物流失、泄漏、扩散：</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（一）</w:t>
      </w:r>
      <w:r>
        <w:rPr>
          <w:rFonts w:hint="eastAsia" w:ascii="宋体" w:hAnsi="宋体" w:eastAsia="仿宋_GB2312" w:cs="仿宋_GB2312"/>
          <w:b w:val="0"/>
          <w:bCs w:val="0"/>
          <w:sz w:val="32"/>
          <w:szCs w:val="32"/>
        </w:rPr>
        <w:t>未使用专用容器、包装物，贮存的医疗废物裸露的；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（二）</w:t>
      </w:r>
      <w:r>
        <w:rPr>
          <w:rFonts w:hint="eastAsia" w:ascii="宋体" w:hAnsi="宋体" w:eastAsia="仿宋_GB2312" w:cs="仿宋_GB2312"/>
          <w:b w:val="0"/>
          <w:bCs w:val="0"/>
          <w:sz w:val="32"/>
          <w:szCs w:val="32"/>
        </w:rPr>
        <w:t>丢失医疗废物的；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（三）</w:t>
      </w:r>
      <w:r>
        <w:rPr>
          <w:rFonts w:hint="eastAsia" w:ascii="宋体" w:hAnsi="宋体" w:eastAsia="仿宋_GB2312" w:cs="仿宋_GB2312"/>
          <w:b w:val="0"/>
          <w:bCs w:val="0"/>
          <w:sz w:val="32"/>
          <w:szCs w:val="32"/>
        </w:rPr>
        <w:t>将医疗废物作为生活垃圾处理，或者交给医疗废物集中处置单位以外的单位和个人处理的；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（四）</w:t>
      </w:r>
      <w:r>
        <w:rPr>
          <w:rFonts w:hint="eastAsia" w:ascii="宋体" w:hAnsi="宋体" w:eastAsia="仿宋_GB2312" w:cs="仿宋_GB2312"/>
          <w:b w:val="0"/>
          <w:bCs w:val="0"/>
          <w:sz w:val="32"/>
          <w:szCs w:val="32"/>
        </w:rPr>
        <w:t>运送中发生意外情况，导致医疗废物溢出、散落的；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（五）</w:t>
      </w:r>
      <w:r>
        <w:rPr>
          <w:rFonts w:hint="eastAsia" w:ascii="宋体" w:hAnsi="宋体" w:eastAsia="仿宋_GB2312" w:cs="仿宋_GB2312"/>
          <w:b w:val="0"/>
          <w:bCs w:val="0"/>
          <w:sz w:val="32"/>
          <w:szCs w:val="32"/>
        </w:rPr>
        <w:t>在医疗废物集中处置地点外抛弃、填埋医疗废物的；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（六）</w:t>
      </w:r>
      <w:r>
        <w:rPr>
          <w:rFonts w:hint="eastAsia" w:ascii="宋体" w:hAnsi="宋体" w:eastAsia="仿宋_GB2312" w:cs="仿宋_GB2312"/>
          <w:b w:val="0"/>
          <w:bCs w:val="0"/>
          <w:sz w:val="32"/>
          <w:szCs w:val="32"/>
        </w:rPr>
        <w:t>造成医疗废物流失、泄漏、扩散的其他情形。</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第十二条</w:t>
      </w:r>
      <w:r>
        <w:rPr>
          <w:rFonts w:hint="eastAsia" w:ascii="宋体" w:hAnsi="宋体" w:eastAsia="仿宋_GB2312" w:cs="仿宋_GB2312"/>
          <w:b/>
          <w:sz w:val="32"/>
          <w:szCs w:val="32"/>
        </w:rPr>
        <w:t xml:space="preserve"> </w:t>
      </w:r>
      <w:r>
        <w:rPr>
          <w:rFonts w:hint="eastAsia" w:ascii="宋体" w:hAnsi="宋体" w:eastAsia="仿宋_GB2312" w:cs="仿宋_GB2312"/>
          <w:sz w:val="32"/>
          <w:szCs w:val="32"/>
        </w:rPr>
        <w:t xml:space="preserve"> </w:t>
      </w:r>
      <w:r>
        <w:rPr>
          <w:rFonts w:hint="eastAsia" w:ascii="宋体" w:hAnsi="宋体" w:eastAsia="仿宋_GB2312" w:cs="仿宋_GB2312"/>
          <w:b w:val="0"/>
          <w:bCs w:val="0"/>
          <w:sz w:val="32"/>
          <w:szCs w:val="32"/>
        </w:rPr>
        <w:t>医疗卫生机构和医疗废物集中处置单位应当采取有效措施，防止医疗废物流失、泄漏、扩散。发生医疗废物流失、泄漏、扩散时，医疗卫生机构和医疗废物集中处置单位应当立即采取紧急处理措施，对致病人员提供医疗救护和现场救援，同时向其所在地的县级人民政府卫生行政主管部门、环境保护行政主管部门报告，并且向可能受到危害的单位和居民通报；有进一步扩散危险的，应当及时向所在地县级人民政府和上一级主管部门报告，由所在地人民政府决定向社会发布警示公告。</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第十三条</w:t>
      </w:r>
      <w:r>
        <w:rPr>
          <w:rFonts w:hint="eastAsia" w:ascii="宋体" w:hAnsi="宋体" w:eastAsia="仿宋_GB2312" w:cs="仿宋_GB2312"/>
          <w:b w:val="0"/>
          <w:bCs w:val="0"/>
          <w:sz w:val="32"/>
          <w:szCs w:val="32"/>
        </w:rPr>
        <w:t xml:space="preserve">  运送医疗废物应当使用防渗漏、防遗撒、无锐利边角、易于装卸和清洁的专用密闭式运送工具。运送工具须有明显的医疗废物警示性标志，使用后应当及时进行清洁和消毒。</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医疗废物的运送工具不得运送其他物品。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第十四条</w:t>
      </w:r>
      <w:r>
        <w:rPr>
          <w:rFonts w:hint="eastAsia" w:ascii="宋体" w:hAnsi="宋体" w:eastAsia="仿宋_GB2312" w:cs="仿宋_GB2312"/>
          <w:b w:val="0"/>
          <w:bCs w:val="0"/>
          <w:sz w:val="32"/>
          <w:szCs w:val="32"/>
        </w:rPr>
        <w:t xml:space="preserve">  运送医疗废物发生意外情况，导致医疗废物流失、泄漏、扩散的，运送人员必须立即向所在单位报告，所在单位接到报告后应当立即向当地政府、卫生行政主管部门、环境保护行政主管部门和公安部门报告；当地政府应当立即组织上述有关部门到达现场，按照下列分工采取应急处理措施：</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（一）</w:t>
      </w:r>
      <w:r>
        <w:rPr>
          <w:rFonts w:hint="eastAsia" w:ascii="宋体" w:hAnsi="宋体" w:eastAsia="仿宋_GB2312" w:cs="仿宋_GB2312"/>
          <w:b w:val="0"/>
          <w:bCs w:val="0"/>
          <w:sz w:val="32"/>
          <w:szCs w:val="32"/>
        </w:rPr>
        <w:t>公安部门负责疏散人群，并且在受污染地段设立隔离区，防止处理事故以外的车辆和人员接近；</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（二）</w:t>
      </w:r>
      <w:r>
        <w:rPr>
          <w:rFonts w:hint="eastAsia" w:ascii="宋体" w:hAnsi="宋体" w:eastAsia="仿宋_GB2312" w:cs="仿宋_GB2312"/>
          <w:b w:val="0"/>
          <w:bCs w:val="0"/>
          <w:sz w:val="32"/>
          <w:szCs w:val="32"/>
        </w:rPr>
        <w:t>卫生行政主管部门负责组织、监督对溢出、散落的医疗废物和被污染的现场进行消毒、清洁处理，对受到损伤、污染的人员实施救治；</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（三）</w:t>
      </w:r>
      <w:r>
        <w:rPr>
          <w:rFonts w:hint="eastAsia" w:ascii="宋体" w:hAnsi="宋体" w:eastAsia="仿宋_GB2312" w:cs="仿宋_GB2312"/>
          <w:b w:val="0"/>
          <w:bCs w:val="0"/>
          <w:sz w:val="32"/>
          <w:szCs w:val="32"/>
        </w:rPr>
        <w:t>环境保护行政主管部门负责监督对溢出、散落的医疗废物进行消毒后的全面收集、清理和安全处置，消除对环境的影响。</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第三章　收集和暂时贮存</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第十五条</w:t>
      </w:r>
      <w:r>
        <w:rPr>
          <w:rFonts w:hint="eastAsia" w:ascii="宋体" w:hAnsi="宋体" w:eastAsia="仿宋_GB2312" w:cs="仿宋_GB2312"/>
          <w:b w:val="0"/>
          <w:bCs w:val="0"/>
          <w:sz w:val="32"/>
          <w:szCs w:val="32"/>
        </w:rPr>
        <w:t xml:space="preserve">  医疗卫生机构应当按照感染性废物、病理性废物、损伤性废物、药物性废物、化学性废物分类收集、暂时贮存和运送本单位产生的医疗废物。</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禁止将医疗废物与其他废物、生活垃圾混装。医疗废物与其他废物混装的，应当按医疗废物处理。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第十六条</w:t>
      </w:r>
      <w:r>
        <w:rPr>
          <w:rFonts w:hint="eastAsia" w:ascii="宋体" w:hAnsi="宋体" w:eastAsia="仿宋_GB2312" w:cs="仿宋_GB2312"/>
          <w:b w:val="0"/>
          <w:bCs w:val="0"/>
          <w:sz w:val="32"/>
          <w:szCs w:val="32"/>
        </w:rPr>
        <w:t xml:space="preserve">  使用后的一次性医疗用品及一次性医疗器械按照国家有关规定收集、登记后，交医疗废物集中处置单位处理。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第十七条</w:t>
      </w:r>
      <w:r>
        <w:rPr>
          <w:rFonts w:hint="eastAsia" w:ascii="宋体" w:hAnsi="宋体" w:eastAsia="仿宋_GB2312" w:cs="仿宋_GB2312"/>
          <w:b w:val="0"/>
          <w:bCs w:val="0"/>
          <w:sz w:val="32"/>
          <w:szCs w:val="32"/>
        </w:rPr>
        <w:t xml:space="preserve">  输液瓶使用后被病人血液、体液、排泄物污染的，按医疗废物处理；未被病人血液、体液、排泄物污染的，回收利用时不得用于原用途。</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输液瓶回收利用的管理办法由省卫生行政主管部门会同省环境保护行政主管部门制定。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第十八条</w:t>
      </w:r>
      <w:r>
        <w:rPr>
          <w:rFonts w:hint="eastAsia" w:ascii="宋体" w:hAnsi="宋体" w:eastAsia="仿宋_GB2312" w:cs="仿宋_GB2312"/>
          <w:b w:val="0"/>
          <w:bCs w:val="0"/>
          <w:sz w:val="32"/>
          <w:szCs w:val="32"/>
        </w:rPr>
        <w:t xml:space="preserve">  医疗卫生机构对可能造成传染病传播的产妇胎盘，按照医疗废物进行处置并告知产妇。</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第十九条</w:t>
      </w:r>
      <w:r>
        <w:rPr>
          <w:rFonts w:hint="eastAsia" w:ascii="宋体" w:hAnsi="宋体" w:eastAsia="仿宋_GB2312" w:cs="仿宋_GB2312"/>
          <w:b w:val="0"/>
          <w:bCs w:val="0"/>
          <w:sz w:val="32"/>
          <w:szCs w:val="32"/>
        </w:rPr>
        <w:t xml:space="preserve">  医疗卫生机构应当对病原体的培养基、标本和菌种、毒种保存液等高危险医疗废物就地进行压力蒸汽灭菌或者化学消毒，然后按感染性废物收集处理。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第二十条</w:t>
      </w:r>
      <w:r>
        <w:rPr>
          <w:rFonts w:hint="eastAsia" w:ascii="宋体" w:hAnsi="宋体" w:eastAsia="仿宋_GB2312" w:cs="仿宋_GB2312"/>
          <w:b w:val="0"/>
          <w:bCs w:val="0"/>
          <w:sz w:val="32"/>
          <w:szCs w:val="32"/>
        </w:rPr>
        <w:t xml:space="preserve">  医疗卫生机构废弃的麻醉、精神、放射性、毒性等药品及其相关废物，批量的废化学试剂、废消毒剂，批量的含有汞的体温计、血压计等报废的医疗器具，应当依照有关法律法规和国家有关规定、标准处理。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第二十一条</w:t>
      </w:r>
      <w:r>
        <w:rPr>
          <w:rFonts w:hint="eastAsia" w:ascii="宋体" w:hAnsi="宋体" w:eastAsia="仿宋_GB2312" w:cs="仿宋_GB2312"/>
          <w:b w:val="0"/>
          <w:bCs w:val="0"/>
          <w:sz w:val="32"/>
          <w:szCs w:val="32"/>
        </w:rPr>
        <w:t xml:space="preserve">  医疗卫生机构应当使用符合国家标准的医疗废物专用包装物、容器；医疗废物专用包装物、容器必须完整密封，可重复利用的应当及时清洁和消毒。　</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第二十二条</w:t>
      </w:r>
      <w:r>
        <w:rPr>
          <w:rFonts w:hint="eastAsia" w:ascii="宋体" w:hAnsi="宋体" w:eastAsia="仿宋_GB2312" w:cs="仿宋_GB2312"/>
          <w:b w:val="0"/>
          <w:bCs w:val="0"/>
          <w:sz w:val="32"/>
          <w:szCs w:val="32"/>
        </w:rPr>
        <w:t xml:space="preserve">  医疗卫生机构应当设置医疗废物暂时贮存设施、设备，满足本单位处理医疗废物的需要。医疗废物暂时贮存设施、设备应当符合有关卫生、环保的技术规范。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新建、改建、扩建医疗废物暂时贮存设施，应当依法进行环境影响评价。</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第二十三条</w:t>
      </w:r>
      <w:r>
        <w:rPr>
          <w:rFonts w:hint="eastAsia" w:ascii="宋体" w:hAnsi="宋体" w:eastAsia="仿宋_GB2312" w:cs="仿宋_GB2312"/>
          <w:b w:val="0"/>
          <w:bCs w:val="0"/>
          <w:sz w:val="32"/>
          <w:szCs w:val="32"/>
        </w:rPr>
        <w:t xml:space="preserve">  医疗废物暂时贮存的时间不得超过两日。医疗废物转交出去后，医疗卫生机构应当及时对暂时贮存设施、设备进行清洁和消毒。</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禁止用医疗废物暂时贮存设施、设备存放其他废物、生活垃圾。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第四章</w:t>
      </w:r>
      <w:r>
        <w:rPr>
          <w:rFonts w:hint="eastAsia" w:ascii="宋体" w:hAnsi="宋体" w:eastAsia="黑体" w:cs="黑体"/>
          <w:b w:val="0"/>
          <w:bCs w:val="0"/>
          <w:sz w:val="32"/>
          <w:szCs w:val="32"/>
          <w:lang w:val="en-US" w:eastAsia="zh-CN"/>
        </w:rPr>
        <w:t xml:space="preserve">  </w:t>
      </w:r>
      <w:r>
        <w:rPr>
          <w:rFonts w:hint="eastAsia" w:ascii="宋体" w:hAnsi="宋体" w:eastAsia="黑体" w:cs="黑体"/>
          <w:b w:val="0"/>
          <w:bCs w:val="0"/>
          <w:sz w:val="32"/>
          <w:szCs w:val="32"/>
        </w:rPr>
        <w:t>集中处置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第二十四条</w:t>
      </w:r>
      <w:r>
        <w:rPr>
          <w:rFonts w:hint="eastAsia" w:ascii="宋体" w:hAnsi="宋体" w:eastAsia="仿宋_GB2312" w:cs="仿宋_GB2312"/>
          <w:b w:val="0"/>
          <w:bCs w:val="0"/>
          <w:sz w:val="32"/>
          <w:szCs w:val="32"/>
        </w:rPr>
        <w:t xml:space="preserve">  医疗废物集中处置设施的建设应当符合本省环境保护规划纲要的要求。</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第二十五条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val="zh-CN"/>
        </w:rPr>
        <w:t>从事医疗废物集中处置活动的单位，应当向地级以上市人民政府环境保护行政主管部门申请领取经营许可证；未取得经营许可证的单位，不得从事有关医疗废物集中处置的活动。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第二十六条</w:t>
      </w:r>
      <w:r>
        <w:rPr>
          <w:rFonts w:hint="eastAsia" w:ascii="宋体" w:hAnsi="宋体" w:eastAsia="仿宋_GB2312" w:cs="仿宋_GB2312"/>
          <w:b w:val="0"/>
          <w:bCs w:val="0"/>
          <w:sz w:val="32"/>
          <w:szCs w:val="32"/>
        </w:rPr>
        <w:t xml:space="preserve">  医疗废物集中处置设施建设的标准，医疗废物集中处置中的技术要求、安全防护、突发事故的预防和应急措施，重大疫情期间医疗废物管理、人员培训等，应当符合国家医疗废物集中处置技术规范的要求。</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第二十七条</w:t>
      </w:r>
      <w:r>
        <w:rPr>
          <w:rFonts w:hint="eastAsia" w:ascii="宋体" w:hAnsi="宋体" w:eastAsia="仿宋_GB2312" w:cs="仿宋_GB2312"/>
          <w:b w:val="0"/>
          <w:bCs w:val="0"/>
          <w:sz w:val="32"/>
          <w:szCs w:val="32"/>
        </w:rPr>
        <w:t xml:space="preserve">  医疗废物集中处置单位应当保证医疗废物安全处置，处置设施应当符合环境保护的技术要求，处置能力应当与需要处置的医疗废物数量相适应。</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禁止采用工艺落后、不能保证安全和存在二次污染隐患的设施或方法处置医疗废物。</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第二十八条</w:t>
      </w:r>
      <w:r>
        <w:rPr>
          <w:rFonts w:hint="eastAsia" w:ascii="宋体" w:hAnsi="宋体" w:eastAsia="仿宋_GB2312" w:cs="仿宋_GB2312"/>
          <w:b w:val="0"/>
          <w:bCs w:val="0"/>
          <w:sz w:val="32"/>
          <w:szCs w:val="32"/>
        </w:rPr>
        <w:t xml:space="preserve">  医疗废物集中处置单位应当按照环境保护行政主管部门、卫生行政主管部门的规定，定期对医疗废物处置设施的环境污染防治和卫生学效果进行检测、评价，并且分别于每年一月和七月将前半年的检测、评价结果向当地环境保护、卫生行政主管部门报告。</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第二十九条</w:t>
      </w:r>
      <w:r>
        <w:rPr>
          <w:rFonts w:hint="eastAsia" w:ascii="宋体" w:hAnsi="宋体" w:eastAsia="仿宋_GB2312" w:cs="仿宋_GB2312"/>
          <w:b w:val="0"/>
          <w:bCs w:val="0"/>
          <w:sz w:val="32"/>
          <w:szCs w:val="32"/>
        </w:rPr>
        <w:t xml:space="preserve">  县、乡镇、农村和个体医疗卫生机构应当按照就近的原则将医疗废物交由医疗废物集中处置单位处置，不得擅自进行处理。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xml:space="preserve">附近没有医疗废物集中处置单位或产生医疗废物较少的医疗卫生机构可以委托有贮存设施的医疗卫生机构暂存，并且由受委托医疗卫生机构统一交由医疗废物集中处置单位处置。 </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第五章　法律责任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第三十条</w:t>
      </w:r>
      <w:r>
        <w:rPr>
          <w:rFonts w:hint="eastAsia" w:ascii="宋体" w:hAnsi="宋体" w:eastAsia="仿宋_GB2312" w:cs="仿宋_GB2312"/>
          <w:b w:val="0"/>
          <w:bCs w:val="0"/>
          <w:sz w:val="32"/>
          <w:szCs w:val="32"/>
        </w:rPr>
        <w:t xml:space="preserve">  县级以上各级人民政府卫生行政主管部门、环境保护行政主管部门或者其他有关部门有下列行为之一的，由本级人民政府或者上级人民政府有关部门责令改正，通报批评；造成传染病传播或者环境污染事故的，对主要负责人、负有责任的主管人员和其他直接责任人员依法给予处分；构成犯罪的，依法追究刑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（一）不按照本条例的规定履行监督检查职责的；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（二）发现医疗卫生机构和医疗废物集中处置单位的违法行为不及时处理的；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（三）发生或者可能发生传染病传播或者环境污染事故时未及时采取减少危害措施的；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xml:space="preserve">（四）有其他玩忽职守、失职、渎职行为的。 </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黑体" w:cs="黑体"/>
          <w:kern w:val="0"/>
          <w:sz w:val="32"/>
          <w:szCs w:val="32"/>
          <w:lang w:val="zh-CN"/>
        </w:rPr>
        <w:t>第三十一条</w:t>
      </w:r>
      <w:r>
        <w:rPr>
          <w:rFonts w:hint="eastAsia" w:ascii="宋体" w:hAnsi="宋体" w:eastAsia="仿宋_GB2312" w:cs="仿宋_GB2312"/>
          <w:b w:val="0"/>
          <w:bCs w:val="0"/>
          <w:sz w:val="32"/>
          <w:szCs w:val="32"/>
        </w:rPr>
        <w:t xml:space="preserve">  有下列行为之一的，由</w:t>
      </w:r>
      <w:r>
        <w:rPr>
          <w:rFonts w:hint="eastAsia" w:ascii="宋体" w:hAnsi="宋体" w:eastAsia="仿宋_GB2312" w:cs="仿宋_GB2312"/>
          <w:b w:val="0"/>
          <w:bCs w:val="0"/>
          <w:sz w:val="32"/>
          <w:szCs w:val="32"/>
          <w:lang w:val="zh-CN"/>
        </w:rPr>
        <w:t>县级以上人民政府卫生行政主管部门责令限期改正，给予警告，并处五千元以上一万元以下罚款；逾期不改正的，处一万元以上三万元以下罚款。给他人造成损害的，依法承担民事赔偿责任：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仿宋_GB2312" w:cs="仿宋_GB2312"/>
          <w:b w:val="0"/>
          <w:bCs w:val="0"/>
          <w:sz w:val="32"/>
          <w:szCs w:val="32"/>
          <w:lang w:val="zh-CN"/>
        </w:rPr>
        <w:t>（一）</w:t>
      </w:r>
      <w:r>
        <w:rPr>
          <w:rFonts w:hint="eastAsia" w:ascii="宋体" w:hAnsi="宋体" w:eastAsia="仿宋_GB2312" w:cs="仿宋_GB2312"/>
          <w:b w:val="0"/>
          <w:bCs w:val="0"/>
          <w:sz w:val="32"/>
          <w:szCs w:val="32"/>
        </w:rPr>
        <w:t>违反本条例第十六条规定，对使用后的一次性医疗用品及一次性医疗器械不按规定进行收集、处理的；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仿宋_GB2312" w:cs="仿宋_GB2312"/>
          <w:b w:val="0"/>
          <w:bCs w:val="0"/>
          <w:sz w:val="32"/>
          <w:szCs w:val="32"/>
        </w:rPr>
        <w:t>（二）违反本条例第十七条规定，对未被病人血液、体液、排泄物污染的输液瓶回收利用时用于原用途的</w:t>
      </w:r>
      <w:r>
        <w:rPr>
          <w:rFonts w:hint="eastAsia" w:ascii="宋体" w:hAnsi="宋体" w:eastAsia="仿宋_GB2312" w:cs="仿宋_GB2312"/>
          <w:b w:val="0"/>
          <w:bCs w:val="0"/>
          <w:sz w:val="32"/>
          <w:szCs w:val="32"/>
          <w:lang w:val="zh-CN"/>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（三）违反本条例第十八条规定，不按规定处置可能造成传染病传播的产妇胎盘的</w:t>
      </w:r>
      <w:r>
        <w:rPr>
          <w:rFonts w:hint="eastAsia" w:ascii="宋体" w:hAnsi="宋体" w:eastAsia="仿宋_GB2312" w:cs="仿宋_GB2312"/>
          <w:b w:val="0"/>
          <w:bCs w:val="0"/>
          <w:sz w:val="32"/>
          <w:szCs w:val="32"/>
          <w:lang w:val="zh-CN"/>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第三十二条</w:t>
      </w:r>
      <w:r>
        <w:rPr>
          <w:rFonts w:hint="eastAsia" w:ascii="宋体" w:hAnsi="宋体" w:eastAsia="仿宋_GB2312" w:cs="仿宋_GB2312"/>
          <w:b w:val="0"/>
          <w:bCs w:val="0"/>
          <w:sz w:val="32"/>
          <w:szCs w:val="32"/>
        </w:rPr>
        <w:t xml:space="preserve">  法律、行政法规对违反医疗废物管理行为有处罚规定的，从其规定。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第六章  附则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黑体" w:cs="黑体"/>
          <w:kern w:val="0"/>
          <w:sz w:val="32"/>
          <w:szCs w:val="32"/>
          <w:lang w:val="zh-CN"/>
        </w:rPr>
        <w:t>第三十三条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val="zh-CN"/>
        </w:rPr>
        <w:t>计划生育技术服务、医学科研、教学、尸体检查和其他相关活动中产生的具有直接或者间接感染性、毒性以及其他危害性废物的管理，依照有关法律法规和本条例执行。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第三十四条</w:t>
      </w:r>
      <w:r>
        <w:rPr>
          <w:rFonts w:hint="eastAsia" w:ascii="宋体" w:hAnsi="宋体" w:eastAsia="仿宋_GB2312" w:cs="仿宋_GB2312"/>
          <w:b w:val="0"/>
          <w:bCs w:val="0"/>
          <w:sz w:val="32"/>
          <w:szCs w:val="32"/>
        </w:rPr>
        <w:t xml:space="preserve">  本条例规定应由县级人民政府及其卫生行政主管部门、环境保护行政主管部门履行的职责，未设县级人民政府的地级市，由地级市人民政府及其卫生行政主管部门、环境保护行政主管部门履行。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黑体" w:cs="黑体"/>
          <w:kern w:val="0"/>
          <w:sz w:val="32"/>
          <w:szCs w:val="32"/>
          <w:lang w:val="zh-CN"/>
        </w:rPr>
        <w:t xml:space="preserve">第三十五条  </w:t>
      </w:r>
      <w:r>
        <w:rPr>
          <w:rFonts w:hint="eastAsia" w:ascii="宋体" w:hAnsi="宋体" w:eastAsia="仿宋_GB2312" w:cs="仿宋_GB2312"/>
          <w:b w:val="0"/>
          <w:bCs w:val="0"/>
          <w:sz w:val="32"/>
          <w:szCs w:val="32"/>
          <w:lang w:val="zh-CN"/>
        </w:rPr>
        <w:t>本条例自2007年7月1日起施行。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val="0"/>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rPr>
      </w:pPr>
      <w:r>
        <w:rPr>
          <w:rFonts w:hint="eastAsia" w:ascii="宋体" w:hAnsi="宋体" w:eastAsia="宋体" w:cs="宋体"/>
          <w:b w:val="0"/>
          <w:bCs w:val="0"/>
          <w:sz w:val="32"/>
          <w:szCs w:val="32"/>
        </w:rPr>
        <w:br w:type="page"/>
      </w:r>
    </w:p>
    <w:p>
      <w:pPr>
        <w:widowControl w:val="0"/>
        <w:wordWrap/>
        <w:overflowPunct w:val="0"/>
        <w:spacing w:before="0" w:beforeAutospacing="0" w:after="0" w:afterAutospacing="0" w:line="560" w:lineRule="exact"/>
        <w:ind w:left="0" w:right="0"/>
        <w:jc w:val="center"/>
        <w:textAlignment w:val="auto"/>
        <w:outlineLvl w:val="0"/>
        <w:rPr>
          <w:rFonts w:hint="eastAsia" w:ascii="宋体" w:hAnsi="宋体" w:eastAsia="宋体" w:cs="宋体"/>
          <w:color w:val="000000"/>
          <w:kern w:val="0"/>
          <w:sz w:val="44"/>
          <w:szCs w:val="44"/>
          <w:lang w:val="en-US" w:eastAsia="zh-CN" w:bidi="ar-SA"/>
        </w:rPr>
      </w:pPr>
      <w:bookmarkStart w:id="439" w:name="_Toc17149"/>
      <w:r>
        <w:rPr>
          <w:rFonts w:hint="eastAsia" w:ascii="宋体" w:hAnsi="宋体" w:eastAsia="宋体" w:cs="宋体"/>
          <w:color w:val="000000"/>
          <w:kern w:val="0"/>
          <w:sz w:val="44"/>
          <w:szCs w:val="44"/>
          <w:lang w:val="en-US" w:eastAsia="zh-CN" w:bidi="ar-SA"/>
        </w:rPr>
        <w:t>广东省野生动物保护管理条例</w:t>
      </w:r>
      <w:bookmarkEnd w:id="439"/>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宋体" w:cs="宋体"/>
          <w:b w:val="0"/>
          <w:bCs/>
          <w:color w:val="000000"/>
          <w:sz w:val="32"/>
          <w:szCs w:val="32"/>
        </w:rPr>
      </w:pPr>
    </w:p>
    <w:p>
      <w:pPr>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kern w:val="2"/>
          <w:sz w:val="32"/>
          <w:szCs w:val="32"/>
          <w:lang w:val="en-US" w:eastAsia="zh-CN" w:bidi="ar-SA"/>
        </w:rPr>
      </w:pPr>
      <w:r>
        <w:rPr>
          <w:rFonts w:hint="eastAsia" w:ascii="楷体" w:hAnsi="楷体" w:eastAsia="楷体" w:cs="楷体"/>
          <w:b w:val="0"/>
          <w:bCs/>
          <w:kern w:val="2"/>
          <w:sz w:val="32"/>
          <w:szCs w:val="32"/>
          <w:lang w:val="en-US" w:eastAsia="zh-CN" w:bidi="ar-SA"/>
        </w:rPr>
        <w:t>（2001年5月31日广东省第九届人民代表大会常务委员会第二十六次会议通过  根据2004年7月29日广东省第十届人民代表大会常务委员会第十二次会议《广东省人民代表大会常务委员会关于修改〈广东省对外加工装配业务条例〉等十项法规中有关行政许可条款的决定》第一次修正  根据2012年1月9日广东省第十一届人民代表大会常务委员会第三十一次会议《广东省人民代表大会常务委员会关于修改〈广东省固体废物污染环境防治条例〉等七项法规中有关行政强制条款的决定》第二次修正  根据2012年7月26日广东省第十一届人民代表大会常务委员会第三十五次会议《广东省人民代表大会常务委员会关于修改〈广东省民营科技企业管理条例〉等二十三项法规的决定》第三次修正  2020年3月31日广东省第十三届人民代表大会常务委员会第十九次会议修订）</w:t>
      </w:r>
    </w:p>
    <w:p>
      <w:pPr>
        <w:widowControl w:val="0"/>
        <w:wordWrap/>
        <w:overflowPunct w:val="0"/>
        <w:adjustRightInd w:val="0"/>
        <w:snapToGrid w:val="0"/>
        <w:spacing w:beforeAutospacing="0" w:afterAutospacing="0" w:line="560" w:lineRule="exact"/>
        <w:ind w:right="640" w:rightChars="200" w:firstLine="640" w:firstLineChars="200"/>
        <w:jc w:val="left"/>
        <w:textAlignment w:val="auto"/>
        <w:outlineLvl w:val="9"/>
        <w:rPr>
          <w:rFonts w:hint="eastAsia" w:ascii="宋体" w:hAnsi="宋体" w:eastAsia="宋体" w:cs="宋体"/>
          <w:b w:val="0"/>
          <w:bCs/>
          <w:kern w:val="2"/>
          <w:sz w:val="32"/>
          <w:szCs w:val="32"/>
          <w:lang w:val="en-US" w:eastAsia="zh-CN" w:bidi="ar-SA"/>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t>第一章  总则</w:t>
      </w:r>
    </w:p>
    <w:p>
      <w:pPr>
        <w:wordWrap/>
        <w:snapToGrid/>
        <w:spacing w:after="0" w:line="590" w:lineRule="exact"/>
        <w:ind w:left="0" w:leftChars="0" w:right="0"/>
        <w:jc w:val="center"/>
        <w:textAlignment w:val="auto"/>
        <w:rPr>
          <w:rFonts w:hint="default" w:ascii="宋体" w:hAnsi="宋体" w:eastAsia="仿宋_GB2312"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第一条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为了加强野生动物保护管理，维护生物多样性和生态平衡，防范重大公共卫生风险，保障人民群众生命健康安全，推进生态文明建设，根据《中华人民共和国野生动物保护法》等法律法规，结合本省实际，制定本条例。</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本条例适用于本省行政区域内野生动物及其栖息地保护和管理活动。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本条例规定保护的野生动物，是指国家重点保护野生动物，省重点保护野生动物，有重要生态、科学、社会价值的陆生野生动物（以下简称三有保护野生动物）。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前款规定保护的野生动物以外的其他陆生野生动物，按照本条例规定管理。</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珍贵、濒危的水生野生动物以外的其他水生野生动物的保护，</w:t>
      </w:r>
      <w:r>
        <w:rPr>
          <w:rFonts w:hint="default" w:ascii="宋体" w:hAnsi="宋体" w:eastAsia="仿宋_GB2312" w:cs="Times New Roman"/>
          <w:b w:val="0"/>
          <w:bCs w:val="0"/>
          <w:color w:val="000000"/>
          <w:sz w:val="32"/>
          <w:szCs w:val="32"/>
          <w:lang w:eastAsia="zh-CN"/>
        </w:rPr>
        <w:t>按照</w:t>
      </w:r>
      <w:r>
        <w:rPr>
          <w:rFonts w:hint="default" w:ascii="宋体" w:hAnsi="宋体" w:eastAsia="仿宋_GB2312" w:cs="Times New Roman"/>
          <w:b w:val="0"/>
          <w:bCs w:val="0"/>
          <w:color w:val="000000"/>
          <w:sz w:val="32"/>
          <w:szCs w:val="32"/>
        </w:rPr>
        <w:t>《中华人民共和国渔业法》等有关法律的规定</w:t>
      </w:r>
      <w:r>
        <w:rPr>
          <w:rFonts w:hint="default" w:ascii="宋体" w:hAnsi="宋体" w:eastAsia="仿宋_GB2312" w:cs="Times New Roman"/>
          <w:b w:val="0"/>
          <w:bCs w:val="0"/>
          <w:color w:val="000000"/>
          <w:sz w:val="32"/>
          <w:szCs w:val="32"/>
          <w:lang w:eastAsia="zh-CN"/>
        </w:rPr>
        <w:t>执行</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列入畜禽遗传资源目录的动物，属于家畜家禽，</w:t>
      </w:r>
      <w:r>
        <w:rPr>
          <w:rFonts w:hint="default" w:ascii="宋体" w:hAnsi="宋体" w:eastAsia="仿宋_GB2312" w:cs="Times New Roman"/>
          <w:b w:val="0"/>
          <w:bCs w:val="0"/>
          <w:color w:val="000000"/>
          <w:sz w:val="32"/>
          <w:szCs w:val="32"/>
          <w:lang w:eastAsia="zh-CN"/>
        </w:rPr>
        <w:t>按照</w:t>
      </w:r>
      <w:r>
        <w:rPr>
          <w:rFonts w:hint="default" w:ascii="宋体" w:hAnsi="宋体" w:eastAsia="仿宋_GB2312" w:cs="Times New Roman"/>
          <w:b w:val="0"/>
          <w:bCs w:val="0"/>
          <w:color w:val="000000"/>
          <w:sz w:val="32"/>
          <w:szCs w:val="32"/>
        </w:rPr>
        <w:t>《中华人民共和国畜牧法》的规定</w:t>
      </w:r>
      <w:r>
        <w:rPr>
          <w:rFonts w:hint="default" w:ascii="宋体" w:hAnsi="宋体" w:eastAsia="仿宋_GB2312" w:cs="Times New Roman"/>
          <w:b w:val="0"/>
          <w:bCs w:val="0"/>
          <w:color w:val="000000"/>
          <w:sz w:val="32"/>
          <w:szCs w:val="32"/>
          <w:lang w:eastAsia="zh-CN"/>
        </w:rPr>
        <w:t>执行</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野生动物保护管理</w:t>
      </w:r>
      <w:r>
        <w:rPr>
          <w:rFonts w:hint="eastAsia" w:ascii="宋体" w:hAnsi="宋体" w:eastAsia="仿宋_GB2312" w:cs="Times New Roman"/>
          <w:b w:val="0"/>
          <w:bCs w:val="0"/>
          <w:color w:val="000000"/>
          <w:sz w:val="32"/>
          <w:szCs w:val="32"/>
          <w:lang w:eastAsia="zh-CN"/>
        </w:rPr>
        <w:t>应当坚持</w:t>
      </w:r>
      <w:r>
        <w:rPr>
          <w:rFonts w:hint="default" w:ascii="宋体" w:hAnsi="宋体" w:eastAsia="仿宋_GB2312" w:cs="Times New Roman"/>
          <w:b w:val="0"/>
          <w:bCs w:val="0"/>
          <w:color w:val="000000"/>
          <w:sz w:val="32"/>
          <w:szCs w:val="32"/>
        </w:rPr>
        <w:t>普遍保护、限制利用、严格监管，</w:t>
      </w:r>
      <w:r>
        <w:rPr>
          <w:rFonts w:hint="eastAsia" w:ascii="宋体" w:hAnsi="宋体" w:eastAsia="仿宋_GB2312" w:cs="Times New Roman"/>
          <w:b w:val="0"/>
          <w:bCs w:val="0"/>
          <w:color w:val="000000"/>
          <w:sz w:val="32"/>
          <w:szCs w:val="32"/>
        </w:rPr>
        <w:t>全面禁止非法野生动物交易，全面禁止食用陆生野生动物，全面禁止以食用为目的猎捕、交易、运输在野外环境自然生长繁殖的陆生野生动物</w:t>
      </w:r>
      <w:r>
        <w:rPr>
          <w:rFonts w:hint="eastAsia"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培育公民公共卫生安全和生态保护意识，</w:t>
      </w:r>
      <w:r>
        <w:rPr>
          <w:rFonts w:hint="eastAsia" w:ascii="宋体" w:hAnsi="宋体" w:eastAsia="仿宋_GB2312" w:cs="Times New Roman"/>
          <w:b w:val="0"/>
          <w:bCs w:val="0"/>
          <w:color w:val="000000"/>
          <w:sz w:val="32"/>
          <w:szCs w:val="32"/>
          <w:lang w:eastAsia="zh-CN"/>
        </w:rPr>
        <w:t>从源头上防控重大公共卫生风险，</w:t>
      </w:r>
      <w:r>
        <w:rPr>
          <w:rFonts w:hint="default" w:ascii="宋体" w:hAnsi="宋体" w:eastAsia="仿宋_GB2312" w:cs="Times New Roman"/>
          <w:b w:val="0"/>
          <w:bCs w:val="0"/>
          <w:color w:val="000000"/>
          <w:sz w:val="32"/>
          <w:szCs w:val="32"/>
        </w:rPr>
        <w:t>促进人与自然和谐共生。</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县级以上地方人民政府对本行政区域内野生动物保护管理工作负总责。</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县级以上地方人民政府应当加强野生动物及其栖息地保护，制定保护规划，健全保护管理体系和目标责任制，纳入生态文明建设考核体系，将保护经费纳入同级财政预算。</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县级以上林业、农业农村主管部门分别主管本行政区域内陆生、水生野生动物保护工作。</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乡镇人民政府、街道办事处协助做好本区域内野生动物保护管理相关工作。</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第五条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地方各级人民政府和有关主管部门应当积极开展野生动物及其栖息地保护、公共卫生安全的宣传教育和</w:t>
      </w:r>
      <w:r>
        <w:rPr>
          <w:rFonts w:hint="eastAsia" w:ascii="宋体" w:hAnsi="宋体" w:eastAsia="仿宋_GB2312" w:cs="Times New Roman"/>
          <w:b w:val="0"/>
          <w:bCs w:val="0"/>
          <w:color w:val="000000"/>
          <w:sz w:val="32"/>
          <w:szCs w:val="32"/>
          <w:lang w:eastAsia="zh-CN"/>
        </w:rPr>
        <w:t>科学知识普及</w:t>
      </w:r>
      <w:r>
        <w:rPr>
          <w:rFonts w:hint="default" w:ascii="宋体" w:hAnsi="宋体" w:eastAsia="仿宋_GB2312" w:cs="Times New Roman"/>
          <w:b w:val="0"/>
          <w:bCs w:val="0"/>
          <w:color w:val="000000"/>
          <w:sz w:val="32"/>
          <w:szCs w:val="32"/>
        </w:rPr>
        <w:t>，加强野生动物保护科学技术研究。</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教育主管部门、学校应当对学生进行野生动物及其栖息地保护知识教育。</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鼓励和支持基层群众性自治组织、社会组织、企事业单位、志愿者开展野生动物保护、动物防疫等法律法规和保护知识的宣传教育活动。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新闻媒体应当开展野生动物保护法律法规和保护知识的公益宣传，对违法行为进行舆论监督。</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每年11月为广东省保护野生动物宣传月。每年3月20日至26日为广东省爱鸟周。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第六条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任何</w:t>
      </w:r>
      <w:r>
        <w:rPr>
          <w:rFonts w:hint="default" w:ascii="宋体" w:hAnsi="宋体" w:eastAsia="仿宋_GB2312" w:cs="Times New Roman"/>
          <w:b w:val="0"/>
          <w:bCs w:val="0"/>
          <w:color w:val="000000"/>
          <w:sz w:val="32"/>
          <w:szCs w:val="32"/>
          <w:lang w:val="en-US" w:eastAsia="zh-CN"/>
        </w:rPr>
        <w:t>组织</w:t>
      </w:r>
      <w:r>
        <w:rPr>
          <w:rFonts w:hint="default" w:ascii="宋体" w:hAnsi="宋体" w:eastAsia="仿宋_GB2312" w:cs="Times New Roman"/>
          <w:b w:val="0"/>
          <w:bCs w:val="0"/>
          <w:color w:val="000000"/>
          <w:sz w:val="32"/>
          <w:szCs w:val="32"/>
        </w:rPr>
        <w:t>和个人都有保护野生动物及其栖息地的义务，有权举报或者控告违反本条例的行为。</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在野生动物保护、科学研究、举报等方面成绩显著的</w:t>
      </w:r>
      <w:r>
        <w:rPr>
          <w:rFonts w:hint="default" w:ascii="宋体" w:hAnsi="宋体" w:eastAsia="仿宋_GB2312" w:cs="Times New Roman"/>
          <w:b w:val="0"/>
          <w:bCs w:val="0"/>
          <w:color w:val="000000"/>
          <w:sz w:val="32"/>
          <w:szCs w:val="32"/>
          <w:lang w:val="en-US" w:eastAsia="zh-CN"/>
        </w:rPr>
        <w:t>组织</w:t>
      </w:r>
      <w:r>
        <w:rPr>
          <w:rFonts w:hint="default" w:ascii="宋体" w:hAnsi="宋体" w:eastAsia="仿宋_GB2312" w:cs="Times New Roman"/>
          <w:b w:val="0"/>
          <w:bCs w:val="0"/>
          <w:color w:val="000000"/>
          <w:sz w:val="32"/>
          <w:szCs w:val="32"/>
        </w:rPr>
        <w:t>和个人，由县级以上地方人民政府给予奖励。</w:t>
      </w:r>
    </w:p>
    <w:p>
      <w:pPr>
        <w:wordWrap/>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第二章  野生动物及其栖息地保护</w:t>
      </w:r>
    </w:p>
    <w:p>
      <w:pPr>
        <w:wordWrap/>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第七条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野生动物实行分类分级保护。</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国家重点保护野生动物、三有保护野生动物名录按照国家规定执行。</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省重点保护野生动物名录，由省人民政府组织科学评估后制定、调整并公布。</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第八条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省人民政府依法划定相关自然保护区域，保护野生动物及其重要栖息地，保护、恢复和改善野生动物生存环境。对不具备划定自然保护区域条件的，县级以上地方人民政府可以根据国家野生动物重要栖息地名录和本地区野生动物及其栖息地情况，采取划定禁猎（渔）区、规定禁猎（渔）期等形式予以保护。</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国家野生动物重要栖息地、自然保护地、饮用水水源保护区、郊野公园、植物园、城市公园以及其他野生动物重要栖息地或者生态廊道，列为禁猎区。自然保护地包括国家公园、自然保护区以及森林公园、地质公园、海洋公园、湿地公园、风景名胜区等各类自然公园。</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第九条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合法捕获、人工繁育的野生动物及其制品推行专用标识管理。专用标识应当记载野生动物及其制品种类名称、来源、用途等信息，保证可追溯。</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专用标识的使用范围和管理办法由省野生动物保护主管部门制定，</w:t>
      </w:r>
      <w:r>
        <w:rPr>
          <w:rFonts w:hint="eastAsia" w:ascii="宋体" w:hAnsi="宋体" w:eastAsia="仿宋_GB2312" w:cs="Times New Roman"/>
          <w:b w:val="0"/>
          <w:bCs w:val="0"/>
          <w:color w:val="000000"/>
          <w:sz w:val="32"/>
          <w:szCs w:val="32"/>
        </w:rPr>
        <w:t>国家另有规定的</w:t>
      </w:r>
      <w:r>
        <w:rPr>
          <w:rFonts w:hint="eastAsia" w:ascii="宋体" w:hAnsi="宋体" w:eastAsia="仿宋_GB2312" w:cs="Times New Roman"/>
          <w:b w:val="0"/>
          <w:bCs w:val="0"/>
          <w:color w:val="000000"/>
          <w:sz w:val="32"/>
          <w:szCs w:val="32"/>
          <w:lang w:eastAsia="zh-CN"/>
        </w:rPr>
        <w:t>从其规定</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县级以上地方人民政府应当加强对野生动物疫源疫病监测和防疫工作的统一领导，建立健全监测和防疫体系。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野生动物保护、兽医等主管部门应当按照职责分工对野生动物集中分布区、停歇地、越冬地、迁徙洄游通道、人工繁育场所及其制品集散地等区域疫源疫病进行监测，组织开展预测、预报等工作，并按照规定制定野生动物疫情应急预案。</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县级以上野生动物保护、兽医、卫生健康等主管部门，应当按照职责分工加强与人畜共患传染病有关的动物传染病的防治管理。</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第十一条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地方各级人民政府应当采取措施，预防、控制野生动物可能造成的危害，保障人畜安全和农业、林业生产；</w:t>
      </w:r>
      <w:r>
        <w:rPr>
          <w:rFonts w:hint="default" w:ascii="宋体" w:hAnsi="宋体" w:eastAsia="仿宋_GB2312" w:cs="Times New Roman"/>
          <w:b w:val="0"/>
          <w:bCs w:val="0"/>
          <w:color w:val="000000"/>
          <w:sz w:val="32"/>
          <w:szCs w:val="32"/>
          <w:lang w:eastAsia="zh-CN"/>
        </w:rPr>
        <w:t>因</w:t>
      </w:r>
      <w:r>
        <w:rPr>
          <w:rFonts w:hint="default" w:ascii="宋体" w:hAnsi="宋体" w:eastAsia="仿宋_GB2312" w:cs="Times New Roman"/>
          <w:b w:val="0"/>
          <w:bCs w:val="0"/>
          <w:color w:val="000000"/>
          <w:sz w:val="32"/>
          <w:szCs w:val="32"/>
        </w:rPr>
        <w:t>保护</w:t>
      </w:r>
      <w:r>
        <w:rPr>
          <w:rFonts w:hint="default" w:ascii="宋体" w:hAnsi="宋体" w:eastAsia="仿宋_GB2312" w:cs="Times New Roman"/>
          <w:b w:val="0"/>
          <w:bCs w:val="0"/>
          <w:color w:val="000000"/>
          <w:sz w:val="32"/>
          <w:szCs w:val="32"/>
          <w:lang w:eastAsia="zh-CN"/>
        </w:rPr>
        <w:t>法律法规规定保护的</w:t>
      </w:r>
      <w:r>
        <w:rPr>
          <w:rFonts w:hint="default" w:ascii="宋体" w:hAnsi="宋体" w:eastAsia="仿宋_GB2312" w:cs="Times New Roman"/>
          <w:b w:val="0"/>
          <w:bCs w:val="0"/>
          <w:color w:val="000000"/>
          <w:sz w:val="32"/>
          <w:szCs w:val="32"/>
        </w:rPr>
        <w:t>野生动物</w:t>
      </w:r>
      <w:r>
        <w:rPr>
          <w:rFonts w:hint="default"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造成人员伤亡、农作物或者其他财产损失的，</w:t>
      </w:r>
      <w:r>
        <w:rPr>
          <w:rFonts w:hint="default" w:ascii="宋体" w:hAnsi="宋体" w:eastAsia="仿宋_GB2312" w:cs="Times New Roman"/>
          <w:b w:val="0"/>
          <w:bCs w:val="0"/>
          <w:color w:val="000000"/>
          <w:sz w:val="32"/>
          <w:szCs w:val="32"/>
          <w:lang w:eastAsia="zh-CN"/>
        </w:rPr>
        <w:t>由当地人民政府</w:t>
      </w:r>
      <w:r>
        <w:rPr>
          <w:rFonts w:hint="default" w:ascii="宋体" w:hAnsi="宋体" w:eastAsia="仿宋_GB2312" w:cs="Times New Roman"/>
          <w:b w:val="0"/>
          <w:bCs w:val="0"/>
          <w:color w:val="000000"/>
          <w:sz w:val="32"/>
          <w:szCs w:val="32"/>
        </w:rPr>
        <w:t>依法给予补偿</w:t>
      </w:r>
      <w:r>
        <w:rPr>
          <w:rFonts w:hint="default"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推动将野生动物致害补偿纳入政策性保险。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第十二条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县级以上</w:t>
      </w:r>
      <w:r>
        <w:rPr>
          <w:rFonts w:hint="eastAsia" w:ascii="宋体" w:hAnsi="宋体" w:eastAsia="仿宋_GB2312" w:cs="Times New Roman"/>
          <w:b w:val="0"/>
          <w:bCs w:val="0"/>
          <w:color w:val="000000"/>
          <w:sz w:val="32"/>
          <w:szCs w:val="32"/>
          <w:lang w:eastAsia="zh-CN"/>
        </w:rPr>
        <w:t>野生动物保护</w:t>
      </w:r>
      <w:r>
        <w:rPr>
          <w:rFonts w:hint="default" w:ascii="宋体" w:hAnsi="宋体" w:eastAsia="仿宋_GB2312" w:cs="Times New Roman"/>
          <w:b w:val="0"/>
          <w:bCs w:val="0"/>
          <w:color w:val="000000"/>
          <w:sz w:val="32"/>
          <w:szCs w:val="32"/>
        </w:rPr>
        <w:t>主管部门应当按照规定组织开展保护野生动物的收容救护工作，明确承担收容救护工作的机构</w:t>
      </w:r>
      <w:r>
        <w:rPr>
          <w:rFonts w:hint="eastAsia" w:ascii="宋体" w:hAnsi="宋体" w:eastAsia="仿宋_GB2312" w:cs="Times New Roman"/>
          <w:b w:val="0"/>
          <w:bCs w:val="0"/>
          <w:color w:val="000000"/>
          <w:sz w:val="32"/>
          <w:szCs w:val="32"/>
          <w:lang w:eastAsia="zh-CN"/>
        </w:rPr>
        <w:t>，并向社会公</w:t>
      </w:r>
      <w:r>
        <w:rPr>
          <w:rFonts w:hint="eastAsia" w:ascii="宋体" w:hAnsi="宋体" w:cs="Times New Roman"/>
          <w:b w:val="0"/>
          <w:bCs w:val="0"/>
          <w:color w:val="000000"/>
          <w:sz w:val="32"/>
          <w:szCs w:val="32"/>
          <w:lang w:eastAsia="zh-CN"/>
        </w:rPr>
        <w:t>布</w:t>
      </w:r>
      <w:r>
        <w:rPr>
          <w:rFonts w:hint="default" w:ascii="宋体" w:hAnsi="宋体" w:eastAsia="仿宋_GB2312" w:cs="Times New Roman"/>
          <w:b w:val="0"/>
          <w:bCs w:val="0"/>
          <w:color w:val="000000"/>
          <w:sz w:val="32"/>
          <w:szCs w:val="32"/>
        </w:rPr>
        <w:t>。收容救护机构应当建立收容救护档案，做好相关工作。</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有关部门依法扣押、没收的保护野生动物，应当及时移送</w:t>
      </w:r>
      <w:r>
        <w:rPr>
          <w:rFonts w:hint="default" w:ascii="宋体" w:hAnsi="宋体" w:eastAsia="仿宋_GB2312" w:cs="Times New Roman"/>
          <w:b w:val="0"/>
          <w:bCs w:val="0"/>
          <w:color w:val="000000"/>
          <w:sz w:val="32"/>
          <w:szCs w:val="32"/>
          <w:lang w:eastAsia="zh-CN"/>
        </w:rPr>
        <w:t>收容救护机构</w:t>
      </w:r>
      <w:r>
        <w:rPr>
          <w:rFonts w:hint="default" w:ascii="宋体" w:hAnsi="宋体" w:eastAsia="仿宋_GB2312" w:cs="Times New Roman"/>
          <w:b w:val="0"/>
          <w:bCs w:val="0"/>
          <w:color w:val="000000"/>
          <w:sz w:val="32"/>
          <w:szCs w:val="32"/>
        </w:rPr>
        <w:t>收容救护。</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第十三条</w:t>
      </w:r>
      <w:r>
        <w:rPr>
          <w:rFonts w:hint="eastAsia" w:ascii="宋体" w:hAnsi="宋体" w:eastAsia="黑体" w:cs="Times New Roman"/>
          <w:b w:val="0"/>
          <w:bCs w:val="0"/>
          <w:color w:val="000000"/>
          <w:sz w:val="32"/>
          <w:szCs w:val="32"/>
          <w:lang w:val="en-US" w:eastAsia="zh-CN"/>
        </w:rPr>
        <w:t xml:space="preserve">  </w:t>
      </w:r>
      <w:r>
        <w:rPr>
          <w:rFonts w:hint="eastAsia" w:ascii="宋体" w:hAnsi="宋体" w:eastAsia="仿宋_GB2312" w:cs="Times New Roman"/>
          <w:b w:val="0"/>
          <w:bCs w:val="0"/>
          <w:color w:val="000000"/>
          <w:sz w:val="32"/>
          <w:szCs w:val="32"/>
          <w:lang w:val="en-US" w:eastAsia="zh-CN"/>
        </w:rPr>
        <w:t>任何组织和个人将</w:t>
      </w:r>
      <w:r>
        <w:rPr>
          <w:rFonts w:hint="default" w:ascii="宋体" w:hAnsi="宋体" w:eastAsia="仿宋_GB2312" w:cs="Times New Roman"/>
          <w:b w:val="0"/>
          <w:bCs w:val="0"/>
          <w:color w:val="000000"/>
          <w:sz w:val="32"/>
          <w:szCs w:val="32"/>
        </w:rPr>
        <w:t>野生动物</w:t>
      </w:r>
      <w:r>
        <w:rPr>
          <w:rFonts w:hint="eastAsia" w:ascii="宋体" w:hAnsi="宋体" w:eastAsia="仿宋_GB2312" w:cs="Times New Roman"/>
          <w:b w:val="0"/>
          <w:bCs w:val="0"/>
          <w:color w:val="000000"/>
          <w:sz w:val="32"/>
          <w:szCs w:val="32"/>
          <w:lang w:eastAsia="zh-CN"/>
        </w:rPr>
        <w:t>放生</w:t>
      </w:r>
      <w:r>
        <w:rPr>
          <w:rFonts w:hint="eastAsia" w:ascii="宋体" w:hAnsi="宋体" w:eastAsia="仿宋_GB2312" w:cs="Times New Roman"/>
          <w:b w:val="0"/>
          <w:bCs w:val="0"/>
          <w:color w:val="000000"/>
          <w:sz w:val="32"/>
          <w:szCs w:val="32"/>
          <w:lang w:val="en-US" w:eastAsia="zh-CN"/>
        </w:rPr>
        <w:t>至野外环境</w:t>
      </w:r>
      <w:r>
        <w:rPr>
          <w:rFonts w:hint="default" w:ascii="宋体" w:hAnsi="宋体" w:eastAsia="仿宋_GB2312" w:cs="Times New Roman"/>
          <w:b w:val="0"/>
          <w:bCs w:val="0"/>
          <w:color w:val="000000"/>
          <w:sz w:val="32"/>
          <w:szCs w:val="32"/>
        </w:rPr>
        <w:t>，</w:t>
      </w:r>
      <w:r>
        <w:rPr>
          <w:rFonts w:hint="eastAsia" w:ascii="宋体" w:hAnsi="宋体" w:eastAsia="仿宋_GB2312" w:cs="Times New Roman"/>
          <w:b w:val="0"/>
          <w:bCs w:val="0"/>
          <w:color w:val="000000"/>
          <w:sz w:val="32"/>
          <w:szCs w:val="32"/>
          <w:lang w:val="en-US" w:eastAsia="zh-CN"/>
        </w:rPr>
        <w:t>应当遵守野生动物保护主管部门的指引，选择适合放生地野外生存的当地物种，不得随意放生野生动物，</w:t>
      </w:r>
      <w:r>
        <w:rPr>
          <w:rFonts w:hint="default" w:ascii="宋体" w:hAnsi="宋体" w:eastAsia="仿宋_GB2312" w:cs="Times New Roman"/>
          <w:b w:val="0"/>
          <w:bCs w:val="0"/>
          <w:color w:val="000000"/>
          <w:sz w:val="32"/>
          <w:szCs w:val="32"/>
        </w:rPr>
        <w:t>避免造成他人人身、财产损害或者生态系统危害。</w:t>
      </w:r>
    </w:p>
    <w:p>
      <w:pPr>
        <w:pStyle w:val="30"/>
        <w:rPr>
          <w:rFonts w:hint="default" w:ascii="宋体" w:hAnsi="宋体"/>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t>第三章  人工繁育管理</w:t>
      </w:r>
    </w:p>
    <w:p>
      <w:pPr>
        <w:wordWrap/>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第十四条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人工繁育保护野生动物应当有利于物种保护及其科学研究，不得破坏野外种群资源。</w:t>
      </w:r>
      <w:r>
        <w:rPr>
          <w:rFonts w:hint="eastAsia" w:ascii="宋体" w:hAnsi="宋体" w:eastAsia="仿宋_GB2312" w:cs="Times New Roman"/>
          <w:b w:val="0"/>
          <w:bCs w:val="0"/>
          <w:color w:val="000000"/>
          <w:sz w:val="32"/>
          <w:szCs w:val="32"/>
          <w:lang w:val="en-US" w:eastAsia="zh-CN"/>
        </w:rPr>
        <w:t>支持有关科学研究机构因物种保护目的人工繁育国家重点保护野生动物。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人工繁育国家重点保护野生动物的，</w:t>
      </w:r>
      <w:r>
        <w:rPr>
          <w:rFonts w:hint="default" w:ascii="宋体" w:hAnsi="宋体" w:eastAsia="仿宋_GB2312" w:cs="Times New Roman"/>
          <w:b w:val="0"/>
          <w:bCs w:val="0"/>
          <w:color w:val="000000"/>
          <w:sz w:val="32"/>
          <w:szCs w:val="32"/>
          <w:lang w:eastAsia="zh-CN"/>
        </w:rPr>
        <w:t>向</w:t>
      </w:r>
      <w:r>
        <w:rPr>
          <w:rFonts w:hint="default" w:ascii="宋体" w:hAnsi="宋体" w:eastAsia="仿宋_GB2312" w:cs="Times New Roman"/>
          <w:b w:val="0"/>
          <w:bCs w:val="0"/>
          <w:color w:val="000000"/>
          <w:sz w:val="32"/>
          <w:szCs w:val="32"/>
        </w:rPr>
        <w:t>所在地县级野生动物保护主管部门</w:t>
      </w:r>
      <w:r>
        <w:rPr>
          <w:rFonts w:hint="default" w:ascii="宋体" w:hAnsi="宋体" w:eastAsia="仿宋_GB2312" w:cs="Times New Roman"/>
          <w:b w:val="0"/>
          <w:bCs w:val="0"/>
          <w:color w:val="000000"/>
          <w:sz w:val="32"/>
          <w:szCs w:val="32"/>
          <w:lang w:eastAsia="zh-CN"/>
        </w:rPr>
        <w:t>提出申请</w:t>
      </w:r>
      <w:r>
        <w:rPr>
          <w:rFonts w:hint="default" w:ascii="宋体" w:hAnsi="宋体" w:eastAsia="仿宋_GB2312" w:cs="Times New Roman"/>
          <w:b w:val="0"/>
          <w:bCs w:val="0"/>
          <w:color w:val="000000"/>
          <w:sz w:val="32"/>
          <w:szCs w:val="32"/>
        </w:rPr>
        <w:t>，</w:t>
      </w:r>
      <w:r>
        <w:rPr>
          <w:rFonts w:hint="default" w:ascii="宋体" w:hAnsi="宋体" w:eastAsia="仿宋_GB2312" w:cs="Times New Roman"/>
          <w:b w:val="0"/>
          <w:bCs w:val="0"/>
          <w:color w:val="000000"/>
          <w:sz w:val="32"/>
          <w:szCs w:val="32"/>
          <w:lang w:eastAsia="zh-CN"/>
        </w:rPr>
        <w:t>由</w:t>
      </w:r>
      <w:r>
        <w:rPr>
          <w:rFonts w:hint="default" w:ascii="宋体" w:hAnsi="宋体" w:eastAsia="仿宋_GB2312" w:cs="Times New Roman"/>
          <w:b w:val="0"/>
          <w:bCs w:val="0"/>
          <w:color w:val="000000"/>
          <w:sz w:val="32"/>
          <w:szCs w:val="32"/>
        </w:rPr>
        <w:t>省野生动物保护主管部门或者其委托的地级以上市野生动物保护主管部门</w:t>
      </w:r>
      <w:r>
        <w:rPr>
          <w:rFonts w:hint="default" w:ascii="宋体" w:hAnsi="宋体" w:eastAsia="仿宋_GB2312" w:cs="Times New Roman"/>
          <w:b w:val="0"/>
          <w:bCs w:val="0"/>
          <w:color w:val="000000"/>
          <w:sz w:val="32"/>
          <w:szCs w:val="32"/>
          <w:lang w:eastAsia="zh-CN"/>
        </w:rPr>
        <w:t>组织评估后</w:t>
      </w:r>
      <w:r>
        <w:rPr>
          <w:rFonts w:hint="default" w:ascii="宋体" w:hAnsi="宋体" w:eastAsia="仿宋_GB2312" w:cs="Times New Roman"/>
          <w:b w:val="0"/>
          <w:bCs w:val="0"/>
          <w:color w:val="000000"/>
          <w:sz w:val="32"/>
          <w:szCs w:val="32"/>
        </w:rPr>
        <w:t>批准，</w:t>
      </w:r>
      <w:r>
        <w:rPr>
          <w:rFonts w:hint="eastAsia" w:ascii="宋体" w:hAnsi="宋体" w:eastAsia="仿宋_GB2312" w:cs="Times New Roman"/>
          <w:b w:val="0"/>
          <w:bCs w:val="0"/>
          <w:color w:val="000000"/>
          <w:sz w:val="32"/>
          <w:szCs w:val="32"/>
        </w:rPr>
        <w:t>国家另有规定的</w:t>
      </w:r>
      <w:r>
        <w:rPr>
          <w:rFonts w:hint="eastAsia" w:ascii="宋体" w:hAnsi="宋体" w:eastAsia="仿宋_GB2312" w:cs="Times New Roman"/>
          <w:b w:val="0"/>
          <w:bCs w:val="0"/>
          <w:color w:val="000000"/>
          <w:sz w:val="32"/>
          <w:szCs w:val="32"/>
          <w:lang w:eastAsia="zh-CN"/>
        </w:rPr>
        <w:t>从其规定</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eastAsia" w:ascii="宋体" w:hAnsi="宋体" w:eastAsia="仿宋_GB2312" w:cs="Times New Roman"/>
          <w:b w:val="0"/>
          <w:bCs w:val="0"/>
          <w:color w:val="000000"/>
          <w:sz w:val="32"/>
          <w:szCs w:val="32"/>
          <w:lang w:eastAsia="zh-CN"/>
        </w:rPr>
      </w:pPr>
      <w:r>
        <w:rPr>
          <w:rFonts w:hint="default" w:ascii="宋体" w:hAnsi="宋体" w:eastAsia="仿宋_GB2312" w:cs="Times New Roman"/>
          <w:b w:val="0"/>
          <w:bCs w:val="0"/>
          <w:color w:val="000000"/>
          <w:sz w:val="32"/>
          <w:szCs w:val="32"/>
        </w:rPr>
        <w:t>人工繁育非国家重点保护野生动物的，应当持有证明野生动物种源的猎捕、进出口、人工繁育或者专用标识等合法来源证明</w:t>
      </w:r>
      <w:r>
        <w:rPr>
          <w:rFonts w:hint="eastAsia" w:ascii="宋体" w:hAnsi="宋体" w:eastAsia="仿宋_GB2312" w:cs="Times New Roman"/>
          <w:b w:val="0"/>
          <w:bCs w:val="0"/>
          <w:color w:val="000000"/>
          <w:sz w:val="32"/>
          <w:szCs w:val="32"/>
          <w:lang w:eastAsia="zh-CN"/>
        </w:rPr>
        <w:t>。</w:t>
      </w:r>
    </w:p>
    <w:p>
      <w:pPr>
        <w:wordWrap/>
        <w:snapToGrid/>
        <w:spacing w:after="0" w:line="590" w:lineRule="exact"/>
        <w:ind w:left="0" w:leftChars="0" w:right="0" w:firstLine="640" w:firstLineChars="200"/>
        <w:textAlignment w:val="auto"/>
        <w:rPr>
          <w:rFonts w:hint="eastAsia" w:ascii="宋体" w:hAnsi="宋体" w:eastAsia="仿宋_GB2312" w:cs="Times New Roman"/>
          <w:b w:val="0"/>
          <w:bCs w:val="0"/>
          <w:color w:val="000000"/>
          <w:sz w:val="32"/>
          <w:szCs w:val="32"/>
        </w:rPr>
      </w:pPr>
      <w:r>
        <w:rPr>
          <w:rFonts w:hint="eastAsia" w:ascii="宋体" w:hAnsi="宋体" w:eastAsia="仿宋_GB2312" w:cs="Times New Roman"/>
          <w:b w:val="0"/>
          <w:bCs w:val="0"/>
          <w:color w:val="000000"/>
          <w:sz w:val="32"/>
          <w:szCs w:val="32"/>
          <w:lang w:eastAsia="zh-CN"/>
        </w:rPr>
        <w:t>非国家重点保护野生动物，包括省重点保护野生动物和三有保护野生动物</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第十五条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人工繁育保护野生动物应当使用人工繁育子代种源，具备与其繁育目的、种类、发展规模相适应的固定场所、必需设施、技术、人员，符合有关技术标准和防疫要求。</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第十六条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人工繁育保护野生动物应当建立繁育档案，公开繁育地址、种类等相关信息</w:t>
      </w:r>
      <w:r>
        <w:rPr>
          <w:rFonts w:hint="eastAsia" w:ascii="宋体" w:hAnsi="宋体" w:eastAsia="仿宋_GB2312" w:cs="Times New Roman"/>
          <w:b w:val="0"/>
          <w:bCs w:val="0"/>
          <w:color w:val="000000"/>
          <w:sz w:val="32"/>
          <w:szCs w:val="32"/>
          <w:lang w:val="en-US" w:eastAsia="zh-CN"/>
        </w:rPr>
        <w:t>，</w:t>
      </w:r>
      <w:r>
        <w:rPr>
          <w:rFonts w:hint="default" w:ascii="宋体" w:hAnsi="宋体" w:eastAsia="仿宋_GB2312" w:cs="Times New Roman"/>
          <w:b w:val="0"/>
          <w:bCs w:val="0"/>
          <w:color w:val="000000"/>
          <w:sz w:val="32"/>
          <w:szCs w:val="32"/>
        </w:rPr>
        <w:t>加强疫病防控，履行饲养、管护、救治义务，</w:t>
      </w:r>
      <w:r>
        <w:rPr>
          <w:rFonts w:hint="default" w:ascii="宋体" w:hAnsi="宋体" w:eastAsia="仿宋_GB2312" w:cs="Times New Roman"/>
          <w:b w:val="0"/>
          <w:bCs w:val="0"/>
          <w:color w:val="000000"/>
          <w:sz w:val="32"/>
          <w:szCs w:val="32"/>
          <w:lang w:eastAsia="zh-CN"/>
        </w:rPr>
        <w:t>根据物种生物学特性分类分区饲养，不得混养，</w:t>
      </w:r>
      <w:r>
        <w:rPr>
          <w:rFonts w:hint="default" w:ascii="宋体" w:hAnsi="宋体" w:eastAsia="仿宋_GB2312" w:cs="Times New Roman"/>
          <w:b w:val="0"/>
          <w:bCs w:val="0"/>
          <w:color w:val="000000"/>
          <w:sz w:val="32"/>
          <w:szCs w:val="32"/>
        </w:rPr>
        <w:t>不得虐待野生动物。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第十七条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对人工繁育技术成熟稳定的非国家重点保护野生动物，经省野生动物保护主管部门组织评估、广泛征求意见后，纳入人工繁育非国家重点保护野生动物名录，实行与野外种群不同的管理措施。人工繁育非国家重点保护野生动物名录由省野生动物保护主管部门制定、调整，报省人民政府批准公布。</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出售和非食用性利用列入前款规定名录的野生动物</w:t>
      </w:r>
      <w:r>
        <w:rPr>
          <w:rFonts w:hint="default" w:ascii="宋体" w:hAnsi="宋体" w:eastAsia="仿宋_GB2312" w:cs="Times New Roman"/>
          <w:b w:val="0"/>
          <w:bCs w:val="0"/>
          <w:color w:val="000000"/>
          <w:sz w:val="32"/>
          <w:szCs w:val="32"/>
          <w:lang w:eastAsia="zh-CN"/>
        </w:rPr>
        <w:t>的</w:t>
      </w:r>
      <w:r>
        <w:rPr>
          <w:rFonts w:hint="default" w:ascii="宋体" w:hAnsi="宋体" w:eastAsia="仿宋_GB2312" w:cs="Times New Roman"/>
          <w:b w:val="0"/>
          <w:bCs w:val="0"/>
          <w:color w:val="000000"/>
          <w:sz w:val="32"/>
          <w:szCs w:val="32"/>
        </w:rPr>
        <w:t>，</w:t>
      </w:r>
      <w:r>
        <w:rPr>
          <w:rFonts w:hint="default" w:ascii="宋体" w:hAnsi="宋体" w:eastAsia="仿宋_GB2312" w:cs="Times New Roman"/>
          <w:b w:val="0"/>
          <w:bCs w:val="0"/>
          <w:color w:val="000000"/>
          <w:sz w:val="32"/>
          <w:szCs w:val="32"/>
          <w:lang w:eastAsia="zh-CN"/>
        </w:rPr>
        <w:t>应当提供</w:t>
      </w:r>
      <w:r>
        <w:rPr>
          <w:rFonts w:hint="default" w:ascii="宋体" w:hAnsi="宋体" w:eastAsia="仿宋_GB2312" w:cs="Times New Roman"/>
          <w:b w:val="0"/>
          <w:bCs w:val="0"/>
          <w:color w:val="000000"/>
          <w:sz w:val="32"/>
          <w:szCs w:val="32"/>
        </w:rPr>
        <w:t>合法来源证明。</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纳入人工繁育国家重点保护野生动物名录的，按照国家规定执行。</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第十八条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野外环境自然生长繁殖的陆生脊椎野生动物，或者其他存在危害公共卫生安全、生态安全、公共秩序风险的野生动物，不得作为宠物饲养。</w:t>
      </w:r>
    </w:p>
    <w:p>
      <w:pPr>
        <w:wordWrap/>
        <w:snapToGrid/>
        <w:spacing w:after="0" w:line="590" w:lineRule="exact"/>
        <w:ind w:left="0" w:leftChars="0" w:right="0" w:firstLine="640" w:firstLineChars="200"/>
        <w:textAlignment w:val="auto"/>
        <w:rPr>
          <w:rFonts w:hint="default" w:ascii="宋体" w:hAnsi="宋体" w:eastAsia="华文楷体" w:cs="Times New Roman"/>
          <w:b w:val="0"/>
          <w:bCs w:val="0"/>
          <w:color w:val="000000"/>
          <w:sz w:val="32"/>
          <w:szCs w:val="32"/>
          <w:shd w:val="clear" w:color="auto" w:fill="FFFFFF"/>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第四章　禁止非法猎捕</w:t>
      </w:r>
    </w:p>
    <w:p>
      <w:pPr>
        <w:wordWrap/>
        <w:snapToGrid/>
        <w:spacing w:after="0" w:line="590" w:lineRule="exact"/>
        <w:ind w:left="0" w:leftChars="0" w:right="0" w:firstLine="640" w:firstLineChars="200"/>
        <w:textAlignment w:val="auto"/>
        <w:rPr>
          <w:rFonts w:hint="default" w:ascii="宋体" w:hAnsi="宋体" w:eastAsia="楷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第十九条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禁止猎捕、杀害本条例第二条第二款规定保护的野生动物，以及法律法规和国家、省规定禁止猎捕的其他野生动物。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因科学研究、种群调控、疫源疫病监测、疫情防控或者其他特殊情况，需要猎捕野生动物进行非食用性利用的，应当符合以下规定：</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i w:val="0"/>
          <w:iCs w:val="0"/>
          <w:color w:val="000000"/>
          <w:sz w:val="32"/>
          <w:szCs w:val="32"/>
          <w:u w:val="none"/>
        </w:rPr>
        <w:t>（一）国</w:t>
      </w:r>
      <w:r>
        <w:rPr>
          <w:rFonts w:hint="default" w:ascii="宋体" w:hAnsi="宋体" w:eastAsia="仿宋_GB2312" w:cs="Times New Roman"/>
          <w:b w:val="0"/>
          <w:bCs w:val="0"/>
          <w:color w:val="000000"/>
          <w:sz w:val="32"/>
          <w:szCs w:val="32"/>
        </w:rPr>
        <w:t>家</w:t>
      </w:r>
      <w:r>
        <w:rPr>
          <w:rFonts w:hint="eastAsia" w:ascii="宋体" w:hAnsi="宋体" w:eastAsia="仿宋_GB2312" w:cs="Times New Roman"/>
          <w:b w:val="0"/>
          <w:bCs w:val="0"/>
          <w:color w:val="000000"/>
          <w:sz w:val="32"/>
          <w:szCs w:val="32"/>
          <w:lang w:eastAsia="zh-CN"/>
        </w:rPr>
        <w:t>一级</w:t>
      </w:r>
      <w:r>
        <w:rPr>
          <w:rFonts w:hint="default" w:ascii="宋体" w:hAnsi="宋体" w:eastAsia="仿宋_GB2312" w:cs="Times New Roman"/>
          <w:b w:val="0"/>
          <w:bCs w:val="0"/>
          <w:color w:val="000000"/>
          <w:sz w:val="32"/>
          <w:szCs w:val="32"/>
        </w:rPr>
        <w:t>保护野生动物</w:t>
      </w:r>
      <w:r>
        <w:rPr>
          <w:rFonts w:hint="eastAsia" w:ascii="宋体" w:hAnsi="宋体" w:eastAsia="仿宋_GB2312" w:cs="Times New Roman"/>
          <w:b w:val="0"/>
          <w:bCs w:val="0"/>
          <w:color w:val="000000"/>
          <w:sz w:val="32"/>
          <w:szCs w:val="32"/>
          <w:lang w:eastAsia="zh-CN"/>
        </w:rPr>
        <w:t>按照国家规定申请领取特许猎捕证</w:t>
      </w:r>
      <w:r>
        <w:rPr>
          <w:rFonts w:hint="eastAsia" w:ascii="宋体" w:hAnsi="宋体" w:cs="Times New Roman"/>
          <w:b w:val="0"/>
          <w:bCs w:val="0"/>
          <w:color w:val="000000"/>
          <w:sz w:val="32"/>
          <w:szCs w:val="32"/>
          <w:lang w:eastAsia="zh-CN"/>
        </w:rPr>
        <w:t>，</w:t>
      </w:r>
      <w:r>
        <w:rPr>
          <w:rFonts w:hint="eastAsia" w:ascii="宋体" w:hAnsi="宋体" w:eastAsia="仿宋_GB2312" w:cs="Times New Roman"/>
          <w:b w:val="0"/>
          <w:bCs w:val="0"/>
          <w:color w:val="000000"/>
          <w:sz w:val="32"/>
          <w:szCs w:val="32"/>
          <w:lang w:eastAsia="zh-CN"/>
        </w:rPr>
        <w:t>国家二级保护野生动物向</w:t>
      </w:r>
      <w:r>
        <w:rPr>
          <w:rFonts w:hint="default" w:ascii="宋体" w:hAnsi="宋体" w:eastAsia="仿宋_GB2312" w:cs="Times New Roman"/>
          <w:b w:val="0"/>
          <w:bCs w:val="0"/>
          <w:color w:val="000000"/>
          <w:sz w:val="32"/>
          <w:szCs w:val="32"/>
        </w:rPr>
        <w:t>省野生动物保护主管部门或者其委托的地级以上市野生动物保护主管部门</w:t>
      </w:r>
      <w:r>
        <w:rPr>
          <w:rFonts w:hint="eastAsia" w:ascii="宋体" w:hAnsi="宋体" w:eastAsia="仿宋_GB2312" w:cs="Times New Roman"/>
          <w:b w:val="0"/>
          <w:bCs w:val="0"/>
          <w:color w:val="000000"/>
          <w:sz w:val="32"/>
          <w:szCs w:val="32"/>
          <w:lang w:eastAsia="zh-CN"/>
        </w:rPr>
        <w:t>申请领取特许猎捕证</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lang w:eastAsia="zh-CN"/>
        </w:rPr>
      </w:pPr>
      <w:r>
        <w:rPr>
          <w:rFonts w:hint="default" w:ascii="宋体" w:hAnsi="宋体" w:eastAsia="仿宋_GB2312" w:cs="Times New Roman"/>
          <w:b w:val="0"/>
          <w:bCs w:val="0"/>
          <w:color w:val="000000"/>
          <w:sz w:val="32"/>
          <w:szCs w:val="32"/>
        </w:rPr>
        <w:t>（二）</w:t>
      </w:r>
      <w:r>
        <w:rPr>
          <w:rFonts w:hint="eastAsia" w:ascii="宋体" w:hAnsi="宋体" w:eastAsia="仿宋_GB2312" w:cs="Times New Roman"/>
          <w:b w:val="0"/>
          <w:bCs w:val="0"/>
          <w:color w:val="000000"/>
          <w:sz w:val="32"/>
          <w:szCs w:val="32"/>
          <w:lang w:eastAsia="zh-CN"/>
        </w:rPr>
        <w:t>非国家</w:t>
      </w:r>
      <w:r>
        <w:rPr>
          <w:rFonts w:hint="default" w:ascii="宋体" w:hAnsi="宋体" w:eastAsia="仿宋_GB2312" w:cs="Times New Roman"/>
          <w:b w:val="0"/>
          <w:bCs w:val="0"/>
          <w:color w:val="000000"/>
          <w:sz w:val="32"/>
          <w:szCs w:val="32"/>
        </w:rPr>
        <w:t>重点保护野生动物</w:t>
      </w:r>
      <w:r>
        <w:rPr>
          <w:rFonts w:hint="eastAsia" w:ascii="宋体" w:hAnsi="宋体" w:eastAsia="仿宋_GB2312" w:cs="Times New Roman"/>
          <w:b w:val="0"/>
          <w:bCs w:val="0"/>
          <w:color w:val="000000"/>
          <w:sz w:val="32"/>
          <w:szCs w:val="32"/>
          <w:lang w:eastAsia="zh-CN"/>
        </w:rPr>
        <w:t>向</w:t>
      </w:r>
      <w:r>
        <w:rPr>
          <w:rFonts w:hint="default" w:ascii="宋体" w:hAnsi="宋体" w:eastAsia="仿宋_GB2312" w:cs="Times New Roman"/>
          <w:b w:val="0"/>
          <w:bCs w:val="0"/>
          <w:color w:val="000000"/>
          <w:sz w:val="32"/>
          <w:szCs w:val="32"/>
        </w:rPr>
        <w:t>县级野生动物保护主管部门</w:t>
      </w:r>
      <w:r>
        <w:rPr>
          <w:rFonts w:hint="eastAsia" w:ascii="宋体" w:hAnsi="宋体" w:eastAsia="仿宋_GB2312" w:cs="Times New Roman"/>
          <w:b w:val="0"/>
          <w:bCs w:val="0"/>
          <w:color w:val="000000"/>
          <w:sz w:val="32"/>
          <w:szCs w:val="32"/>
          <w:lang w:eastAsia="zh-CN"/>
        </w:rPr>
        <w:t>申请领取狩猎证</w:t>
      </w:r>
      <w:r>
        <w:rPr>
          <w:rFonts w:hint="default" w:ascii="宋体" w:hAnsi="宋体" w:eastAsia="仿宋_GB2312" w:cs="Times New Roman"/>
          <w:b w:val="0"/>
          <w:bCs w:val="0"/>
          <w:color w:val="000000"/>
          <w:sz w:val="32"/>
          <w:szCs w:val="32"/>
          <w:lang w:eastAsia="zh-CN"/>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猎捕前款第二项</w:t>
      </w:r>
      <w:r>
        <w:rPr>
          <w:rFonts w:hint="default" w:ascii="宋体" w:hAnsi="宋体" w:eastAsia="仿宋_GB2312" w:cs="Times New Roman"/>
          <w:b w:val="0"/>
          <w:bCs w:val="0"/>
          <w:color w:val="000000"/>
          <w:sz w:val="32"/>
          <w:szCs w:val="32"/>
          <w:lang w:eastAsia="zh-CN"/>
        </w:rPr>
        <w:t>和省</w:t>
      </w:r>
      <w:r>
        <w:rPr>
          <w:rFonts w:hint="default" w:ascii="宋体" w:hAnsi="宋体" w:eastAsia="仿宋_GB2312" w:cs="Times New Roman"/>
          <w:b w:val="0"/>
          <w:bCs w:val="0"/>
          <w:color w:val="000000"/>
          <w:sz w:val="32"/>
          <w:szCs w:val="32"/>
        </w:rPr>
        <w:t>规定禁止猎捕的野生动物应当服从猎捕量限额管理。</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第二十一条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县级野生动物保护主管部门应当根据野生动物及其栖息地状况的调查、监测和评估结果，提出狩猎动物种类和年度猎捕量限额，报省野生动物保护主管部门或者其委托的地级以上市野生动物保护主管部门</w:t>
      </w:r>
      <w:r>
        <w:rPr>
          <w:rFonts w:hint="default" w:ascii="宋体" w:hAnsi="宋体" w:eastAsia="仿宋_GB2312" w:cs="Times New Roman"/>
          <w:b w:val="0"/>
          <w:bCs w:val="0"/>
          <w:color w:val="000000"/>
          <w:sz w:val="32"/>
          <w:szCs w:val="32"/>
          <w:lang w:eastAsia="zh-CN"/>
        </w:rPr>
        <w:t>批准</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第二十二条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禁止使用毒药、爆炸物、电击、电子诱捕装置以及猎套、猎夹、气枪、地枪、排铳、粘网、地弓、吊杠、钢丝套等工具猎捕野生动物。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任何单位和个人不得擅自制造、出售前款规定的猎捕工具。</w:t>
      </w:r>
    </w:p>
    <w:p>
      <w:pPr>
        <w:wordWrap/>
        <w:snapToGrid/>
        <w:spacing w:after="0" w:line="590" w:lineRule="exact"/>
        <w:ind w:left="0" w:leftChars="0" w:right="0" w:firstLine="640" w:firstLineChars="200"/>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第五章  禁止非法交易</w:t>
      </w:r>
    </w:p>
    <w:p>
      <w:pPr>
        <w:wordWrap/>
        <w:snapToGrid/>
        <w:spacing w:after="0" w:line="590" w:lineRule="exact"/>
        <w:ind w:left="0" w:leftChars="0" w:right="0"/>
        <w:textAlignment w:val="auto"/>
        <w:rPr>
          <w:rFonts w:hint="default" w:ascii="宋体" w:hAnsi="宋体" w:eastAsia="宋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第二十三条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禁止出售、购买、利用本条例第二条第二款规定保护的野生动物，以及法律法规和国家、省规定禁止交易的其他野生动物。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禁止出售、购买、利用国家重点保护野生动物制品。</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第二十四条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禁止商品交易市场、电子商务平台等交易场所以及运输、仓储、快递等经营者，为违法出售、购买、利用、运输、储存野生动物及其制品或者禁止使用的猎捕工具提供交易服务。</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互联网信息服务提供者不得制作、复制、发布、传播非法野生动物交易信息；发现非法交易信息的，应当停止传输，保存记录，报告有关部门。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第二十五条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商品交易市场开办者、市场服务管理机构、电子商务平台经营者应当依法审查、核验入场经营者的经营资格，进行实名登记，加强监督检查；发现有非法野生动物交易行为的，应当立即制止，报告市场监督管理部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电子商务平台经营者收到有关部门通知，应当删除、屏蔽、断开链接非法野生动物交易信息，停止提供交易服务。</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第二十六条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因科研、药用、展示等特殊情况，需要</w:t>
      </w:r>
      <w:r>
        <w:rPr>
          <w:rFonts w:hint="default" w:ascii="宋体" w:hAnsi="宋体" w:eastAsia="仿宋_GB2312" w:cs="Times New Roman"/>
          <w:b w:val="0"/>
          <w:bCs w:val="0"/>
          <w:color w:val="000000"/>
          <w:sz w:val="32"/>
          <w:szCs w:val="32"/>
          <w:lang w:eastAsia="zh-CN"/>
        </w:rPr>
        <w:t>对野生动物进行</w:t>
      </w:r>
      <w:r>
        <w:rPr>
          <w:rFonts w:hint="default" w:ascii="宋体" w:hAnsi="宋体" w:eastAsia="仿宋_GB2312" w:cs="Times New Roman"/>
          <w:b w:val="0"/>
          <w:bCs w:val="0"/>
          <w:color w:val="000000"/>
          <w:sz w:val="32"/>
          <w:szCs w:val="32"/>
        </w:rPr>
        <w:t>非食用性利用的，</w:t>
      </w:r>
      <w:r>
        <w:rPr>
          <w:rFonts w:hint="default" w:ascii="宋体" w:hAnsi="宋体" w:eastAsia="仿宋_GB2312" w:cs="Times New Roman"/>
          <w:b w:val="0"/>
          <w:bCs w:val="0"/>
          <w:color w:val="000000"/>
          <w:sz w:val="32"/>
          <w:szCs w:val="32"/>
          <w:lang w:eastAsia="zh-CN"/>
        </w:rPr>
        <w:t>应当按照国家有关规定实行严格审批和</w:t>
      </w:r>
      <w:r>
        <w:rPr>
          <w:rFonts w:hint="default" w:ascii="宋体" w:hAnsi="宋体" w:eastAsia="仿宋_GB2312" w:cs="Times New Roman"/>
          <w:b w:val="0"/>
          <w:bCs w:val="0"/>
          <w:color w:val="000000"/>
          <w:sz w:val="32"/>
          <w:szCs w:val="32"/>
        </w:rPr>
        <w:t>检疫检验。</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野生动物及其制品作为药品经营和利用的，还应当遵守有关药品管理的法律法规。</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第二十七条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运输、携带、寄递野生动物及其制品的，应当按照规定持有或者附有猎捕、人工繁育、进出口等许可证、批准文件或者专用标识等合法来源证明，以及检疫证明，保证可追溯。</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承运人、寄递业务经营者应当查验前款规定的证明；没有相关证明的，不得运输、寄递，并向野生动物保护主管部门或者</w:t>
      </w:r>
      <w:r>
        <w:rPr>
          <w:rFonts w:hint="eastAsia" w:ascii="宋体" w:hAnsi="宋体" w:eastAsia="仿宋_GB2312" w:cs="Times New Roman"/>
          <w:b w:val="0"/>
          <w:bCs w:val="0"/>
          <w:color w:val="000000"/>
          <w:sz w:val="32"/>
          <w:szCs w:val="32"/>
          <w:lang w:eastAsia="zh-CN"/>
        </w:rPr>
        <w:t>动物卫生监督机构</w:t>
      </w:r>
      <w:r>
        <w:rPr>
          <w:rFonts w:hint="default" w:ascii="宋体" w:hAnsi="宋体" w:eastAsia="仿宋_GB2312" w:cs="Times New Roman"/>
          <w:b w:val="0"/>
          <w:bCs w:val="0"/>
          <w:color w:val="000000"/>
          <w:sz w:val="32"/>
          <w:szCs w:val="32"/>
        </w:rPr>
        <w:t>报告。</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第二十八条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突发公共卫生事件发生后，为阻断可能来自于野生动物的传染源和传播途径，县级以上地方人民政府可以依法采取全面禁止野生动物交易的应急处置措施，向社会公告。</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禁止出售、购买、利用、运输、携带、寄递病死</w:t>
      </w:r>
      <w:r>
        <w:rPr>
          <w:rFonts w:hint="eastAsia" w:ascii="宋体" w:hAnsi="宋体" w:eastAsia="仿宋_GB2312" w:cs="Times New Roman"/>
          <w:b w:val="0"/>
          <w:bCs w:val="0"/>
          <w:color w:val="000000"/>
          <w:sz w:val="32"/>
          <w:szCs w:val="32"/>
          <w:lang w:eastAsia="zh-CN"/>
        </w:rPr>
        <w:t>或者</w:t>
      </w:r>
      <w:r>
        <w:rPr>
          <w:rFonts w:hint="default" w:ascii="宋体" w:hAnsi="宋体" w:eastAsia="仿宋_GB2312" w:cs="Times New Roman"/>
          <w:b w:val="0"/>
          <w:bCs w:val="0"/>
          <w:color w:val="000000"/>
          <w:sz w:val="32"/>
          <w:szCs w:val="32"/>
        </w:rPr>
        <w:t>死因不明的野生动物及其制品。发现野生动物异常死亡的，应当立即向野生动物保护主管部门或者动物疫病预防控制机构报告。</w:t>
      </w:r>
    </w:p>
    <w:p>
      <w:pPr>
        <w:pStyle w:val="30"/>
        <w:rPr>
          <w:rFonts w:hint="default" w:ascii="宋体" w:hAnsi="宋体"/>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第六章  禁止非法食用</w:t>
      </w:r>
    </w:p>
    <w:p>
      <w:pPr>
        <w:wordWrap/>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第二十九条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禁止食用国家重点保护野生动物和其他陆生野生动物，包括人工繁育、人工饲养的陆生野生动物，以及有关法律禁止食用的其他野生动物。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禁止生产、经营使用国家重点保护野生动物及其制品制作的食品。</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第三十条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禁止以家畜家禽名义食用野生动物。列入畜禽遗传资源目录的动物，按照国家规定应当加施畜禽标识而没有加施的，不得屠宰、加工、出售。</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第三十一条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酒楼、饭店、餐厅、农庄、会所、食堂等餐饮服务提供者应当诚信自律，承担社会责任，对禁止食用的野生动物及其制品不得购买、储存、加工、出售或者提供来料加工服务，不得用其名称、别称、图案制作招牌或者菜谱。</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餐饮服务提供者应当加强食品原料控制，建立进货查验记录制度，并保存相关凭证。</w:t>
      </w:r>
    </w:p>
    <w:p>
      <w:pPr>
        <w:wordWrap/>
        <w:overflowPunct w:val="0"/>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第三十二条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电子商务平台经营者</w:t>
      </w:r>
      <w:r>
        <w:rPr>
          <w:rFonts w:hint="default" w:ascii="宋体" w:hAnsi="宋体" w:eastAsia="仿宋_GB2312" w:cs="Times New Roman"/>
          <w:b w:val="0"/>
          <w:bCs w:val="0"/>
          <w:color w:val="000000"/>
          <w:sz w:val="32"/>
          <w:szCs w:val="32"/>
          <w:lang w:eastAsia="zh-CN"/>
        </w:rPr>
        <w:t>不得</w:t>
      </w:r>
      <w:r>
        <w:rPr>
          <w:rFonts w:hint="default" w:ascii="宋体" w:hAnsi="宋体" w:eastAsia="仿宋_GB2312" w:cs="Times New Roman"/>
          <w:b w:val="0"/>
          <w:bCs w:val="0"/>
          <w:color w:val="000000"/>
          <w:sz w:val="32"/>
          <w:szCs w:val="32"/>
        </w:rPr>
        <w:t>为</w:t>
      </w:r>
      <w:r>
        <w:rPr>
          <w:rFonts w:hint="eastAsia" w:ascii="宋体" w:hAnsi="宋体" w:eastAsia="仿宋_GB2312" w:cs="Times New Roman"/>
          <w:b w:val="0"/>
          <w:bCs w:val="0"/>
          <w:color w:val="000000"/>
          <w:sz w:val="32"/>
          <w:szCs w:val="32"/>
          <w:lang w:eastAsia="zh-CN"/>
        </w:rPr>
        <w:t>使用</w:t>
      </w:r>
      <w:r>
        <w:rPr>
          <w:rFonts w:hint="default" w:ascii="宋体" w:hAnsi="宋体" w:eastAsia="仿宋_GB2312" w:cs="Times New Roman"/>
          <w:b w:val="0"/>
          <w:bCs w:val="0"/>
          <w:color w:val="000000"/>
          <w:sz w:val="32"/>
          <w:szCs w:val="32"/>
        </w:rPr>
        <w:t>禁止食用的野生动物及其制品制作的食品提供推介、点餐、配送或者其他服务。</w:t>
      </w:r>
    </w:p>
    <w:p>
      <w:pPr>
        <w:wordWrap/>
        <w:autoSpaceDN w:val="0"/>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第三十三条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食品、餐饮、烹饪等行业协会应当加强行业自律，引导和督促会员遵守禁止食用野生动物的规定，承诺不购买、不加工、不出售野生动物及其制品，对违反的成员实施行业惩戒</w:t>
      </w:r>
      <w:r>
        <w:rPr>
          <w:rFonts w:hint="default" w:ascii="宋体" w:hAnsi="宋体" w:eastAsia="仿宋_GB2312" w:cs="Times New Roman"/>
          <w:b w:val="0"/>
          <w:bCs w:val="0"/>
          <w:color w:val="000000"/>
          <w:sz w:val="32"/>
          <w:szCs w:val="32"/>
          <w:lang w:val="en-US" w:eastAsia="zh-CN"/>
        </w:rPr>
        <w:t>，并报告</w:t>
      </w:r>
      <w:r>
        <w:rPr>
          <w:rFonts w:hint="eastAsia" w:ascii="宋体" w:hAnsi="宋体" w:eastAsia="仿宋_GB2312" w:cs="Times New Roman"/>
          <w:b w:val="0"/>
          <w:bCs w:val="0"/>
          <w:color w:val="000000"/>
          <w:sz w:val="32"/>
          <w:szCs w:val="32"/>
          <w:lang w:val="en-US" w:eastAsia="zh-CN"/>
        </w:rPr>
        <w:t>市场监督管理等主管</w:t>
      </w:r>
      <w:r>
        <w:rPr>
          <w:rFonts w:hint="default" w:ascii="宋体" w:hAnsi="宋体" w:eastAsia="仿宋_GB2312" w:cs="Times New Roman"/>
          <w:b w:val="0"/>
          <w:bCs w:val="0"/>
          <w:color w:val="000000"/>
          <w:sz w:val="32"/>
          <w:szCs w:val="32"/>
          <w:lang w:val="en-US" w:eastAsia="zh-CN"/>
        </w:rPr>
        <w:t>部门</w:t>
      </w:r>
      <w:r>
        <w:rPr>
          <w:rFonts w:hint="default" w:ascii="宋体" w:hAnsi="宋体" w:eastAsia="仿宋_GB2312" w:cs="Times New Roman"/>
          <w:b w:val="0"/>
          <w:bCs w:val="0"/>
          <w:color w:val="000000"/>
          <w:sz w:val="32"/>
          <w:szCs w:val="32"/>
        </w:rPr>
        <w:t>。</w:t>
      </w:r>
    </w:p>
    <w:p>
      <w:pPr>
        <w:wordWrap/>
        <w:autoSpaceDN w:val="0"/>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 xml:space="preserve">第三十四条 </w:t>
      </w:r>
      <w:r>
        <w:rPr>
          <w:rFonts w:hint="default" w:ascii="宋体" w:hAnsi="宋体" w:eastAsia="仿宋_GB2312" w:cs="Times New Roman"/>
          <w:b w:val="0"/>
          <w:bCs w:val="0"/>
          <w:color w:val="000000"/>
          <w:sz w:val="32"/>
          <w:szCs w:val="32"/>
        </w:rPr>
        <w:t>县级以上市场监督管理部门应当建立餐饮服务提供者信用档案，依法公示违法经营销售野生动物及其制品的行政处罚信息。</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iCs/>
          <w:color w:val="000000"/>
          <w:sz w:val="32"/>
          <w:szCs w:val="32"/>
        </w:rPr>
        <w:t>第三十五条</w:t>
      </w:r>
      <w:r>
        <w:rPr>
          <w:rFonts w:hint="default" w:ascii="宋体" w:hAnsi="宋体" w:eastAsia="仿宋_GB2312" w:cs="Times New Roman"/>
          <w:b w:val="0"/>
          <w:bCs w:val="0"/>
          <w:iCs/>
          <w:color w:val="000000"/>
          <w:sz w:val="32"/>
          <w:szCs w:val="32"/>
        </w:rPr>
        <w:t xml:space="preserve"> </w:t>
      </w:r>
      <w:r>
        <w:rPr>
          <w:rFonts w:hint="default" w:ascii="宋体" w:hAnsi="宋体" w:eastAsia="仿宋_GB2312" w:cs="Times New Roman"/>
          <w:b w:val="0"/>
          <w:bCs w:val="0"/>
          <w:color w:val="000000"/>
          <w:sz w:val="32"/>
          <w:szCs w:val="32"/>
        </w:rPr>
        <w:t>全社会成员应当自觉遵守禁止食用野生动物的规定，</w:t>
      </w:r>
      <w:r>
        <w:rPr>
          <w:rFonts w:hint="default" w:ascii="宋体" w:hAnsi="宋体" w:eastAsia="仿宋_GB2312" w:cs="Times New Roman"/>
          <w:b w:val="0"/>
          <w:bCs w:val="0"/>
          <w:color w:val="000000"/>
          <w:sz w:val="32"/>
          <w:szCs w:val="32"/>
          <w:lang w:eastAsia="zh-CN"/>
        </w:rPr>
        <w:t>移风易俗，养成科学健康文明的生活方式</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p>
    <w:p>
      <w:pPr>
        <w:pStyle w:val="47"/>
        <w:widowControl/>
        <w:wordWrap/>
        <w:snapToGrid/>
        <w:spacing w:before="0" w:beforeAutospacing="0" w:after="0" w:afterAutospacing="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第七章　执法监管</w:t>
      </w:r>
    </w:p>
    <w:p>
      <w:pPr>
        <w:wordWrap/>
        <w:snapToGrid/>
        <w:spacing w:after="0" w:line="590" w:lineRule="exact"/>
        <w:ind w:left="0" w:leftChars="0" w:right="0"/>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第三十六条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县级以上地方人民政府应当</w:t>
      </w:r>
      <w:r>
        <w:rPr>
          <w:rFonts w:hint="default" w:ascii="宋体" w:hAnsi="宋体" w:eastAsia="仿宋_GB2312" w:cs="Times New Roman"/>
          <w:b w:val="0"/>
          <w:bCs w:val="0"/>
          <w:color w:val="000000"/>
          <w:sz w:val="32"/>
          <w:szCs w:val="32"/>
          <w:lang w:eastAsia="zh-CN"/>
        </w:rPr>
        <w:t>加强跨区域、跨部门</w:t>
      </w:r>
      <w:r>
        <w:rPr>
          <w:rFonts w:hint="default" w:ascii="宋体" w:hAnsi="宋体" w:eastAsia="仿宋_GB2312" w:cs="Times New Roman"/>
          <w:b w:val="0"/>
          <w:bCs w:val="0"/>
          <w:color w:val="000000"/>
          <w:sz w:val="32"/>
          <w:szCs w:val="32"/>
        </w:rPr>
        <w:t>野生动物保护协作</w:t>
      </w:r>
      <w:r>
        <w:rPr>
          <w:rFonts w:hint="default"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健全野生动物保护执法管理体制，加强执法队伍建设，明确执法责任主体，落实执法管理责任，强化信息技术支撑，</w:t>
      </w:r>
      <w:r>
        <w:rPr>
          <w:rFonts w:hint="default" w:ascii="宋体" w:hAnsi="宋体" w:eastAsia="仿宋_GB2312" w:cs="Times New Roman"/>
          <w:b w:val="0"/>
          <w:bCs w:val="0"/>
          <w:color w:val="000000"/>
          <w:sz w:val="32"/>
          <w:szCs w:val="32"/>
          <w:lang w:eastAsia="zh-CN"/>
        </w:rPr>
        <w:t>实现信息共享，</w:t>
      </w:r>
      <w:r>
        <w:rPr>
          <w:rFonts w:hint="default" w:ascii="宋体" w:hAnsi="宋体" w:eastAsia="仿宋_GB2312" w:cs="Times New Roman"/>
          <w:b w:val="0"/>
          <w:bCs w:val="0"/>
          <w:color w:val="000000"/>
          <w:sz w:val="32"/>
          <w:szCs w:val="32"/>
        </w:rPr>
        <w:t>加强协调配合，</w:t>
      </w:r>
      <w:r>
        <w:rPr>
          <w:rFonts w:hint="default" w:ascii="宋体" w:hAnsi="宋体" w:eastAsia="仿宋_GB2312" w:cs="Times New Roman"/>
          <w:b w:val="0"/>
          <w:bCs w:val="0"/>
          <w:color w:val="000000"/>
          <w:sz w:val="32"/>
          <w:szCs w:val="32"/>
          <w:lang w:eastAsia="zh-CN"/>
        </w:rPr>
        <w:t>组织</w:t>
      </w:r>
      <w:r>
        <w:rPr>
          <w:rFonts w:hint="default" w:ascii="宋体" w:hAnsi="宋体" w:eastAsia="仿宋_GB2312" w:cs="Times New Roman"/>
          <w:b w:val="0"/>
          <w:bCs w:val="0"/>
          <w:color w:val="000000"/>
          <w:sz w:val="32"/>
          <w:szCs w:val="32"/>
        </w:rPr>
        <w:t>联合执法，开展防范、打击走私和非法贸易行动，加</w:t>
      </w:r>
      <w:r>
        <w:rPr>
          <w:rFonts w:hint="eastAsia" w:ascii="宋体" w:hAnsi="宋体" w:eastAsia="仿宋_GB2312" w:cs="Times New Roman"/>
          <w:b w:val="0"/>
          <w:bCs w:val="0"/>
          <w:color w:val="000000"/>
          <w:sz w:val="32"/>
          <w:szCs w:val="32"/>
          <w:lang w:eastAsia="zh-CN"/>
        </w:rPr>
        <w:t>强</w:t>
      </w:r>
      <w:r>
        <w:rPr>
          <w:rFonts w:hint="default" w:ascii="宋体" w:hAnsi="宋体" w:eastAsia="仿宋_GB2312" w:cs="Times New Roman"/>
          <w:b w:val="0"/>
          <w:bCs w:val="0"/>
          <w:color w:val="000000"/>
          <w:sz w:val="32"/>
          <w:szCs w:val="32"/>
        </w:rPr>
        <w:t>监督检查和责任追究，严格查处违法行为。</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第三十七条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县级以上林业主管部门负责陆生野生动物保护监督管理工作，依法可以委托自然保护地管理机构查处破坏自然保护地自然资源、野生动物栖息地的行为。</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县级以上农业农村主管部门负责水生野生动物保护监督管理工作，依法对人工繁育、合法捕获的野生动物及其制品进行检疫。</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县级以上市场监督管理部门依法对商品交易市场、电子商务平台、餐饮等交易、消费场所经营利用野生动物及其制品的行为进行监督管理；对违法经营场所和违法经营者，依法予以取缔或者查封、关闭。</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公安机关按照</w:t>
      </w:r>
      <w:r>
        <w:rPr>
          <w:rFonts w:hint="eastAsia" w:ascii="宋体" w:hAnsi="宋体" w:eastAsia="仿宋_GB2312" w:cs="Times New Roman"/>
          <w:b w:val="0"/>
          <w:bCs w:val="0"/>
          <w:color w:val="000000"/>
          <w:sz w:val="32"/>
          <w:szCs w:val="32"/>
          <w:lang w:eastAsia="zh-CN"/>
        </w:rPr>
        <w:t>国家和</w:t>
      </w:r>
      <w:r>
        <w:rPr>
          <w:rFonts w:hint="eastAsia" w:ascii="宋体" w:hAnsi="宋体" w:eastAsia="仿宋_GB2312" w:cs="Times New Roman"/>
          <w:b w:val="0"/>
          <w:bCs w:val="0"/>
          <w:color w:val="000000"/>
          <w:sz w:val="32"/>
          <w:szCs w:val="32"/>
        </w:rPr>
        <w:t>省</w:t>
      </w:r>
      <w:r>
        <w:rPr>
          <w:rFonts w:hint="default" w:ascii="宋体" w:hAnsi="宋体" w:eastAsia="仿宋_GB2312" w:cs="Times New Roman"/>
          <w:b w:val="0"/>
          <w:bCs w:val="0"/>
          <w:color w:val="000000"/>
          <w:sz w:val="32"/>
          <w:szCs w:val="32"/>
        </w:rPr>
        <w:t>的规定负责野生动物保护管理相关行政执法。</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海关依法对野生动物实施进出境检疫，凭进口批准文件或者允许进出口证明书以及检疫证明按照规定办理通关手续。</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交通运输、卫生健康、科技、城市管理、邮政</w:t>
      </w:r>
      <w:r>
        <w:rPr>
          <w:rFonts w:hint="default" w:ascii="宋体" w:hAnsi="宋体" w:eastAsia="仿宋_GB2312" w:cs="Times New Roman"/>
          <w:b w:val="0"/>
          <w:bCs w:val="0"/>
          <w:color w:val="000000"/>
          <w:sz w:val="32"/>
          <w:szCs w:val="32"/>
          <w:lang w:eastAsia="zh-CN"/>
        </w:rPr>
        <w:t>管理</w:t>
      </w:r>
      <w:r>
        <w:rPr>
          <w:rFonts w:hint="default" w:ascii="宋体" w:hAnsi="宋体" w:eastAsia="仿宋_GB2312" w:cs="Times New Roman"/>
          <w:b w:val="0"/>
          <w:bCs w:val="0"/>
          <w:color w:val="000000"/>
          <w:sz w:val="32"/>
          <w:szCs w:val="32"/>
        </w:rPr>
        <w:t>、网信、电信管理等部门和机构应当按照职责分工对野生动物及其制品出售、购买、利用、运输、寄递等活动进行监督检查。</w:t>
      </w:r>
    </w:p>
    <w:p>
      <w:pPr>
        <w:wordWrap/>
        <w:snapToGrid/>
        <w:spacing w:after="0" w:line="590" w:lineRule="exact"/>
        <w:ind w:left="0" w:leftChars="0" w:right="0" w:firstLine="640" w:firstLineChars="200"/>
        <w:textAlignment w:val="auto"/>
        <w:rPr>
          <w:rFonts w:hint="eastAsia" w:ascii="宋体" w:hAnsi="宋体" w:eastAsia="楷体_GB2312" w:cs="楷体_GB2312"/>
          <w:b w:val="0"/>
          <w:bCs w:val="0"/>
          <w:color w:val="000000"/>
          <w:sz w:val="32"/>
          <w:szCs w:val="32"/>
          <w:lang w:eastAsia="zh-CN"/>
        </w:rPr>
      </w:pPr>
      <w:r>
        <w:rPr>
          <w:rFonts w:hint="eastAsia" w:ascii="宋体" w:hAnsi="宋体" w:eastAsia="仿宋_GB2312" w:cs="Times New Roman"/>
          <w:b w:val="0"/>
          <w:bCs w:val="0"/>
          <w:color w:val="000000"/>
          <w:sz w:val="32"/>
          <w:szCs w:val="32"/>
          <w:lang w:eastAsia="zh-CN"/>
        </w:rPr>
        <w:t>铁路、道路、水路、</w:t>
      </w:r>
      <w:r>
        <w:rPr>
          <w:rFonts w:hint="default" w:ascii="宋体" w:hAnsi="宋体" w:eastAsia="仿宋_GB2312" w:cs="Times New Roman"/>
          <w:b w:val="0"/>
          <w:bCs w:val="0"/>
          <w:color w:val="000000"/>
          <w:sz w:val="32"/>
          <w:szCs w:val="32"/>
        </w:rPr>
        <w:t>航空</w:t>
      </w:r>
      <w:r>
        <w:rPr>
          <w:rFonts w:hint="eastAsia" w:ascii="宋体" w:hAnsi="宋体" w:eastAsia="仿宋_GB2312" w:cs="Times New Roman"/>
          <w:b w:val="0"/>
          <w:bCs w:val="0"/>
          <w:color w:val="000000"/>
          <w:sz w:val="32"/>
          <w:szCs w:val="32"/>
          <w:lang w:eastAsia="zh-CN"/>
        </w:rPr>
        <w:t>以及车站、机场、港口</w:t>
      </w:r>
      <w:r>
        <w:rPr>
          <w:rFonts w:hint="default" w:ascii="宋体" w:hAnsi="宋体" w:eastAsia="仿宋_GB2312" w:cs="Times New Roman"/>
          <w:b w:val="0"/>
          <w:bCs w:val="0"/>
          <w:color w:val="000000"/>
          <w:sz w:val="32"/>
          <w:szCs w:val="32"/>
        </w:rPr>
        <w:t>等单位应当协助做好相关工作。</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第三十八条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省野生动物保护主管部门对野生动物及其栖息地保护管理工作不力、问题突出、公众反映强烈的地区，可以约谈所在地地级以上市、县级人民政府及其有关主管部门主要负责人，要求其采取措施</w:t>
      </w:r>
      <w:r>
        <w:rPr>
          <w:rFonts w:hint="eastAsia" w:ascii="宋体" w:hAnsi="宋体" w:eastAsia="仿宋_GB2312" w:cs="Times New Roman"/>
          <w:b w:val="0"/>
          <w:bCs w:val="0"/>
          <w:color w:val="000000"/>
          <w:sz w:val="32"/>
          <w:szCs w:val="32"/>
          <w:lang w:eastAsia="zh-CN"/>
        </w:rPr>
        <w:t>限期</w:t>
      </w:r>
      <w:r>
        <w:rPr>
          <w:rFonts w:hint="default" w:ascii="宋体" w:hAnsi="宋体" w:eastAsia="仿宋_GB2312" w:cs="Times New Roman"/>
          <w:b w:val="0"/>
          <w:bCs w:val="0"/>
          <w:color w:val="000000"/>
          <w:sz w:val="32"/>
          <w:szCs w:val="32"/>
        </w:rPr>
        <w:t>整改。约谈整改情况应当向社会公开。</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第三十九条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破坏野生动物及其栖息地造成生态环境损害的，县级以上野生动物保护主管部门可以依法向人民法院提起诉讼，对侵权人提出损害赔偿要求。</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野生动物及其制品种类、名称鉴定由执法部门委托专业技术人员、第三方专业机构或者具有相应司法鉴定资质的鉴定机构承担，</w:t>
      </w:r>
      <w:r>
        <w:rPr>
          <w:rFonts w:hint="eastAsia" w:ascii="宋体" w:hAnsi="宋体" w:eastAsia="仿宋_GB2312" w:cs="Times New Roman"/>
          <w:b w:val="0"/>
          <w:bCs w:val="0"/>
          <w:color w:val="000000"/>
          <w:sz w:val="32"/>
          <w:szCs w:val="32"/>
        </w:rPr>
        <w:t>国家另有规定的</w:t>
      </w:r>
      <w:r>
        <w:rPr>
          <w:rFonts w:hint="eastAsia" w:ascii="宋体" w:hAnsi="宋体" w:eastAsia="仿宋_GB2312" w:cs="Times New Roman"/>
          <w:b w:val="0"/>
          <w:bCs w:val="0"/>
          <w:color w:val="000000"/>
          <w:sz w:val="32"/>
          <w:szCs w:val="32"/>
          <w:lang w:eastAsia="zh-CN"/>
        </w:rPr>
        <w:t>从其规定</w:t>
      </w:r>
      <w:r>
        <w:rPr>
          <w:rFonts w:hint="eastAsia" w:ascii="宋体" w:hAnsi="宋体" w:eastAsia="仿宋_GB2312" w:cs="Times New Roman"/>
          <w:b w:val="0"/>
          <w:bCs w:val="0"/>
          <w:color w:val="000000"/>
          <w:sz w:val="32"/>
          <w:szCs w:val="32"/>
        </w:rPr>
        <w:t>。</w:t>
      </w:r>
    </w:p>
    <w:p>
      <w:pPr>
        <w:wordWrap/>
        <w:overflowPunct w:val="0"/>
        <w:snapToGrid/>
        <w:spacing w:after="0" w:line="590" w:lineRule="exact"/>
        <w:ind w:left="0" w:leftChars="0" w:right="0"/>
        <w:textAlignment w:val="auto"/>
        <w:rPr>
          <w:rFonts w:hint="default" w:ascii="宋体" w:hAnsi="宋体" w:eastAsia="仿宋_GB2312" w:cs="Times New Roman"/>
          <w:b w:val="0"/>
          <w:bCs w:val="0"/>
          <w:color w:val="000000"/>
          <w:sz w:val="32"/>
          <w:szCs w:val="32"/>
        </w:rPr>
      </w:pPr>
    </w:p>
    <w:p>
      <w:pPr>
        <w:wordWrap/>
        <w:overflowPunct w:val="0"/>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第八章  法律责任</w:t>
      </w:r>
    </w:p>
    <w:p>
      <w:pPr>
        <w:wordWrap/>
        <w:overflowPunct w:val="0"/>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idowControl w:val="0"/>
        <w:wordWrap/>
        <w:overflowPunct w:val="0"/>
        <w:adjustRightInd/>
        <w:snapToGrid/>
        <w:spacing w:beforeAutospacing="0" w:after="0" w:afterAutospacing="0" w:line="590" w:lineRule="exact"/>
        <w:ind w:left="0" w:leftChars="0" w:right="0" w:firstLine="640" w:firstLineChars="200"/>
        <w:jc w:val="both"/>
        <w:textAlignment w:val="auto"/>
        <w:outlineLvl w:val="9"/>
        <w:rPr>
          <w:rFonts w:hint="default" w:ascii="宋体" w:hAnsi="宋体" w:eastAsia="仿宋_GB2312" w:cs="Times New Roman"/>
          <w:b w:val="0"/>
          <w:bCs w:val="0"/>
          <w:color w:val="000000"/>
          <w:sz w:val="32"/>
          <w:szCs w:val="32"/>
          <w:lang w:eastAsia="zh-CN"/>
        </w:rPr>
      </w:pPr>
      <w:r>
        <w:rPr>
          <w:rFonts w:hint="default" w:ascii="宋体" w:hAnsi="宋体" w:eastAsia="黑体" w:cs="Times New Roman"/>
          <w:b w:val="0"/>
          <w:bCs w:val="0"/>
          <w:color w:val="000000"/>
          <w:kern w:val="0"/>
          <w:sz w:val="32"/>
          <w:szCs w:val="32"/>
        </w:rPr>
        <w:t>第四十条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处分；构成犯罪的，依法追究刑事责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一</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宋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违反本条例第十四条第三款规定，人工繁育非国家重点保护野生动物未持有种源合法来源证明的，由县级以上野生动物保护主管部门没收野生动物及其制品，可以并处野生动物及其制品价值一倍以上三倍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二</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违反本条例第十九条、第二十条、第二十二条规定，猎捕、杀害野生动物的，由县级以上野生动物保护主管部门或者有关自然保护地管理机构按照职责分工没收猎获物、猎捕工具和违法所得，吊销猎捕许可，并按照以下规定处</w:t>
      </w:r>
      <w:r>
        <w:rPr>
          <w:rFonts w:hint="eastAsia" w:ascii="宋体" w:hAnsi="宋体" w:eastAsia="仿宋_GB2312" w:cs="Times New Roman"/>
          <w:b w:val="0"/>
          <w:bCs w:val="0"/>
          <w:color w:val="000000"/>
          <w:sz w:val="32"/>
          <w:szCs w:val="32"/>
          <w:lang w:eastAsia="zh-CN"/>
        </w:rPr>
        <w:t>以</w:t>
      </w:r>
      <w:r>
        <w:rPr>
          <w:rFonts w:hint="default" w:ascii="宋体" w:hAnsi="宋体" w:eastAsia="仿宋_GB2312" w:cs="Times New Roman"/>
          <w:b w:val="0"/>
          <w:bCs w:val="0"/>
          <w:color w:val="000000"/>
          <w:sz w:val="32"/>
          <w:szCs w:val="32"/>
        </w:rPr>
        <w:t>罚款；构成犯罪的，依法追究刑事责任：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（一）属于国家重点保护野生动物的，并处猎获物价值</w:t>
      </w:r>
      <w:r>
        <w:rPr>
          <w:rFonts w:hint="eastAsia" w:ascii="宋体" w:hAnsi="宋体" w:eastAsia="仿宋_GB2312" w:cs="Times New Roman"/>
          <w:b w:val="0"/>
          <w:bCs w:val="0"/>
          <w:color w:val="000000"/>
          <w:sz w:val="32"/>
          <w:szCs w:val="32"/>
          <w:lang w:eastAsia="zh-CN"/>
        </w:rPr>
        <w:t>二</w:t>
      </w:r>
      <w:r>
        <w:rPr>
          <w:rFonts w:hint="eastAsia" w:ascii="宋体" w:hAnsi="宋体" w:eastAsia="仿宋_GB2312" w:cs="Times New Roman"/>
          <w:b w:val="0"/>
          <w:bCs w:val="0"/>
          <w:color w:val="000000"/>
          <w:sz w:val="32"/>
          <w:szCs w:val="32"/>
        </w:rPr>
        <w:t>倍以上</w:t>
      </w:r>
      <w:r>
        <w:rPr>
          <w:rFonts w:hint="eastAsia" w:ascii="宋体" w:hAnsi="宋体" w:eastAsia="仿宋_GB2312" w:cs="Times New Roman"/>
          <w:b w:val="0"/>
          <w:bCs w:val="0"/>
          <w:color w:val="000000"/>
          <w:sz w:val="32"/>
          <w:szCs w:val="32"/>
          <w:lang w:eastAsia="zh-CN"/>
        </w:rPr>
        <w:t>二十</w:t>
      </w:r>
      <w:r>
        <w:rPr>
          <w:rFonts w:hint="eastAsia" w:ascii="宋体" w:hAnsi="宋体" w:eastAsia="仿宋_GB2312" w:cs="Times New Roman"/>
          <w:b w:val="0"/>
          <w:bCs w:val="0"/>
          <w:color w:val="000000"/>
          <w:sz w:val="32"/>
          <w:szCs w:val="32"/>
        </w:rPr>
        <w:t>倍以下的罚款</w:t>
      </w:r>
      <w:r>
        <w:rPr>
          <w:rFonts w:hint="default" w:ascii="宋体" w:hAnsi="宋体" w:eastAsia="仿宋_GB2312" w:cs="Times New Roman"/>
          <w:b w:val="0"/>
          <w:bCs w:val="0"/>
          <w:color w:val="000000"/>
          <w:sz w:val="32"/>
          <w:szCs w:val="32"/>
        </w:rPr>
        <w:t>；没有猎获物的，并处一万元以上</w:t>
      </w:r>
      <w:r>
        <w:rPr>
          <w:rFonts w:hint="eastAsia" w:ascii="宋体" w:hAnsi="宋体" w:eastAsia="仿宋_GB2312" w:cs="Times New Roman"/>
          <w:b w:val="0"/>
          <w:bCs w:val="0"/>
          <w:color w:val="000000"/>
          <w:sz w:val="32"/>
          <w:szCs w:val="32"/>
          <w:lang w:eastAsia="zh-CN"/>
        </w:rPr>
        <w:t>十</w:t>
      </w:r>
      <w:r>
        <w:rPr>
          <w:rFonts w:hint="default" w:ascii="宋体" w:hAnsi="宋体" w:eastAsia="仿宋_GB2312" w:cs="Times New Roman"/>
          <w:b w:val="0"/>
          <w:bCs w:val="0"/>
          <w:color w:val="000000"/>
          <w:sz w:val="32"/>
          <w:szCs w:val="32"/>
        </w:rPr>
        <w:t>万元以下的罚款；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（二）属于非国家重点保护野生动物的，并处猎获物价值二倍以上</w:t>
      </w:r>
      <w:r>
        <w:rPr>
          <w:rFonts w:hint="eastAsia" w:ascii="宋体" w:hAnsi="宋体" w:eastAsia="仿宋_GB2312" w:cs="Times New Roman"/>
          <w:b w:val="0"/>
          <w:bCs w:val="0"/>
          <w:color w:val="000000"/>
          <w:sz w:val="32"/>
          <w:szCs w:val="32"/>
          <w:lang w:eastAsia="zh-CN"/>
        </w:rPr>
        <w:t>十</w:t>
      </w:r>
      <w:r>
        <w:rPr>
          <w:rFonts w:hint="default" w:ascii="宋体" w:hAnsi="宋体" w:eastAsia="仿宋_GB2312" w:cs="Times New Roman"/>
          <w:b w:val="0"/>
          <w:bCs w:val="0"/>
          <w:color w:val="000000"/>
          <w:sz w:val="32"/>
          <w:szCs w:val="32"/>
        </w:rPr>
        <w:t>倍以下的罚款；没有猎获物的，</w:t>
      </w:r>
      <w:r>
        <w:rPr>
          <w:rFonts w:hint="eastAsia" w:ascii="宋体" w:hAnsi="宋体" w:eastAsia="仿宋_GB2312" w:cs="Times New Roman"/>
          <w:b w:val="0"/>
          <w:bCs w:val="0"/>
          <w:color w:val="000000"/>
          <w:sz w:val="32"/>
          <w:szCs w:val="32"/>
        </w:rPr>
        <w:t>并处</w:t>
      </w:r>
      <w:r>
        <w:rPr>
          <w:rFonts w:hint="eastAsia" w:ascii="宋体" w:hAnsi="宋体" w:eastAsia="仿宋_GB2312" w:cs="Times New Roman"/>
          <w:b w:val="0"/>
          <w:bCs w:val="0"/>
          <w:color w:val="000000"/>
          <w:sz w:val="32"/>
          <w:szCs w:val="32"/>
          <w:lang w:eastAsia="zh-CN"/>
        </w:rPr>
        <w:t>一万</w:t>
      </w:r>
      <w:r>
        <w:rPr>
          <w:rFonts w:hint="eastAsia" w:ascii="宋体" w:hAnsi="宋体" w:eastAsia="仿宋_GB2312" w:cs="Times New Roman"/>
          <w:b w:val="0"/>
          <w:bCs w:val="0"/>
          <w:color w:val="000000"/>
          <w:sz w:val="32"/>
          <w:szCs w:val="32"/>
        </w:rPr>
        <w:t>元以上</w:t>
      </w:r>
      <w:r>
        <w:rPr>
          <w:rFonts w:hint="eastAsia" w:ascii="宋体" w:hAnsi="宋体" w:eastAsia="仿宋_GB2312" w:cs="Times New Roman"/>
          <w:b w:val="0"/>
          <w:bCs w:val="0"/>
          <w:color w:val="000000"/>
          <w:sz w:val="32"/>
          <w:szCs w:val="32"/>
          <w:lang w:eastAsia="zh-CN"/>
        </w:rPr>
        <w:t>五</w:t>
      </w:r>
      <w:r>
        <w:rPr>
          <w:rFonts w:hint="eastAsia" w:ascii="宋体" w:hAnsi="宋体" w:eastAsia="仿宋_GB2312" w:cs="Times New Roman"/>
          <w:b w:val="0"/>
          <w:bCs w:val="0"/>
          <w:color w:val="000000"/>
          <w:sz w:val="32"/>
          <w:szCs w:val="32"/>
        </w:rPr>
        <w:t>万元以下的罚款</w:t>
      </w:r>
      <w:r>
        <w:rPr>
          <w:rFonts w:hint="eastAsia" w:ascii="宋体" w:hAnsi="宋体" w:eastAsia="仿宋_GB2312" w:cs="Times New Roman"/>
          <w:b w:val="0"/>
          <w:bCs w:val="0"/>
          <w:color w:val="000000"/>
          <w:sz w:val="32"/>
          <w:szCs w:val="32"/>
          <w:lang w:eastAsia="zh-CN"/>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eastAsia" w:ascii="宋体" w:hAnsi="宋体" w:eastAsia="仿宋_GB2312" w:cs="Times New Roman"/>
          <w:b w:val="0"/>
          <w:bCs w:val="0"/>
          <w:color w:val="000000"/>
          <w:sz w:val="32"/>
          <w:szCs w:val="32"/>
          <w:lang w:val="en-US" w:eastAsia="zh-CN"/>
        </w:rPr>
        <w:t>（三）以食用为目的猎捕、杀害其他陆生野生动物的，</w:t>
      </w:r>
      <w:r>
        <w:rPr>
          <w:rFonts w:hint="eastAsia" w:ascii="宋体" w:hAnsi="宋体" w:eastAsia="仿宋_GB2312" w:cs="Times New Roman"/>
          <w:b w:val="0"/>
          <w:bCs w:val="0"/>
          <w:color w:val="000000"/>
          <w:sz w:val="32"/>
          <w:szCs w:val="32"/>
        </w:rPr>
        <w:t>并处猎获物价值</w:t>
      </w:r>
      <w:r>
        <w:rPr>
          <w:rFonts w:hint="eastAsia" w:ascii="宋体" w:hAnsi="宋体" w:eastAsia="仿宋_GB2312" w:cs="Times New Roman"/>
          <w:b w:val="0"/>
          <w:bCs w:val="0"/>
          <w:color w:val="000000"/>
          <w:sz w:val="32"/>
          <w:szCs w:val="32"/>
          <w:lang w:eastAsia="zh-CN"/>
        </w:rPr>
        <w:t>一</w:t>
      </w:r>
      <w:r>
        <w:rPr>
          <w:rFonts w:hint="eastAsia" w:ascii="宋体" w:hAnsi="宋体" w:eastAsia="仿宋_GB2312" w:cs="Times New Roman"/>
          <w:b w:val="0"/>
          <w:bCs w:val="0"/>
          <w:color w:val="000000"/>
          <w:sz w:val="32"/>
          <w:szCs w:val="32"/>
        </w:rPr>
        <w:t>倍以</w:t>
      </w:r>
      <w:r>
        <w:rPr>
          <w:rFonts w:hint="eastAsia" w:ascii="宋体" w:hAnsi="宋体" w:eastAsia="仿宋_GB2312" w:cs="Times New Roman"/>
          <w:b w:val="0"/>
          <w:bCs w:val="0"/>
          <w:color w:val="000000"/>
          <w:sz w:val="32"/>
          <w:szCs w:val="32"/>
          <w:lang w:eastAsia="zh-CN"/>
        </w:rPr>
        <w:t>上五</w:t>
      </w:r>
      <w:r>
        <w:rPr>
          <w:rFonts w:hint="eastAsia" w:ascii="宋体" w:hAnsi="宋体" w:eastAsia="仿宋_GB2312" w:cs="Times New Roman"/>
          <w:b w:val="0"/>
          <w:bCs w:val="0"/>
          <w:color w:val="000000"/>
          <w:sz w:val="32"/>
          <w:szCs w:val="32"/>
        </w:rPr>
        <w:t>倍以下的罚款；没有猎获物的，并处二千元以上一万元以下的罚款。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三</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违反本条例第二十三条、第二十六条第一款、第二十七条规定，未经批准、未取得或者未按照规定使用专用标识，或者未持有、未附有</w:t>
      </w:r>
      <w:r>
        <w:rPr>
          <w:rFonts w:hint="eastAsia" w:ascii="宋体" w:hAnsi="宋体" w:eastAsia="仿宋_GB2312" w:cs="Times New Roman"/>
          <w:b w:val="0"/>
          <w:bCs w:val="0"/>
          <w:color w:val="000000"/>
          <w:sz w:val="32"/>
          <w:szCs w:val="32"/>
          <w:lang w:eastAsia="zh-CN"/>
        </w:rPr>
        <w:t>其他</w:t>
      </w:r>
      <w:r>
        <w:rPr>
          <w:rFonts w:hint="default" w:ascii="宋体" w:hAnsi="宋体" w:eastAsia="仿宋_GB2312" w:cs="Times New Roman"/>
          <w:b w:val="0"/>
          <w:bCs w:val="0"/>
          <w:color w:val="000000"/>
          <w:sz w:val="32"/>
          <w:szCs w:val="32"/>
        </w:rPr>
        <w:t>合法来源证明出售、购买、利用、运输、携带、寄递野生动物及其制品的，由县级以上野生动物保护</w:t>
      </w:r>
      <w:r>
        <w:rPr>
          <w:rFonts w:hint="default"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市场监督管理</w:t>
      </w:r>
      <w:r>
        <w:rPr>
          <w:rFonts w:hint="default" w:ascii="宋体" w:hAnsi="宋体" w:eastAsia="仿宋_GB2312" w:cs="Times New Roman"/>
          <w:b w:val="0"/>
          <w:bCs w:val="0"/>
          <w:color w:val="000000"/>
          <w:sz w:val="32"/>
          <w:szCs w:val="32"/>
          <w:lang w:eastAsia="zh-CN"/>
        </w:rPr>
        <w:t>、邮政管理</w:t>
      </w:r>
      <w:r>
        <w:rPr>
          <w:rFonts w:hint="default" w:ascii="宋体" w:hAnsi="宋体" w:eastAsia="仿宋_GB2312" w:cs="Times New Roman"/>
          <w:b w:val="0"/>
          <w:bCs w:val="0"/>
          <w:color w:val="000000"/>
          <w:sz w:val="32"/>
          <w:szCs w:val="32"/>
        </w:rPr>
        <w:t>部门按照职责分工没收野生动物及其制品和违法所得，并按照以下规定处</w:t>
      </w:r>
      <w:r>
        <w:rPr>
          <w:rFonts w:hint="eastAsia" w:ascii="宋体" w:hAnsi="宋体" w:eastAsia="仿宋_GB2312" w:cs="Times New Roman"/>
          <w:b w:val="0"/>
          <w:bCs w:val="0"/>
          <w:color w:val="000000"/>
          <w:sz w:val="32"/>
          <w:szCs w:val="32"/>
          <w:lang w:eastAsia="zh-CN"/>
        </w:rPr>
        <w:t>以</w:t>
      </w:r>
      <w:r>
        <w:rPr>
          <w:rFonts w:hint="default" w:ascii="宋体" w:hAnsi="宋体" w:eastAsia="仿宋_GB2312" w:cs="Times New Roman"/>
          <w:b w:val="0"/>
          <w:bCs w:val="0"/>
          <w:color w:val="000000"/>
          <w:sz w:val="32"/>
          <w:szCs w:val="32"/>
        </w:rPr>
        <w:t>罚款；情节严重的，吊销相关许可、撤销批准文件、收回专用标识；构成犯罪的，依法追究刑事责任：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（一）属于国家重点保护野生动物的，并处野生动物及其制品价值</w:t>
      </w:r>
      <w:r>
        <w:rPr>
          <w:rFonts w:hint="eastAsia" w:ascii="宋体" w:hAnsi="宋体" w:eastAsia="仿宋_GB2312" w:cs="Times New Roman"/>
          <w:b w:val="0"/>
          <w:bCs w:val="0"/>
          <w:color w:val="000000"/>
          <w:sz w:val="32"/>
          <w:szCs w:val="32"/>
          <w:lang w:eastAsia="zh-CN"/>
        </w:rPr>
        <w:t>二</w:t>
      </w:r>
      <w:r>
        <w:rPr>
          <w:rFonts w:hint="eastAsia" w:ascii="宋体" w:hAnsi="宋体" w:eastAsia="仿宋_GB2312" w:cs="Times New Roman"/>
          <w:b w:val="0"/>
          <w:bCs w:val="0"/>
          <w:color w:val="000000"/>
          <w:sz w:val="32"/>
          <w:szCs w:val="32"/>
        </w:rPr>
        <w:t>倍以上</w:t>
      </w:r>
      <w:r>
        <w:rPr>
          <w:rFonts w:hint="eastAsia" w:ascii="宋体" w:hAnsi="宋体" w:eastAsia="仿宋_GB2312" w:cs="Times New Roman"/>
          <w:b w:val="0"/>
          <w:bCs w:val="0"/>
          <w:color w:val="000000"/>
          <w:sz w:val="32"/>
          <w:szCs w:val="32"/>
          <w:lang w:eastAsia="zh-CN"/>
        </w:rPr>
        <w:t>二十</w:t>
      </w:r>
      <w:r>
        <w:rPr>
          <w:rFonts w:hint="eastAsia" w:ascii="宋体" w:hAnsi="宋体" w:eastAsia="仿宋_GB2312" w:cs="Times New Roman"/>
          <w:b w:val="0"/>
          <w:bCs w:val="0"/>
          <w:color w:val="000000"/>
          <w:sz w:val="32"/>
          <w:szCs w:val="32"/>
        </w:rPr>
        <w:t>倍以下的罚款</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（二）属于非国家重点保护野生动物的，并处野生动物价值二倍以上</w:t>
      </w:r>
      <w:r>
        <w:rPr>
          <w:rFonts w:hint="eastAsia" w:ascii="宋体" w:hAnsi="宋体" w:eastAsia="仿宋_GB2312" w:cs="Times New Roman"/>
          <w:b w:val="0"/>
          <w:bCs w:val="0"/>
          <w:color w:val="000000"/>
          <w:sz w:val="32"/>
          <w:szCs w:val="32"/>
          <w:lang w:eastAsia="zh-CN"/>
        </w:rPr>
        <w:t>十</w:t>
      </w:r>
      <w:r>
        <w:rPr>
          <w:rFonts w:hint="default" w:ascii="宋体" w:hAnsi="宋体" w:eastAsia="仿宋_GB2312" w:cs="Times New Roman"/>
          <w:b w:val="0"/>
          <w:bCs w:val="0"/>
          <w:color w:val="000000"/>
          <w:sz w:val="32"/>
          <w:szCs w:val="32"/>
        </w:rPr>
        <w:t>倍以下的罚款</w:t>
      </w:r>
      <w:r>
        <w:rPr>
          <w:rFonts w:hint="eastAsia" w:ascii="宋体" w:hAnsi="宋体" w:eastAsia="仿宋_GB2312" w:cs="Times New Roman"/>
          <w:b w:val="0"/>
          <w:bCs w:val="0"/>
          <w:color w:val="000000"/>
          <w:sz w:val="32"/>
          <w:szCs w:val="32"/>
          <w:lang w:eastAsia="zh-CN"/>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（三）</w:t>
      </w:r>
      <w:r>
        <w:rPr>
          <w:rFonts w:hint="eastAsia" w:ascii="宋体" w:hAnsi="宋体" w:eastAsia="仿宋_GB2312" w:cs="Times New Roman"/>
          <w:b w:val="0"/>
          <w:bCs w:val="0"/>
          <w:color w:val="000000"/>
          <w:sz w:val="32"/>
          <w:szCs w:val="32"/>
          <w:lang w:val="en-US" w:eastAsia="zh-CN"/>
        </w:rPr>
        <w:t>以食用为目的出售、购买、运输、携带、寄递其他陆生野生动物和</w:t>
      </w:r>
      <w:r>
        <w:rPr>
          <w:rFonts w:hint="default" w:ascii="宋体" w:hAnsi="宋体" w:eastAsia="仿宋_GB2312" w:cs="Times New Roman"/>
          <w:b w:val="0"/>
          <w:bCs w:val="0"/>
          <w:color w:val="000000"/>
          <w:sz w:val="32"/>
          <w:szCs w:val="32"/>
        </w:rPr>
        <w:t>省禁止交易的其他野生动物的，并处野生动物价值一倍以上五倍以下的罚款。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四</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kern w:val="0"/>
          <w:sz w:val="32"/>
          <w:szCs w:val="32"/>
          <w:shd w:val="clear" w:color="auto" w:fill="FFFFFF"/>
        </w:rPr>
        <w:t xml:space="preserve"> </w:t>
      </w:r>
      <w:r>
        <w:rPr>
          <w:rFonts w:hint="default" w:ascii="宋体" w:hAnsi="宋体" w:eastAsia="仿宋_GB2312" w:cs="Times New Roman"/>
          <w:b w:val="0"/>
          <w:bCs w:val="0"/>
          <w:color w:val="000000"/>
          <w:sz w:val="32"/>
          <w:szCs w:val="32"/>
        </w:rPr>
        <w:t>违反本条例第二十四条第</w:t>
      </w:r>
      <w:r>
        <w:rPr>
          <w:rFonts w:hint="default" w:ascii="宋体" w:hAnsi="宋体" w:eastAsia="仿宋_GB2312" w:cs="Times New Roman"/>
          <w:b w:val="0"/>
          <w:bCs w:val="0"/>
          <w:color w:val="000000"/>
          <w:sz w:val="32"/>
          <w:szCs w:val="32"/>
          <w:lang w:eastAsia="zh-CN"/>
        </w:rPr>
        <w:t>一</w:t>
      </w:r>
      <w:r>
        <w:rPr>
          <w:rFonts w:hint="default" w:ascii="宋体" w:hAnsi="宋体" w:eastAsia="仿宋_GB2312" w:cs="Times New Roman"/>
          <w:b w:val="0"/>
          <w:bCs w:val="0"/>
          <w:color w:val="000000"/>
          <w:sz w:val="32"/>
          <w:szCs w:val="32"/>
        </w:rPr>
        <w:t>款、第三十二条规定，提供交易服务的，由县级以上市场监督管理部门责令停止违法行为，限期改正，没收违法所得，并处违法所得</w:t>
      </w:r>
      <w:r>
        <w:rPr>
          <w:rFonts w:hint="eastAsia" w:ascii="宋体" w:hAnsi="宋体" w:eastAsia="仿宋_GB2312" w:cs="Times New Roman"/>
          <w:b w:val="0"/>
          <w:bCs w:val="0"/>
          <w:color w:val="000000"/>
          <w:sz w:val="32"/>
          <w:szCs w:val="32"/>
          <w:lang w:eastAsia="zh-CN"/>
        </w:rPr>
        <w:t>二</w:t>
      </w:r>
      <w:r>
        <w:rPr>
          <w:rFonts w:hint="default" w:ascii="宋体" w:hAnsi="宋体" w:eastAsia="仿宋_GB2312" w:cs="Times New Roman"/>
          <w:b w:val="0"/>
          <w:bCs w:val="0"/>
          <w:color w:val="000000"/>
          <w:sz w:val="32"/>
          <w:szCs w:val="32"/>
        </w:rPr>
        <w:t>倍以上五倍以下的罚款；没有违法所得的，处</w:t>
      </w:r>
      <w:r>
        <w:rPr>
          <w:rFonts w:hint="eastAsia" w:ascii="宋体" w:hAnsi="宋体" w:eastAsia="仿宋_GB2312" w:cs="Times New Roman"/>
          <w:b w:val="0"/>
          <w:bCs w:val="0"/>
          <w:color w:val="000000"/>
          <w:sz w:val="32"/>
          <w:szCs w:val="32"/>
          <w:lang w:eastAsia="zh-CN"/>
        </w:rPr>
        <w:t>一</w:t>
      </w:r>
      <w:r>
        <w:rPr>
          <w:rFonts w:hint="default" w:ascii="宋体" w:hAnsi="宋体" w:eastAsia="仿宋_GB2312" w:cs="Times New Roman"/>
          <w:b w:val="0"/>
          <w:bCs w:val="0"/>
          <w:color w:val="000000"/>
          <w:sz w:val="32"/>
          <w:szCs w:val="32"/>
        </w:rPr>
        <w:t>万元以上五万元以下的罚款；明知行为人以食用或者生产、经营食品为目的的，从重处罚；构成犯罪的，依法追究刑事责任。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五</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违反本条例第二十九条第一款、第三十条规定，食用野生动物的，由县级以上林业、农业农村、市场监督管理等部门按照职责分工责令停止违法行为，</w:t>
      </w:r>
      <w:r>
        <w:rPr>
          <w:rFonts w:hint="eastAsia" w:ascii="宋体" w:hAnsi="宋体" w:eastAsia="仿宋_GB2312" w:cs="Times New Roman"/>
          <w:b w:val="0"/>
          <w:bCs w:val="0"/>
          <w:color w:val="000000"/>
          <w:sz w:val="32"/>
          <w:szCs w:val="32"/>
          <w:lang w:eastAsia="zh-CN"/>
        </w:rPr>
        <w:t>按以下规定对食用者进行处罚；对组织食用的，从重处罚</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（一）</w:t>
      </w:r>
      <w:r>
        <w:rPr>
          <w:rFonts w:hint="eastAsia" w:ascii="宋体" w:hAnsi="宋体" w:eastAsia="仿宋_GB2312" w:cs="Times New Roman"/>
          <w:b w:val="0"/>
          <w:bCs w:val="0"/>
          <w:color w:val="000000"/>
          <w:sz w:val="32"/>
          <w:szCs w:val="32"/>
          <w:lang w:val="en-US" w:eastAsia="zh-CN"/>
        </w:rPr>
        <w:t>属于国家重点保护野生动物及其制品的，处野生动物及其制品价值二倍以上二十倍以下的罚款</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lang w:val="en-US" w:eastAsia="zh-CN"/>
        </w:rPr>
      </w:pPr>
      <w:r>
        <w:rPr>
          <w:rFonts w:hint="default" w:ascii="宋体" w:hAnsi="宋体" w:eastAsia="仿宋_GB2312" w:cs="Times New Roman"/>
          <w:b w:val="0"/>
          <w:bCs w:val="0"/>
          <w:color w:val="000000"/>
          <w:sz w:val="32"/>
          <w:szCs w:val="32"/>
        </w:rPr>
        <w:t>（二）</w:t>
      </w:r>
      <w:r>
        <w:rPr>
          <w:rFonts w:hint="eastAsia" w:ascii="宋体" w:hAnsi="宋体" w:eastAsia="仿宋_GB2312" w:cs="Times New Roman"/>
          <w:b w:val="0"/>
          <w:bCs w:val="0"/>
          <w:color w:val="000000"/>
          <w:sz w:val="32"/>
          <w:szCs w:val="32"/>
          <w:lang w:val="en-US" w:eastAsia="zh-CN"/>
        </w:rPr>
        <w:t>属于非国家重点保护野生动物或者其他陆生野生动物的，处野生动物价值一倍以上五倍以下的罚款。</w:t>
      </w:r>
    </w:p>
    <w:p>
      <w:pPr>
        <w:wordWrap/>
        <w:snapToGrid/>
        <w:spacing w:after="0" w:line="590" w:lineRule="exact"/>
        <w:ind w:left="0" w:leftChars="0" w:right="0" w:firstLine="640" w:firstLineChars="200"/>
        <w:textAlignment w:val="auto"/>
        <w:rPr>
          <w:rFonts w:hint="eastAsia" w:ascii="宋体" w:hAnsi="宋体" w:eastAsia="仿宋_GB2312" w:cs="Times New Roman"/>
          <w:b w:val="0"/>
          <w:bCs w:val="0"/>
          <w:color w:val="000000"/>
          <w:sz w:val="32"/>
          <w:szCs w:val="32"/>
          <w:lang w:val="en-US" w:eastAsia="zh-CN"/>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六</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违反本条例第二十九条第二款、第三十一条规定，生产、经营、购买、储存、加工、出售禁止食用的野生动物及其制品、食品的，由县级以上林业、农业农村、市场监督管理等部门按照职责分工责令停止违法行为，没收</w:t>
      </w:r>
      <w:r>
        <w:rPr>
          <w:rFonts w:hint="eastAsia" w:ascii="宋体" w:hAnsi="宋体" w:eastAsia="仿宋_GB2312" w:cs="Times New Roman"/>
          <w:b w:val="0"/>
          <w:bCs w:val="0"/>
          <w:color w:val="000000"/>
          <w:sz w:val="32"/>
          <w:szCs w:val="32"/>
          <w:lang w:val="en-US" w:eastAsia="zh-CN"/>
        </w:rPr>
        <w:t>违法所得和</w:t>
      </w:r>
      <w:r>
        <w:rPr>
          <w:rFonts w:hint="default" w:ascii="宋体" w:hAnsi="宋体" w:eastAsia="仿宋_GB2312" w:cs="Times New Roman"/>
          <w:b w:val="0"/>
          <w:bCs w:val="0"/>
          <w:color w:val="000000"/>
          <w:sz w:val="32"/>
          <w:szCs w:val="32"/>
        </w:rPr>
        <w:t>野生动物及其制品、食品</w:t>
      </w:r>
      <w:r>
        <w:rPr>
          <w:rFonts w:hint="eastAsia" w:ascii="宋体" w:hAnsi="宋体" w:eastAsia="仿宋_GB2312" w:cs="Times New Roman"/>
          <w:b w:val="0"/>
          <w:bCs w:val="0"/>
          <w:color w:val="000000"/>
          <w:sz w:val="32"/>
          <w:szCs w:val="32"/>
          <w:lang w:eastAsia="zh-CN"/>
        </w:rPr>
        <w:t>；</w:t>
      </w:r>
      <w:r>
        <w:rPr>
          <w:rFonts w:hint="eastAsia" w:ascii="宋体" w:hAnsi="宋体" w:eastAsia="仿宋_GB2312" w:cs="Times New Roman"/>
          <w:b w:val="0"/>
          <w:bCs w:val="0"/>
          <w:color w:val="000000"/>
          <w:sz w:val="32"/>
          <w:szCs w:val="32"/>
          <w:lang w:val="en-US" w:eastAsia="zh-CN"/>
        </w:rPr>
        <w:t>野生动物及其制品、食品价值或者货值金额不足一万元的，并处十万元以上十五万元以下的罚款；价值或者货值金额一万元以上的，并处价值或者货值金额十五倍以上三十倍以下的罚款；情节严重的，依法吊销许可证。</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违反本条例第三十一条规定，用禁止食用的野生动物及其制品名称、别称、图案制作招牌或者菜谱的，由县级市场监督管理、城市管理综合执法等部门按照职责分工责令限期改正；逾期不改正的，依法强制拆除，并处一万元以上三万元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eastAsia" w:ascii="宋体" w:hAnsi="宋体" w:eastAsia="黑体" w:cs="Times New Roman"/>
          <w:b w:val="0"/>
          <w:bCs w:val="0"/>
          <w:color w:val="000000"/>
          <w:sz w:val="32"/>
          <w:szCs w:val="32"/>
          <w:lang w:eastAsia="zh-CN"/>
        </w:rPr>
        <w:t>第</w:t>
      </w:r>
      <w:r>
        <w:rPr>
          <w:rFonts w:hint="default" w:ascii="宋体" w:hAnsi="宋体" w:eastAsia="黑体" w:cs="Times New Roman"/>
          <w:b w:val="0"/>
          <w:bCs w:val="0"/>
          <w:color w:val="000000"/>
          <w:sz w:val="32"/>
          <w:szCs w:val="32"/>
        </w:rPr>
        <w:t>四十</w:t>
      </w:r>
      <w:r>
        <w:rPr>
          <w:rFonts w:hint="default" w:ascii="宋体" w:hAnsi="宋体" w:eastAsia="黑体" w:cs="Times New Roman"/>
          <w:b w:val="0"/>
          <w:bCs w:val="0"/>
          <w:color w:val="000000"/>
          <w:sz w:val="32"/>
          <w:szCs w:val="32"/>
          <w:lang w:eastAsia="zh-CN"/>
        </w:rPr>
        <w:t>七</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违反本条例其他规定的，依照相关法律法规从重处罚。</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t>第九章  附则</w:t>
      </w:r>
    </w:p>
    <w:p>
      <w:pPr>
        <w:wordWrap/>
        <w:snapToGrid/>
        <w:spacing w:after="0" w:line="590" w:lineRule="exact"/>
        <w:ind w:left="0" w:leftChars="0" w:right="0"/>
        <w:jc w:val="center"/>
        <w:textAlignment w:val="auto"/>
        <w:rPr>
          <w:rFonts w:hint="default" w:ascii="宋体" w:hAnsi="宋体" w:eastAsia="仿宋_GB2312" w:cs="Times New Roman"/>
          <w:b w:val="0"/>
          <w:bCs w:val="0"/>
          <w:color w:val="000000"/>
          <w:sz w:val="32"/>
          <w:szCs w:val="32"/>
        </w:rPr>
      </w:pPr>
    </w:p>
    <w:p>
      <w:pPr>
        <w:widowControl w:val="0"/>
        <w:wordWrap/>
        <w:overflowPunct w:val="0"/>
        <w:adjustRightInd/>
        <w:snapToGrid/>
        <w:spacing w:beforeAutospacing="0" w:afterAutospacing="0" w:line="560" w:lineRule="exact"/>
        <w:ind w:left="0" w:leftChars="0" w:firstLine="640" w:firstLineChars="200"/>
        <w:jc w:val="both"/>
        <w:textAlignment w:val="auto"/>
        <w:rPr>
          <w:rFonts w:hint="eastAsia" w:ascii="宋体" w:hAnsi="宋体" w:eastAsia="宋体" w:cs="仿宋_GB2312"/>
          <w:kern w:val="2"/>
          <w:sz w:val="32"/>
          <w:szCs w:val="32"/>
          <w:lang w:val="en-US" w:eastAsia="zh-CN" w:bidi="ar-SA"/>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八</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本条例自</w:t>
      </w:r>
      <w:r>
        <w:rPr>
          <w:rFonts w:hint="eastAsia" w:ascii="宋体" w:hAnsi="宋体" w:eastAsia="仿宋_GB2312" w:cs="Times New Roman"/>
          <w:b w:val="0"/>
          <w:bCs w:val="0"/>
          <w:color w:val="000000"/>
          <w:sz w:val="32"/>
          <w:szCs w:val="32"/>
          <w:lang w:val="en-US" w:eastAsia="zh-CN"/>
        </w:rPr>
        <w:t>2020</w:t>
      </w:r>
      <w:r>
        <w:rPr>
          <w:rFonts w:hint="default" w:ascii="宋体" w:hAnsi="宋体" w:eastAsia="仿宋_GB2312" w:cs="Times New Roman"/>
          <w:b w:val="0"/>
          <w:bCs w:val="0"/>
          <w:color w:val="000000"/>
          <w:sz w:val="32"/>
          <w:szCs w:val="32"/>
        </w:rPr>
        <w:t>年</w:t>
      </w:r>
      <w:r>
        <w:rPr>
          <w:rFonts w:hint="eastAsia" w:ascii="宋体" w:hAnsi="宋体" w:eastAsia="仿宋_GB2312" w:cs="Times New Roman"/>
          <w:b w:val="0"/>
          <w:bCs w:val="0"/>
          <w:color w:val="000000"/>
          <w:sz w:val="32"/>
          <w:szCs w:val="32"/>
          <w:lang w:val="en-US" w:eastAsia="zh-CN"/>
        </w:rPr>
        <w:t>5</w:t>
      </w:r>
      <w:r>
        <w:rPr>
          <w:rFonts w:hint="default" w:ascii="宋体" w:hAnsi="宋体" w:eastAsia="仿宋_GB2312" w:cs="Times New Roman"/>
          <w:b w:val="0"/>
          <w:bCs w:val="0"/>
          <w:color w:val="000000"/>
          <w:sz w:val="32"/>
          <w:szCs w:val="32"/>
        </w:rPr>
        <w:t>月</w:t>
      </w:r>
      <w:r>
        <w:rPr>
          <w:rFonts w:hint="eastAsia" w:ascii="宋体" w:hAnsi="宋体" w:eastAsia="仿宋_GB2312" w:cs="Times New Roman"/>
          <w:b w:val="0"/>
          <w:bCs w:val="0"/>
          <w:color w:val="000000"/>
          <w:sz w:val="32"/>
          <w:szCs w:val="32"/>
          <w:lang w:val="en-US" w:eastAsia="zh-CN"/>
        </w:rPr>
        <w:t>1</w:t>
      </w:r>
      <w:r>
        <w:rPr>
          <w:rFonts w:hint="default" w:ascii="宋体" w:hAnsi="宋体" w:eastAsia="仿宋_GB2312" w:cs="Times New Roman"/>
          <w:b w:val="0"/>
          <w:bCs w:val="0"/>
          <w:color w:val="000000"/>
          <w:sz w:val="32"/>
          <w:szCs w:val="32"/>
        </w:rPr>
        <w:t>日起施行。</w:t>
      </w:r>
    </w:p>
    <w:p>
      <w:pPr>
        <w:widowControl w:val="0"/>
        <w:wordWrap/>
        <w:overflowPunct w:val="0"/>
        <w:adjustRightInd/>
        <w:snapToGrid/>
        <w:spacing w:line="590" w:lineRule="exact"/>
        <w:ind w:left="0" w:leftChars="0" w:right="0"/>
        <w:jc w:val="center"/>
        <w:textAlignment w:val="auto"/>
        <w:outlineLvl w:val="0"/>
        <w:rPr>
          <w:rFonts w:hint="eastAsia" w:ascii="宋体" w:hAnsi="宋体" w:eastAsia="宋体" w:cs="宋体"/>
          <w:sz w:val="44"/>
          <w:szCs w:val="44"/>
        </w:rPr>
      </w:pPr>
      <w:r>
        <w:rPr>
          <w:rFonts w:hint="eastAsia" w:ascii="宋体" w:hAnsi="宋体" w:eastAsia="宋体" w:cs="宋体"/>
          <w:color w:val="000000"/>
          <w:sz w:val="44"/>
          <w:szCs w:val="44"/>
        </w:rPr>
        <w:br w:type="page"/>
      </w:r>
      <w:bookmarkStart w:id="440" w:name="_Toc11319"/>
      <w:bookmarkStart w:id="441" w:name="_Toc30924"/>
      <w:r>
        <w:rPr>
          <w:rFonts w:hint="eastAsia" w:ascii="宋体" w:hAnsi="宋体" w:eastAsia="宋体" w:cs="宋体"/>
          <w:sz w:val="44"/>
          <w:szCs w:val="44"/>
        </w:rPr>
        <w:t>广东省渔业管理条例</w:t>
      </w:r>
      <w:bookmarkEnd w:id="440"/>
    </w:p>
    <w:p>
      <w:pPr>
        <w:widowControl w:val="0"/>
        <w:wordWrap/>
        <w:overflowPunct w:val="0"/>
        <w:adjustRightInd/>
        <w:snapToGrid/>
        <w:spacing w:line="590" w:lineRule="exact"/>
        <w:ind w:left="0" w:leftChars="0" w:right="0"/>
        <w:jc w:val="center"/>
        <w:textAlignment w:val="auto"/>
        <w:outlineLvl w:val="9"/>
        <w:rPr>
          <w:rFonts w:hint="eastAsia" w:ascii="宋体" w:hAnsi="宋体" w:eastAsia="方正小标宋简体" w:cs="方正小标宋简体"/>
          <w:sz w:val="32"/>
          <w:szCs w:val="32"/>
          <w:lang w:val="en-US" w:eastAsia="zh-CN"/>
        </w:rPr>
      </w:pPr>
    </w:p>
    <w:p>
      <w:pPr>
        <w:overflowPunct w:val="0"/>
        <w:spacing w:beforeLines="0" w:afterLines="0" w:line="590" w:lineRule="exact"/>
        <w:ind w:left="640" w:leftChars="200" w:right="640" w:rightChars="200"/>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（2003年7月25日广东省第十届人民代表大会常务委员会第五次会议通过</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sz w:val="32"/>
          <w:szCs w:val="32"/>
          <w:lang w:eastAsia="zh-CN"/>
        </w:rPr>
        <w:t>根据2012年7月26日广东省第十一届人民代表大会常务委员会第三十五次会议《关于修改&lt;广东省民营科技企业管理条例&gt;等二十三项法规的决定》第一次修正</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sz w:val="32"/>
          <w:szCs w:val="32"/>
          <w:lang w:eastAsia="zh-CN"/>
        </w:rPr>
        <w:t>根据2015年12月30日广东省第十二届人民代表大会常务委员会第二十二次会议《关于修改〈广东省实施《中华人民共和国海洋环境保护法》办法〉和〈广东省渔业管理条例〉个别条款的决定》第二次修正</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bCs/>
          <w:sz w:val="32"/>
          <w:szCs w:val="32"/>
          <w:lang w:val="en-US" w:eastAsia="zh-CN"/>
        </w:rPr>
        <w:t>根据</w:t>
      </w:r>
      <w:r>
        <w:rPr>
          <w:rFonts w:hint="eastAsia" w:ascii="宋体" w:hAnsi="宋体" w:eastAsia="楷体_GB2312" w:cs="楷体_GB2312"/>
          <w:color w:val="auto"/>
          <w:sz w:val="32"/>
          <w:szCs w:val="32"/>
        </w:rPr>
        <w:t>201</w:t>
      </w:r>
      <w:r>
        <w:rPr>
          <w:rFonts w:hint="eastAsia" w:ascii="宋体" w:hAnsi="宋体" w:eastAsia="楷体_GB2312" w:cs="楷体_GB2312"/>
          <w:color w:val="auto"/>
          <w:sz w:val="32"/>
          <w:szCs w:val="32"/>
          <w:lang w:val="en-US" w:eastAsia="zh-CN"/>
        </w:rPr>
        <w:t>9</w:t>
      </w:r>
      <w:r>
        <w:rPr>
          <w:rFonts w:hint="eastAsia" w:ascii="宋体" w:hAnsi="宋体" w:eastAsia="楷体_GB2312" w:cs="楷体_GB2312"/>
          <w:color w:val="auto"/>
          <w:sz w:val="32"/>
          <w:szCs w:val="32"/>
        </w:rPr>
        <w:t>年</w:t>
      </w:r>
      <w:r>
        <w:rPr>
          <w:rFonts w:hint="eastAsia" w:ascii="宋体" w:hAnsi="宋体" w:eastAsia="楷体_GB2312" w:cs="楷体_GB2312"/>
          <w:color w:val="auto"/>
          <w:sz w:val="32"/>
          <w:szCs w:val="32"/>
          <w:lang w:val="en-US" w:eastAsia="zh-CN"/>
        </w:rPr>
        <w:t>9</w:t>
      </w:r>
      <w:r>
        <w:rPr>
          <w:rFonts w:hint="eastAsia" w:ascii="宋体" w:hAnsi="宋体" w:eastAsia="楷体_GB2312" w:cs="楷体_GB2312"/>
          <w:color w:val="auto"/>
          <w:sz w:val="32"/>
          <w:szCs w:val="32"/>
        </w:rPr>
        <w:t>月</w:t>
      </w:r>
      <w:r>
        <w:rPr>
          <w:rFonts w:hint="eastAsia" w:ascii="宋体" w:hAnsi="宋体" w:eastAsia="楷体_GB2312" w:cs="楷体_GB2312"/>
          <w:color w:val="auto"/>
          <w:sz w:val="32"/>
          <w:szCs w:val="32"/>
          <w:lang w:val="en-US" w:eastAsia="zh-CN"/>
        </w:rPr>
        <w:t>25</w:t>
      </w:r>
      <w:r>
        <w:rPr>
          <w:rFonts w:hint="eastAsia" w:ascii="宋体" w:hAnsi="宋体" w:eastAsia="楷体_GB2312" w:cs="楷体_GB2312"/>
          <w:color w:val="auto"/>
          <w:sz w:val="32"/>
          <w:szCs w:val="32"/>
        </w:rPr>
        <w:t>日广东省第十</w:t>
      </w:r>
      <w:r>
        <w:rPr>
          <w:rFonts w:hint="eastAsia" w:ascii="宋体" w:hAnsi="宋体" w:eastAsia="楷体_GB2312" w:cs="楷体_GB2312"/>
          <w:color w:val="auto"/>
          <w:sz w:val="32"/>
          <w:szCs w:val="32"/>
          <w:lang w:eastAsia="zh-CN"/>
        </w:rPr>
        <w:t>三</w:t>
      </w:r>
      <w:r>
        <w:rPr>
          <w:rFonts w:hint="eastAsia" w:ascii="宋体" w:hAnsi="宋体" w:eastAsia="楷体_GB2312" w:cs="楷体_GB2312"/>
          <w:color w:val="auto"/>
          <w:sz w:val="32"/>
          <w:szCs w:val="32"/>
        </w:rPr>
        <w:t>届人民代表大会常务委员会第</w:t>
      </w:r>
      <w:r>
        <w:rPr>
          <w:rFonts w:hint="eastAsia" w:ascii="宋体" w:hAnsi="宋体" w:eastAsia="楷体_GB2312" w:cs="楷体_GB2312"/>
          <w:color w:val="auto"/>
          <w:sz w:val="32"/>
          <w:szCs w:val="32"/>
          <w:lang w:val="en-US" w:eastAsia="zh-CN"/>
        </w:rPr>
        <w:t>十四</w:t>
      </w:r>
      <w:r>
        <w:rPr>
          <w:rFonts w:hint="eastAsia" w:ascii="宋体" w:hAnsi="宋体" w:eastAsia="楷体_GB2312" w:cs="楷体_GB2312"/>
          <w:color w:val="auto"/>
          <w:sz w:val="32"/>
          <w:szCs w:val="32"/>
        </w:rPr>
        <w:t>次会议《</w:t>
      </w:r>
      <w:r>
        <w:rPr>
          <w:rFonts w:hint="eastAsia" w:ascii="宋体" w:hAnsi="宋体" w:eastAsia="楷体_GB2312" w:cs="楷体_GB2312"/>
          <w:b w:val="0"/>
          <w:bCs w:val="0"/>
          <w:spacing w:val="0"/>
          <w:sz w:val="32"/>
          <w:szCs w:val="32"/>
          <w:lang w:eastAsia="zh-CN"/>
        </w:rPr>
        <w:t>关于修改〈广东省食品安全条例〉</w:t>
      </w:r>
      <w:r>
        <w:rPr>
          <w:rFonts w:hint="eastAsia" w:ascii="宋体" w:hAnsi="宋体" w:eastAsia="楷体_GB2312" w:cs="楷体_GB2312"/>
          <w:spacing w:val="0"/>
          <w:sz w:val="32"/>
          <w:szCs w:val="32"/>
          <w:lang w:eastAsia="zh-CN"/>
        </w:rPr>
        <w:t>等十项地方性法规的决定</w:t>
      </w:r>
      <w:r>
        <w:rPr>
          <w:rFonts w:hint="eastAsia" w:ascii="宋体" w:hAnsi="宋体" w:eastAsia="楷体_GB2312" w:cs="楷体_GB2312"/>
          <w:color w:val="auto"/>
          <w:sz w:val="32"/>
          <w:szCs w:val="32"/>
        </w:rPr>
        <w:t>》</w:t>
      </w:r>
      <w:r>
        <w:rPr>
          <w:rFonts w:hint="eastAsia" w:ascii="宋体" w:hAnsi="宋体" w:eastAsia="楷体_GB2312" w:cs="楷体_GB2312"/>
          <w:color w:val="auto"/>
          <w:sz w:val="32"/>
          <w:szCs w:val="32"/>
          <w:lang w:eastAsia="zh-CN"/>
        </w:rPr>
        <w:t>第三次修正</w:t>
      </w:r>
      <w:r>
        <w:rPr>
          <w:rFonts w:hint="eastAsia" w:ascii="宋体" w:hAnsi="宋体" w:eastAsia="楷体_GB2312" w:cs="楷体_GB2312"/>
          <w:sz w:val="32"/>
          <w:szCs w:val="32"/>
          <w:lang w:eastAsia="zh-CN"/>
        </w:rPr>
        <w:t>）</w:t>
      </w:r>
    </w:p>
    <w:p>
      <w:pPr>
        <w:widowControl w:val="0"/>
        <w:wordWrap/>
        <w:overflowPunct w:val="0"/>
        <w:adjustRightInd/>
        <w:snapToGrid/>
        <w:spacing w:line="590" w:lineRule="exact"/>
        <w:ind w:left="0" w:leftChars="0" w:right="0"/>
        <w:jc w:val="center"/>
        <w:textAlignment w:val="auto"/>
        <w:outlineLvl w:val="9"/>
        <w:rPr>
          <w:rFonts w:hint="eastAsia" w:ascii="宋体" w:hAnsi="宋体" w:eastAsia="宋体" w:cs="宋体"/>
          <w:sz w:val="32"/>
          <w:szCs w:val="32"/>
          <w:lang w:val="en-US" w:eastAsia="zh-CN"/>
        </w:rPr>
      </w:pPr>
    </w:p>
    <w:p>
      <w:pPr>
        <w:widowControl w:val="0"/>
        <w:overflowPunct w:val="0"/>
        <w:spacing w:line="590" w:lineRule="exact"/>
        <w:ind w:firstLine="0" w:firstLineChars="0"/>
        <w:jc w:val="center"/>
        <w:rPr>
          <w:rFonts w:hint="eastAsia" w:ascii="宋体" w:hAnsi="宋体" w:eastAsia="楷体_GB2312" w:cs="楷体_GB2312"/>
          <w:kern w:val="2"/>
          <w:sz w:val="32"/>
          <w:lang w:val="en-US" w:eastAsia="zh-CN"/>
        </w:rPr>
      </w:pPr>
      <w:r>
        <w:rPr>
          <w:rFonts w:hint="eastAsia" w:ascii="宋体" w:hAnsi="宋体" w:eastAsia="楷体_GB2312" w:cs="楷体_GB2312"/>
          <w:kern w:val="2"/>
          <w:sz w:val="32"/>
          <w:lang w:val="en-US" w:eastAsia="zh-CN"/>
        </w:rPr>
        <w:t>目    录</w:t>
      </w:r>
    </w:p>
    <w:p>
      <w:pPr>
        <w:widowControl w:val="0"/>
        <w:overflowPunct w:val="0"/>
        <w:spacing w:line="590" w:lineRule="exact"/>
        <w:ind w:firstLine="640" w:firstLineChars="200"/>
        <w:jc w:val="both"/>
        <w:rPr>
          <w:rFonts w:hint="eastAsia" w:ascii="宋体" w:hAnsi="宋体" w:eastAsia="楷体_GB2312" w:cs="楷体_GB2312"/>
          <w:kern w:val="2"/>
          <w:sz w:val="32"/>
          <w:lang w:val="en-US" w:eastAsia="zh-CN"/>
        </w:rPr>
      </w:pP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第一章　总则</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第二章　养殖管理</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第三章　水产苗种管理</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第四章　捕捞管理</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rPr>
        <w:t>第五章　渔业资源增殖和保护</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color w:val="auto"/>
          <w:sz w:val="32"/>
          <w:szCs w:val="32"/>
        </w:rPr>
      </w:pPr>
      <w:r>
        <w:rPr>
          <w:rFonts w:hint="eastAsia" w:ascii="宋体" w:hAnsi="宋体" w:eastAsia="楷体_GB2312" w:cs="楷体_GB2312"/>
          <w:color w:val="auto"/>
          <w:sz w:val="32"/>
          <w:szCs w:val="32"/>
        </w:rPr>
        <w:t>第六章　法律责任</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第七章　附则</w:t>
      </w:r>
    </w:p>
    <w:p>
      <w:pPr>
        <w:widowControl w:val="0"/>
        <w:overflowPunct w:val="0"/>
        <w:spacing w:beforeLines="0" w:afterLines="0" w:line="590" w:lineRule="exact"/>
        <w:ind w:firstLine="640" w:firstLineChars="200"/>
        <w:jc w:val="both"/>
        <w:rPr>
          <w:rFonts w:hint="eastAsia" w:ascii="宋体" w:hAnsi="宋体" w:eastAsia="宋体" w:cs="宋体"/>
          <w:kern w:val="2"/>
          <w:sz w:val="32"/>
          <w:lang w:val="en-US" w:eastAsia="zh-CN"/>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第一章　总则</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　　</w:t>
      </w:r>
    </w:p>
    <w:p>
      <w:pPr>
        <w:widowControl w:val="0"/>
        <w:wordWrap/>
        <w:overflowPunct w:val="0"/>
        <w:adjustRightInd/>
        <w:snapToGrid/>
        <w:spacing w:line="590" w:lineRule="exact"/>
        <w:ind w:left="0" w:leftChars="0" w:right="0" w:firstLine="640" w:firstLineChars="200"/>
        <w:textAlignment w:val="auto"/>
        <w:outlineLvl w:val="9"/>
        <w:rPr>
          <w:rFonts w:hint="eastAsia" w:ascii="宋体" w:hAnsi="宋体" w:eastAsia="仿宋_GB2312" w:cs="仿宋_GB2312"/>
          <w:sz w:val="32"/>
          <w:szCs w:val="32"/>
        </w:rPr>
      </w:pPr>
      <w:r>
        <w:rPr>
          <w:rFonts w:hint="eastAsia" w:ascii="宋体" w:hAnsi="宋体" w:eastAsia="黑体" w:cs="黑体"/>
          <w:sz w:val="32"/>
          <w:szCs w:val="32"/>
          <w:lang w:val="en-US" w:eastAsia="zh-CN"/>
        </w:rPr>
        <w:t>第一条</w:t>
      </w:r>
      <w:r>
        <w:rPr>
          <w:rFonts w:hint="eastAsia" w:ascii="宋体" w:hAnsi="宋体" w:eastAsia="仿宋_GB2312" w:cs="仿宋_GB2312"/>
          <w:sz w:val="32"/>
          <w:szCs w:val="32"/>
          <w:lang w:val="en-US" w:eastAsia="zh-CN"/>
        </w:rPr>
        <w:t>　为加强渔业资源保护、增殖、开发和合理利用，保障渔业生产者的合法权益，促进渔业的可持续发展，根据《</w:t>
      </w:r>
      <w:r>
        <w:rPr>
          <w:rFonts w:hint="eastAsia" w:ascii="宋体" w:hAnsi="宋体" w:eastAsia="仿宋_GB2312" w:cs="仿宋_GB2312"/>
          <w:sz w:val="32"/>
          <w:szCs w:val="32"/>
          <w:lang w:val="en-US" w:eastAsia="zh-CN"/>
        </w:rPr>
        <w:fldChar w:fldCharType="begin"/>
      </w:r>
      <w:r>
        <w:rPr>
          <w:rFonts w:hint="eastAsia" w:ascii="宋体" w:hAnsi="宋体" w:eastAsia="仿宋_GB2312" w:cs="仿宋_GB2312"/>
          <w:sz w:val="32"/>
          <w:szCs w:val="32"/>
          <w:lang w:val="en-US" w:eastAsia="zh-CN"/>
        </w:rPr>
        <w:instrText xml:space="preserve"> HYPERLINK "http://172.17.252.5/FullText/fulltext_form.aspx?db=lar&amp;gid=17931291&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sYXIGBAAAADvmlYjlipvnuqfliKs9WE0wNyUgYW5kICAo5rOV6KeE5qCH6aKYPScl5bm/5Lic55yB5riU5LiaJScpIAYFAAAADS3lj5HluIPml6XmnJ8GBgAAAA/lub/kuJznnIHmuJTkuJoAAAsBAAD//javascript:SLC(191977,0)" </w:instrText>
      </w:r>
      <w:r>
        <w:rPr>
          <w:rFonts w:hint="eastAsia" w:ascii="宋体" w:hAnsi="宋体" w:eastAsia="仿宋_GB2312" w:cs="仿宋_GB2312"/>
          <w:sz w:val="32"/>
          <w:szCs w:val="32"/>
          <w:lang w:val="en-US" w:eastAsia="zh-CN"/>
        </w:rPr>
        <w:fldChar w:fldCharType="separate"/>
      </w:r>
      <w:r>
        <w:rPr>
          <w:rFonts w:hint="eastAsia" w:ascii="宋体" w:hAnsi="宋体" w:eastAsia="仿宋_GB2312" w:cs="仿宋_GB2312"/>
          <w:sz w:val="32"/>
          <w:szCs w:val="32"/>
        </w:rPr>
        <w:t>中华人民共和国农业法</w:t>
      </w:r>
      <w:r>
        <w:rPr>
          <w:rFonts w:hint="eastAsia" w:ascii="宋体" w:hAnsi="宋体" w:eastAsia="仿宋_GB2312" w:cs="仿宋_GB2312"/>
          <w:sz w:val="32"/>
          <w:szCs w:val="32"/>
          <w:lang w:val="en-US" w:eastAsia="zh-CN"/>
        </w:rPr>
        <w:fldChar w:fldCharType="end"/>
      </w:r>
      <w:r>
        <w:rPr>
          <w:rFonts w:hint="eastAsia" w:ascii="宋体" w:hAnsi="宋体" w:eastAsia="仿宋_GB2312" w:cs="仿宋_GB2312"/>
          <w:sz w:val="32"/>
          <w:szCs w:val="32"/>
          <w:lang w:val="en-US" w:eastAsia="zh-CN"/>
        </w:rPr>
        <w:t>》、《</w:t>
      </w:r>
      <w:r>
        <w:rPr>
          <w:rFonts w:hint="eastAsia" w:ascii="宋体" w:hAnsi="宋体" w:eastAsia="仿宋_GB2312" w:cs="仿宋_GB2312"/>
          <w:sz w:val="32"/>
          <w:szCs w:val="32"/>
          <w:lang w:val="en-US" w:eastAsia="zh-CN"/>
        </w:rPr>
        <w:fldChar w:fldCharType="begin"/>
      </w:r>
      <w:r>
        <w:rPr>
          <w:rFonts w:hint="eastAsia" w:ascii="宋体" w:hAnsi="宋体" w:eastAsia="仿宋_GB2312" w:cs="仿宋_GB2312"/>
          <w:sz w:val="32"/>
          <w:szCs w:val="32"/>
          <w:lang w:val="en-US" w:eastAsia="zh-CN"/>
        </w:rPr>
        <w:instrText xml:space="preserve"> HYPERLINK "http://172.17.252.5/FullText/fulltext_form.aspx?db=lar&amp;gid=17931291&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sYXIGBAAAADvmlYjlipvnuqfliKs9WE0wNyUgYW5kICAo5rOV6KeE5qCH6aKYPScl5bm/5Lic55yB5riU5LiaJScpIAYFAAAADS3lj5HluIPml6XmnJ8GBgAAAA/lub/kuJznnIHmuJTkuJoAAAsBAAD//javascript:SLC(218763,0)" </w:instrText>
      </w:r>
      <w:r>
        <w:rPr>
          <w:rFonts w:hint="eastAsia" w:ascii="宋体" w:hAnsi="宋体" w:eastAsia="仿宋_GB2312" w:cs="仿宋_GB2312"/>
          <w:sz w:val="32"/>
          <w:szCs w:val="32"/>
          <w:lang w:val="en-US" w:eastAsia="zh-CN"/>
        </w:rPr>
        <w:fldChar w:fldCharType="separate"/>
      </w:r>
      <w:r>
        <w:rPr>
          <w:rFonts w:hint="eastAsia" w:ascii="宋体" w:hAnsi="宋体" w:eastAsia="仿宋_GB2312" w:cs="仿宋_GB2312"/>
          <w:sz w:val="32"/>
          <w:szCs w:val="32"/>
        </w:rPr>
        <w:t>中华人民共和国渔业法</w:t>
      </w:r>
      <w:r>
        <w:rPr>
          <w:rFonts w:hint="eastAsia" w:ascii="宋体" w:hAnsi="宋体" w:eastAsia="仿宋_GB2312" w:cs="仿宋_GB2312"/>
          <w:sz w:val="32"/>
          <w:szCs w:val="32"/>
          <w:lang w:val="en-US" w:eastAsia="zh-CN"/>
        </w:rPr>
        <w:fldChar w:fldCharType="end"/>
      </w:r>
      <w:r>
        <w:rPr>
          <w:rFonts w:hint="eastAsia" w:ascii="宋体" w:hAnsi="宋体" w:eastAsia="仿宋_GB2312" w:cs="仿宋_GB2312"/>
          <w:sz w:val="32"/>
          <w:szCs w:val="32"/>
          <w:lang w:val="en-US" w:eastAsia="zh-CN"/>
        </w:rPr>
        <w:t>》及其他有关法律、法规，结合本省实际，制定本条例。</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第二条</w:t>
      </w:r>
      <w:r>
        <w:rPr>
          <w:rFonts w:hint="eastAsia" w:ascii="宋体" w:hAnsi="宋体" w:eastAsia="仿宋_GB2312" w:cs="仿宋_GB2312"/>
          <w:sz w:val="32"/>
          <w:szCs w:val="32"/>
          <w:lang w:val="en-US" w:eastAsia="zh-CN"/>
        </w:rPr>
        <w:t>　在本省水域、滩涂和国家规定由本省实施渔业监督管理的水域从事养殖、捕捞等渔业生产活动以及管理，必须遵守本条例。</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第三条</w:t>
      </w:r>
      <w:r>
        <w:rPr>
          <w:rFonts w:hint="eastAsia" w:ascii="宋体" w:hAnsi="宋体" w:eastAsia="仿宋_GB2312" w:cs="仿宋_GB2312"/>
          <w:sz w:val="32"/>
          <w:szCs w:val="32"/>
          <w:lang w:val="en-US" w:eastAsia="zh-CN"/>
        </w:rPr>
        <w:t>　县级以上人民政府应当把渔业生产纳入国民经济发展计划，采取措施，加强水域的统一规划和综合利用。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渔业生产实行以养殖为主，养殖、捕捞、加工并举，因地制宜，各有侧重的方针。</w:t>
      </w:r>
      <w:r>
        <w:rPr>
          <w:rFonts w:hint="eastAsia" w:ascii="宋体" w:hAnsi="宋体" w:eastAsia="楷体_GB2312" w:cs="楷体"/>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第四条</w:t>
      </w:r>
      <w:r>
        <w:rPr>
          <w:rFonts w:hint="eastAsia" w:ascii="宋体" w:hAnsi="宋体" w:eastAsia="仿宋_GB2312" w:cs="仿宋_GB2312"/>
          <w:sz w:val="32"/>
          <w:szCs w:val="32"/>
          <w:lang w:val="en-US" w:eastAsia="zh-CN"/>
        </w:rPr>
        <w:t>　各级人民政府应当鼓励渔业科学技术的研究和应用，推广先进技术，提高渔业科学技术水平。</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第五条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主管部门应当加强渔业产品质量的监督管理，建立渔业产品质量检验检测监督体系，推行渔业标准化生产，并按照国家有关规定加强水生动植物防疫和检疫的监督管理。</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第六条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主管部门主管本行政区域内的渔业工作，组织实施本条例。其他有关</w:t>
      </w:r>
      <w:r>
        <w:rPr>
          <w:rFonts w:hint="eastAsia" w:ascii="宋体" w:hAnsi="宋体" w:eastAsia="仿宋_GB2312" w:cs="仿宋_GB2312"/>
          <w:i w:val="0"/>
          <w:iCs w:val="0"/>
          <w:sz w:val="32"/>
          <w:szCs w:val="32"/>
          <w:u w:val="none"/>
          <w:lang w:val="en-US" w:eastAsia="zh-CN"/>
        </w:rPr>
        <w:t>行政</w:t>
      </w:r>
      <w:r>
        <w:rPr>
          <w:rFonts w:hint="eastAsia" w:ascii="宋体" w:hAnsi="宋体" w:eastAsia="仿宋_GB2312" w:cs="仿宋_GB2312"/>
          <w:sz w:val="32"/>
          <w:szCs w:val="32"/>
          <w:lang w:val="en-US" w:eastAsia="zh-CN"/>
        </w:rPr>
        <w:t>主管部门，按照各自职责，协助做好渔业监督管理工作。</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主管部门可以在重要渔业水域、渔港设渔政监督管理机构。上级渔政监督管理机构有权对下级渔政监督管理机构的工作进行监督。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乡、镇人民政府协助</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主管部门做好本行政区域内的渔业管理工作。</w:t>
      </w:r>
      <w:r>
        <w:rPr>
          <w:rFonts w:hint="eastAsia" w:ascii="宋体" w:hAnsi="宋体" w:eastAsia="楷体_GB2312" w:cs="楷体"/>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第七条</w:t>
      </w:r>
      <w:r>
        <w:rPr>
          <w:rFonts w:hint="eastAsia" w:ascii="宋体" w:hAnsi="宋体" w:eastAsia="仿宋_GB2312" w:cs="仿宋_GB2312"/>
          <w:sz w:val="32"/>
          <w:szCs w:val="32"/>
          <w:lang w:val="en-US" w:eastAsia="zh-CN"/>
        </w:rPr>
        <w:t>　本省渔业的监督管理，实行统一领导、分级管理。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跨市、县的或者两个以上市、县共同生产作业的渔业水域、滩涂，由共同的上级</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主管部门或者渔政监督管理机构监督管理，或者由共同的上级</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主管部门、渔政监督管理机构指定有关的市、县</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w:t>
      </w:r>
      <w:r>
        <w:rPr>
          <w:rFonts w:hint="eastAsia" w:ascii="宋体" w:hAnsi="宋体" w:eastAsia="黑体" w:cs="黑体"/>
          <w:color w:val="auto"/>
          <w:sz w:val="32"/>
          <w:szCs w:val="32"/>
          <w:lang w:val="en-US" w:eastAsia="zh-CN"/>
        </w:rPr>
        <w:t>、</w:t>
      </w:r>
      <w:r>
        <w:rPr>
          <w:rFonts w:hint="eastAsia" w:ascii="宋体" w:hAnsi="宋体" w:eastAsia="仿宋_GB2312" w:cs="仿宋_GB2312"/>
          <w:sz w:val="32"/>
          <w:szCs w:val="32"/>
          <w:lang w:val="en-US" w:eastAsia="zh-CN"/>
        </w:rPr>
        <w:t>渔政监督管理机构监督管理。</w:t>
      </w:r>
      <w:r>
        <w:rPr>
          <w:rFonts w:hint="eastAsia" w:ascii="宋体" w:hAnsi="宋体" w:eastAsia="楷体_GB2312" w:cs="楷体"/>
          <w:b/>
          <w:bCs/>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第八条</w:t>
      </w:r>
      <w:r>
        <w:rPr>
          <w:rFonts w:hint="eastAsia" w:ascii="宋体" w:hAnsi="宋体" w:eastAsia="仿宋_GB2312" w:cs="仿宋_GB2312"/>
          <w:sz w:val="32"/>
          <w:szCs w:val="32"/>
          <w:lang w:val="en-US" w:eastAsia="zh-CN"/>
        </w:rPr>
        <w:t>　</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主管部门和渔政监督管理机构及其工作人员不得参与和从事渔业生产经营活动。</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第二章　养殖管理</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firstLine="655"/>
        <w:textAlignment w:val="auto"/>
        <w:outlineLvl w:val="9"/>
        <w:rPr>
          <w:rFonts w:hint="eastAsia" w:ascii="宋体" w:hAnsi="宋体" w:cs="仿宋_GB2312"/>
          <w:sz w:val="32"/>
          <w:szCs w:val="32"/>
          <w:lang w:val="en-US" w:eastAsia="zh-CN"/>
        </w:rPr>
      </w:pPr>
      <w:r>
        <w:rPr>
          <w:rFonts w:hint="eastAsia" w:ascii="宋体" w:hAnsi="宋体" w:eastAsia="黑体" w:cs="黑体"/>
          <w:sz w:val="32"/>
          <w:szCs w:val="32"/>
          <w:lang w:val="en-US" w:eastAsia="zh-CN"/>
        </w:rPr>
        <w:t>第九条</w:t>
      </w:r>
      <w:r>
        <w:rPr>
          <w:rFonts w:hint="eastAsia" w:ascii="宋体" w:hAnsi="宋体" w:eastAsia="仿宋_GB2312" w:cs="仿宋_GB2312"/>
          <w:sz w:val="32"/>
          <w:szCs w:val="32"/>
          <w:lang w:val="en-US" w:eastAsia="zh-CN"/>
        </w:rPr>
        <w:t>　省人民政府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主管部门应当根据国家对水域、滩涂利用的统一规划，会同交通、自然</w:t>
      </w:r>
      <w:r>
        <w:rPr>
          <w:rFonts w:hint="eastAsia" w:ascii="宋体" w:hAnsi="宋体" w:eastAsia="仿宋_GB2312" w:cs="仿宋_GB2312"/>
          <w:color w:val="auto"/>
          <w:sz w:val="32"/>
          <w:szCs w:val="32"/>
          <w:lang w:val="en-US" w:eastAsia="zh-CN"/>
        </w:rPr>
        <w:t>资源</w:t>
      </w:r>
      <w:r>
        <w:rPr>
          <w:rFonts w:hint="eastAsia" w:ascii="宋体" w:hAnsi="宋体" w:eastAsia="仿宋_GB2312" w:cs="仿宋_GB2312"/>
          <w:sz w:val="32"/>
          <w:szCs w:val="32"/>
          <w:lang w:val="en-US" w:eastAsia="zh-CN"/>
        </w:rPr>
        <w:t>、</w:t>
      </w:r>
      <w:r>
        <w:rPr>
          <w:rFonts w:hint="eastAsia" w:ascii="宋体" w:hAnsi="宋体" w:eastAsia="仿宋_GB2312" w:cs="仿宋_GB2312"/>
          <w:i w:val="0"/>
          <w:iCs w:val="0"/>
          <w:sz w:val="32"/>
          <w:szCs w:val="32"/>
          <w:u w:val="none"/>
          <w:lang w:val="en-US" w:eastAsia="zh-CN"/>
        </w:rPr>
        <w:t>建设</w:t>
      </w:r>
      <w:r>
        <w:rPr>
          <w:rFonts w:hint="eastAsia" w:ascii="宋体" w:hAnsi="宋体" w:eastAsia="仿宋_GB2312" w:cs="仿宋_GB2312"/>
          <w:sz w:val="32"/>
          <w:szCs w:val="32"/>
          <w:lang w:val="en-US" w:eastAsia="zh-CN"/>
        </w:rPr>
        <w:t>、生态环境、水利、</w:t>
      </w:r>
      <w:r>
        <w:rPr>
          <w:rFonts w:hint="eastAsia" w:ascii="宋体" w:hAnsi="宋体" w:eastAsia="仿宋_GB2312" w:cs="仿宋_GB2312"/>
          <w:i w:val="0"/>
          <w:iCs w:val="0"/>
          <w:sz w:val="32"/>
          <w:szCs w:val="32"/>
          <w:u w:val="none"/>
          <w:lang w:val="en-US" w:eastAsia="zh-CN"/>
        </w:rPr>
        <w:t>林业、</w:t>
      </w:r>
      <w:r>
        <w:rPr>
          <w:rFonts w:hint="eastAsia" w:ascii="宋体" w:hAnsi="宋体" w:eastAsia="仿宋_GB2312" w:cs="仿宋_GB2312"/>
          <w:sz w:val="32"/>
          <w:szCs w:val="32"/>
          <w:lang w:val="en-US" w:eastAsia="zh-CN"/>
        </w:rPr>
        <w:t>海事等有关部门，制定养殖水域、滩涂利用规划，报省人民政府批准实施。养殖水域、滩涂利用规划应当与土地利用、防洪、防风等规划相衔接。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县级以上人民政府应当加强商品鱼生产基地和城市郊区重要养殖水域的保护，划定养殖保护区，采取相应的保护措施。</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主管部门应当加强对所辖水域、滩涂养殖容量的调查评估，根据养殖区域的自然承载力，确定养殖容量并实施监控和管理。</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第十一条</w:t>
      </w:r>
      <w:r>
        <w:rPr>
          <w:rFonts w:hint="eastAsia" w:ascii="宋体" w:hAnsi="宋体" w:eastAsia="仿宋_GB2312" w:cs="仿宋_GB2312"/>
          <w:sz w:val="32"/>
          <w:szCs w:val="32"/>
          <w:lang w:val="en-US" w:eastAsia="zh-CN"/>
        </w:rPr>
        <w:t>　使用国家规划确定用于养殖业的全民所有的水域、滩涂从事养殖生产的单位和个人，应当向水域、滩涂所在地县级以上人民政府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主管部门提出申请，由本级人民政府核发养殖证，许可其使用该水域、滩涂从事养殖生产。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承包集体所有或者全民所有由集体经济组织使用的水域、滩涂从事养殖生产的，依法签订承包合同后，可以向所在地县级以上人民政府申请领取养殖证，当地人民政府予以注册登记后，发给养殖证。养殖证登记事项发生变更的，需到原发证机关办理变更登记手续。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从事养殖的单位和个人需持有养殖证方可申请水产品原产地证书、无公害水产品基地资格等。</w:t>
      </w:r>
      <w:r>
        <w:rPr>
          <w:rFonts w:hint="eastAsia" w:ascii="宋体" w:hAnsi="宋体" w:eastAsia="仿宋_GB2312" w:cs="仿宋_GB2312"/>
          <w:b w:val="0"/>
          <w:bCs w:val="0"/>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第十二条</w:t>
      </w:r>
      <w:r>
        <w:rPr>
          <w:rFonts w:hint="eastAsia" w:ascii="宋体" w:hAnsi="宋体" w:eastAsia="仿宋_GB2312" w:cs="仿宋_GB2312"/>
          <w:sz w:val="32"/>
          <w:szCs w:val="32"/>
          <w:lang w:val="en-US" w:eastAsia="zh-CN"/>
        </w:rPr>
        <w:t>　核发养殖证应当符合养殖水域、滩涂利用规划和区域养殖容量要求，并优先安排以下当地渔业生产者：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（一）养殖水域、滩涂毗邻所在村、乡（镇）的；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（二）因渔业产业结构调整从捕捞业转产从事养殖业的</w:t>
      </w:r>
      <w:r>
        <w:rPr>
          <w:rFonts w:hint="eastAsia" w:ascii="宋体" w:hAnsi="宋体" w:cs="仿宋_GB2312"/>
          <w:sz w:val="32"/>
          <w:szCs w:val="32"/>
          <w:lang w:val="en-US" w:eastAsia="zh-CN"/>
        </w:rPr>
        <w:t xml:space="preserve">；  </w:t>
      </w: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（三）因养殖规划调整另行安排养殖场所的。</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第十三条</w:t>
      </w:r>
      <w:r>
        <w:rPr>
          <w:rFonts w:hint="eastAsia" w:ascii="宋体" w:hAnsi="宋体" w:eastAsia="仿宋_GB2312" w:cs="仿宋_GB2312"/>
          <w:sz w:val="32"/>
          <w:szCs w:val="32"/>
          <w:lang w:val="en-US" w:eastAsia="zh-CN"/>
        </w:rPr>
        <w:t>　水域、滩涂养殖使用权可以依法转让。任何单位和个人不得侵占、买卖或者以其他形式非法转让水域、滩涂养殖使用权。</w:t>
      </w:r>
      <w:r>
        <w:rPr>
          <w:rFonts w:hint="eastAsia" w:ascii="宋体" w:hAnsi="宋体" w:eastAsia="楷体_GB2312" w:cs="楷体"/>
          <w:b w:val="0"/>
          <w:bCs w:val="0"/>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第十四条</w:t>
      </w:r>
      <w:r>
        <w:rPr>
          <w:rFonts w:hint="eastAsia" w:ascii="宋体" w:hAnsi="宋体" w:eastAsia="仿宋_GB2312" w:cs="仿宋_GB2312"/>
          <w:sz w:val="32"/>
          <w:szCs w:val="32"/>
          <w:lang w:val="en-US" w:eastAsia="zh-CN"/>
        </w:rPr>
        <w:t>　从事养殖生产的单位和个人应当遵守下列规定：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（一）使用全民所有的水域、滩涂从事养殖生产的，按照养殖证许可使用的范围进行生产；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（二）合理使用渔药、饵料、饲料、添加剂，并做好使用记录，不得使用含有毒有害物质的渔药、饲料、饵料、添加剂等；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（三）不得向养殖水域倾倒生产、生活垃圾；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（四）及时合理处置被污染或者含病原体的水体和病死养殖生物，防止病害传播；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（五）防止对水域生态系统有危害的养殖品种逃逸。</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第十五条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主管部门应当采取措施鼓励发展无公害水产品养殖，并加强监督管理。</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省人民政府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主管部门协助做好无公害水产品认证。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第十六条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主管部门应当加强对养殖</w:t>
      </w:r>
      <w:r>
        <w:rPr>
          <w:rFonts w:hint="eastAsia" w:ascii="宋体" w:hAnsi="宋体" w:eastAsia="仿宋_GB2312" w:cs="仿宋_GB2312"/>
          <w:i w:val="0"/>
          <w:iCs w:val="0"/>
          <w:sz w:val="32"/>
          <w:szCs w:val="32"/>
          <w:u w:val="none"/>
          <w:lang w:val="en-US" w:eastAsia="zh-CN"/>
        </w:rPr>
        <w:t>的水域环境、</w:t>
      </w:r>
      <w:r>
        <w:rPr>
          <w:rFonts w:hint="eastAsia" w:ascii="宋体" w:hAnsi="宋体" w:eastAsia="仿宋_GB2312" w:cs="仿宋_GB2312"/>
          <w:sz w:val="32"/>
          <w:szCs w:val="32"/>
          <w:lang w:val="en-US" w:eastAsia="zh-CN"/>
        </w:rPr>
        <w:t>水质状况、水生生物毒性和疫情等的监控，并对水域生态环境影响较大的养殖品种和方式予以限制。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养殖水域环境遭到污染时，县级以上人民政府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主管部门应当采取强制性应急措施，或者报本级人民政府批准后，暂时关闭养殖区域。</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第三章　水产苗种管理</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第十七条</w:t>
      </w:r>
      <w:r>
        <w:rPr>
          <w:rFonts w:hint="eastAsia" w:ascii="宋体" w:hAnsi="宋体" w:eastAsia="仿宋_GB2312" w:cs="仿宋_GB2312"/>
          <w:sz w:val="32"/>
          <w:szCs w:val="32"/>
          <w:lang w:val="en-US" w:eastAsia="zh-CN"/>
        </w:rPr>
        <w:t>　从事水产苗种生产的单位和个人必须向生产所在地县级以上人民政府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主管部门提出申请，经批准后方可从事生产。但是，渔业生产者自育、自用水产苗种的除外。渔业行政主管部门必须在收到申请后三十日内作出许可或者不予许可的决定。对不予许可的，必须书面说明理由。</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水产苗种生产许可证实行分级分类审批制度，具体办法由省人民政府渔业行政主管部门制定。</w:t>
      </w: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第十八条</w:t>
      </w:r>
      <w:r>
        <w:rPr>
          <w:rFonts w:hint="eastAsia" w:ascii="宋体" w:hAnsi="宋体" w:eastAsia="仿宋_GB2312" w:cs="仿宋_GB2312"/>
          <w:sz w:val="32"/>
          <w:szCs w:val="32"/>
          <w:lang w:val="en-US" w:eastAsia="zh-CN"/>
        </w:rPr>
        <w:t>　从事水产苗种生产的单位和个人应当应用良种良法，按照水产苗种生产技术操作规程和标准进行生产，建立生产和技术档案。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生产和销售的水产苗种质量应当符合国家标准、或者行业标准、或者地方标准。销售的水产苗种应当附有质量合格证。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第十九条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主管部门应当加强水产苗种质量的监督管理。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地级以上市人民政府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主管部门应当对生产和销售单位进行苗种质量检测，并将结果向社会公布。</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主管部门应当加强水生生物安全的监督管</w:t>
      </w:r>
      <w:r>
        <w:rPr>
          <w:rFonts w:hint="eastAsia" w:ascii="宋体" w:hAnsi="宋体" w:eastAsia="仿宋_GB2312" w:cs="仿宋_GB2312"/>
          <w:i w:val="0"/>
          <w:iCs w:val="0"/>
          <w:sz w:val="32"/>
          <w:szCs w:val="32"/>
          <w:u w:val="none"/>
          <w:lang w:val="en-US" w:eastAsia="zh-CN"/>
        </w:rPr>
        <w:t>理，应对辖区内水产品批发市场、水族馆等场所进行监督检查。　</w:t>
      </w:r>
      <w:r>
        <w:rPr>
          <w:rFonts w:hint="eastAsia" w:ascii="宋体" w:hAnsi="宋体" w:eastAsia="仿宋_GB2312" w:cs="仿宋_GB2312"/>
          <w:sz w:val="32"/>
          <w:szCs w:val="32"/>
          <w:lang w:val="en-US" w:eastAsia="zh-CN"/>
        </w:rPr>
        <w:t>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经批准拥有高危水生生物的单位和个人应当采取相应的安全控制措施。</w:t>
      </w:r>
    </w:p>
    <w:p>
      <w:pPr>
        <w:widowControl w:val="0"/>
        <w:wordWrap/>
        <w:overflowPunct w:val="0"/>
        <w:adjustRightInd/>
        <w:snapToGrid/>
        <w:spacing w:line="590" w:lineRule="exact"/>
        <w:ind w:left="0" w:leftChars="0" w:right="0" w:firstLine="640" w:firstLineChars="200"/>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第二十一条</w:t>
      </w:r>
      <w:r>
        <w:rPr>
          <w:rFonts w:hint="eastAsia" w:ascii="宋体" w:hAnsi="宋体" w:eastAsia="仿宋_GB2312" w:cs="仿宋_GB2312"/>
          <w:sz w:val="32"/>
          <w:szCs w:val="32"/>
          <w:lang w:val="en-US" w:eastAsia="zh-CN"/>
        </w:rPr>
        <w:t>　进口、</w:t>
      </w:r>
      <w:r>
        <w:rPr>
          <w:rFonts w:hint="eastAsia" w:ascii="宋体" w:hAnsi="宋体" w:eastAsia="仿宋_GB2312" w:cs="仿宋_GB2312"/>
          <w:color w:val="auto"/>
          <w:sz w:val="32"/>
          <w:szCs w:val="32"/>
          <w:lang w:val="en-US" w:eastAsia="zh-CN"/>
        </w:rPr>
        <w:t>出口水产苗种</w:t>
      </w:r>
      <w:r>
        <w:rPr>
          <w:rFonts w:hint="eastAsia" w:ascii="宋体" w:hAnsi="宋体" w:eastAsia="仿宋_GB2312" w:cs="仿宋_GB2312"/>
          <w:i w:val="0"/>
          <w:iCs w:val="0"/>
          <w:color w:val="auto"/>
          <w:sz w:val="32"/>
          <w:szCs w:val="32"/>
          <w:u w:val="none"/>
          <w:lang w:val="en-US" w:eastAsia="zh-CN"/>
        </w:rPr>
        <w:t>，</w:t>
      </w:r>
      <w:r>
        <w:rPr>
          <w:rFonts w:hint="eastAsia" w:ascii="宋体" w:hAnsi="宋体" w:eastAsia="仿宋_GB2312" w:cs="仿宋_GB2312"/>
          <w:color w:val="auto"/>
          <w:sz w:val="32"/>
          <w:szCs w:val="32"/>
          <w:lang w:val="en-US" w:eastAsia="zh-CN"/>
        </w:rPr>
        <w:t>应当</w:t>
      </w:r>
      <w:r>
        <w:rPr>
          <w:rFonts w:hint="eastAsia" w:ascii="宋体" w:hAnsi="宋体" w:eastAsia="仿宋_GB2312" w:cs="仿宋_GB2312"/>
          <w:sz w:val="32"/>
          <w:szCs w:val="32"/>
          <w:lang w:val="en-US" w:eastAsia="zh-CN"/>
        </w:rPr>
        <w:t>依法办理审批手续。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仿宋_GB2312" w:cs="仿宋_GB2312"/>
          <w:i w:val="0"/>
          <w:iCs w:val="0"/>
          <w:color w:val="auto"/>
          <w:sz w:val="32"/>
          <w:szCs w:val="32"/>
          <w:u w:val="none"/>
          <w:lang w:val="en-US" w:eastAsia="zh-CN"/>
        </w:rPr>
        <w:t>从境外引进的水产苗种</w:t>
      </w:r>
      <w:r>
        <w:rPr>
          <w:rFonts w:hint="eastAsia" w:ascii="宋体" w:hAnsi="宋体" w:eastAsia="仿宋_GB2312" w:cs="仿宋_GB2312"/>
          <w:i w:val="0"/>
          <w:iCs w:val="0"/>
          <w:sz w:val="32"/>
          <w:szCs w:val="32"/>
          <w:u w:val="none"/>
          <w:lang w:val="en-US" w:eastAsia="zh-CN"/>
        </w:rPr>
        <w:t>，</w:t>
      </w:r>
      <w:r>
        <w:rPr>
          <w:rFonts w:hint="eastAsia" w:ascii="宋体" w:hAnsi="宋体" w:eastAsia="仿宋_GB2312" w:cs="仿宋_GB2312"/>
          <w:sz w:val="32"/>
          <w:szCs w:val="32"/>
          <w:lang w:val="en-US" w:eastAsia="zh-CN"/>
        </w:rPr>
        <w:t>不得擅自转让和销售。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水产苗种进口、出口必须按照国家法律、行政法规的规定实施检疫。</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第四章　捕捞管理</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rPr>
      </w:pPr>
      <w:r>
        <w:rPr>
          <w:rFonts w:hint="eastAsia" w:ascii="宋体" w:hAnsi="宋体" w:eastAsia="黑体" w:cs="黑体"/>
          <w:sz w:val="32"/>
          <w:szCs w:val="32"/>
          <w:lang w:val="en-US" w:eastAsia="zh-CN"/>
        </w:rPr>
        <w:t>第二十二条</w:t>
      </w:r>
      <w:r>
        <w:rPr>
          <w:rFonts w:hint="eastAsia" w:ascii="宋体" w:hAnsi="宋体" w:eastAsia="仿宋_GB2312" w:cs="仿宋_GB2312"/>
          <w:sz w:val="32"/>
          <w:szCs w:val="32"/>
          <w:lang w:val="en-US" w:eastAsia="zh-CN"/>
        </w:rPr>
        <w:t>　县级以上人民政府及其</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主管部门应当鼓励发展远洋捕捞业，并根据渔业资源的可捕量合理安排近海捕捞，严格控制沿岸渔场和江河的捕捞强度。</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第二十三条</w:t>
      </w:r>
      <w:r>
        <w:rPr>
          <w:rFonts w:hint="eastAsia" w:ascii="宋体" w:hAnsi="宋体" w:eastAsia="仿宋_GB2312" w:cs="仿宋_GB2312"/>
          <w:sz w:val="32"/>
          <w:szCs w:val="32"/>
          <w:lang w:val="en-US" w:eastAsia="zh-CN"/>
        </w:rPr>
        <w:t>　根据捕捞量低于渔业资源增长量的原则，实行捕捞限额制度。</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毗邻海域捕捞限额的分配方案由省人民政府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根据国家下达的捕捞限额指标制定，报省人民政府批准后实施；国家和省确定的重要江河、湖泊的捕捞限额总量由省人民政府确定，其他江河、湖泊的捕捞限额总量由相关市人民政府确定或协商确定。捕捞限额的分配方法和分配结果必须向社会公布，接受社会监督。</w:t>
      </w:r>
      <w:r>
        <w:rPr>
          <w:rFonts w:hint="eastAsia" w:ascii="宋体" w:hAnsi="宋体" w:eastAsia="楷体_GB2312" w:cs="楷体"/>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第二十四条</w:t>
      </w:r>
      <w:r>
        <w:rPr>
          <w:rFonts w:hint="eastAsia" w:ascii="宋体" w:hAnsi="宋体" w:eastAsia="仿宋_GB2312" w:cs="仿宋_GB2312"/>
          <w:sz w:val="32"/>
          <w:szCs w:val="32"/>
          <w:lang w:val="en-US" w:eastAsia="zh-CN"/>
        </w:rPr>
        <w:t>　省人民政府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主管部门应当根据国家下达的船网工具控制指标，严格控制捕捞渔船的数量和功率。新造、改造、进口、购置渔船应当按照国家有关规定办理船网工具控制指标审批手续。</w:t>
      </w:r>
      <w:r>
        <w:rPr>
          <w:rFonts w:hint="eastAsia" w:ascii="宋体" w:hAnsi="宋体" w:eastAsia="仿宋_GB2312" w:cs="仿宋_GB2312"/>
          <w:b w:val="0"/>
          <w:bCs w:val="0"/>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第二十五条</w:t>
      </w:r>
      <w:r>
        <w:rPr>
          <w:rFonts w:hint="eastAsia" w:ascii="宋体" w:hAnsi="宋体" w:eastAsia="仿宋_GB2312" w:cs="仿宋_GB2312"/>
          <w:sz w:val="32"/>
          <w:szCs w:val="32"/>
          <w:lang w:val="en-US" w:eastAsia="zh-CN"/>
        </w:rPr>
        <w:t>　从事捕捞生产的单位和个人，应当依法申领渔业捕捞许可证。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到我国与有关国家缔结的协定确定的共同管理的渔区或者公海从事捕捞作业的捕捞许可证，由国务院</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主管部门批准发放。海洋大型拖网、围网作业的捕捞许可证，由省级人民政府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主管部门批准发放。其他作业捕捞许可证由县级以上人民政府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主管部门批准发放。</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第二十六条</w:t>
      </w:r>
      <w:r>
        <w:rPr>
          <w:rFonts w:hint="eastAsia" w:ascii="宋体" w:hAnsi="宋体" w:eastAsia="仿宋_GB2312" w:cs="仿宋_GB2312"/>
          <w:color w:val="auto"/>
          <w:sz w:val="32"/>
          <w:szCs w:val="32"/>
          <w:lang w:val="en-US" w:eastAsia="zh-CN"/>
        </w:rPr>
        <w:t>　具备下列条件的，方可发给捕捞许可证：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（一）有渔业船舶检验证书；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（二）有渔业船舶登记证书；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（三）国务院渔业行政主管部门规定的其他条件。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县级以上人民政府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主管部门批准发放的捕捞许可证，应当与上级下达的捕捞限额指标相适应。</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黑体" w:cs="黑体"/>
          <w:sz w:val="32"/>
          <w:szCs w:val="32"/>
          <w:lang w:val="en-US" w:eastAsia="zh-CN"/>
        </w:rPr>
        <w:t>第二十七条</w:t>
      </w:r>
      <w:r>
        <w:rPr>
          <w:rFonts w:hint="eastAsia" w:ascii="宋体" w:hAnsi="宋体" w:eastAsia="仿宋_GB2312" w:cs="仿宋_GB2312"/>
          <w:color w:val="auto"/>
          <w:sz w:val="32"/>
          <w:szCs w:val="32"/>
          <w:lang w:val="en-US" w:eastAsia="zh-CN"/>
        </w:rPr>
        <w:t>　从事捕捞作业的单位和个人应当遵守国家有关休渔期、禁渔区等保护渔业资源的规定和渔船作业规范；不得在航道、锚地设置碍航渔具；禁止在渔业水域倾倒、遗弃副渔获物、渔具。大中型捕捞渔船应当填写渔捞日志，按规定使用船位监控装置。未经批准，不得进入他国管辖水域作业。</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黑体" w:cs="黑体"/>
          <w:sz w:val="32"/>
          <w:szCs w:val="32"/>
          <w:lang w:val="en-US" w:eastAsia="zh-CN"/>
        </w:rPr>
        <w:t>第二十八条</w:t>
      </w:r>
      <w:r>
        <w:rPr>
          <w:rFonts w:hint="eastAsia" w:ascii="宋体" w:hAnsi="宋体" w:eastAsia="仿宋_GB2312" w:cs="仿宋_GB2312"/>
          <w:color w:val="auto"/>
          <w:sz w:val="32"/>
          <w:szCs w:val="32"/>
          <w:lang w:val="en-US" w:eastAsia="zh-CN"/>
        </w:rPr>
        <w:t>　因养殖、科学研究及其他特殊需要在特定的渔场、渔汛、使用特殊方法捕捞，或者捕捞具有重要经济价值的水生动植物苗种、亲体的，应当经省人民政府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w:t>
      </w:r>
      <w:r>
        <w:rPr>
          <w:rFonts w:hint="eastAsia" w:ascii="宋体" w:hAnsi="宋体" w:eastAsia="仿宋_GB2312" w:cs="仿宋_GB2312"/>
          <w:i w:val="0"/>
          <w:iCs w:val="0"/>
          <w:color w:val="auto"/>
          <w:sz w:val="32"/>
          <w:szCs w:val="32"/>
          <w:u w:val="none"/>
          <w:lang w:val="en-US" w:eastAsia="zh-CN"/>
        </w:rPr>
        <w:t>或者其委托的部门</w:t>
      </w:r>
      <w:r>
        <w:rPr>
          <w:rFonts w:hint="eastAsia" w:ascii="宋体" w:hAnsi="宋体" w:eastAsia="仿宋_GB2312" w:cs="仿宋_GB2312"/>
          <w:color w:val="auto"/>
          <w:sz w:val="32"/>
          <w:szCs w:val="32"/>
          <w:lang w:val="en-US" w:eastAsia="zh-CN"/>
        </w:rPr>
        <w:t>批准。</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黑体" w:cs="黑体"/>
          <w:sz w:val="32"/>
          <w:szCs w:val="32"/>
          <w:lang w:val="en-US" w:eastAsia="zh-CN"/>
        </w:rPr>
        <w:t>第二十九条</w:t>
      </w:r>
      <w:r>
        <w:rPr>
          <w:rFonts w:hint="eastAsia" w:ascii="宋体" w:hAnsi="宋体" w:eastAsia="仿宋_GB2312" w:cs="仿宋_GB2312"/>
          <w:color w:val="auto"/>
          <w:sz w:val="32"/>
          <w:szCs w:val="32"/>
          <w:lang w:val="en-US" w:eastAsia="zh-CN"/>
        </w:rPr>
        <w:t>　定置作业、采捕小贝类作业以及潜捕作业，不得跨县生产。确需跨县生产的，必须向渔场所在地县级人民政府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主管部门提出申请，经共同的上级人民政府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主管部门批准后方可进行。</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黑体" w:cs="黑体"/>
          <w:sz w:val="32"/>
          <w:szCs w:val="32"/>
          <w:lang w:val="en-US" w:eastAsia="zh-CN"/>
        </w:rPr>
        <w:t>第三十条</w:t>
      </w:r>
      <w:r>
        <w:rPr>
          <w:rFonts w:hint="eastAsia" w:ascii="宋体" w:hAnsi="宋体" w:eastAsia="仿宋_GB2312" w:cs="仿宋_GB2312"/>
          <w:color w:val="auto"/>
          <w:sz w:val="32"/>
          <w:szCs w:val="32"/>
          <w:lang w:val="en-US" w:eastAsia="zh-CN"/>
        </w:rPr>
        <w:t>　渔业船舶所有人应当为其水上作业人</w:t>
      </w:r>
      <w:r>
        <w:rPr>
          <w:rFonts w:hint="eastAsia" w:ascii="宋体" w:hAnsi="宋体" w:eastAsia="仿宋_GB2312" w:cs="仿宋_GB2312"/>
          <w:sz w:val="32"/>
          <w:szCs w:val="32"/>
          <w:lang w:val="en-US" w:eastAsia="zh-CN"/>
        </w:rPr>
        <w:t>员购买人身保险。各级人民政府鼓励开展海上自救互救和船东互保业务。</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第五章　渔业资源增殖和保护</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第三十一条</w:t>
      </w:r>
      <w:r>
        <w:rPr>
          <w:rFonts w:hint="eastAsia" w:ascii="宋体" w:hAnsi="宋体" w:eastAsia="仿宋_GB2312" w:cs="仿宋_GB2312"/>
          <w:sz w:val="32"/>
          <w:szCs w:val="32"/>
          <w:lang w:val="en-US" w:eastAsia="zh-CN"/>
        </w:rPr>
        <w:t>　县级以上人民政府应当加强水产自然保护区的建设和管理，保护生物多样性，对稀有、濒危、珍贵水生生物资源及其原生地实行重点保护。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县级以上人民政</w:t>
      </w:r>
      <w:r>
        <w:rPr>
          <w:rFonts w:hint="eastAsia" w:ascii="宋体" w:hAnsi="宋体" w:eastAsia="仿宋_GB2312" w:cs="仿宋_GB2312"/>
          <w:i w:val="0"/>
          <w:iCs w:val="0"/>
          <w:sz w:val="32"/>
          <w:szCs w:val="32"/>
          <w:u w:val="none"/>
          <w:lang w:val="en-US" w:eastAsia="zh-CN"/>
        </w:rPr>
        <w:t>府渔业行政主管部门应当对</w:t>
      </w:r>
      <w:r>
        <w:rPr>
          <w:rFonts w:hint="eastAsia" w:ascii="宋体" w:hAnsi="宋体" w:eastAsia="仿宋_GB2312" w:cs="仿宋_GB2312"/>
          <w:sz w:val="32"/>
          <w:szCs w:val="32"/>
          <w:lang w:val="en-US" w:eastAsia="zh-CN"/>
        </w:rPr>
        <w:t>其管理的渔业水域进行统一规划，采取措施，加强鱼、虾、蟹等水生动物的产卵场、繁殖场、索饵场、洄游通道以及人工鱼礁区等重要渔业水域的保护。</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第三十二条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主管部门应当加强人工增殖放流的监督管理。在渔业资源增殖保护区进行人工增殖放流，应当进行科学评估。</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第三十三条</w:t>
      </w:r>
      <w:r>
        <w:rPr>
          <w:rFonts w:hint="eastAsia" w:ascii="宋体" w:hAnsi="宋体" w:eastAsia="仿宋_GB2312" w:cs="仿宋_GB2312"/>
          <w:sz w:val="32"/>
          <w:szCs w:val="32"/>
          <w:lang w:val="en-US" w:eastAsia="zh-CN"/>
        </w:rPr>
        <w:t>　县级以上人民政府应当加强人工鱼礁建设和人工鱼礁礁体以及礁区的保护管理。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人工鱼礁的建设实行规划论证和分级、分类管理制度。单位和个人可以投资兴建准生态型、开放型人工鱼礁。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第三十四条</w:t>
      </w:r>
      <w:r>
        <w:rPr>
          <w:rFonts w:hint="eastAsia" w:ascii="宋体" w:hAnsi="宋体" w:eastAsia="仿宋_GB2312" w:cs="仿宋_GB2312"/>
          <w:sz w:val="32"/>
          <w:szCs w:val="32"/>
          <w:lang w:val="en-US" w:eastAsia="zh-CN"/>
        </w:rPr>
        <w:t>　禁止使用炸鱼、毒鱼、电鱼等破坏渔业资源的方法进行捕捞。禁止制造、销售、使用禁用的渔具。禁止在禁渔区、禁渔期进行捕捞。禁止使用小于规定的最小网目尺寸的网具进行捕捞。捕捞的渔获物中幼鱼不得超过规定的比例。在禁渔区或者禁渔期内禁止销售非法捕捞的渔获物。</w:t>
      </w:r>
    </w:p>
    <w:p>
      <w:pPr>
        <w:widowControl w:val="0"/>
        <w:wordWrap/>
        <w:overflowPunct w:val="0"/>
        <w:adjustRightInd/>
        <w:snapToGrid/>
        <w:spacing w:line="590" w:lineRule="exact"/>
        <w:ind w:left="0" w:leftChars="0" w:right="0" w:firstLine="640" w:firstLineChars="200"/>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第三十五条</w:t>
      </w:r>
      <w:r>
        <w:rPr>
          <w:rFonts w:hint="eastAsia" w:ascii="宋体" w:hAnsi="宋体" w:eastAsia="仿宋_GB2312" w:cs="仿宋_GB2312"/>
          <w:sz w:val="32"/>
          <w:szCs w:val="32"/>
          <w:lang w:val="en-US" w:eastAsia="zh-CN"/>
        </w:rPr>
        <w:t>　在鱼、虾、蟹等经济水生动物产卵场和洄游通道建闸、筑坝等建设项目及水下开采的，有关主管部门审批前应当征求县级以上人民政府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主管部门的意见。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第三十六条</w:t>
      </w:r>
      <w:r>
        <w:rPr>
          <w:rFonts w:hint="eastAsia" w:ascii="宋体" w:hAnsi="宋体" w:eastAsia="仿宋_GB2312" w:cs="仿宋_GB2312"/>
          <w:sz w:val="32"/>
          <w:szCs w:val="32"/>
          <w:lang w:val="en-US" w:eastAsia="zh-CN"/>
        </w:rPr>
        <w:t>　</w:t>
      </w:r>
      <w:r>
        <w:rPr>
          <w:rFonts w:hint="eastAsia" w:ascii="宋体" w:hAnsi="宋体" w:eastAsia="仿宋_GB2312" w:cs="仿宋_GB2312"/>
          <w:i w:val="0"/>
          <w:iCs w:val="0"/>
          <w:sz w:val="32"/>
          <w:szCs w:val="32"/>
          <w:u w:val="none"/>
          <w:lang w:val="en-US" w:eastAsia="zh-CN"/>
        </w:rPr>
        <w:t>县级以上人民政府渔业行政主管部门建立的渔业环境监测站，纳入全省环境监测网络。其监测数据，可以作为处理渔业水域污染事故的依据。　　</w:t>
      </w:r>
      <w:r>
        <w:rPr>
          <w:rFonts w:hint="eastAsia" w:ascii="宋体" w:hAnsi="宋体" w:eastAsia="仿宋_GB2312" w:cs="仿宋_GB2312"/>
          <w:i w:val="0"/>
          <w:iCs w:val="0"/>
          <w:sz w:val="32"/>
          <w:szCs w:val="32"/>
          <w:u w:val="none"/>
          <w:lang w:val="en-US" w:eastAsia="zh-CN"/>
        </w:rPr>
        <w:br w:type="textWrapping"/>
      </w:r>
      <w:r>
        <w:rPr>
          <w:rFonts w:hint="eastAsia" w:ascii="宋体" w:hAnsi="宋体" w:eastAsia="仿宋_GB2312" w:cs="仿宋_GB2312"/>
          <w:sz w:val="32"/>
          <w:szCs w:val="32"/>
          <w:lang w:val="en-US" w:eastAsia="zh-CN"/>
        </w:rPr>
        <w:t>　　在鱼、虾、蟹类产卵场、索饵场、越冬场、洄游通道和养殖场等重要渔业水体不得新建排污口，已建排污口的应限期治理或搬迁。造成渔业污染事故的，应当接受县级以上人民政府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主管部门或者渔政监督管理机构的调查处理。</w:t>
      </w:r>
    </w:p>
    <w:p>
      <w:pPr>
        <w:widowControl w:val="0"/>
        <w:wordWrap/>
        <w:overflowPunct w:val="0"/>
        <w:adjustRightInd/>
        <w:snapToGrid/>
        <w:spacing w:line="590" w:lineRule="exact"/>
        <w:ind w:left="0" w:leftChars="0" w:right="0" w:firstLine="560" w:firstLineChars="0"/>
        <w:textAlignment w:val="auto"/>
        <w:outlineLvl w:val="9"/>
        <w:rPr>
          <w:rFonts w:hint="eastAsia" w:ascii="宋体" w:hAnsi="宋体" w:eastAsia="仿宋_GB2312" w:cs="仿宋_GB2312"/>
          <w:color w:val="auto"/>
          <w:sz w:val="32"/>
          <w:szCs w:val="32"/>
          <w:lang w:val="en-US" w:eastAsia="zh-CN"/>
        </w:rPr>
      </w:pPr>
      <w:r>
        <w:rPr>
          <w:rFonts w:hint="eastAsia" w:ascii="宋体" w:hAnsi="宋体" w:eastAsia="黑体" w:cs="黑体"/>
          <w:sz w:val="32"/>
          <w:szCs w:val="32"/>
          <w:lang w:val="en-US" w:eastAsia="zh-CN"/>
        </w:rPr>
        <w:t>第三十七条</w:t>
      </w:r>
      <w:r>
        <w:rPr>
          <w:rFonts w:hint="eastAsia" w:ascii="宋体" w:hAnsi="宋体" w:eastAsia="仿宋_GB2312" w:cs="仿宋_GB2312"/>
          <w:sz w:val="32"/>
          <w:szCs w:val="32"/>
          <w:lang w:val="en-US" w:eastAsia="zh-CN"/>
        </w:rPr>
        <w:t>　水工建设、疏航、勘探、爆破、兴建锚地、排污、倾废等不得损害渔业资源。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第三十八条</w:t>
      </w:r>
      <w:r>
        <w:rPr>
          <w:rFonts w:hint="eastAsia" w:ascii="宋体" w:hAnsi="宋体" w:eastAsia="仿宋_GB2312" w:cs="仿宋_GB2312"/>
          <w:sz w:val="32"/>
          <w:szCs w:val="32"/>
          <w:lang w:val="en-US" w:eastAsia="zh-CN"/>
        </w:rPr>
        <w:t>　县级以上人民政府应当积极引导、支持从事捕捞业的渔民和渔业生产经营组织从事水产养殖、休闲渔业或者其他职业，对统一规划转产转业的渔民，应当按照国家规定予以适当补助。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县级以上人民政府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主管部门可以根据辖区内渔业水域和渔业资源状况划定游钓等休闲渔业区。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从事休闲渔业的船舶必须符合相应的安全适航标准，并经省有关行政主管部门检验登记。未经检验登记的，不得从事休闲渔业经营活动。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休闲渔业船舶安全适航标准及休闲渔业安全管理办法，由省人民政府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主管部门会同有关部门制定。</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b w:val="0"/>
          <w:bCs w:val="0"/>
          <w:color w:val="auto"/>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第六章　法律责任</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color w:val="auto"/>
          <w:sz w:val="32"/>
          <w:szCs w:val="32"/>
        </w:rPr>
      </w:pPr>
    </w:p>
    <w:p>
      <w:pPr>
        <w:widowControl w:val="0"/>
        <w:wordWrap/>
        <w:overflowPunct w:val="0"/>
        <w:adjustRightInd/>
        <w:snapToGrid/>
        <w:spacing w:line="590" w:lineRule="exact"/>
        <w:ind w:left="0" w:leftChars="0" w:right="0" w:firstLine="640"/>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第三十九条</w:t>
      </w:r>
      <w:r>
        <w:rPr>
          <w:rFonts w:hint="eastAsia" w:ascii="宋体" w:hAnsi="宋体" w:eastAsia="仿宋_GB2312" w:cs="仿宋_GB2312"/>
          <w:color w:val="auto"/>
          <w:sz w:val="32"/>
          <w:szCs w:val="32"/>
          <w:lang w:val="en-US" w:eastAsia="zh-CN"/>
        </w:rPr>
        <w:t>　使用全民所有的水域、滩涂从事养殖生产，未依法领取养殖证或者超越养殖证许可使用的范围进行生产的，责令改正，补办养殖证，或者限期拆除养殖设施；妨碍航运、行洪的，可以并处一万元以下的罚款。</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第四十条</w:t>
      </w:r>
      <w:r>
        <w:rPr>
          <w:rFonts w:hint="eastAsia" w:ascii="宋体" w:hAnsi="宋体" w:eastAsia="仿宋_GB2312" w:cs="仿宋_GB2312"/>
          <w:sz w:val="32"/>
          <w:szCs w:val="32"/>
          <w:lang w:val="en-US" w:eastAsia="zh-CN"/>
        </w:rPr>
        <w:t>　使用含有毒有害物质的渔药、饵料、饲料、添加剂，向养殖水域投放生产、生活垃圾，以及不合理处理被污染或者含病原体的水体和病死养殖生物的，责令改正，情节严重的，可以处三万元以下罚款。</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第四十一条</w:t>
      </w:r>
      <w:r>
        <w:rPr>
          <w:rFonts w:hint="eastAsia" w:ascii="宋体" w:hAnsi="宋体" w:eastAsia="仿宋_GB2312" w:cs="仿宋_GB2312"/>
          <w:sz w:val="32"/>
          <w:szCs w:val="32"/>
          <w:lang w:val="en-US" w:eastAsia="zh-CN"/>
        </w:rPr>
        <w:t>　销售的水产苗种、亲体不符合国家标准、或者行业标准、或者地方标准，以及未经批准擅自从境外引进水生生物物种的，进口的苗种、亲体未在指定场所养殖孵化或者未经批准转售的，没收非法引进的水生物种、苗种、亲体和违法所得，可以并处三万元以下罚款。</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第四十二条</w:t>
      </w:r>
      <w:r>
        <w:rPr>
          <w:rFonts w:hint="eastAsia" w:ascii="宋体" w:hAnsi="宋体" w:eastAsia="仿宋_GB2312" w:cs="仿宋_GB2312"/>
          <w:sz w:val="32"/>
          <w:szCs w:val="32"/>
          <w:lang w:val="en-US" w:eastAsia="zh-CN"/>
        </w:rPr>
        <w:t>　违反捕捞作业规范，在渔业水域倾倒、遗弃副渔获物、渔具的，给予警告，情节严重的，可以处五百元以上五千元以下罚款。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大中型海洋捕捞渔船未按规定填写渔捞日志或者未按规定使用船位监控装置的，责令改正。</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第四十三条</w:t>
      </w:r>
      <w:r>
        <w:rPr>
          <w:rFonts w:hint="eastAsia" w:ascii="宋体" w:hAnsi="宋体" w:eastAsia="仿宋_GB2312" w:cs="仿宋_GB2312"/>
          <w:sz w:val="32"/>
          <w:szCs w:val="32"/>
          <w:lang w:val="en-US" w:eastAsia="zh-CN"/>
        </w:rPr>
        <w:t>　使用炸鱼、毒鱼、电鱼等破坏渔业资源方法进行捕捞的，使用小于规定的最小网目尺寸的网具进行捕捞或者渔获物中幼鱼超过规定比例的，没收渔获物和违法所得，处五万元以下的罚款；情节严重的，没收渔具，吊销捕捞许可证；情节特别严重的，可以没收渔船；构成犯罪的，依法追究刑事责任。</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第四十四条</w:t>
      </w:r>
      <w:r>
        <w:rPr>
          <w:rFonts w:hint="eastAsia" w:ascii="宋体" w:hAnsi="宋体" w:eastAsia="仿宋_GB2312" w:cs="仿宋_GB2312"/>
          <w:sz w:val="32"/>
          <w:szCs w:val="32"/>
          <w:lang w:val="en-US" w:eastAsia="zh-CN"/>
        </w:rPr>
        <w:t>　因水工建设、疏航、勘探、爆破、兴建锚地、排污、倾废等破坏渔业资源，造成损失的，致害者应当承担民事责任。</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i w:val="0"/>
          <w:iCs w:val="0"/>
          <w:sz w:val="32"/>
          <w:szCs w:val="32"/>
          <w:u w:val="none"/>
          <w:lang w:val="en-US" w:eastAsia="zh-CN"/>
        </w:rPr>
        <w:t>第四十五条</w:t>
      </w:r>
      <w:r>
        <w:rPr>
          <w:rFonts w:hint="eastAsia" w:ascii="宋体" w:hAnsi="宋体" w:eastAsia="仿宋_GB2312" w:cs="仿宋_GB2312"/>
          <w:i w:val="0"/>
          <w:iCs w:val="0"/>
          <w:sz w:val="32"/>
          <w:szCs w:val="32"/>
          <w:u w:val="none"/>
          <w:lang w:val="en-US" w:eastAsia="zh-CN"/>
        </w:rPr>
        <w:t>　本条例规定的行政处罚，由县级以上人民政府渔业行政主管部门或者渔政监督管理机构决定。　　</w:t>
      </w:r>
      <w:r>
        <w:rPr>
          <w:rFonts w:hint="eastAsia" w:ascii="宋体" w:hAnsi="宋体" w:eastAsia="仿宋_GB2312" w:cs="仿宋_GB2312"/>
          <w:i/>
          <w:iCs/>
          <w:sz w:val="32"/>
          <w:szCs w:val="32"/>
          <w:u w:val="single"/>
          <w:lang w:val="en-US" w:eastAsia="zh-CN"/>
        </w:rPr>
        <w:br w:type="textWrapping"/>
      </w:r>
      <w:r>
        <w:rPr>
          <w:rFonts w:hint="eastAsia" w:ascii="宋体" w:hAnsi="宋体" w:eastAsia="仿宋_GB2312" w:cs="仿宋_GB2312"/>
          <w:i w:val="0"/>
          <w:iCs w:val="0"/>
          <w:sz w:val="32"/>
          <w:szCs w:val="32"/>
          <w:u w:val="none"/>
          <w:lang w:val="en-US" w:eastAsia="zh-CN"/>
        </w:rPr>
        <w:t>　　渔业执法人员依法进行检查时，任何单位和个人不得阻挠。拒绝、阻碍渔业行政执法人员依法执行职务的，按照国家有关法律、行政法规追究法律责任。</w:t>
      </w:r>
      <w:r>
        <w:rPr>
          <w:rFonts w:hint="eastAsia" w:ascii="宋体" w:hAnsi="宋体" w:eastAsia="仿宋_GB2312" w:cs="仿宋_GB2312"/>
          <w:i w:val="0"/>
          <w:iCs w:val="0"/>
          <w:sz w:val="32"/>
          <w:szCs w:val="32"/>
          <w:u w:val="none"/>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第四十六条</w:t>
      </w:r>
      <w:r>
        <w:rPr>
          <w:rFonts w:hint="eastAsia" w:ascii="宋体" w:hAnsi="宋体" w:eastAsia="仿宋_GB2312" w:cs="仿宋_GB2312"/>
          <w:sz w:val="32"/>
          <w:szCs w:val="32"/>
          <w:lang w:val="en-US" w:eastAsia="zh-CN"/>
        </w:rPr>
        <w:t>　</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主管部门和渔政监督管理机构及其工作人员有下列行为之一的，按照国家有关规定给予行政处分；构成犯罪的，依法追究刑事责任：</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（一）不按规定核发许可证、分配捕捞限额的；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（二）不按规定发给养殖证的；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（三）不按规定公布苗种质量检测结果、捕捞限额分配结果的；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（四）从事渔业生产经营活动的；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（五）养殖水域遭到重大污染不采取措施，造成严重后果的；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（六）其他玩忽职守不履行法定义务、滥用职权的。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主管部门和渔政监督管理机构及其工作人员在行使职权时，侵犯《</w:t>
      </w:r>
      <w:r>
        <w:rPr>
          <w:rFonts w:hint="eastAsia" w:ascii="宋体" w:hAnsi="宋体" w:eastAsia="仿宋_GB2312" w:cs="仿宋_GB2312"/>
          <w:sz w:val="32"/>
          <w:szCs w:val="32"/>
          <w:lang w:val="en-US" w:eastAsia="zh-CN"/>
        </w:rPr>
        <w:fldChar w:fldCharType="begin"/>
      </w:r>
      <w:r>
        <w:rPr>
          <w:rFonts w:hint="eastAsia" w:ascii="宋体" w:hAnsi="宋体" w:eastAsia="仿宋_GB2312" w:cs="仿宋_GB2312"/>
          <w:sz w:val="32"/>
          <w:szCs w:val="32"/>
          <w:lang w:val="en-US" w:eastAsia="zh-CN"/>
        </w:rPr>
        <w:instrText xml:space="preserve"> HYPERLINK "http://172.17.252.5/FullText/fulltext_form.aspx?db=lar&amp;gid=17931291&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sYXIGBAAAADvmlYjlipvnuqfliKs9WE0wNyUgYW5kICAo5rOV6KeE5qCH6aKYPScl5bm/5Lic55yB5riU5LiaJScpIAYFAAAADS3lj5HluIPml6XmnJ8GBgAAAA/lub/kuJznnIHmuJTkuJoAAAsBAAD//javascript:SLC(188542,0)" </w:instrText>
      </w:r>
      <w:r>
        <w:rPr>
          <w:rFonts w:hint="eastAsia" w:ascii="宋体" w:hAnsi="宋体" w:eastAsia="仿宋_GB2312" w:cs="仿宋_GB2312"/>
          <w:sz w:val="32"/>
          <w:szCs w:val="32"/>
          <w:lang w:val="en-US" w:eastAsia="zh-CN"/>
        </w:rPr>
        <w:fldChar w:fldCharType="separate"/>
      </w:r>
      <w:r>
        <w:rPr>
          <w:rFonts w:hint="eastAsia" w:ascii="宋体" w:hAnsi="宋体" w:eastAsia="仿宋_GB2312" w:cs="仿宋_GB2312"/>
          <w:sz w:val="32"/>
          <w:szCs w:val="32"/>
        </w:rPr>
        <w:t>中华人民共和国国家赔偿法</w:t>
      </w:r>
      <w:r>
        <w:rPr>
          <w:rFonts w:hint="eastAsia" w:ascii="宋体" w:hAnsi="宋体" w:eastAsia="仿宋_GB2312" w:cs="仿宋_GB2312"/>
          <w:sz w:val="32"/>
          <w:szCs w:val="32"/>
          <w:lang w:val="en-US" w:eastAsia="zh-CN"/>
        </w:rPr>
        <w:fldChar w:fldCharType="end"/>
      </w:r>
      <w:r>
        <w:rPr>
          <w:rFonts w:hint="eastAsia" w:ascii="宋体" w:hAnsi="宋体" w:eastAsia="仿宋_GB2312" w:cs="仿宋_GB2312"/>
          <w:sz w:val="32"/>
          <w:szCs w:val="32"/>
          <w:lang w:val="en-US" w:eastAsia="zh-CN"/>
        </w:rPr>
        <w:t>》规定的公民人身权、财产权的，按照赔偿法的规定予以赔偿。</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第七章　附则</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第四十七条</w:t>
      </w:r>
      <w:r>
        <w:rPr>
          <w:rFonts w:hint="eastAsia" w:ascii="宋体" w:hAnsi="宋体" w:eastAsia="仿宋_GB2312" w:cs="仿宋_GB2312"/>
          <w:sz w:val="32"/>
          <w:szCs w:val="32"/>
          <w:lang w:val="en-US" w:eastAsia="zh-CN"/>
        </w:rPr>
        <w:t>　本条例自2003年9月1日起施行。1990年2月18日广东省第七届人民代表大会常务委员会通过的《</w:t>
      </w:r>
      <w:r>
        <w:rPr>
          <w:rFonts w:hint="eastAsia" w:ascii="宋体" w:hAnsi="宋体" w:eastAsia="仿宋_GB2312" w:cs="仿宋_GB2312"/>
          <w:sz w:val="32"/>
          <w:szCs w:val="32"/>
          <w:lang w:val="en-US" w:eastAsia="zh-CN"/>
        </w:rPr>
        <w:fldChar w:fldCharType="begin"/>
      </w:r>
      <w:r>
        <w:rPr>
          <w:rFonts w:hint="eastAsia" w:ascii="宋体" w:hAnsi="宋体" w:eastAsia="仿宋_GB2312" w:cs="仿宋_GB2312"/>
          <w:sz w:val="32"/>
          <w:szCs w:val="32"/>
          <w:lang w:val="en-US" w:eastAsia="zh-CN"/>
        </w:rPr>
        <w:instrText xml:space="preserve"> HYPERLINK "http://172.17.252.5/FullText/fulltext_form.aspx?db=lar&amp;gid=17931291&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sYXIGBAAAADvmlYjlipvnuqfliKs9WE0wNyUgYW5kICAo5rOV6KeE5qCH6aKYPScl5bm/5Lic55yB5riU5LiaJScpIAYFAAAADS3lj5HluIPml6XmnJ8GBgAAAA/lub/kuJznnIHmuJTkuJoAAAsBAAD//javascript:SLC(16779038,0)" </w:instrText>
      </w:r>
      <w:r>
        <w:rPr>
          <w:rFonts w:hint="eastAsia" w:ascii="宋体" w:hAnsi="宋体" w:eastAsia="仿宋_GB2312" w:cs="仿宋_GB2312"/>
          <w:sz w:val="32"/>
          <w:szCs w:val="32"/>
          <w:lang w:val="en-US" w:eastAsia="zh-CN"/>
        </w:rPr>
        <w:fldChar w:fldCharType="separate"/>
      </w:r>
      <w:r>
        <w:rPr>
          <w:rFonts w:hint="eastAsia" w:ascii="宋体" w:hAnsi="宋体" w:eastAsia="仿宋_GB2312" w:cs="仿宋_GB2312"/>
          <w:sz w:val="32"/>
          <w:szCs w:val="32"/>
        </w:rPr>
        <w:t>广东省渔业管理实施办法</w:t>
      </w:r>
      <w:r>
        <w:rPr>
          <w:rFonts w:hint="eastAsia" w:ascii="宋体" w:hAnsi="宋体" w:eastAsia="仿宋_GB2312" w:cs="仿宋_GB2312"/>
          <w:sz w:val="32"/>
          <w:szCs w:val="32"/>
          <w:lang w:val="en-US" w:eastAsia="zh-CN"/>
        </w:rPr>
        <w:fldChar w:fldCharType="end"/>
      </w:r>
      <w:r>
        <w:rPr>
          <w:rFonts w:hint="eastAsia" w:ascii="宋体" w:hAnsi="宋体" w:eastAsia="仿宋_GB2312" w:cs="仿宋_GB2312"/>
          <w:sz w:val="32"/>
          <w:szCs w:val="32"/>
          <w:lang w:val="en-US" w:eastAsia="zh-CN"/>
        </w:rPr>
        <w:t>》同时废止。</w:t>
      </w: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3"/>
        <w:widowControl w:val="0"/>
        <w:wordWrap/>
        <w:overflowPunct w:val="0"/>
        <w:spacing w:beforeAutospacing="0" w:afterAutospacing="0" w:line="560" w:lineRule="exact"/>
        <w:ind w:left="0" w:leftChars="0" w:firstLine="0" w:firstLineChars="0"/>
        <w:jc w:val="center"/>
        <w:textAlignment w:val="auto"/>
        <w:outlineLvl w:val="0"/>
        <w:rPr>
          <w:rFonts w:hint="eastAsia" w:ascii="宋体" w:hAnsi="宋体" w:eastAsia="宋体" w:cs="宋体"/>
          <w:color w:val="000000"/>
          <w:sz w:val="44"/>
          <w:szCs w:val="44"/>
          <w:lang w:eastAsia="zh-CN"/>
        </w:rPr>
      </w:pPr>
      <w:bookmarkStart w:id="442" w:name="_Toc31977"/>
      <w:r>
        <w:rPr>
          <w:rFonts w:hint="eastAsia" w:ascii="宋体" w:hAnsi="宋体" w:eastAsia="宋体" w:cs="宋体"/>
          <w:color w:val="000000"/>
          <w:sz w:val="44"/>
          <w:szCs w:val="44"/>
          <w:lang w:eastAsia="zh-CN"/>
        </w:rPr>
        <w:t>广东省动物防疫条例</w:t>
      </w:r>
      <w:bookmarkEnd w:id="441"/>
      <w:bookmarkEnd w:id="442"/>
    </w:p>
    <w:p>
      <w:pPr>
        <w:widowControl w:val="0"/>
        <w:wordWrap/>
        <w:overflowPunct w:val="0"/>
        <w:spacing w:before="0" w:beforeAutospacing="0" w:afterAutospacing="0" w:line="560" w:lineRule="exact"/>
        <w:ind w:left="637" w:leftChars="199" w:right="525" w:rightChars="164" w:firstLine="0" w:firstLineChars="0"/>
        <w:jc w:val="both"/>
        <w:textAlignment w:val="auto"/>
        <w:outlineLvl w:val="9"/>
        <w:rPr>
          <w:rFonts w:hint="eastAsia" w:ascii="楷体" w:hAnsi="楷体" w:eastAsia="楷体" w:cs="楷体"/>
          <w:color w:val="000000"/>
          <w:kern w:val="2"/>
          <w:sz w:val="32"/>
          <w:szCs w:val="32"/>
          <w:lang w:val="en-US" w:eastAsia="zh-CN" w:bidi="ar-SA"/>
        </w:rPr>
      </w:pPr>
    </w:p>
    <w:p>
      <w:pPr>
        <w:widowControl w:val="0"/>
        <w:wordWrap/>
        <w:overflowPunct w:val="0"/>
        <w:spacing w:before="0" w:beforeAutospacing="0" w:afterAutospacing="0" w:line="560" w:lineRule="exact"/>
        <w:ind w:left="637" w:leftChars="199" w:right="525" w:rightChars="164" w:firstLine="0" w:firstLineChars="0"/>
        <w:jc w:val="both"/>
        <w:textAlignment w:val="auto"/>
        <w:outlineLvl w:val="9"/>
        <w:rPr>
          <w:rFonts w:hint="eastAsia" w:ascii="楷体" w:hAnsi="楷体" w:eastAsia="楷体" w:cs="楷体"/>
          <w:color w:val="000000"/>
          <w:kern w:val="2"/>
          <w:sz w:val="32"/>
          <w:szCs w:val="32"/>
          <w:lang w:val="en-US" w:eastAsia="zh-CN" w:bidi="ar-SA"/>
        </w:rPr>
      </w:pPr>
      <w:r>
        <w:rPr>
          <w:rFonts w:hint="eastAsia" w:ascii="楷体" w:hAnsi="楷体" w:eastAsia="楷体" w:cs="楷体"/>
          <w:color w:val="000000"/>
          <w:kern w:val="2"/>
          <w:sz w:val="32"/>
          <w:szCs w:val="32"/>
          <w:lang w:val="en-US" w:eastAsia="zh-CN" w:bidi="ar-SA"/>
        </w:rPr>
        <w:t>（2001年12月3日广东省第九届人民代表大会常务委员会第二十九次会议通过　2016年12月1日广东省第十二届人民代表大会常务委员会第二十九次会议修订　根据2019年9月25日广东省第十三届人民代表大会常务委员会第十四次会议《关于修改〈广东省食品安全条例〉等十项地方性法规的决定》修正）</w:t>
      </w:r>
    </w:p>
    <w:p>
      <w:pPr>
        <w:widowControl w:val="0"/>
        <w:wordWrap/>
        <w:overflowPunct w:val="0"/>
        <w:spacing w:before="0" w:beforeAutospacing="0" w:afterAutospacing="0" w:line="560" w:lineRule="exact"/>
        <w:ind w:left="637" w:leftChars="199" w:right="525" w:rightChars="164" w:firstLine="0" w:firstLineChars="0"/>
        <w:jc w:val="both"/>
        <w:textAlignment w:val="auto"/>
        <w:outlineLvl w:val="9"/>
        <w:rPr>
          <w:rFonts w:hint="eastAsia" w:ascii="楷体" w:hAnsi="楷体" w:eastAsia="楷体" w:cs="楷体"/>
          <w:color w:val="000000"/>
          <w:kern w:val="2"/>
          <w:sz w:val="32"/>
          <w:szCs w:val="32"/>
          <w:lang w:val="en-US" w:eastAsia="zh-CN" w:bidi="ar-SA"/>
        </w:rPr>
      </w:pP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第一条</w:t>
      </w:r>
      <w:r>
        <w:rPr>
          <w:rFonts w:hint="eastAsia" w:ascii="宋体" w:hAnsi="宋体" w:eastAsia="仿宋_GB2312" w:cs="仿宋_GB2312"/>
          <w:color w:val="000000"/>
          <w:kern w:val="2"/>
          <w:sz w:val="32"/>
          <w:szCs w:val="32"/>
          <w:lang w:val="en-US" w:eastAsia="zh-CN" w:bidi="ar-SA"/>
        </w:rPr>
        <w:t>　为了加强对动物防疫活动的管理，预防、控制和扑灭动物疫病，促进养殖业发展，保护人体健康，维护公共卫生安全，根据《中华人民共和国动物防疫法》等法律、法规，结合本省实际，制定本条例。</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第二条　</w:t>
      </w:r>
      <w:r>
        <w:rPr>
          <w:rFonts w:hint="eastAsia" w:ascii="宋体" w:hAnsi="宋体" w:eastAsia="仿宋_GB2312" w:cs="仿宋_GB2312"/>
          <w:color w:val="000000"/>
          <w:kern w:val="2"/>
          <w:sz w:val="32"/>
          <w:szCs w:val="32"/>
          <w:lang w:val="en-US" w:eastAsia="zh-CN" w:bidi="ar-SA"/>
        </w:rPr>
        <w:t>本条例适用于本省行政区域内动物防疫及其监督管理活动。</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本条例所称动物防疫，是指对动物疫病的预防、控制、扑灭和对动物、动物产品的检疫。</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第三条</w:t>
      </w:r>
      <w:r>
        <w:rPr>
          <w:rFonts w:hint="eastAsia" w:ascii="宋体" w:hAnsi="宋体" w:eastAsia="仿宋_GB2312" w:cs="仿宋_GB2312"/>
          <w:color w:val="000000"/>
          <w:kern w:val="2"/>
          <w:sz w:val="32"/>
          <w:szCs w:val="32"/>
          <w:lang w:val="en-US" w:eastAsia="zh-CN" w:bidi="ar-SA"/>
        </w:rPr>
        <w:t>　县级以上人民政府应当加强对动物防疫工作的统一领导，建立健全动物防疫公共服务体系和动物疫病防控责任制。</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县级以上人民政府应当加强乡镇和村级动物防疫队伍建设，将村级动物防疫工作经费纳入财政预算，建立健全村级动物防疫队伍经费和装备保障机制。</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县级以上人民政府应当储备预防、控制、扑灭动物疫病所需的药物、器械等应急防疫物资。</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第四条　</w:t>
      </w:r>
      <w:r>
        <w:rPr>
          <w:rFonts w:hint="eastAsia" w:ascii="宋体" w:hAnsi="宋体" w:eastAsia="仿宋_GB2312" w:cs="仿宋_GB2312"/>
          <w:color w:val="000000"/>
          <w:kern w:val="2"/>
          <w:sz w:val="32"/>
          <w:szCs w:val="32"/>
          <w:lang w:val="en-US" w:eastAsia="zh-CN" w:bidi="ar-SA"/>
        </w:rPr>
        <w:t>县级以上人民政府兽医主管部门主管本行政区域内的动物防疫工作。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县级以上人民政府林业、公安、交通运输、卫生、市场监督管理等有关部门按照各自职责，做好动物防疫工作。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第五条</w:t>
      </w:r>
      <w:r>
        <w:rPr>
          <w:rFonts w:hint="eastAsia" w:ascii="宋体" w:hAnsi="宋体" w:eastAsia="仿宋_GB2312" w:cs="仿宋_GB2312"/>
          <w:color w:val="000000"/>
          <w:kern w:val="2"/>
          <w:sz w:val="32"/>
          <w:szCs w:val="32"/>
          <w:lang w:val="en-US" w:eastAsia="zh-CN" w:bidi="ar-SA"/>
        </w:rPr>
        <w:t>　县级以上人民政府设立的动物卫生监督机构，具体负责本行政区域内动物、动物产品的检疫工作和其他有关动物防疫的监督管理执法工作。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县级以上动物卫生监督机构可以根据实际需要向乡镇派驻动物防疫监督工作人员实施动物防疫和动物防疫监督。</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第六条</w:t>
      </w:r>
      <w:r>
        <w:rPr>
          <w:rFonts w:hint="eastAsia" w:ascii="宋体" w:hAnsi="宋体" w:eastAsia="仿宋_GB2312" w:cs="仿宋_GB2312"/>
          <w:color w:val="000000"/>
          <w:kern w:val="2"/>
          <w:sz w:val="32"/>
          <w:szCs w:val="32"/>
          <w:lang w:val="en-US" w:eastAsia="zh-CN" w:bidi="ar-SA"/>
        </w:rPr>
        <w:t>　县级以上人民政府应当根据统筹规划、合理布局、综合设置的原则建立动物疫病预防控制机构，承担动物疫病的监测、检测、诊断、流行病学调查、疫情报告以及其他预防、控制等技术工作。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第七条　</w:t>
      </w:r>
      <w:r>
        <w:rPr>
          <w:rFonts w:hint="eastAsia" w:ascii="宋体" w:hAnsi="宋体" w:eastAsia="仿宋_GB2312" w:cs="仿宋_GB2312"/>
          <w:color w:val="000000"/>
          <w:kern w:val="2"/>
          <w:sz w:val="32"/>
          <w:szCs w:val="32"/>
          <w:lang w:val="en-US" w:eastAsia="zh-CN" w:bidi="ar-SA"/>
        </w:rPr>
        <w:t>乡镇人民政府、街道办事处应当根据动物疫病防控需要，组织相关机构及人员做好动物防疫知识宣传、动物疫病强制免疫服务工作，并协助开展重大动物疫情控制和扑灭处理等工作。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村民委员会、居民委员会应当协助做好动物防疫工作。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第八条　</w:t>
      </w:r>
      <w:r>
        <w:rPr>
          <w:rFonts w:hint="eastAsia" w:ascii="宋体" w:hAnsi="宋体" w:eastAsia="仿宋_GB2312" w:cs="仿宋_GB2312"/>
          <w:color w:val="000000"/>
          <w:kern w:val="2"/>
          <w:sz w:val="32"/>
          <w:szCs w:val="32"/>
          <w:lang w:val="en-US" w:eastAsia="zh-CN" w:bidi="ar-SA"/>
        </w:rPr>
        <w:t>县级以上人民政府应当运用现代信息技术，建立动物防疫信息平台，加强动物防疫信息采集、传输、汇总、分析和评估工作。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第九条</w:t>
      </w:r>
      <w:r>
        <w:rPr>
          <w:rFonts w:hint="eastAsia" w:ascii="宋体" w:hAnsi="宋体" w:eastAsia="仿宋_GB2312" w:cs="仿宋_GB2312"/>
          <w:color w:val="000000"/>
          <w:kern w:val="2"/>
          <w:sz w:val="32"/>
          <w:szCs w:val="32"/>
          <w:lang w:val="en-US" w:eastAsia="zh-CN" w:bidi="ar-SA"/>
        </w:rPr>
        <w:t>　县级以上人民政府兽医主管部门和卫生主管部门应当建立人畜共患传染病防控合作机制，共同制定人畜共患传染病防控方案，组织对易感动物和相关职业人群进行人畜共患传染病的监测，及时通报相关信息，并采取防控措施。</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第十条</w:t>
      </w:r>
      <w:r>
        <w:rPr>
          <w:rFonts w:hint="eastAsia" w:ascii="宋体" w:hAnsi="宋体" w:eastAsia="仿宋_GB2312" w:cs="仿宋_GB2312"/>
          <w:color w:val="000000"/>
          <w:kern w:val="2"/>
          <w:sz w:val="32"/>
          <w:szCs w:val="32"/>
          <w:lang w:val="en-US" w:eastAsia="zh-CN" w:bidi="ar-SA"/>
        </w:rPr>
        <w:t>　县级以上人民政府兽医主管部门、卫生主管部门应当制定相关人畜共患传染病病种的监测方案，根据监测方案开展监测工作，并及时通报异常情况。</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省人民政府兽医主管部门、卫生主管部门应当针对高发人畜共患传染病设立省级监测点，收集和分析疫情资料，掌握流行规律。</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第十一条</w:t>
      </w:r>
      <w:r>
        <w:rPr>
          <w:rFonts w:hint="eastAsia" w:ascii="宋体" w:hAnsi="宋体" w:eastAsia="仿宋_GB2312" w:cs="仿宋_GB2312"/>
          <w:color w:val="000000"/>
          <w:kern w:val="2"/>
          <w:sz w:val="32"/>
          <w:szCs w:val="32"/>
          <w:lang w:val="en-US" w:eastAsia="zh-CN" w:bidi="ar-SA"/>
        </w:rPr>
        <w:t>　发生人畜共患传染病动物疫情时，兽医主管部门应当按照县级以上人民政府有关要求，及时采取控制和扑灭措施；卫生主管部门应当开展风险评估，并根据评估情况进行监测，采取相应的预防、控制措施。</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第十二条</w:t>
      </w:r>
      <w:r>
        <w:rPr>
          <w:rFonts w:hint="eastAsia" w:ascii="宋体" w:hAnsi="宋体" w:eastAsia="仿宋_GB2312" w:cs="仿宋_GB2312"/>
          <w:color w:val="000000"/>
          <w:kern w:val="2"/>
          <w:sz w:val="32"/>
          <w:szCs w:val="32"/>
          <w:lang w:val="en-US" w:eastAsia="zh-CN" w:bidi="ar-SA"/>
        </w:rPr>
        <w:t>　患有人畜共患传染病的人员不得直接从事动物饲养、屠宰、经营、隔离、运输等活动。</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第十三条　</w:t>
      </w:r>
      <w:r>
        <w:rPr>
          <w:rFonts w:hint="eastAsia" w:ascii="宋体" w:hAnsi="宋体" w:eastAsia="仿宋_GB2312" w:cs="仿宋_GB2312"/>
          <w:color w:val="000000"/>
          <w:kern w:val="2"/>
          <w:sz w:val="32"/>
          <w:szCs w:val="32"/>
          <w:lang w:val="en-US" w:eastAsia="zh-CN" w:bidi="ar-SA"/>
        </w:rPr>
        <w:t>县级以上人民政府应当加强无规定动物疫病区或者生物安全隔离区建设，实行动物疫病的区域化管理。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无规定动物疫病区核心区、缓冲区和生物安全通道所在地各级人民政府应当做好相关区域的组织、管理和协调工作，并在技术、设施、设备、人员及经费等方面予以保障。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鼓励和支持动物养殖企业、动物饲养场建立生物安全隔离区。</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第十四条　</w:t>
      </w:r>
      <w:r>
        <w:rPr>
          <w:rFonts w:hint="eastAsia" w:ascii="宋体" w:hAnsi="宋体" w:eastAsia="仿宋_GB2312" w:cs="仿宋_GB2312"/>
          <w:color w:val="000000"/>
          <w:kern w:val="2"/>
          <w:sz w:val="32"/>
          <w:szCs w:val="32"/>
          <w:lang w:val="en-US" w:eastAsia="zh-CN" w:bidi="ar-SA"/>
        </w:rPr>
        <w:t>动物防疫监督管理工作应当遵循风险控制和可追溯管理相结合的原则，加强畜禽标识管理，完善信息采集传输、数据分析处理设施，建立动物防疫风险管理体系和动物产品追溯管理体系。</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　　第十五条</w:t>
      </w:r>
      <w:r>
        <w:rPr>
          <w:rFonts w:hint="eastAsia" w:ascii="宋体" w:hAnsi="宋体" w:eastAsia="仿宋_GB2312" w:cs="仿宋_GB2312"/>
          <w:color w:val="000000"/>
          <w:kern w:val="2"/>
          <w:sz w:val="32"/>
          <w:szCs w:val="32"/>
          <w:lang w:val="en-US" w:eastAsia="zh-CN" w:bidi="ar-SA"/>
        </w:rPr>
        <w:t>　从事动物饲养、屠宰、经营、隔离、运输以及动物产品生产、经营、加工、贮藏等活动的单位和个人应当依法做好免疫、消毒和疫情报告等工作。其中，规模动物饲养场（养殖小区）还应当对其饲养的动物开展动物疫病检测。</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第十六条</w:t>
      </w:r>
      <w:r>
        <w:rPr>
          <w:rFonts w:hint="eastAsia" w:ascii="宋体" w:hAnsi="宋体" w:eastAsia="仿宋_GB2312" w:cs="仿宋_GB2312"/>
          <w:color w:val="000000"/>
          <w:kern w:val="2"/>
          <w:sz w:val="32"/>
          <w:szCs w:val="32"/>
          <w:lang w:val="en-US" w:eastAsia="zh-CN" w:bidi="ar-SA"/>
        </w:rPr>
        <w:t>　省人民政府兽医主管部门根据国家动物疫病强制免疫计划，制定和组织实施强制免疫计划；并可以根据动物疫病流行情况增加实施强制免疫的动物疫病病种和区域，报省人民政府批准后执行。</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县级以上人民政府兽医主管部门组织实施本行政区域内动物疫病强制免疫计划。</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第十七条　</w:t>
      </w:r>
      <w:r>
        <w:rPr>
          <w:rFonts w:hint="eastAsia" w:ascii="宋体" w:hAnsi="宋体" w:eastAsia="仿宋_GB2312" w:cs="仿宋_GB2312"/>
          <w:color w:val="000000"/>
          <w:kern w:val="2"/>
          <w:sz w:val="32"/>
          <w:szCs w:val="32"/>
          <w:lang w:val="en-US" w:eastAsia="zh-CN" w:bidi="ar-SA"/>
        </w:rPr>
        <w:t>乡镇人民政府、街道办事处应当组织辖区内饲养动物的单位和个人做好动物疫病强制免疫工作。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饲养动物的单位和个人应当依法履行动物疫病强制免疫义务，按照兽医主管部门的要求做好动物疫病强制免疫等工作。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犬猫等动物饲养者应当对其饲养的动物做好狂犬病免疫等防疫工作。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乡镇、县级人民政府应当加强对无主犬猫的疫病防控等管理工作。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第十八条　发现疑似重大动物疫情时，县级以上人民政府兽医主管部门应当立即派人到现场采集病料，并送有关机构进行检测。</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第十九条</w:t>
      </w:r>
      <w:r>
        <w:rPr>
          <w:rFonts w:hint="eastAsia" w:ascii="宋体" w:hAnsi="宋体" w:eastAsia="仿宋_GB2312" w:cs="仿宋_GB2312"/>
          <w:color w:val="000000"/>
          <w:kern w:val="2"/>
          <w:sz w:val="32"/>
          <w:szCs w:val="32"/>
          <w:lang w:val="en-US" w:eastAsia="zh-CN" w:bidi="ar-SA"/>
        </w:rPr>
        <w:t>　重大动物疫情认定之前，县级以上人民政府可以对疫区作出封锁决定，并采取扑杀、销毁等措施。对强制扑杀的动物、销毁的动物产品和相关物品，县级以上人民政府应当给予补偿。</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第二十条</w:t>
      </w:r>
      <w:r>
        <w:rPr>
          <w:rFonts w:hint="eastAsia" w:ascii="宋体" w:hAnsi="宋体" w:eastAsia="仿宋_GB2312" w:cs="仿宋_GB2312"/>
          <w:color w:val="000000"/>
          <w:kern w:val="2"/>
          <w:sz w:val="32"/>
          <w:szCs w:val="32"/>
          <w:lang w:val="en-US" w:eastAsia="zh-CN" w:bidi="ar-SA"/>
        </w:rPr>
        <w:t>　动物卫生监督机构的官方兽医具体实施动物、动物产品检疫。</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第二十一条</w:t>
      </w:r>
      <w:r>
        <w:rPr>
          <w:rFonts w:hint="eastAsia" w:ascii="宋体" w:hAnsi="宋体" w:eastAsia="仿宋_GB2312" w:cs="仿宋_GB2312"/>
          <w:color w:val="000000"/>
          <w:kern w:val="2"/>
          <w:sz w:val="32"/>
          <w:szCs w:val="32"/>
          <w:lang w:val="en-US" w:eastAsia="zh-CN" w:bidi="ar-SA"/>
        </w:rPr>
        <w:t>　屠宰、出售、运输动物以及出售、运输动物产品前，货主应当按照规定，向当地动物卫生监督机构申报检疫。</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对符合受理条件的，动物卫生监督机构应当受理，并按规定时限派出官方兽医到现场或者指定地点实施检疫；对不符合受理条件的，不予受理，并应当说明理由，书面告知申报人。</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黑体" w:hAnsi="黑体" w:eastAsia="黑体" w:cs="黑体"/>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第二十二条　</w:t>
      </w:r>
      <w:r>
        <w:rPr>
          <w:rFonts w:hint="eastAsia" w:ascii="宋体" w:hAnsi="宋体" w:eastAsia="仿宋_GB2312" w:cs="仿宋_GB2312"/>
          <w:color w:val="000000"/>
          <w:kern w:val="2"/>
          <w:sz w:val="32"/>
          <w:szCs w:val="32"/>
          <w:lang w:val="en-US" w:eastAsia="zh-CN" w:bidi="ar-SA"/>
        </w:rPr>
        <w:t>动物卫生监督机构应当根据检疫工作需要，合理设置检疫申报点，并向社会公布检疫申报点、检疫范围和检疫对象。</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　　第二十三条　</w:t>
      </w:r>
      <w:r>
        <w:rPr>
          <w:rFonts w:hint="eastAsia" w:ascii="宋体" w:hAnsi="宋体" w:eastAsia="仿宋_GB2312" w:cs="仿宋_GB2312"/>
          <w:color w:val="000000"/>
          <w:kern w:val="2"/>
          <w:sz w:val="32"/>
          <w:szCs w:val="32"/>
          <w:lang w:val="en-US" w:eastAsia="zh-CN" w:bidi="ar-SA"/>
        </w:rPr>
        <w:t>出售或者运输的动物、动物产品，未取得检疫证明的，不得离开产地。</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第二十四条</w:t>
      </w:r>
      <w:r>
        <w:rPr>
          <w:rFonts w:hint="eastAsia" w:ascii="宋体" w:hAnsi="宋体" w:eastAsia="仿宋_GB2312" w:cs="仿宋_GB2312"/>
          <w:color w:val="000000"/>
          <w:kern w:val="2"/>
          <w:sz w:val="32"/>
          <w:szCs w:val="32"/>
          <w:lang w:val="en-US" w:eastAsia="zh-CN" w:bidi="ar-SA"/>
        </w:rPr>
        <w:t>　动物卫生监督机构应当依法向定点屠宰场所派驻或者派出官方兽医实施屠宰检疫。</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第二十五条　</w:t>
      </w:r>
      <w:r>
        <w:rPr>
          <w:rFonts w:hint="eastAsia" w:ascii="宋体" w:hAnsi="宋体" w:eastAsia="仿宋_GB2312" w:cs="仿宋_GB2312"/>
          <w:color w:val="000000"/>
          <w:kern w:val="2"/>
          <w:sz w:val="32"/>
          <w:szCs w:val="32"/>
          <w:lang w:val="en-US" w:eastAsia="zh-CN" w:bidi="ar-SA"/>
        </w:rPr>
        <w:t>定点屠宰场所、交易市场、冷冻动物产品贮藏场所等经营者在购进动物、动物产品时，应当查验动物检疫合格证明及检疫标志。</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第二十六条</w:t>
      </w:r>
      <w:r>
        <w:rPr>
          <w:rFonts w:hint="eastAsia" w:ascii="宋体" w:hAnsi="宋体" w:eastAsia="仿宋_GB2312" w:cs="仿宋_GB2312"/>
          <w:color w:val="000000"/>
          <w:kern w:val="2"/>
          <w:sz w:val="32"/>
          <w:szCs w:val="32"/>
          <w:lang w:val="en-US" w:eastAsia="zh-CN" w:bidi="ar-SA"/>
        </w:rPr>
        <w:t>　动物卫生监督机构及其官方兽医等工作人员开展动物防疫工作，不得有以下行为：</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（一）对未经现场检疫或者检疫不合格的动物、动物产品出具检疫证明、加施检疫标志；</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（二）对检疫合格的动物、动物产品拒不出具检疫证明、加施检疫标志；</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（三）从事与动物防疫有关的经营性活动，或者违反规定加收费用、重复收费；</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（四）其他违反本条例规定的行为。</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第二十七条</w:t>
      </w:r>
      <w:r>
        <w:rPr>
          <w:rFonts w:hint="eastAsia" w:ascii="宋体" w:hAnsi="宋体" w:eastAsia="仿宋_GB2312" w:cs="仿宋_GB2312"/>
          <w:color w:val="000000"/>
          <w:kern w:val="2"/>
          <w:sz w:val="32"/>
          <w:szCs w:val="32"/>
          <w:lang w:val="en-US" w:eastAsia="zh-CN" w:bidi="ar-SA"/>
        </w:rPr>
        <w:t>　各级人民政府负责本行政区域内病死动物的无害化处理工作，建立病死动物无害化处理体系和机制。</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县级以上人民政府根据本地区畜禽养殖等情况，合理规划、设立区域性病死动物无害化处理场，推进辖区内病死动物统一收集和集中处理。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县级以上人民政府有关部门应当按照各自职责，落实无害化处理的各项任务和措施。</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第二十八条</w:t>
      </w:r>
      <w:r>
        <w:rPr>
          <w:rFonts w:hint="eastAsia" w:ascii="宋体" w:hAnsi="宋体" w:eastAsia="仿宋_GB2312" w:cs="仿宋_GB2312"/>
          <w:color w:val="000000"/>
          <w:kern w:val="2"/>
          <w:sz w:val="32"/>
          <w:szCs w:val="32"/>
          <w:lang w:val="en-US" w:eastAsia="zh-CN" w:bidi="ar-SA"/>
        </w:rPr>
        <w:t>　从事动物饲养、屠宰、经营、运输的单位和个人应当按照国家有关规定对病死动物进行无害化处理，不得抛弃、收购、贩卖、屠宰、加工病死动物；不具备无害化处理能力的，应当委托有处理能力的单位处理。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第二十九条</w:t>
      </w:r>
      <w:r>
        <w:rPr>
          <w:rFonts w:hint="eastAsia" w:ascii="宋体" w:hAnsi="宋体" w:eastAsia="仿宋_GB2312" w:cs="仿宋_GB2312"/>
          <w:color w:val="000000"/>
          <w:kern w:val="2"/>
          <w:sz w:val="32"/>
          <w:szCs w:val="32"/>
          <w:lang w:val="en-US" w:eastAsia="zh-CN" w:bidi="ar-SA"/>
        </w:rPr>
        <w:t>　在江河、湖泊、水库等水域发现的死亡动物，由所在地县级人民政府组织收集处理。在城市公共场所或者乡村发现的死亡动物，由所在地乡镇人民政府或者街道办事处组织收集处理。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第三十条</w:t>
      </w:r>
      <w:r>
        <w:rPr>
          <w:rFonts w:hint="eastAsia" w:ascii="宋体" w:hAnsi="宋体" w:eastAsia="仿宋_GB2312" w:cs="仿宋_GB2312"/>
          <w:color w:val="000000"/>
          <w:kern w:val="2"/>
          <w:sz w:val="32"/>
          <w:szCs w:val="32"/>
          <w:lang w:val="en-US" w:eastAsia="zh-CN" w:bidi="ar-SA"/>
        </w:rPr>
        <w:t>　从事动物诊疗活动的机构，应当按照国家规定取得动物诊疗许可证，并按照动物诊疗许可证载明的范围开展诊疗活动，执行相关专业技术规范。</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第三十一条　</w:t>
      </w:r>
      <w:r>
        <w:rPr>
          <w:rFonts w:hint="eastAsia" w:ascii="宋体" w:hAnsi="宋体" w:eastAsia="仿宋_GB2312" w:cs="仿宋_GB2312"/>
          <w:color w:val="000000"/>
          <w:kern w:val="2"/>
          <w:sz w:val="32"/>
          <w:szCs w:val="32"/>
          <w:lang w:val="en-US" w:eastAsia="zh-CN" w:bidi="ar-SA"/>
        </w:rPr>
        <w:t>申请领取动物诊疗许可证，应当提交下列材料：</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（一）动物诊疗许可证申请表；</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（二）法定代表人或者负责人身份证明；</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（三）动物诊疗场所使用权证明；</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（四）动物诊疗场所地理方位图、室内平面图和各功能区布局图；</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（五）执业兽医师资格证书原件及复印件；</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（六）执业兽医的健康证明材料；</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（七）设施设备清单；</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（八）管理制度文本。</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第三十二条</w:t>
      </w:r>
      <w:r>
        <w:rPr>
          <w:rFonts w:hint="eastAsia" w:ascii="宋体" w:hAnsi="宋体" w:eastAsia="仿宋_GB2312" w:cs="仿宋_GB2312"/>
          <w:color w:val="000000"/>
          <w:kern w:val="2"/>
          <w:sz w:val="32"/>
          <w:szCs w:val="32"/>
          <w:lang w:val="en-US" w:eastAsia="zh-CN" w:bidi="ar-SA"/>
        </w:rPr>
        <w:t>　发证机关应当在受理申请之日起二十个工作日内完成申请材料的审核和动物诊疗场所的实地考查，符合条件的，向申请人颁发动物诊疗许可证；不符合条件的，书面通知申请人，并说明理由。</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第三十三条　</w:t>
      </w:r>
      <w:r>
        <w:rPr>
          <w:rFonts w:hint="eastAsia" w:ascii="宋体" w:hAnsi="宋体" w:eastAsia="仿宋_GB2312" w:cs="仿宋_GB2312"/>
          <w:color w:val="000000"/>
          <w:kern w:val="2"/>
          <w:sz w:val="32"/>
          <w:szCs w:val="32"/>
          <w:lang w:val="en-US" w:eastAsia="zh-CN" w:bidi="ar-SA"/>
        </w:rPr>
        <w:t>饲养动物的单位和个人违反本条例第十七条第二款规定，未依法履行动物疫病强制免疫义务的，由动物卫生监督机构责令改正，给予警告；拒不改正的，由动物卫生监督机构代作处理，所需处理费用由违法行为人承担，可以处一千元以下罚款。</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第三十四条</w:t>
      </w:r>
      <w:r>
        <w:rPr>
          <w:rFonts w:hint="eastAsia" w:ascii="宋体" w:hAnsi="宋体" w:eastAsia="仿宋_GB2312" w:cs="仿宋_GB2312"/>
          <w:color w:val="000000"/>
          <w:kern w:val="2"/>
          <w:sz w:val="32"/>
          <w:szCs w:val="32"/>
          <w:lang w:val="en-US" w:eastAsia="zh-CN" w:bidi="ar-SA"/>
        </w:rPr>
        <w:t>　从事动物饲养、屠宰、经营、运输的单位和个人，违反本条例第二十八条规定，未按照国家有关规定对病死动物进行无害化处理的，由动物卫生监督机构责令无害化处理，所需处理费用由违法行为人承担，可以处三千元以下罚款。</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第三十五条</w:t>
      </w:r>
      <w:r>
        <w:rPr>
          <w:rFonts w:hint="eastAsia" w:ascii="宋体" w:hAnsi="宋体" w:eastAsia="仿宋_GB2312" w:cs="仿宋_GB2312"/>
          <w:color w:val="000000"/>
          <w:kern w:val="2"/>
          <w:sz w:val="32"/>
          <w:szCs w:val="32"/>
          <w:lang w:val="en-US" w:eastAsia="zh-CN" w:bidi="ar-SA"/>
        </w:rPr>
        <w:t>　动物卫生监督机构及其工作人员违反本条例第二十六条规定的，由本级人民政府或者兽医主管部门责令改正，通报批评；对直接负责的主管人员和其他直接责任人员依法给予处分；构成犯罪的，依法追究刑事责任。</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第三十六条</w:t>
      </w:r>
      <w:r>
        <w:rPr>
          <w:rFonts w:hint="eastAsia" w:ascii="宋体" w:hAnsi="宋体" w:eastAsia="仿宋_GB2312" w:cs="仿宋_GB2312"/>
          <w:color w:val="000000"/>
          <w:kern w:val="2"/>
          <w:sz w:val="32"/>
          <w:szCs w:val="32"/>
          <w:lang w:val="en-US" w:eastAsia="zh-CN" w:bidi="ar-SA"/>
        </w:rPr>
        <w:t>　违反本条例其他规定的，依照有关法律、法规的规定处理。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第三十七条　</w:t>
      </w:r>
      <w:r>
        <w:rPr>
          <w:rFonts w:hint="eastAsia" w:ascii="宋体" w:hAnsi="宋体" w:eastAsia="仿宋_GB2312" w:cs="仿宋_GB2312"/>
          <w:color w:val="000000"/>
          <w:kern w:val="2"/>
          <w:sz w:val="32"/>
          <w:szCs w:val="32"/>
          <w:lang w:val="en-US" w:eastAsia="zh-CN" w:bidi="ar-SA"/>
        </w:rPr>
        <w:t>本条例自2017年3月1日起施行。</w:t>
      </w:r>
    </w:p>
    <w:p>
      <w:pPr>
        <w:wordWrap/>
        <w:spacing w:line="560" w:lineRule="exact"/>
        <w:jc w:val="center"/>
        <w:textAlignment w:val="auto"/>
        <w:outlineLvl w:val="0"/>
        <w:rPr>
          <w:rFonts w:hint="eastAsia" w:ascii="宋体" w:hAnsi="宋体" w:eastAsia="方正小标宋简体" w:cs="方正小标宋简体"/>
          <w:bCs/>
          <w:sz w:val="44"/>
          <w:szCs w:val="44"/>
        </w:rPr>
      </w:pPr>
      <w:r>
        <w:rPr>
          <w:rFonts w:hint="eastAsia" w:ascii="Times New Roman" w:hAnsi="Times New Roman" w:eastAsia="宋体" w:cs="Times New Roman"/>
          <w:bCs/>
          <w:kern w:val="44"/>
          <w:sz w:val="44"/>
          <w:szCs w:val="44"/>
          <w:lang w:val="en-US" w:eastAsia="zh-CN" w:bidi="ar-SA"/>
        </w:rPr>
        <w:br w:type="page"/>
      </w:r>
      <w:bookmarkStart w:id="443" w:name="_Toc1955"/>
      <w:bookmarkStart w:id="444" w:name="_Toc12511"/>
      <w:r>
        <w:rPr>
          <w:rFonts w:hint="eastAsia" w:ascii="宋体" w:hAnsi="宋体" w:eastAsia="宋体" w:cs="宋体"/>
          <w:bCs/>
          <w:sz w:val="44"/>
          <w:szCs w:val="44"/>
        </w:rPr>
        <w:t>广东省实验动物管理条例</w:t>
      </w:r>
      <w:bookmarkEnd w:id="443"/>
      <w:bookmarkEnd w:id="444"/>
    </w:p>
    <w:p>
      <w:pPr>
        <w:widowControl w:val="0"/>
        <w:wordWrap/>
        <w:adjustRightInd/>
        <w:snapToGrid/>
        <w:spacing w:line="560" w:lineRule="exact"/>
        <w:ind w:left="640" w:leftChars="200" w:right="640" w:rightChars="200" w:firstLine="0" w:firstLineChars="0"/>
        <w:jc w:val="both"/>
        <w:textAlignment w:val="auto"/>
        <w:outlineLvl w:val="9"/>
        <w:rPr>
          <w:rFonts w:hint="eastAsia" w:ascii="宋体" w:hAnsi="宋体" w:eastAsia="楷体_GB2312" w:cs="楷体_GB2312"/>
          <w:sz w:val="32"/>
          <w:szCs w:val="32"/>
        </w:rPr>
      </w:pPr>
    </w:p>
    <w:p>
      <w:pPr>
        <w:widowControl w:val="0"/>
        <w:wordWrap/>
        <w:adjustRightInd/>
        <w:snapToGrid/>
        <w:spacing w:line="560" w:lineRule="exact"/>
        <w:ind w:left="640" w:leftChars="200" w:right="640" w:rightChars="200" w:firstLine="0" w:firstLineChars="0"/>
        <w:jc w:val="both"/>
        <w:textAlignment w:val="auto"/>
        <w:outlineLvl w:val="9"/>
        <w:rPr>
          <w:rFonts w:hint="eastAsia" w:ascii="宋体" w:hAnsi="宋体" w:eastAsia="宋体" w:cs="宋体"/>
          <w:sz w:val="32"/>
          <w:szCs w:val="20"/>
        </w:rPr>
      </w:pPr>
      <w:r>
        <w:rPr>
          <w:rFonts w:hint="eastAsia" w:ascii="宋体" w:hAnsi="宋体" w:eastAsia="楷体_GB2312" w:cs="楷体_GB2312"/>
          <w:sz w:val="32"/>
          <w:szCs w:val="20"/>
        </w:rPr>
        <w:t>（2010年6月2日广东省第十一届人民代表大会常务委员会第十九次会议通过</w:t>
      </w:r>
      <w:r>
        <w:rPr>
          <w:rFonts w:hint="eastAsia" w:ascii="宋体" w:hAnsi="宋体" w:eastAsia="楷体_GB2312" w:cs="楷体_GB2312"/>
          <w:sz w:val="32"/>
          <w:szCs w:val="20"/>
          <w:lang w:val="en-US" w:eastAsia="zh-CN"/>
        </w:rPr>
        <w:t xml:space="preserve">  根据2019年11月29日广东省第十三届人民代表大会常务委员会第十五次会议《</w:t>
      </w:r>
      <w:r>
        <w:rPr>
          <w:rFonts w:hint="eastAsia" w:ascii="宋体" w:hAnsi="宋体" w:eastAsia="楷体_GB2312" w:cs="楷体_GB2312"/>
          <w:b w:val="0"/>
          <w:bCs w:val="0"/>
          <w:spacing w:val="0"/>
          <w:sz w:val="32"/>
          <w:szCs w:val="32"/>
          <w:lang w:eastAsia="zh-CN"/>
        </w:rPr>
        <w:t>关于修改〈广东省水利工程管理条例〉</w:t>
      </w:r>
      <w:r>
        <w:rPr>
          <w:rFonts w:hint="eastAsia" w:ascii="宋体" w:hAnsi="宋体" w:eastAsia="楷体_GB2312" w:cs="楷体_GB2312"/>
          <w:spacing w:val="0"/>
          <w:sz w:val="32"/>
          <w:szCs w:val="32"/>
          <w:lang w:eastAsia="zh-CN"/>
        </w:rPr>
        <w:t>等十六项地方性法规的决定</w:t>
      </w:r>
      <w:r>
        <w:rPr>
          <w:rFonts w:hint="eastAsia" w:ascii="宋体" w:hAnsi="宋体" w:eastAsia="楷体_GB2312" w:cs="楷体_GB2312"/>
          <w:sz w:val="32"/>
          <w:szCs w:val="20"/>
          <w:lang w:val="en-US" w:eastAsia="zh-CN"/>
        </w:rPr>
        <w:t>》修正</w:t>
      </w:r>
      <w:r>
        <w:rPr>
          <w:rFonts w:hint="eastAsia" w:ascii="宋体" w:hAnsi="宋体" w:eastAsia="楷体_GB2312" w:cs="楷体_GB2312"/>
          <w:sz w:val="32"/>
          <w:szCs w:val="20"/>
        </w:rPr>
        <w:t>）</w:t>
      </w:r>
    </w:p>
    <w:p>
      <w:pPr>
        <w:wordWrap/>
        <w:spacing w:line="560" w:lineRule="exact"/>
        <w:ind w:firstLine="640" w:firstLineChars="200"/>
        <w:textAlignment w:val="auto"/>
        <w:rPr>
          <w:rFonts w:hint="eastAsia" w:ascii="宋体" w:hAnsi="宋体" w:eastAsia="宋体" w:cs="宋体"/>
          <w:sz w:val="32"/>
          <w:szCs w:val="20"/>
        </w:rPr>
      </w:pPr>
    </w:p>
    <w:p>
      <w:pPr>
        <w:widowControl w:val="0"/>
        <w:wordWrap/>
        <w:spacing w:line="560" w:lineRule="exact"/>
        <w:ind w:firstLine="640" w:firstLineChars="200"/>
        <w:jc w:val="both"/>
        <w:textAlignment w:val="auto"/>
        <w:rPr>
          <w:rFonts w:hint="eastAsia" w:ascii="宋体" w:hAnsi="宋体" w:eastAsia="宋体" w:cs="Times New Roman"/>
          <w:kern w:val="2"/>
          <w:sz w:val="32"/>
          <w:lang w:val="en-US" w:eastAsia="zh-CN"/>
        </w:rPr>
      </w:pPr>
    </w:p>
    <w:p>
      <w:pPr>
        <w:wordWrap/>
        <w:spacing w:line="560" w:lineRule="exact"/>
        <w:ind w:firstLine="640" w:firstLineChars="200"/>
        <w:jc w:val="center"/>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目    录</w:t>
      </w:r>
    </w:p>
    <w:p>
      <w:pPr>
        <w:wordWrap/>
        <w:spacing w:line="560" w:lineRule="exact"/>
        <w:ind w:firstLine="640" w:firstLineChars="200"/>
        <w:textAlignment w:val="auto"/>
        <w:rPr>
          <w:rFonts w:hint="eastAsia" w:ascii="宋体" w:hAnsi="宋体" w:eastAsia="宋体" w:cs="宋体"/>
          <w:sz w:val="32"/>
          <w:szCs w:val="20"/>
        </w:rPr>
      </w:pP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第一章  总则</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第二章  生产与使用管理</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第三章  生产与使用规范</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第四章  生物安全与实验动物福利</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第五章  生产与使用监督</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第六章  法律责任</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第七章  附则</w:t>
      </w:r>
    </w:p>
    <w:p>
      <w:pPr>
        <w:wordWrap/>
        <w:spacing w:line="560" w:lineRule="exact"/>
        <w:textAlignment w:val="auto"/>
        <w:rPr>
          <w:rFonts w:hint="eastAsia" w:ascii="宋体" w:hAnsi="宋体" w:eastAsia="宋体" w:cs="宋体"/>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第一章  总则</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第一条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为了适应科学研究和经济社会发展的需要，加强对生产、使用实验动物的管理，保证实验动物和动物实验的质量，促进自主创新,维护公共卫生安全，根据有关法律、行政法规，结合本省实际，制定本条例。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第二条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本条例适用于本省行政区域内</w:t>
      </w:r>
      <w:r>
        <w:rPr>
          <w:rFonts w:hint="eastAsia" w:ascii="宋体" w:hAnsi="宋体" w:eastAsia="仿宋_GB2312" w:cs="仿宋_GB2312"/>
          <w:bCs/>
          <w:color w:val="000000"/>
          <w:sz w:val="32"/>
          <w:szCs w:val="20"/>
        </w:rPr>
        <w:t>生产、使用实验动物及其监督管理活动</w:t>
      </w:r>
      <w:r>
        <w:rPr>
          <w:rFonts w:hint="eastAsia" w:ascii="宋体" w:hAnsi="宋体" w:eastAsia="仿宋_GB2312" w:cs="仿宋_GB2312"/>
          <w:bCs/>
          <w:sz w:val="32"/>
          <w:szCs w:val="20"/>
        </w:rPr>
        <w:t>。</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实验动物的管理应当遵循统一规划、合理分工、加强监督</w:t>
      </w:r>
      <w:r>
        <w:rPr>
          <w:rFonts w:hint="eastAsia" w:ascii="宋体" w:hAnsi="宋体" w:eastAsia="仿宋_GB2312" w:cs="仿宋_GB2312"/>
          <w:kern w:val="0"/>
          <w:sz w:val="32"/>
          <w:szCs w:val="20"/>
        </w:rPr>
        <w:t>、有利于促进实验动物科学研究和应用</w:t>
      </w:r>
      <w:r>
        <w:rPr>
          <w:rFonts w:hint="eastAsia" w:ascii="宋体" w:hAnsi="宋体" w:eastAsia="仿宋_GB2312" w:cs="仿宋_GB2312"/>
          <w:bCs/>
          <w:sz w:val="32"/>
          <w:szCs w:val="20"/>
        </w:rPr>
        <w:t>的原则。</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实验动物按照国家标准实行分级分类管理。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第四条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省人民政府科学技术主管部门负责全省实验动物管理工作，组织实施本条例。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color w:val="000000"/>
          <w:sz w:val="32"/>
          <w:szCs w:val="20"/>
        </w:rPr>
        <w:t>县级以上</w:t>
      </w:r>
      <w:r>
        <w:rPr>
          <w:rFonts w:hint="eastAsia" w:ascii="宋体" w:hAnsi="宋体" w:eastAsia="仿宋_GB2312" w:cs="仿宋_GB2312"/>
          <w:bCs/>
          <w:sz w:val="32"/>
          <w:szCs w:val="20"/>
        </w:rPr>
        <w:t>人民政府科技、卫生、教育、农业、生态环境、市场监督管理等有关部门在各自职责范围内做好实验动物管理工作。</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省实验动物监测机构依照</w:t>
      </w:r>
      <w:r>
        <w:rPr>
          <w:rFonts w:hint="eastAsia" w:ascii="宋体" w:hAnsi="宋体" w:eastAsia="仿宋_GB2312" w:cs="仿宋_GB2312"/>
          <w:bCs/>
          <w:color w:val="000000"/>
          <w:sz w:val="32"/>
          <w:szCs w:val="20"/>
        </w:rPr>
        <w:t>本条例规定</w:t>
      </w:r>
      <w:r>
        <w:rPr>
          <w:rFonts w:hint="eastAsia" w:ascii="宋体" w:hAnsi="宋体" w:eastAsia="仿宋_GB2312" w:cs="仿宋_GB2312"/>
          <w:bCs/>
          <w:sz w:val="32"/>
          <w:szCs w:val="20"/>
        </w:rPr>
        <w:t xml:space="preserve">负责实验动物和动物实验的质量技术监督和检验测试工作。    </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第五条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本省实验动物生产、使用实行许可管理和质量监督所需经费，由本级财政予以保障。</w:t>
      </w:r>
    </w:p>
    <w:p>
      <w:pPr>
        <w:wordWrap/>
        <w:spacing w:line="560" w:lineRule="exact"/>
        <w:ind w:firstLine="640" w:firstLineChars="200"/>
        <w:textAlignment w:val="auto"/>
        <w:rPr>
          <w:rFonts w:hint="eastAsia" w:ascii="宋体" w:hAnsi="宋体" w:eastAsia="仿宋_GB2312" w:cs="仿宋_GB2312"/>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第二章  生产与使用管理</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第六条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实验动物的生产、使用实行许可管理制度。</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第七条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从事实验动物保种、繁育、供应等生产活动的单位和个人，应当取得由省人民政府科学技术主管部门颁发的实验动物生产许可证。</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设立动物实验场所使用实验动物进行科学研究、实验和检测等活动的单位和个人，应当取得由省人民政府科学技术主管部门颁发的实验动物使用许可证。</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第八条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申请实验动物生产许可证的单位和个人，应当符合下列条件：</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（一）有工商营业执照或者事业单位法人证书；</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（二）实验动物种子来自国家实验动物种子中心或者国家认可的保种单位、种源单位，遗传背景清楚，质量符合国家标准；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（三）实验动物的生产环境及设施、笼器具、饲料、饮用水等符合国家标准和有关规定；</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（四）具有保证正常生产实验动物所需要的专业技术人员和实验动物质量的检测能力；</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（五）有健全的饲养、繁育等管理制度和相应的操作规程。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第九条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申请实验动物使用许可证的单位和个人，应当符合下列条件：</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（一）有工商营业执照或者事业单位法人证书；</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（二）使用的实验动物及其相关产品应当来自有实验动物生产许可证的单位，质量符合国家标准；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（三）实验动物的饲料、垫料、笼器具、饮用水等符合国家标准和有关规定；</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（四）有符合国家标准的动物实验环境设施；</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（五）具有保证正常使用实验动物所需要的专业技术人员，以及动物实验设施环境质量的检测能力；</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（六）有健全的实验室管理制度和相应的动物实验技术操作规程。</w:t>
      </w:r>
    </w:p>
    <w:p>
      <w:pPr>
        <w:wordWrap/>
        <w:autoSpaceDE w:val="0"/>
        <w:autoSpaceDN w:val="0"/>
        <w:adjustRightInd w:val="0"/>
        <w:spacing w:line="560" w:lineRule="exact"/>
        <w:ind w:firstLine="640" w:firstLineChars="200"/>
        <w:textAlignment w:val="auto"/>
        <w:rPr>
          <w:rFonts w:hint="eastAsia" w:ascii="宋体" w:hAnsi="宋体" w:eastAsia="仿宋_GB2312" w:cs="仿宋_GB2312"/>
          <w:sz w:val="32"/>
          <w:szCs w:val="20"/>
          <w:lang w:val="zh-CN"/>
        </w:rPr>
      </w:pPr>
      <w:r>
        <w:rPr>
          <w:rFonts w:hint="eastAsia" w:ascii="宋体" w:hAnsi="宋体" w:eastAsia="黑体" w:cs="黑体"/>
          <w:sz w:val="32"/>
          <w:szCs w:val="20"/>
        </w:rPr>
        <w:t xml:space="preserve">第十条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申请实验动物的生产、使用许可证的单位和个人，可以采用书面申请或者电子数据交换等方式向省人民政府科学技术主管部门提出申请。</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第十一条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省人民政府科学技术主管部门受理申请后，应当组织专家对申请事项进行现场评审。专家评审的时间不得超过二十个工作日，评审所需时间不计算在作出行政许可决定的期限内。</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color w:val="000000"/>
          <w:sz w:val="32"/>
          <w:szCs w:val="20"/>
        </w:rPr>
        <w:t>省</w:t>
      </w:r>
      <w:r>
        <w:rPr>
          <w:rFonts w:hint="eastAsia" w:ascii="宋体" w:hAnsi="宋体" w:eastAsia="仿宋_GB2312" w:cs="仿宋_GB2312"/>
          <w:bCs/>
          <w:sz w:val="32"/>
          <w:szCs w:val="20"/>
        </w:rPr>
        <w:t>人民政府</w:t>
      </w:r>
      <w:r>
        <w:rPr>
          <w:rFonts w:hint="eastAsia" w:ascii="宋体" w:hAnsi="宋体" w:eastAsia="仿宋_GB2312" w:cs="仿宋_GB2312"/>
          <w:bCs/>
          <w:color w:val="000000"/>
          <w:sz w:val="32"/>
          <w:szCs w:val="20"/>
        </w:rPr>
        <w:t>科学技术主管部门</w:t>
      </w:r>
      <w:r>
        <w:rPr>
          <w:rFonts w:hint="eastAsia" w:ascii="宋体" w:hAnsi="宋体" w:eastAsia="仿宋_GB2312" w:cs="仿宋_GB2312"/>
          <w:bCs/>
          <w:sz w:val="32"/>
          <w:szCs w:val="20"/>
        </w:rPr>
        <w:t>应当自受理申请之日起二十个工作日内作出行政许可决定</w:t>
      </w:r>
      <w:r>
        <w:rPr>
          <w:rFonts w:hint="eastAsia" w:ascii="宋体" w:hAnsi="宋体" w:eastAsia="仿宋_GB2312" w:cs="仿宋_GB2312"/>
          <w:bCs/>
          <w:color w:val="000000"/>
          <w:sz w:val="32"/>
          <w:szCs w:val="20"/>
        </w:rPr>
        <w:t>。</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第十二条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实验动物的生产、使用许可证的有效期为五年。被许可人需要延续取得行政许可的，应当在许可证有效期届满三个月前，向省人民政府科学技术主管部门提出申请。</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省人民政府科学技术主管部门应当根据被许可人的申请，在该行政许可有效期届满前作出是否准予延续的决定；逾期未作出决定的，视为准予延续。</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第十三条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实验动物的生产、使用许可证不得转借、转让、出租或者超许可范围使用。</w:t>
      </w:r>
    </w:p>
    <w:p>
      <w:pPr>
        <w:wordWrap/>
        <w:spacing w:line="560" w:lineRule="exact"/>
        <w:ind w:firstLine="640" w:firstLineChars="200"/>
        <w:textAlignment w:val="auto"/>
        <w:rPr>
          <w:rFonts w:hint="eastAsia" w:ascii="宋体" w:hAnsi="宋体" w:eastAsia="仿宋_GB2312" w:cs="仿宋_GB2312"/>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第三章  生产与使用规范</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第十四条</w:t>
      </w:r>
      <w:r>
        <w:rPr>
          <w:rFonts w:hint="eastAsia" w:ascii="宋体" w:hAnsi="宋体" w:eastAsia="仿宋_GB2312" w:cs="仿宋_GB2312"/>
          <w:sz w:val="32"/>
          <w:szCs w:val="20"/>
        </w:rPr>
        <w:t xml:space="preserve">  具有</w:t>
      </w:r>
      <w:r>
        <w:rPr>
          <w:rFonts w:hint="eastAsia" w:ascii="宋体" w:hAnsi="宋体" w:eastAsia="仿宋_GB2312" w:cs="仿宋_GB2312"/>
          <w:bCs/>
          <w:sz w:val="32"/>
          <w:szCs w:val="20"/>
        </w:rPr>
        <w:t>实验动物生产许可证的单位和个人，对其提供的实验动物应当出具质量合格证明；</w:t>
      </w:r>
      <w:r>
        <w:rPr>
          <w:rFonts w:hint="eastAsia" w:ascii="宋体" w:hAnsi="宋体" w:eastAsia="仿宋_GB2312" w:cs="仿宋_GB2312"/>
          <w:sz w:val="32"/>
          <w:szCs w:val="20"/>
        </w:rPr>
        <w:t>具有</w:t>
      </w:r>
      <w:r>
        <w:rPr>
          <w:rFonts w:hint="eastAsia" w:ascii="宋体" w:hAnsi="宋体" w:eastAsia="仿宋_GB2312" w:cs="仿宋_GB2312"/>
          <w:bCs/>
          <w:sz w:val="32"/>
          <w:szCs w:val="20"/>
        </w:rPr>
        <w:t>实验动物使用许可证的单位和个人，对在其场所进行的动物实验应当出具动物实验证明。</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第十五条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单位和个人应用实验动物进行医疗卫生、药品等科学研究、实验、检测以及以实验动物为材料和载体生产产品等活动的，应当使用具有实验动物生产许可证的单位和个人生产的符合标准要求的实验动物，并且在具有实验动物使用许可证的</w:t>
      </w:r>
      <w:r>
        <w:rPr>
          <w:rFonts w:hint="eastAsia" w:ascii="宋体" w:hAnsi="宋体" w:eastAsia="仿宋_GB2312" w:cs="仿宋_GB2312"/>
          <w:bCs/>
          <w:color w:val="000000"/>
          <w:sz w:val="32"/>
          <w:szCs w:val="20"/>
        </w:rPr>
        <w:t>场所</w:t>
      </w:r>
      <w:r>
        <w:rPr>
          <w:rFonts w:hint="eastAsia" w:ascii="宋体" w:hAnsi="宋体" w:eastAsia="仿宋_GB2312" w:cs="仿宋_GB2312"/>
          <w:bCs/>
          <w:sz w:val="32"/>
          <w:szCs w:val="20"/>
        </w:rPr>
        <w:t>内进行相关活动。</w:t>
      </w:r>
    </w:p>
    <w:p>
      <w:pPr>
        <w:wordWrap/>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违反前款规定进行的科学研究、实验、检定、评价的结果无效，相关的科研项目不得验收、鉴定、评奖。</w:t>
      </w:r>
    </w:p>
    <w:p>
      <w:pPr>
        <w:wordWrap/>
        <w:spacing w:line="560" w:lineRule="exact"/>
        <w:ind w:firstLine="640" w:firstLineChars="200"/>
        <w:textAlignment w:val="auto"/>
        <w:rPr>
          <w:rFonts w:hint="eastAsia" w:ascii="宋体" w:hAnsi="宋体" w:eastAsia="楷体_GB2312" w:cs="楷体_GB2312"/>
          <w:bCs/>
          <w:sz w:val="32"/>
          <w:szCs w:val="20"/>
        </w:rPr>
      </w:pPr>
      <w:r>
        <w:rPr>
          <w:rFonts w:hint="eastAsia" w:ascii="宋体" w:hAnsi="宋体" w:eastAsia="仿宋_GB2312" w:cs="仿宋_GB2312"/>
          <w:bCs/>
          <w:sz w:val="32"/>
          <w:szCs w:val="20"/>
        </w:rPr>
        <w:t>教学示教时使用实验动物的，在保证公共卫生安全的前提下，可以在实验动物使用许可证规定以外的场所内进行</w:t>
      </w:r>
      <w:r>
        <w:rPr>
          <w:rFonts w:hint="eastAsia" w:ascii="宋体" w:hAnsi="宋体" w:eastAsia="黑体" w:cs="黑体"/>
          <w:bCs/>
          <w:sz w:val="32"/>
          <w:szCs w:val="20"/>
        </w:rPr>
        <w:t>。</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第十六条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实验动物的饲育室和实验室应当分开设立。不同品种、品系、等级和不同实验目的的实验动物，应当分开饲养。</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第十七条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运输实验动物时，使用的笼器具、运输工具应当符合安全和微生物控制等级要求，不同品种、品系和等级的实验动物不得混装，保证实验动物达到相应质量等级。</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第十八条</w:t>
      </w:r>
      <w:r>
        <w:rPr>
          <w:rFonts w:hint="eastAsia" w:ascii="宋体" w:hAnsi="宋体" w:eastAsia="仿宋_GB2312" w:cs="仿宋_GB2312"/>
          <w:sz w:val="32"/>
          <w:szCs w:val="20"/>
        </w:rPr>
        <w:t xml:space="preserve"> </w:t>
      </w:r>
      <w:r>
        <w:rPr>
          <w:rFonts w:hint="eastAsia" w:ascii="宋体" w:hAnsi="宋体" w:eastAsia="仿宋_GB2312" w:cs="仿宋_GB2312"/>
          <w:b/>
          <w:bCs/>
          <w:sz w:val="32"/>
          <w:szCs w:val="20"/>
        </w:rPr>
        <w:t xml:space="preserve"> </w:t>
      </w:r>
      <w:r>
        <w:rPr>
          <w:rFonts w:hint="eastAsia" w:ascii="宋体" w:hAnsi="宋体" w:eastAsia="仿宋_GB2312" w:cs="仿宋_GB2312"/>
          <w:bCs/>
          <w:sz w:val="32"/>
          <w:szCs w:val="20"/>
        </w:rPr>
        <w:t>生产、使用实验动物需要捕捉野生动物的，应当遵守国家相关法律法规的规定，并对所捕捉的野生动物进行隔离检疫。</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生产、使用实验动物需要从国外引入实验动物的，应当持有供应方提供的动物种系名称、遗传背景、质量状况及生物学特性等有关资料，依照</w:t>
      </w:r>
      <w:r>
        <w:rPr>
          <w:rFonts w:hint="eastAsia" w:ascii="宋体" w:hAnsi="宋体" w:eastAsia="仿宋_GB2312" w:cs="仿宋_GB2312"/>
          <w:bCs/>
          <w:color w:val="000000"/>
          <w:sz w:val="32"/>
          <w:szCs w:val="20"/>
        </w:rPr>
        <w:t>《中华人民共和国进出境动植物检疫法》</w:t>
      </w:r>
      <w:r>
        <w:rPr>
          <w:rFonts w:hint="eastAsia" w:ascii="宋体" w:hAnsi="宋体" w:eastAsia="仿宋_GB2312" w:cs="仿宋_GB2312"/>
          <w:bCs/>
          <w:sz w:val="32"/>
          <w:szCs w:val="20"/>
        </w:rPr>
        <w:t>规定办理有关手续。</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第十九条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从事实验动物生产、使用的单位和个人应当按照国家标准对其生产的实验动物和环境设施进行检测。检测过程和检测数据应当有完整、准确的记录。</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第二十条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从事实验动物生产、使用的单位和个人，应当对直接从事实验动物工作的人员采取安全防护措施，定期组织与传染病有关的健康检查，调整不适宜承担实验动物工作的人员。</w:t>
      </w:r>
    </w:p>
    <w:p>
      <w:pPr>
        <w:wordWrap/>
        <w:spacing w:line="560" w:lineRule="exact"/>
        <w:ind w:firstLine="640" w:firstLineChars="200"/>
        <w:textAlignment w:val="auto"/>
        <w:rPr>
          <w:rFonts w:hint="eastAsia" w:ascii="宋体" w:hAnsi="宋体" w:eastAsia="仿宋_GB2312" w:cs="仿宋_GB2312"/>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第四章  生物安全与实验动物福利</w:t>
      </w:r>
    </w:p>
    <w:p>
      <w:pPr>
        <w:wordWrap/>
        <w:spacing w:line="560" w:lineRule="exact"/>
        <w:jc w:val="center"/>
        <w:textAlignment w:val="auto"/>
        <w:rPr>
          <w:rFonts w:hint="eastAsia" w:ascii="宋体" w:hAnsi="宋体" w:eastAsia="黑体" w:cs="黑体"/>
          <w:b/>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第二十一条 </w:t>
      </w:r>
      <w:r>
        <w:rPr>
          <w:rFonts w:hint="eastAsia" w:ascii="宋体" w:hAnsi="宋体" w:eastAsia="仿宋_GB2312" w:cs="仿宋_GB2312"/>
          <w:bCs/>
          <w:sz w:val="32"/>
          <w:szCs w:val="20"/>
        </w:rPr>
        <w:t xml:space="preserve"> 实验动物的预防免疫应当结合科学研究与实验的要求实施，预防免疫后的实验动物不得用于生物制品的生产、检定。</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对应当进行预防免疫的实验动物,依照《中华人民共和国动物防疫法》的规定实施预防免疫。</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第二十二条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发生传染性疾病时，从事实验动物生产、使用的单位和个人应当及时采取隔离、预防控制措施，防止动物疫情扩散，同时报告当地畜牧兽医主管部门、动物防疫监督机构；当发生人畜共患病时，还应当立即报告当地疾病预防控制机构。</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发生重大动物疫情的，应当按照国家规定立即启动突发重大动物疫情应急预案。</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第二十三条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在实验动物生产、使用过程中产生的废弃物和实验动物尸体应当经无害化处理，其中列入国家危险废物名录的应当按国家规定交由具有相应资质的单位处理。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对实验动物生产、使用过程中产生的废水、废气等，应当进行处理，达到有关标准后排放。</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第二十四条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禁止使用后的实验动物流入消费市场。</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第二十五条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开展病原体感染、化学染毒和放射性的动物实验，应当符合国家法律法规和国家标准对实验室生物安全、放射卫生防护及环境保护的要求，防范安全事故的发生。</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第二十六条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从事实验动物基因工程研究的，应当符合国家对基因工程安全管理的要求。</w:t>
      </w:r>
    </w:p>
    <w:p>
      <w:pPr>
        <w:wordWrap/>
        <w:spacing w:line="560" w:lineRule="exact"/>
        <w:ind w:firstLine="640" w:firstLineChars="200"/>
        <w:textAlignment w:val="auto"/>
        <w:rPr>
          <w:rFonts w:hint="eastAsia" w:ascii="宋体" w:hAnsi="宋体" w:eastAsia="仿宋_GB2312" w:cs="仿宋_GB2312"/>
          <w:bCs/>
          <w:color w:val="000000"/>
          <w:sz w:val="32"/>
          <w:szCs w:val="20"/>
        </w:rPr>
      </w:pPr>
      <w:r>
        <w:rPr>
          <w:rFonts w:hint="eastAsia" w:ascii="宋体" w:hAnsi="宋体" w:eastAsia="黑体" w:cs="黑体"/>
          <w:sz w:val="32"/>
          <w:szCs w:val="20"/>
        </w:rPr>
        <w:t>第二十七条</w:t>
      </w:r>
      <w:r>
        <w:rPr>
          <w:rFonts w:hint="eastAsia" w:ascii="宋体" w:hAnsi="宋体" w:eastAsia="仿宋_GB2312" w:cs="仿宋_GB2312"/>
          <w:sz w:val="32"/>
          <w:szCs w:val="20"/>
        </w:rPr>
        <w:t xml:space="preserve">  </w:t>
      </w:r>
      <w:r>
        <w:rPr>
          <w:rFonts w:hint="eastAsia" w:ascii="宋体" w:hAnsi="宋体" w:eastAsia="仿宋_GB2312" w:cs="仿宋_GB2312"/>
          <w:bCs/>
          <w:color w:val="000000"/>
          <w:sz w:val="32"/>
          <w:szCs w:val="20"/>
        </w:rPr>
        <w:t>鼓励共享实验动物的实验数据和资源，倡导减少、替代使用实验动物和优化动物实验方法。</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第二十八条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实验动物生产、使用活动涉及实验动物伦理与物种安全问题的，应当遵照国家有关规定，并符合国际惯例。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第二十九条</w:t>
      </w:r>
      <w:r>
        <w:rPr>
          <w:rFonts w:hint="eastAsia" w:ascii="宋体" w:hAnsi="宋体" w:eastAsia="黑体" w:cs="黑体"/>
          <w:b/>
          <w:bCs/>
          <w:sz w:val="32"/>
          <w:szCs w:val="20"/>
        </w:rPr>
        <w:t xml:space="preserve"> </w:t>
      </w:r>
      <w:r>
        <w:rPr>
          <w:rFonts w:hint="eastAsia" w:ascii="宋体" w:hAnsi="宋体" w:eastAsia="黑体" w:cs="黑体"/>
          <w:bCs/>
          <w:sz w:val="32"/>
          <w:szCs w:val="20"/>
        </w:rPr>
        <w:t xml:space="preserve"> </w:t>
      </w:r>
      <w:r>
        <w:rPr>
          <w:rFonts w:hint="eastAsia" w:ascii="宋体" w:hAnsi="宋体" w:eastAsia="仿宋_GB2312" w:cs="仿宋_GB2312"/>
          <w:bCs/>
          <w:sz w:val="32"/>
          <w:szCs w:val="20"/>
        </w:rPr>
        <w:t xml:space="preserve">从事实验动物工作的人员在生产、使用和运输过程中应当维护实验动物福利，关爱实验动物，不得虐待实验动物。 </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对实验动物进行手术时，应当进行有效的麻醉；需要处死实验动物时，应当实施安死术。</w:t>
      </w:r>
    </w:p>
    <w:p>
      <w:pPr>
        <w:wordWrap/>
        <w:spacing w:line="560" w:lineRule="exact"/>
        <w:ind w:firstLine="636" w:firstLineChars="199"/>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第三十一条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生产、使用的单位和个人，在开展动物实验项目时，应当制定保证实验动物福利、符合实验动物伦理要求的实验方案；有条件的应当设立实验动物福利伦理组织，对实验方案进行审查，对实验过程进行监督管理。</w:t>
      </w:r>
    </w:p>
    <w:p>
      <w:pPr>
        <w:wordWrap/>
        <w:spacing w:line="560" w:lineRule="exact"/>
        <w:textAlignment w:val="auto"/>
        <w:rPr>
          <w:rFonts w:hint="eastAsia" w:ascii="宋体" w:hAnsi="宋体" w:eastAsia="宋体" w:cs="宋体"/>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第五章  生产与使用监督</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textAlignment w:val="auto"/>
        <w:rPr>
          <w:rFonts w:hint="eastAsia" w:ascii="宋体" w:hAnsi="宋体" w:eastAsia="仿宋_GB2312" w:cs="仿宋_GB2312"/>
          <w:bCs/>
          <w:sz w:val="32"/>
          <w:szCs w:val="20"/>
        </w:rPr>
      </w:pPr>
      <w:r>
        <w:rPr>
          <w:rFonts w:hint="eastAsia" w:ascii="宋体" w:hAnsi="宋体" w:eastAsia="仿宋_GB2312" w:cs="仿宋_GB2312"/>
          <w:b/>
          <w:bCs/>
          <w:sz w:val="32"/>
          <w:szCs w:val="20"/>
        </w:rPr>
        <w:t xml:space="preserve">    </w:t>
      </w:r>
      <w:r>
        <w:rPr>
          <w:rFonts w:hint="eastAsia" w:ascii="宋体" w:hAnsi="宋体" w:eastAsia="黑体" w:cs="黑体"/>
          <w:sz w:val="32"/>
          <w:szCs w:val="20"/>
        </w:rPr>
        <w:t>第三十二条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省人民政府科学技术主管部门应当制定实验动物生产、使用的年度监督计划，定期对实验动物生产、使用情况进行监督检查，组织开展监督工作。</w:t>
      </w:r>
    </w:p>
    <w:p>
      <w:pPr>
        <w:wordWrap/>
        <w:spacing w:line="560" w:lineRule="exact"/>
        <w:ind w:firstLine="6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第三十三条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省实验动物监测机构负责向申请行政许可的单位和个人出具检测报告，配合省人民政府科学技术主管部门对行政许可实施情况进行监督检查，开展实验动物的质量调查、质量标准研究、科学研究等工作。</w:t>
      </w:r>
    </w:p>
    <w:p>
      <w:pPr>
        <w:wordWrap/>
        <w:spacing w:line="560" w:lineRule="exact"/>
        <w:ind w:firstLine="6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省实验动物监测机构进行前款规定的检测不收取检测费用。</w:t>
      </w:r>
    </w:p>
    <w:p>
      <w:pPr>
        <w:wordWrap/>
        <w:spacing w:line="560" w:lineRule="exact"/>
        <w:ind w:firstLine="6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省实验动物监测机构及其有关人员对所实施的检验、检测结论承担法律责任。</w:t>
      </w:r>
    </w:p>
    <w:p>
      <w:pPr>
        <w:wordWrap/>
        <w:spacing w:line="560" w:lineRule="exact"/>
        <w:ind w:firstLine="601"/>
        <w:textAlignment w:val="auto"/>
        <w:rPr>
          <w:rFonts w:hint="eastAsia" w:ascii="宋体" w:hAnsi="宋体" w:eastAsia="仿宋_GB2312" w:cs="仿宋_GB2312"/>
          <w:bCs/>
          <w:sz w:val="32"/>
          <w:szCs w:val="20"/>
        </w:rPr>
      </w:pPr>
      <w:r>
        <w:rPr>
          <w:rFonts w:hint="eastAsia" w:ascii="宋体" w:hAnsi="宋体" w:eastAsia="黑体" w:cs="黑体"/>
          <w:sz w:val="32"/>
          <w:szCs w:val="20"/>
        </w:rPr>
        <w:t>第三十四条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实验动物的检测包括对实验动物</w:t>
      </w:r>
      <w:r>
        <w:rPr>
          <w:rFonts w:hint="eastAsia" w:ascii="宋体" w:hAnsi="宋体" w:eastAsia="仿宋_GB2312" w:cs="仿宋_GB2312"/>
          <w:bCs/>
          <w:color w:val="000000"/>
          <w:sz w:val="32"/>
          <w:szCs w:val="20"/>
        </w:rPr>
        <w:t>遗传、微生物、寄生虫和病理，以及对实验动物饲料、饮</w:t>
      </w:r>
      <w:r>
        <w:rPr>
          <w:rFonts w:hint="eastAsia" w:ascii="宋体" w:hAnsi="宋体" w:eastAsia="仿宋_GB2312" w:cs="仿宋_GB2312"/>
          <w:bCs/>
          <w:sz w:val="32"/>
          <w:szCs w:val="20"/>
        </w:rPr>
        <w:t>用</w:t>
      </w:r>
      <w:r>
        <w:rPr>
          <w:rFonts w:hint="eastAsia" w:ascii="宋体" w:hAnsi="宋体" w:eastAsia="仿宋_GB2312" w:cs="仿宋_GB2312"/>
          <w:bCs/>
          <w:color w:val="000000"/>
          <w:sz w:val="32"/>
          <w:szCs w:val="20"/>
        </w:rPr>
        <w:t>水、笼器具、</w:t>
      </w:r>
      <w:r>
        <w:rPr>
          <w:rFonts w:hint="eastAsia" w:ascii="宋体" w:hAnsi="宋体" w:eastAsia="仿宋_GB2312" w:cs="仿宋_GB2312"/>
          <w:bCs/>
          <w:sz w:val="32"/>
          <w:szCs w:val="20"/>
        </w:rPr>
        <w:t>繁育设施环境和动物实验设施环境等的质量检测。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第三十五条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实验动物的检测执行国家标准；国家尚未制定标准的，执行行业标准；国家、行业均未制定标准的，执行地方标准。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涉及对外检验、检定和外包的动物实验可以按照国际标准或者委托方要求的国外标准执行，但该标准与我国公共卫生安全要求冲突的除外。</w:t>
      </w:r>
    </w:p>
    <w:p>
      <w:pPr>
        <w:wordWrap/>
        <w:spacing w:line="560" w:lineRule="exact"/>
        <w:ind w:firstLine="6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第三十六条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实验动物的检测工作应当科学、公正、准确，检测报告应当内容齐全，数据准确，结论明确。</w:t>
      </w:r>
    </w:p>
    <w:p>
      <w:pPr>
        <w:wordWrap/>
        <w:spacing w:line="560" w:lineRule="exact"/>
        <w:ind w:firstLine="630" w:firstLineChars="197"/>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第三十七条</w:t>
      </w:r>
      <w:r>
        <w:rPr>
          <w:rFonts w:hint="eastAsia" w:ascii="宋体" w:hAnsi="宋体" w:eastAsia="仿宋_GB2312" w:cs="仿宋_GB2312"/>
          <w:b/>
          <w:bCs/>
          <w:sz w:val="32"/>
          <w:szCs w:val="20"/>
        </w:rPr>
        <w:t xml:space="preserve">  </w:t>
      </w:r>
      <w:r>
        <w:rPr>
          <w:rFonts w:hint="eastAsia" w:ascii="宋体" w:hAnsi="宋体" w:eastAsia="仿宋_GB2312" w:cs="仿宋_GB2312"/>
          <w:bCs/>
          <w:sz w:val="32"/>
          <w:szCs w:val="20"/>
        </w:rPr>
        <w:t>对实验动物检测结果有异议的单位和个人，可以在收到检测报告之日起十五个工作日内向省实验动物监测机构提出复检。</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第三十八条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检测结果不合格的，生产或者使用的单位和个人应当查明不合格原因，制定整改方案，按期整改并接受复检；不合格的实验动物或者动物实验场所不得继续销售或者使用，并按照相关规定监督销毁或者作必要的技术处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第三十九条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省实验动物监测机构应当汇总其对实验动物和动物实验质量的检测结果，上报省人民政府科学技术主管部门，由省人民政府科学技术主管部门向社会公布检测结果。</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第四十条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从事实验动物生产、使用的单位和个人应当接受并配合依法进行的监督和检测。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第四十一条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省人民政府科学技术主管部门应当建立从事实验动物生产、使用的单位和个人的信用制度，并通过媒体、网络等形式依法公布实验动物生产、使用、管理等方面的相关信息。</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第四十二条</w:t>
      </w:r>
      <w:r>
        <w:rPr>
          <w:rFonts w:hint="eastAsia" w:ascii="宋体" w:hAnsi="宋体" w:eastAsia="仿宋_GB2312" w:cs="仿宋_GB2312"/>
          <w:sz w:val="32"/>
          <w:szCs w:val="20"/>
        </w:rPr>
        <w:t xml:space="preserve"> </w:t>
      </w:r>
      <w:r>
        <w:rPr>
          <w:rFonts w:hint="eastAsia" w:ascii="宋体" w:hAnsi="宋体" w:eastAsia="仿宋_GB2312" w:cs="仿宋_GB2312"/>
          <w:b/>
          <w:bCs/>
          <w:sz w:val="32"/>
          <w:szCs w:val="20"/>
        </w:rPr>
        <w:t xml:space="preserve"> </w:t>
      </w:r>
      <w:r>
        <w:rPr>
          <w:rFonts w:hint="eastAsia" w:ascii="宋体" w:hAnsi="宋体" w:eastAsia="仿宋_GB2312" w:cs="仿宋_GB2312"/>
          <w:bCs/>
          <w:sz w:val="32"/>
          <w:szCs w:val="20"/>
        </w:rPr>
        <w:t>任何单位和个人对违反本条例的行为有权向省人民政府科学技术主管部门举报或者投诉。</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省人民政府科学技术主管部门应当在接到举报或者投诉之日起十五个工作日内决定是否受理，并告知举报人或者投诉人。</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对决定受理的案件，省人民政府科学技术主管部门应当及时组织调查，并将处理结果告知举报人或者投诉人。</w:t>
      </w:r>
    </w:p>
    <w:p>
      <w:pPr>
        <w:wordWrap/>
        <w:autoSpaceDE w:val="0"/>
        <w:autoSpaceDN w:val="0"/>
        <w:adjustRightInd w:val="0"/>
        <w:spacing w:line="560" w:lineRule="exact"/>
        <w:jc w:val="center"/>
        <w:textAlignment w:val="auto"/>
        <w:rPr>
          <w:rFonts w:hint="eastAsia" w:ascii="宋体" w:hAnsi="宋体" w:eastAsia="宋体" w:cs="宋体"/>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第六章  法律责任</w:t>
      </w:r>
    </w:p>
    <w:p>
      <w:pPr>
        <w:wordWrap/>
        <w:spacing w:line="560" w:lineRule="exact"/>
        <w:jc w:val="center"/>
        <w:textAlignment w:val="auto"/>
        <w:rPr>
          <w:rFonts w:hint="eastAsia" w:ascii="宋体" w:hAnsi="宋体" w:eastAsia="仿宋_GB2312" w:cs="仿宋_GB2312"/>
          <w:b/>
          <w:bCs/>
          <w:sz w:val="32"/>
          <w:szCs w:val="20"/>
        </w:rPr>
      </w:pP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bCs/>
          <w:sz w:val="32"/>
          <w:szCs w:val="20"/>
          <w:lang w:val="zh-CN"/>
        </w:rPr>
        <w:t>第四十三条</w:t>
      </w:r>
      <w:r>
        <w:rPr>
          <w:rFonts w:hint="eastAsia" w:ascii="宋体" w:hAnsi="宋体" w:eastAsia="仿宋_GB2312" w:cs="仿宋_GB2312"/>
          <w:bCs/>
          <w:sz w:val="32"/>
          <w:szCs w:val="20"/>
          <w:lang w:val="zh-CN"/>
        </w:rPr>
        <w:t xml:space="preserve"> </w:t>
      </w:r>
      <w:r>
        <w:rPr>
          <w:rFonts w:hint="eastAsia" w:ascii="宋体" w:hAnsi="宋体" w:eastAsia="仿宋_GB2312" w:cs="仿宋_GB2312"/>
          <w:sz w:val="32"/>
          <w:szCs w:val="20"/>
        </w:rPr>
        <w:t xml:space="preserve"> 违反本条例第七条、第十二条规定，</w:t>
      </w:r>
      <w:r>
        <w:rPr>
          <w:rFonts w:hint="eastAsia" w:ascii="宋体" w:hAnsi="宋体" w:eastAsia="仿宋_GB2312" w:cs="仿宋_GB2312"/>
          <w:bCs/>
          <w:sz w:val="32"/>
          <w:szCs w:val="20"/>
          <w:lang w:val="zh-CN"/>
        </w:rPr>
        <w:t>未取得实验动物的</w:t>
      </w:r>
      <w:r>
        <w:rPr>
          <w:rFonts w:hint="eastAsia" w:ascii="宋体" w:hAnsi="宋体" w:eastAsia="仿宋_GB2312" w:cs="仿宋_GB2312"/>
          <w:bCs/>
          <w:sz w:val="32"/>
          <w:szCs w:val="20"/>
        </w:rPr>
        <w:t>生产、使用</w:t>
      </w:r>
      <w:r>
        <w:rPr>
          <w:rFonts w:hint="eastAsia" w:ascii="宋体" w:hAnsi="宋体" w:eastAsia="仿宋_GB2312" w:cs="仿宋_GB2312"/>
          <w:bCs/>
          <w:sz w:val="32"/>
          <w:szCs w:val="20"/>
          <w:lang w:val="zh-CN"/>
        </w:rPr>
        <w:t>许可证或者许可证已过期，擅自</w:t>
      </w:r>
      <w:r>
        <w:rPr>
          <w:rFonts w:hint="eastAsia" w:ascii="宋体" w:hAnsi="宋体" w:eastAsia="仿宋_GB2312" w:cs="仿宋_GB2312"/>
          <w:bCs/>
          <w:sz w:val="32"/>
          <w:szCs w:val="20"/>
        </w:rPr>
        <w:t>从事实验动物生产或者使用的，由省人民政府科学技术主管部门没收违法所得，并可以处一万元以上三万元以下的罚款。</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黑体" w:cs="黑体"/>
          <w:sz w:val="32"/>
          <w:szCs w:val="20"/>
        </w:rPr>
        <w:t>第四十四条</w:t>
      </w:r>
      <w:r>
        <w:rPr>
          <w:rFonts w:hint="eastAsia" w:ascii="宋体" w:hAnsi="宋体" w:eastAsia="黑体" w:cs="黑体"/>
          <w:sz w:val="32"/>
          <w:szCs w:val="20"/>
          <w:lang w:val="zh-CN"/>
        </w:rPr>
        <w:t xml:space="preserve"> </w:t>
      </w:r>
      <w:r>
        <w:rPr>
          <w:rFonts w:hint="eastAsia" w:ascii="宋体" w:hAnsi="宋体" w:eastAsia="仿宋_GB2312" w:cs="仿宋_GB2312"/>
          <w:sz w:val="32"/>
          <w:szCs w:val="20"/>
          <w:lang w:val="zh-CN"/>
        </w:rPr>
        <w:t xml:space="preserve"> </w:t>
      </w:r>
      <w:r>
        <w:rPr>
          <w:rFonts w:hint="eastAsia" w:ascii="宋体" w:hAnsi="宋体" w:eastAsia="仿宋_GB2312" w:cs="仿宋_GB2312"/>
          <w:bCs/>
          <w:sz w:val="32"/>
          <w:szCs w:val="20"/>
          <w:lang w:val="zh-CN"/>
        </w:rPr>
        <w:t>违反本条例规定</w:t>
      </w:r>
      <w:r>
        <w:rPr>
          <w:rFonts w:hint="eastAsia" w:ascii="宋体" w:hAnsi="宋体" w:eastAsia="仿宋_GB2312" w:cs="仿宋_GB2312"/>
          <w:bCs/>
          <w:color w:val="000000"/>
          <w:sz w:val="32"/>
          <w:szCs w:val="20"/>
          <w:lang w:val="zh-CN"/>
        </w:rPr>
        <w:t>，</w:t>
      </w:r>
      <w:r>
        <w:rPr>
          <w:rFonts w:hint="eastAsia" w:ascii="宋体" w:hAnsi="宋体" w:eastAsia="仿宋_GB2312" w:cs="仿宋_GB2312"/>
          <w:bCs/>
          <w:sz w:val="32"/>
          <w:szCs w:val="20"/>
          <w:lang w:val="zh-CN"/>
        </w:rPr>
        <w:t>有下列情形之一的，由</w:t>
      </w:r>
      <w:r>
        <w:rPr>
          <w:rFonts w:hint="eastAsia" w:ascii="宋体" w:hAnsi="宋体" w:eastAsia="仿宋_GB2312" w:cs="仿宋_GB2312"/>
          <w:bCs/>
          <w:sz w:val="32"/>
          <w:szCs w:val="20"/>
        </w:rPr>
        <w:t>省人民政府科学技术主管部门</w:t>
      </w:r>
      <w:r>
        <w:rPr>
          <w:rFonts w:hint="eastAsia" w:ascii="宋体" w:hAnsi="宋体" w:eastAsia="仿宋_GB2312" w:cs="仿宋_GB2312"/>
          <w:bCs/>
          <w:sz w:val="32"/>
          <w:szCs w:val="20"/>
          <w:lang w:val="zh-CN"/>
        </w:rPr>
        <w:t>责令限期改正；逾期不改的，暂扣实验动物的</w:t>
      </w:r>
      <w:r>
        <w:rPr>
          <w:rFonts w:hint="eastAsia" w:ascii="宋体" w:hAnsi="宋体" w:eastAsia="仿宋_GB2312" w:cs="仿宋_GB2312"/>
          <w:bCs/>
          <w:sz w:val="32"/>
          <w:szCs w:val="20"/>
        </w:rPr>
        <w:t>生产、使用</w:t>
      </w:r>
      <w:r>
        <w:rPr>
          <w:rFonts w:hint="eastAsia" w:ascii="宋体" w:hAnsi="宋体" w:eastAsia="仿宋_GB2312" w:cs="仿宋_GB2312"/>
          <w:bCs/>
          <w:sz w:val="32"/>
          <w:szCs w:val="20"/>
          <w:lang w:val="zh-CN"/>
        </w:rPr>
        <w:t>许可证，并处二千元以上一</w:t>
      </w:r>
      <w:r>
        <w:rPr>
          <w:rFonts w:hint="eastAsia" w:ascii="宋体" w:hAnsi="宋体" w:eastAsia="仿宋_GB2312" w:cs="仿宋_GB2312"/>
          <w:bCs/>
          <w:sz w:val="32"/>
          <w:szCs w:val="20"/>
        </w:rPr>
        <w:t>万元以下的罚款</w:t>
      </w:r>
      <w:r>
        <w:rPr>
          <w:rFonts w:hint="eastAsia" w:ascii="宋体" w:hAnsi="宋体" w:eastAsia="仿宋_GB2312" w:cs="仿宋_GB2312"/>
          <w:bCs/>
          <w:sz w:val="32"/>
          <w:szCs w:val="20"/>
          <w:lang w:val="zh-CN"/>
        </w:rPr>
        <w:t>：</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（一）实验动物的饲育室和实验室不分开设立的；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（二）对不同品种、品系、等级和不同实验目的的实验动物不分开饲养的；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（三）将不同品种、品系和等级的实验动物混装运输的；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（四）检测过程和检测数据的记录不完整、不准确的；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（五）销售不合格的实验动物或者使用不合格的动物实验场所的。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黑体" w:cs="黑体"/>
          <w:sz w:val="32"/>
          <w:szCs w:val="20"/>
        </w:rPr>
        <w:t>第四十五条</w:t>
      </w:r>
      <w:r>
        <w:rPr>
          <w:rFonts w:hint="eastAsia" w:ascii="宋体" w:hAnsi="宋体" w:eastAsia="仿宋_GB2312" w:cs="仿宋_GB2312"/>
          <w:sz w:val="32"/>
          <w:szCs w:val="20"/>
          <w:lang w:val="zh-CN"/>
        </w:rPr>
        <w:t xml:space="preserve">  </w:t>
      </w:r>
      <w:r>
        <w:rPr>
          <w:rFonts w:hint="eastAsia" w:ascii="宋体" w:hAnsi="宋体" w:eastAsia="仿宋_GB2312" w:cs="仿宋_GB2312"/>
          <w:bCs/>
          <w:sz w:val="32"/>
          <w:szCs w:val="20"/>
          <w:lang w:val="zh-CN"/>
        </w:rPr>
        <w:t>违反本条例第二十四条规定，将使用后的实验动物流入消费市场的，由省人民政府科学技术主管部门责令改正，没收违法所得，并处一万元以上三万元以下的罚款；情节严重或者逾期不改的，吊销实验动物的生产、使用许可证。</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color w:val="000000"/>
          <w:sz w:val="32"/>
          <w:szCs w:val="20"/>
          <w:lang w:val="zh-CN"/>
        </w:rPr>
      </w:pPr>
      <w:r>
        <w:rPr>
          <w:rFonts w:hint="eastAsia" w:ascii="宋体" w:hAnsi="宋体" w:eastAsia="黑体" w:cs="黑体"/>
          <w:sz w:val="32"/>
          <w:szCs w:val="20"/>
        </w:rPr>
        <w:t>第四十六条</w:t>
      </w:r>
      <w:r>
        <w:rPr>
          <w:rFonts w:hint="eastAsia" w:ascii="宋体" w:hAnsi="宋体" w:eastAsia="仿宋_GB2312" w:cs="仿宋_GB2312"/>
          <w:sz w:val="32"/>
          <w:szCs w:val="20"/>
          <w:lang w:val="zh-CN"/>
        </w:rPr>
        <w:t>　</w:t>
      </w:r>
      <w:r>
        <w:rPr>
          <w:rFonts w:hint="eastAsia" w:ascii="宋体" w:hAnsi="宋体" w:eastAsia="仿宋_GB2312" w:cs="仿宋_GB2312"/>
          <w:bCs/>
          <w:sz w:val="32"/>
          <w:szCs w:val="20"/>
          <w:lang w:val="zh-CN"/>
        </w:rPr>
        <w:t>违反本条例第十三条、第二十二条、第二十三条、第二十五条、第二十六条、第四十条规定的，</w:t>
      </w:r>
      <w:r>
        <w:rPr>
          <w:rFonts w:hint="eastAsia" w:ascii="宋体" w:hAnsi="宋体" w:eastAsia="仿宋_GB2312" w:cs="仿宋_GB2312"/>
          <w:bCs/>
          <w:color w:val="000000"/>
          <w:sz w:val="32"/>
          <w:szCs w:val="20"/>
          <w:lang w:val="zh-CN"/>
        </w:rPr>
        <w:t>依照国家有关法律法规进行处理，并可由省人民政府科学技术主管部门暂扣或者吊销实验动物的生产、使用许可证。</w:t>
      </w:r>
    </w:p>
    <w:p>
      <w:pPr>
        <w:wordWrap/>
        <w:autoSpaceDE w:val="0"/>
        <w:autoSpaceDN w:val="0"/>
        <w:adjustRightInd w:val="0"/>
        <w:spacing w:line="560" w:lineRule="exact"/>
        <w:ind w:firstLine="640" w:firstLineChars="200"/>
        <w:textAlignment w:val="auto"/>
        <w:rPr>
          <w:rFonts w:hint="eastAsia" w:ascii="宋体" w:hAnsi="宋体" w:eastAsia="仿宋_GB2312" w:cs="仿宋_GB2312"/>
          <w:sz w:val="32"/>
          <w:szCs w:val="20"/>
        </w:rPr>
      </w:pPr>
      <w:r>
        <w:rPr>
          <w:rFonts w:hint="eastAsia" w:ascii="宋体" w:hAnsi="宋体" w:eastAsia="黑体" w:cs="黑体"/>
          <w:sz w:val="32"/>
          <w:szCs w:val="20"/>
          <w:lang w:val="zh-CN"/>
        </w:rPr>
        <w:t xml:space="preserve">第四十七条 </w:t>
      </w:r>
      <w:r>
        <w:rPr>
          <w:rFonts w:hint="eastAsia" w:ascii="宋体" w:hAnsi="宋体" w:eastAsia="仿宋_GB2312" w:cs="仿宋_GB2312"/>
          <w:bCs/>
          <w:sz w:val="32"/>
          <w:szCs w:val="20"/>
          <w:lang w:val="zh-CN"/>
        </w:rPr>
        <w:t xml:space="preserve"> </w:t>
      </w:r>
      <w:r>
        <w:rPr>
          <w:rFonts w:hint="eastAsia" w:ascii="宋体" w:hAnsi="宋体" w:eastAsia="仿宋_GB2312" w:cs="仿宋_GB2312"/>
          <w:sz w:val="32"/>
          <w:szCs w:val="20"/>
        </w:rPr>
        <w:t>违反本条例有关规定的单位和个人，引发危害公共安全等重大事故、造成严重后果的，依照国家有关法律法规追究责任。</w:t>
      </w:r>
    </w:p>
    <w:p>
      <w:pPr>
        <w:wordWrap/>
        <w:autoSpaceDE w:val="0"/>
        <w:autoSpaceDN w:val="0"/>
        <w:adjustRightInd w:val="0"/>
        <w:spacing w:line="560" w:lineRule="exact"/>
        <w:ind w:firstLine="640" w:firstLineChars="200"/>
        <w:textAlignment w:val="auto"/>
        <w:rPr>
          <w:rFonts w:hint="eastAsia" w:ascii="宋体" w:hAnsi="宋体" w:eastAsia="仿宋_GB2312" w:cs="仿宋_GB2312"/>
          <w:sz w:val="32"/>
          <w:szCs w:val="20"/>
        </w:rPr>
      </w:pPr>
      <w:r>
        <w:rPr>
          <w:rFonts w:hint="eastAsia" w:ascii="宋体" w:hAnsi="宋体" w:eastAsia="黑体" w:cs="黑体"/>
          <w:bCs/>
          <w:sz w:val="32"/>
          <w:szCs w:val="20"/>
          <w:lang w:val="zh-CN"/>
        </w:rPr>
        <w:t>第四十八条</w:t>
      </w:r>
      <w:r>
        <w:rPr>
          <w:rFonts w:hint="eastAsia" w:ascii="宋体" w:hAnsi="宋体" w:eastAsia="仿宋_GB2312" w:cs="仿宋_GB2312"/>
          <w:bCs/>
          <w:sz w:val="32"/>
          <w:szCs w:val="20"/>
          <w:lang w:val="zh-CN"/>
        </w:rPr>
        <w:t xml:space="preserve">  </w:t>
      </w:r>
      <w:r>
        <w:rPr>
          <w:rFonts w:hint="eastAsia" w:ascii="宋体" w:hAnsi="宋体" w:eastAsia="仿宋_GB2312" w:cs="仿宋_GB2312"/>
          <w:sz w:val="32"/>
          <w:szCs w:val="20"/>
        </w:rPr>
        <w:t>违反本条例第四十四条、第四十六条规定暂扣实验动物的生产、使用许可证的，有关单位和个人应当按期整改，经验收合格后，</w:t>
      </w:r>
      <w:r>
        <w:rPr>
          <w:rFonts w:hint="eastAsia" w:ascii="宋体" w:hAnsi="宋体" w:eastAsia="仿宋_GB2312" w:cs="仿宋_GB2312"/>
          <w:bCs/>
          <w:sz w:val="32"/>
          <w:szCs w:val="20"/>
        </w:rPr>
        <w:t>省人民政府科学技术主管部门应当立即返还</w:t>
      </w:r>
      <w:r>
        <w:rPr>
          <w:rFonts w:hint="eastAsia" w:ascii="宋体" w:hAnsi="宋体" w:eastAsia="仿宋_GB2312" w:cs="仿宋_GB2312"/>
          <w:sz w:val="32"/>
          <w:szCs w:val="20"/>
        </w:rPr>
        <w:t>实验动物的生产、使用许可证。</w:t>
      </w:r>
    </w:p>
    <w:p>
      <w:pPr>
        <w:wordWrap/>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黑体" w:cs="黑体"/>
          <w:bCs/>
          <w:sz w:val="32"/>
          <w:szCs w:val="20"/>
          <w:lang w:val="zh-CN"/>
        </w:rPr>
        <w:t>第四十九条</w:t>
      </w:r>
      <w:r>
        <w:rPr>
          <w:rFonts w:hint="eastAsia" w:ascii="宋体" w:hAnsi="宋体" w:eastAsia="仿宋_GB2312" w:cs="仿宋_GB2312"/>
          <w:bCs/>
          <w:sz w:val="32"/>
          <w:szCs w:val="20"/>
          <w:lang w:val="zh-CN"/>
        </w:rPr>
        <w:t xml:space="preserve">  </w:t>
      </w:r>
      <w:r>
        <w:rPr>
          <w:rFonts w:hint="eastAsia" w:ascii="宋体" w:hAnsi="宋体" w:eastAsia="仿宋_GB2312" w:cs="仿宋_GB2312"/>
          <w:bCs/>
          <w:sz w:val="32"/>
          <w:szCs w:val="20"/>
        </w:rPr>
        <w:t>省人民政府科学技术主管部门及其工作人员</w:t>
      </w:r>
      <w:r>
        <w:rPr>
          <w:rFonts w:hint="eastAsia" w:ascii="宋体" w:hAnsi="宋体" w:eastAsia="仿宋_GB2312" w:cs="仿宋_GB2312"/>
          <w:bCs/>
          <w:sz w:val="32"/>
          <w:szCs w:val="20"/>
          <w:lang w:val="zh-CN"/>
        </w:rPr>
        <w:t>有下列行为之一的，由有关机关责令改正；情节严重的，对直接负责的主管人员和其他直接责任人员依法给予处分；构成犯罪的，依法追究刑事责任：</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（一）对不符合法定条件的申请人准予行政许可的；</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（二）对符合法定条件的申请人不给予行政许可的；</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（三）不在法定期限内作出行政许可决定的；</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（四）不按规定程序作出行政许可决定的；</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（五）不依法履行职责或者监管不力，造成严重后果的。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黑体" w:cs="黑体"/>
          <w:bCs/>
          <w:sz w:val="32"/>
          <w:szCs w:val="20"/>
          <w:lang w:val="zh-CN"/>
        </w:rPr>
        <w:t>第五十条</w:t>
      </w:r>
      <w:r>
        <w:rPr>
          <w:rFonts w:hint="eastAsia" w:ascii="宋体" w:hAnsi="宋体" w:eastAsia="仿宋_GB2312" w:cs="仿宋_GB2312"/>
          <w:bCs/>
          <w:sz w:val="32"/>
          <w:szCs w:val="20"/>
          <w:lang w:val="zh-CN"/>
        </w:rPr>
        <w:t xml:space="preserve">  </w:t>
      </w:r>
      <w:r>
        <w:rPr>
          <w:rFonts w:hint="eastAsia" w:ascii="宋体" w:hAnsi="宋体" w:eastAsia="仿宋_GB2312" w:cs="仿宋_GB2312"/>
          <w:bCs/>
          <w:sz w:val="32"/>
          <w:szCs w:val="20"/>
        </w:rPr>
        <w:t>省实验动物监测机构及其工作人员</w:t>
      </w:r>
      <w:r>
        <w:rPr>
          <w:rFonts w:hint="eastAsia" w:ascii="宋体" w:hAnsi="宋体" w:eastAsia="仿宋_GB2312" w:cs="仿宋_GB2312"/>
          <w:bCs/>
          <w:sz w:val="32"/>
          <w:szCs w:val="20"/>
          <w:lang w:val="zh-CN"/>
        </w:rPr>
        <w:t>违反本条例规定，不依法履行职责、检测不公正、出具虚假报告、滥收费用的，由</w:t>
      </w:r>
      <w:r>
        <w:rPr>
          <w:rFonts w:hint="eastAsia" w:ascii="宋体" w:hAnsi="宋体" w:eastAsia="仿宋_GB2312" w:cs="仿宋_GB2312"/>
          <w:bCs/>
          <w:sz w:val="32"/>
          <w:szCs w:val="20"/>
        </w:rPr>
        <w:t>省人民政府科学技术主管部门</w:t>
      </w:r>
      <w:r>
        <w:rPr>
          <w:rFonts w:hint="eastAsia" w:ascii="宋体" w:hAnsi="宋体" w:eastAsia="仿宋_GB2312" w:cs="仿宋_GB2312"/>
          <w:bCs/>
          <w:sz w:val="32"/>
          <w:szCs w:val="20"/>
          <w:lang w:val="zh-CN"/>
        </w:rPr>
        <w:t>责令改正，通报批评；对直接负责的主管人员和其他直接责任人员依法给予处分；对受检单位造成损失的，应当承担相应的赔偿责任；构成犯罪的，依法追究刑事责任。</w:t>
      </w:r>
    </w:p>
    <w:p>
      <w:pPr>
        <w:wordWrap/>
        <w:spacing w:line="560" w:lineRule="exact"/>
        <w:ind w:firstLine="600"/>
        <w:textAlignment w:val="auto"/>
        <w:rPr>
          <w:rFonts w:hint="eastAsia" w:ascii="宋体" w:hAnsi="宋体" w:eastAsia="仿宋_GB2312" w:cs="仿宋_GB2312"/>
          <w:bCs/>
          <w:sz w:val="32"/>
          <w:szCs w:val="20"/>
          <w:lang w:val="zh-CN"/>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第七章  附则</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第五十一条</w:t>
      </w:r>
      <w:r>
        <w:rPr>
          <w:rFonts w:hint="eastAsia" w:ascii="宋体" w:hAnsi="宋体" w:eastAsia="仿宋_GB2312" w:cs="仿宋_GB2312"/>
          <w:bCs/>
          <w:sz w:val="32"/>
          <w:szCs w:val="20"/>
        </w:rPr>
        <w:t xml:space="preserve">  本条例下列用语的含义：</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（一）实验动物，是指经人工饲养培育，遗传背景明确或者来源清楚，对其质量实行控制，用于科学研究、教学、医药、生产和检定以及其他科学实验的动物。</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（二）动物实验，是指以实验动物为对象和材料，在设计的条件下进行实验或者检测，观察、记录反应过程和结果的活动。</w:t>
      </w:r>
    </w:p>
    <w:p>
      <w:pPr>
        <w:wordWrap/>
        <w:spacing w:line="560" w:lineRule="exact"/>
        <w:ind w:firstLine="640" w:firstLineChars="200"/>
        <w:textAlignment w:val="auto"/>
        <w:rPr>
          <w:rFonts w:hint="eastAsia" w:ascii="宋体" w:hAnsi="宋体" w:eastAsia="仿宋_GB2312" w:cs="仿宋_GB2312"/>
          <w:color w:val="000000"/>
          <w:sz w:val="32"/>
          <w:szCs w:val="20"/>
        </w:rPr>
      </w:pPr>
      <w:r>
        <w:rPr>
          <w:rFonts w:hint="eastAsia" w:ascii="宋体" w:hAnsi="宋体" w:eastAsia="仿宋_GB2312" w:cs="仿宋_GB2312"/>
          <w:bCs/>
          <w:sz w:val="32"/>
          <w:szCs w:val="20"/>
        </w:rPr>
        <w:t>（三）</w:t>
      </w:r>
      <w:r>
        <w:rPr>
          <w:rFonts w:hint="eastAsia" w:ascii="宋体" w:hAnsi="宋体" w:eastAsia="仿宋_GB2312" w:cs="仿宋_GB2312"/>
          <w:bCs/>
          <w:color w:val="000000"/>
          <w:sz w:val="32"/>
          <w:szCs w:val="20"/>
        </w:rPr>
        <w:t>实验动物伦理，是指在实验动物生产、使用活动中，</w:t>
      </w:r>
      <w:r>
        <w:rPr>
          <w:rFonts w:hint="eastAsia" w:ascii="宋体" w:hAnsi="宋体" w:eastAsia="仿宋_GB2312" w:cs="仿宋_GB2312"/>
          <w:color w:val="000000"/>
          <w:sz w:val="32"/>
          <w:szCs w:val="20"/>
        </w:rPr>
        <w:t>人对实验动物的伦理态度和伦理行为规范，主要包括尊重实验动物生命价值、权利福利，在动物实验中审慎考虑平衡实验目的、公众利益和实验动物生命价值权利。</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color w:val="000000"/>
          <w:sz w:val="32"/>
          <w:szCs w:val="20"/>
        </w:rPr>
        <w:t>（四）</w:t>
      </w:r>
      <w:r>
        <w:rPr>
          <w:rFonts w:hint="eastAsia" w:ascii="宋体" w:hAnsi="宋体" w:eastAsia="仿宋_GB2312" w:cs="仿宋_GB2312"/>
          <w:bCs/>
          <w:sz w:val="32"/>
          <w:szCs w:val="20"/>
        </w:rPr>
        <w:t>实验动物福利，是指善待实验动物，即在饲养管理和使用实验动物活动中，采取有效措施，保证实验动物能够受到良好的管理与照料，为其提供清洁、舒适的生活环境，提供保证健康所需的充足的食物、饮用水和空间，使实验动物减少或避免不必要的伤害、饥渴、不适、惊恐、疾病和疼痛。</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（五）安死术，是指以人道的方法处死动物的技术，使动物在没有惊恐和痛苦的状态下安静地并在尽可能短的时间内死亡。</w:t>
      </w:r>
    </w:p>
    <w:p>
      <w:pPr>
        <w:wordWrap/>
        <w:spacing w:line="560" w:lineRule="exact"/>
        <w:jc w:val="center"/>
        <w:textAlignment w:val="auto"/>
        <w:rPr>
          <w:rFonts w:hint="eastAsia" w:ascii="Times New Roman" w:hAnsi="Times New Roman" w:eastAsia="宋体" w:cs="Times New Roman"/>
          <w:bCs/>
          <w:kern w:val="44"/>
          <w:sz w:val="44"/>
          <w:szCs w:val="44"/>
          <w:lang w:val="en-US" w:eastAsia="zh-CN" w:bidi="ar-SA"/>
        </w:rPr>
      </w:pPr>
      <w:r>
        <w:rPr>
          <w:rFonts w:hint="eastAsia" w:ascii="宋体" w:hAnsi="宋体" w:eastAsia="黑体" w:cs="黑体"/>
          <w:bCs/>
          <w:sz w:val="32"/>
          <w:szCs w:val="20"/>
          <w:lang w:val="zh-CN"/>
        </w:rPr>
        <w:t>第五十二条</w:t>
      </w:r>
      <w:r>
        <w:rPr>
          <w:rFonts w:hint="eastAsia" w:ascii="宋体" w:hAnsi="宋体" w:eastAsia="仿宋_GB2312" w:cs="仿宋_GB2312"/>
          <w:bCs/>
          <w:sz w:val="32"/>
          <w:szCs w:val="20"/>
          <w:lang w:val="zh-CN"/>
        </w:rPr>
        <w:t xml:space="preserve">  本条例自2010年10月1日起施行。</w:t>
      </w:r>
    </w:p>
    <w:p>
      <w:pPr>
        <w:wordWrap/>
        <w:spacing w:line="560" w:lineRule="exact"/>
        <w:textAlignment w:val="auto"/>
        <w:rPr>
          <w:rFonts w:hint="eastAsia" w:ascii="宋体" w:hAnsi="宋体" w:eastAsia="宋体" w:cs="宋体"/>
          <w:color w:val="000000"/>
          <w:sz w:val="44"/>
          <w:szCs w:val="44"/>
        </w:rPr>
      </w:pP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45" w:name="_Toc1718"/>
      <w:r>
        <w:rPr>
          <w:rFonts w:hint="eastAsia" w:ascii="宋体" w:hAnsi="宋体" w:eastAsia="宋体" w:cs="宋体"/>
          <w:color w:val="000000"/>
          <w:sz w:val="44"/>
          <w:szCs w:val="44"/>
        </w:rPr>
        <w:t>广东省</w:t>
      </w:r>
      <w:r>
        <w:rPr>
          <w:rFonts w:hint="eastAsia" w:ascii="宋体" w:hAnsi="宋体" w:eastAsia="宋体" w:cs="宋体"/>
          <w:color w:val="000000"/>
          <w:sz w:val="44"/>
          <w:szCs w:val="44"/>
          <w:lang w:eastAsia="zh-CN"/>
        </w:rPr>
        <w:t>市场监管</w:t>
      </w:r>
      <w:r>
        <w:rPr>
          <w:rFonts w:hint="eastAsia" w:ascii="宋体" w:hAnsi="宋体" w:eastAsia="宋体" w:cs="宋体"/>
          <w:color w:val="000000"/>
          <w:sz w:val="44"/>
          <w:szCs w:val="44"/>
        </w:rPr>
        <w:t>条例</w:t>
      </w:r>
      <w:bookmarkEnd w:id="445"/>
    </w:p>
    <w:p>
      <w:pPr>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rPr>
        <w:t>（201</w:t>
      </w:r>
      <w:r>
        <w:rPr>
          <w:rFonts w:hint="eastAsia" w:ascii="宋体" w:hAnsi="宋体" w:eastAsia="楷体_GB2312" w:cs="楷体_GB2312"/>
          <w:b w:val="0"/>
          <w:bCs w:val="0"/>
          <w:sz w:val="32"/>
          <w:szCs w:val="32"/>
          <w:lang w:val="en-US" w:eastAsia="zh-CN"/>
        </w:rPr>
        <w:t>6</w:t>
      </w:r>
      <w:r>
        <w:rPr>
          <w:rFonts w:hint="eastAsia" w:ascii="宋体" w:hAnsi="宋体" w:eastAsia="楷体_GB2312" w:cs="楷体_GB2312"/>
          <w:b w:val="0"/>
          <w:bCs w:val="0"/>
          <w:sz w:val="32"/>
          <w:szCs w:val="32"/>
        </w:rPr>
        <w:t>年</w:t>
      </w:r>
      <w:r>
        <w:rPr>
          <w:rFonts w:hint="eastAsia" w:ascii="宋体" w:hAnsi="宋体" w:eastAsia="楷体_GB2312" w:cs="楷体_GB2312"/>
          <w:b w:val="0"/>
          <w:bCs w:val="0"/>
          <w:sz w:val="32"/>
          <w:szCs w:val="32"/>
          <w:lang w:val="en-US" w:eastAsia="zh-CN"/>
        </w:rPr>
        <w:t>7</w:t>
      </w:r>
      <w:r>
        <w:rPr>
          <w:rFonts w:hint="eastAsia" w:ascii="宋体" w:hAnsi="宋体" w:eastAsia="楷体_GB2312" w:cs="楷体_GB2312"/>
          <w:b w:val="0"/>
          <w:bCs w:val="0"/>
          <w:sz w:val="32"/>
          <w:szCs w:val="32"/>
        </w:rPr>
        <w:t>月</w:t>
      </w:r>
      <w:r>
        <w:rPr>
          <w:rFonts w:hint="eastAsia" w:ascii="宋体" w:hAnsi="宋体" w:eastAsia="楷体_GB2312" w:cs="楷体_GB2312"/>
          <w:b w:val="0"/>
          <w:bCs w:val="0"/>
          <w:sz w:val="32"/>
          <w:szCs w:val="32"/>
          <w:lang w:val="en-US" w:eastAsia="zh-CN"/>
        </w:rPr>
        <w:t>28</w:t>
      </w:r>
      <w:r>
        <w:rPr>
          <w:rFonts w:hint="eastAsia" w:ascii="宋体" w:hAnsi="宋体" w:eastAsia="楷体_GB2312" w:cs="楷体_GB2312"/>
          <w:b w:val="0"/>
          <w:bCs w:val="0"/>
          <w:sz w:val="32"/>
          <w:szCs w:val="32"/>
        </w:rPr>
        <w:t>日广东省第十</w:t>
      </w:r>
      <w:r>
        <w:rPr>
          <w:rFonts w:hint="eastAsia" w:ascii="宋体" w:hAnsi="宋体" w:eastAsia="楷体_GB2312" w:cs="楷体_GB2312"/>
          <w:b w:val="0"/>
          <w:bCs w:val="0"/>
          <w:sz w:val="32"/>
          <w:szCs w:val="32"/>
          <w:lang w:eastAsia="zh-CN"/>
        </w:rPr>
        <w:t>二</w:t>
      </w:r>
      <w:r>
        <w:rPr>
          <w:rFonts w:hint="eastAsia" w:ascii="宋体" w:hAnsi="宋体" w:eastAsia="楷体_GB2312" w:cs="楷体_GB2312"/>
          <w:b w:val="0"/>
          <w:bCs w:val="0"/>
          <w:sz w:val="32"/>
          <w:szCs w:val="32"/>
        </w:rPr>
        <w:t>届人民代表大会常务委员会第</w:t>
      </w:r>
      <w:r>
        <w:rPr>
          <w:rFonts w:hint="eastAsia" w:ascii="宋体" w:hAnsi="宋体" w:eastAsia="楷体_GB2312" w:cs="楷体_GB2312"/>
          <w:b w:val="0"/>
          <w:bCs w:val="0"/>
          <w:sz w:val="32"/>
          <w:szCs w:val="32"/>
          <w:lang w:eastAsia="zh-CN"/>
        </w:rPr>
        <w:t>二十七</w:t>
      </w:r>
      <w:r>
        <w:rPr>
          <w:rFonts w:hint="eastAsia" w:ascii="宋体" w:hAnsi="宋体" w:eastAsia="楷体_GB2312" w:cs="楷体_GB2312"/>
          <w:b w:val="0"/>
          <w:bCs w:val="0"/>
          <w:sz w:val="32"/>
          <w:szCs w:val="32"/>
        </w:rPr>
        <w:t>次会议通过</w:t>
      </w:r>
      <w:r>
        <w:rPr>
          <w:rFonts w:hint="eastAsia" w:ascii="宋体" w:hAnsi="宋体" w:eastAsia="楷体_GB2312" w:cs="楷体_GB2312"/>
          <w:b w:val="0"/>
          <w:bCs w:val="0"/>
          <w:sz w:val="32"/>
          <w:szCs w:val="32"/>
          <w:lang w:val="en-US" w:eastAsia="zh-CN"/>
        </w:rPr>
        <w:t xml:space="preserve">  2016年7月28日公布  自2016年10月1日起施行</w:t>
      </w:r>
      <w:r>
        <w:rPr>
          <w:rFonts w:hint="eastAsia" w:ascii="宋体" w:hAnsi="宋体" w:eastAsia="楷体_GB2312" w:cs="楷体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目    录</w:t>
      </w: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宋体" w:cs="宋体"/>
          <w:b w:val="0"/>
          <w:bCs w:val="0"/>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第一章  总则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第二章  监管职责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第三章  准入监管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第四章  后续监管</w:t>
      </w:r>
    </w:p>
    <w:p>
      <w:pPr>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楷体_GB2312" w:cs="楷体_GB2312"/>
          <w:b w:val="0"/>
          <w:bCs w:val="0"/>
          <w:sz w:val="32"/>
          <w:szCs w:val="32"/>
          <w:lang w:eastAsia="zh-CN"/>
        </w:rPr>
      </w:pPr>
      <w:r>
        <w:rPr>
          <w:rFonts w:hint="eastAsia" w:ascii="宋体" w:hAnsi="宋体" w:eastAsia="宋体" w:cs="宋体"/>
          <w:b w:val="0"/>
          <w:bCs w:val="0"/>
          <w:sz w:val="32"/>
          <w:szCs w:val="32"/>
          <w:lang w:val="en-US" w:eastAsia="zh-CN"/>
        </w:rPr>
        <w:t xml:space="preserve">        </w:t>
      </w:r>
      <w:r>
        <w:rPr>
          <w:rFonts w:hint="eastAsia" w:ascii="宋体" w:hAnsi="宋体" w:eastAsia="楷体_GB2312" w:cs="楷体_GB2312"/>
          <w:b w:val="0"/>
          <w:bCs w:val="0"/>
          <w:sz w:val="32"/>
          <w:szCs w:val="32"/>
          <w:lang w:val="en-US" w:eastAsia="zh-CN"/>
        </w:rPr>
        <w:t>第一节  一般监管</w:t>
      </w:r>
    </w:p>
    <w:p>
      <w:pPr>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第二节  协同监管</w:t>
      </w:r>
    </w:p>
    <w:p>
      <w:pPr>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第三节  信用监管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第四节  风险监管</w:t>
      </w:r>
    </w:p>
    <w:p>
      <w:pPr>
        <w:widowControl w:val="0"/>
        <w:numPr>
          <w:ilvl w:val="0"/>
          <w:numId w:val="16"/>
        </w:numPr>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社会监督</w:t>
      </w:r>
    </w:p>
    <w:p>
      <w:pPr>
        <w:widowControl w:val="0"/>
        <w:numPr>
          <w:ilvl w:val="0"/>
          <w:numId w:val="16"/>
        </w:numPr>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法律责任</w:t>
      </w:r>
    </w:p>
    <w:p>
      <w:pPr>
        <w:widowControl w:val="0"/>
        <w:numPr>
          <w:ilvl w:val="0"/>
          <w:numId w:val="16"/>
        </w:numPr>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附则</w:t>
      </w:r>
    </w:p>
    <w:p>
      <w:pPr>
        <w:widowControl w:val="0"/>
        <w:numPr>
          <w:ilvl w:val="0"/>
          <w:numId w:val="0"/>
        </w:numPr>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宋体" w:cs="宋体"/>
          <w:b w:val="0"/>
          <w:bCs w:val="0"/>
          <w:sz w:val="32"/>
          <w:szCs w:val="32"/>
          <w:lang w:val="en-US" w:eastAsia="zh-CN"/>
        </w:rPr>
      </w:pPr>
    </w:p>
    <w:p>
      <w:pPr>
        <w:widowControl w:val="0"/>
        <w:numPr>
          <w:ilvl w:val="0"/>
          <w:numId w:val="17"/>
        </w:numPr>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 xml:space="preserve"> 总则</w:t>
      </w:r>
    </w:p>
    <w:p>
      <w:pPr>
        <w:widowControl w:val="0"/>
        <w:numPr>
          <w:ilvl w:val="0"/>
          <w:numId w:val="0"/>
        </w:numPr>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宋体" w:cs="宋体"/>
          <w:b w:val="0"/>
          <w:bCs w:val="0"/>
          <w:sz w:val="32"/>
          <w:szCs w:val="32"/>
        </w:rPr>
        <w:t>　</w:t>
      </w:r>
      <w:r>
        <w:rPr>
          <w:rFonts w:hint="eastAsia" w:ascii="宋体" w:hAnsi="宋体" w:eastAsia="黑体" w:cs="黑体"/>
          <w:b w:val="0"/>
          <w:bCs w:val="0"/>
          <w:sz w:val="32"/>
          <w:szCs w:val="32"/>
        </w:rPr>
        <w:t>　第一条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为了规范市场监管行为，健全市场监管制度，维护公平竞争的市场秩序，保护市场主体和消费者的合法权益，促进市场经济持续健康发展，根据有关法律、法规，结合本省实际，制定本条例。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本条例适用于本省行政区域内各级人民政府</w:t>
      </w:r>
      <w:r>
        <w:rPr>
          <w:rFonts w:hint="eastAsia" w:ascii="宋体" w:hAnsi="宋体" w:eastAsia="仿宋_GB2312" w:cs="仿宋_GB2312"/>
          <w:b w:val="0"/>
          <w:bCs w:val="0"/>
          <w:i w:val="0"/>
          <w:iCs w:val="0"/>
          <w:sz w:val="32"/>
          <w:szCs w:val="32"/>
          <w:u w:val="none" w:color="auto"/>
          <w:lang w:val="en-US" w:eastAsia="zh-CN"/>
        </w:rPr>
        <w:t>及其</w:t>
      </w:r>
      <w:r>
        <w:rPr>
          <w:rFonts w:hint="eastAsia" w:ascii="宋体" w:hAnsi="宋体" w:eastAsia="仿宋_GB2312" w:cs="仿宋_GB2312"/>
          <w:b w:val="0"/>
          <w:bCs w:val="0"/>
          <w:sz w:val="32"/>
          <w:szCs w:val="32"/>
        </w:rPr>
        <w:t>负有市场监管职责的部门（以下简称市场监管部门）对市场主体及其生产经营行为实施的监督管理活动。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本条例所称市场主体，是指在生产经营活动中提供商品或者服务的公民、法人或者其他组织。</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xml:space="preserve">    </w:t>
      </w:r>
      <w:r>
        <w:rPr>
          <w:rFonts w:hint="eastAsia" w:ascii="宋体" w:hAnsi="宋体" w:eastAsia="黑体" w:cs="黑体"/>
          <w:b w:val="0"/>
          <w:bCs w:val="0"/>
          <w:sz w:val="32"/>
          <w:szCs w:val="32"/>
        </w:rPr>
        <w:t xml:space="preserve">第三条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lang w:eastAsia="zh-CN"/>
        </w:rPr>
        <w:t>各级人民政府及其</w:t>
      </w:r>
      <w:r>
        <w:rPr>
          <w:rFonts w:hint="eastAsia" w:ascii="宋体" w:hAnsi="宋体" w:eastAsia="仿宋_GB2312" w:cs="仿宋_GB2312"/>
          <w:b w:val="0"/>
          <w:bCs w:val="0"/>
          <w:sz w:val="32"/>
          <w:szCs w:val="32"/>
        </w:rPr>
        <w:t>市场监管部门实施市场监管，应当遵循合法适当、公平公正、透明高效、权责一致的原则。</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 w:cs="仿宋"/>
          <w:b w:val="0"/>
          <w:bCs w:val="0"/>
          <w:sz w:val="32"/>
          <w:szCs w:val="32"/>
        </w:rPr>
      </w:pPr>
      <w:r>
        <w:rPr>
          <w:rFonts w:hint="eastAsia" w:ascii="宋体" w:hAnsi="宋体" w:eastAsia="黑体" w:cs="黑体"/>
          <w:b w:val="0"/>
          <w:bCs w:val="0"/>
          <w:sz w:val="32"/>
          <w:szCs w:val="32"/>
        </w:rPr>
        <w:t>第四条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市场监管部门应当依照法定权限和程序实施市场监管</w:t>
      </w:r>
      <w:r>
        <w:rPr>
          <w:rFonts w:hint="eastAsia" w:ascii="宋体" w:hAnsi="宋体" w:eastAsia="仿宋_GB2312" w:cs="仿宋_GB2312"/>
          <w:b w:val="0"/>
          <w:bCs w:val="0"/>
          <w:sz w:val="32"/>
          <w:szCs w:val="32"/>
          <w:lang w:eastAsia="zh-CN"/>
        </w:rPr>
        <w:t>，</w:t>
      </w:r>
      <w:r>
        <w:rPr>
          <w:rFonts w:hint="eastAsia" w:ascii="宋体" w:hAnsi="宋体" w:eastAsia="仿宋_GB2312" w:cs="仿宋_GB2312"/>
          <w:b w:val="0"/>
          <w:bCs w:val="0"/>
          <w:i w:val="0"/>
          <w:iCs w:val="0"/>
          <w:sz w:val="32"/>
          <w:szCs w:val="32"/>
          <w:u w:val="none" w:color="auto"/>
          <w:lang w:eastAsia="zh-CN"/>
        </w:rPr>
        <w:t>不得违法增设权力和减少职责。没</w:t>
      </w:r>
      <w:r>
        <w:rPr>
          <w:rFonts w:hint="eastAsia" w:ascii="宋体" w:hAnsi="宋体" w:eastAsia="仿宋_GB2312" w:cs="仿宋_GB2312"/>
          <w:b w:val="0"/>
          <w:bCs w:val="0"/>
          <w:i w:val="0"/>
          <w:iCs w:val="0"/>
          <w:sz w:val="32"/>
          <w:szCs w:val="32"/>
          <w:u w:val="none" w:color="auto"/>
        </w:rPr>
        <w:t>有法律、法规依据，不得</w:t>
      </w:r>
      <w:r>
        <w:rPr>
          <w:rFonts w:hint="eastAsia" w:ascii="宋体" w:hAnsi="宋体" w:eastAsia="仿宋_GB2312" w:cs="仿宋_GB2312"/>
          <w:b w:val="0"/>
          <w:bCs w:val="0"/>
          <w:sz w:val="32"/>
          <w:szCs w:val="32"/>
        </w:rPr>
        <w:t>减损市场主体权利或者增加</w:t>
      </w:r>
      <w:r>
        <w:rPr>
          <w:rFonts w:hint="eastAsia" w:ascii="宋体" w:hAnsi="宋体" w:eastAsia="仿宋_GB2312" w:cs="仿宋_GB2312"/>
          <w:b w:val="0"/>
          <w:bCs w:val="0"/>
          <w:i w:val="0"/>
          <w:iCs w:val="0"/>
          <w:sz w:val="32"/>
          <w:szCs w:val="32"/>
          <w:u w:val="none" w:color="auto"/>
          <w:lang w:eastAsia="zh-CN"/>
        </w:rPr>
        <w:t>市场主体</w:t>
      </w:r>
      <w:r>
        <w:rPr>
          <w:rFonts w:hint="eastAsia" w:ascii="宋体" w:hAnsi="宋体" w:eastAsia="仿宋_GB2312" w:cs="仿宋_GB2312"/>
          <w:b w:val="0"/>
          <w:bCs w:val="0"/>
          <w:sz w:val="32"/>
          <w:szCs w:val="32"/>
        </w:rPr>
        <w:t>义务。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市场监管部门、市场主体、社会组织和公众应当共同维护市场秩序，促进市场健康发展。</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市场监管部门应当鼓励和支持社会组织、公众参与市场监督。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市场主体应当加强内部管理和自我约束，自觉守法，诚信经营，接受政府和社会组织、公众的监督，依法承担生产经营活动产生的责任。</w:t>
      </w:r>
    </w:p>
    <w:p>
      <w:pPr>
        <w:widowControl w:val="0"/>
        <w:wordWrap/>
        <w:overflowPunct w:val="0"/>
        <w:adjustRightInd/>
        <w:snapToGrid/>
        <w:spacing w:beforeAutospacing="0" w:afterAutospacing="0" w:line="560" w:lineRule="exact"/>
        <w:ind w:left="0" w:leftChars="0" w:right="0" w:firstLine="0" w:firstLineChars="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第二章  监管职责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第七条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rPr>
        <w:t>应当</w:t>
      </w:r>
      <w:r>
        <w:rPr>
          <w:rFonts w:hint="eastAsia" w:ascii="宋体" w:hAnsi="宋体" w:eastAsia="仿宋_GB2312" w:cs="仿宋_GB2312"/>
          <w:b w:val="0"/>
          <w:bCs w:val="0"/>
          <w:sz w:val="32"/>
          <w:szCs w:val="32"/>
        </w:rPr>
        <w:t>建立健全市场监管统筹和协调机制，及时协调、解决市场监管中的重大问题。</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县级以上人民政府应当依法制定、调整所属市场监管部门的权责清单，并</w:t>
      </w:r>
      <w:r>
        <w:rPr>
          <w:rFonts w:hint="eastAsia" w:ascii="宋体" w:hAnsi="宋体" w:eastAsia="仿宋_GB2312" w:cs="仿宋_GB2312"/>
          <w:b w:val="0"/>
          <w:bCs w:val="0"/>
          <w:i w:val="0"/>
          <w:iCs w:val="0"/>
          <w:sz w:val="32"/>
          <w:szCs w:val="32"/>
          <w:u w:val="none" w:color="auto"/>
        </w:rPr>
        <w:t>及时</w:t>
      </w:r>
      <w:r>
        <w:rPr>
          <w:rFonts w:hint="eastAsia" w:ascii="宋体" w:hAnsi="宋体" w:eastAsia="仿宋_GB2312" w:cs="仿宋_GB2312"/>
          <w:b w:val="0"/>
          <w:bCs w:val="0"/>
          <w:sz w:val="32"/>
          <w:szCs w:val="32"/>
        </w:rPr>
        <w:t>向社会公开。</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县级以上人民政府应当定期对所属市场监管部门和下一级人民政府履行市场监管职责的情况进行考核。</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i w:val="0"/>
          <w:iCs w:val="0"/>
          <w:sz w:val="32"/>
          <w:szCs w:val="32"/>
          <w:u w:val="none" w:color="auto"/>
        </w:rPr>
      </w:pPr>
      <w:r>
        <w:rPr>
          <w:rFonts w:hint="eastAsia" w:ascii="宋体" w:hAnsi="宋体" w:eastAsia="黑体" w:cs="黑体"/>
          <w:b w:val="0"/>
          <w:bCs w:val="0"/>
          <w:sz w:val="32"/>
          <w:szCs w:val="32"/>
        </w:rPr>
        <w:t>第八条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w:t>
      </w:r>
      <w:r>
        <w:rPr>
          <w:rFonts w:hint="eastAsia" w:ascii="宋体" w:hAnsi="宋体" w:eastAsia="仿宋_GB2312" w:cs="仿宋_GB2312"/>
          <w:b w:val="0"/>
          <w:bCs w:val="0"/>
          <w:sz w:val="32"/>
          <w:szCs w:val="32"/>
          <w:lang w:eastAsia="zh-CN"/>
        </w:rPr>
        <w:t>的</w:t>
      </w:r>
      <w:r>
        <w:rPr>
          <w:rFonts w:hint="eastAsia" w:ascii="宋体" w:hAnsi="宋体" w:eastAsia="仿宋_GB2312" w:cs="仿宋_GB2312"/>
          <w:b w:val="0"/>
          <w:bCs w:val="0"/>
          <w:sz w:val="32"/>
          <w:szCs w:val="32"/>
        </w:rPr>
        <w:t>监管职责</w:t>
      </w:r>
      <w:r>
        <w:rPr>
          <w:rFonts w:hint="eastAsia" w:ascii="宋体" w:hAnsi="宋体" w:eastAsia="仿宋_GB2312" w:cs="仿宋_GB2312"/>
          <w:b w:val="0"/>
          <w:bCs w:val="0"/>
          <w:sz w:val="32"/>
          <w:szCs w:val="32"/>
          <w:lang w:eastAsia="zh-CN"/>
        </w:rPr>
        <w:t>依照</w:t>
      </w:r>
      <w:r>
        <w:rPr>
          <w:rFonts w:hint="eastAsia" w:ascii="宋体" w:hAnsi="宋体" w:eastAsia="仿宋_GB2312" w:cs="仿宋_GB2312"/>
          <w:b w:val="0"/>
          <w:bCs w:val="0"/>
          <w:sz w:val="32"/>
          <w:szCs w:val="32"/>
        </w:rPr>
        <w:t>法律、法规</w:t>
      </w:r>
      <w:r>
        <w:rPr>
          <w:rFonts w:hint="eastAsia" w:ascii="宋体" w:hAnsi="宋体" w:eastAsia="仿宋_GB2312" w:cs="仿宋_GB2312"/>
          <w:b w:val="0"/>
          <w:bCs w:val="0"/>
          <w:sz w:val="32"/>
          <w:szCs w:val="32"/>
          <w:lang w:eastAsia="zh-CN"/>
        </w:rPr>
        <w:t>确定；</w:t>
      </w:r>
      <w:r>
        <w:rPr>
          <w:rFonts w:hint="eastAsia" w:ascii="宋体" w:hAnsi="宋体" w:eastAsia="仿宋_GB2312" w:cs="仿宋_GB2312"/>
          <w:b w:val="0"/>
          <w:bCs w:val="0"/>
          <w:i w:val="0"/>
          <w:iCs w:val="0"/>
          <w:sz w:val="32"/>
          <w:szCs w:val="32"/>
          <w:u w:val="none" w:color="auto"/>
          <w:lang w:eastAsia="zh-CN"/>
        </w:rPr>
        <w:t>法律、法规没有明确市场监管部门的，按照下列规定确定：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（一）</w:t>
      </w:r>
      <w:r>
        <w:rPr>
          <w:rFonts w:hint="eastAsia" w:ascii="宋体" w:hAnsi="宋体" w:eastAsia="仿宋_GB2312" w:cs="仿宋_GB2312"/>
          <w:b w:val="0"/>
          <w:bCs w:val="0"/>
          <w:sz w:val="32"/>
          <w:szCs w:val="32"/>
        </w:rPr>
        <w:t>涉及行政许可的，行政许可实施部门为市场监管部门；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（二）</w:t>
      </w:r>
      <w:r>
        <w:rPr>
          <w:rFonts w:hint="eastAsia" w:ascii="宋体" w:hAnsi="宋体" w:eastAsia="仿宋_GB2312" w:cs="仿宋_GB2312"/>
          <w:b w:val="0"/>
          <w:bCs w:val="0"/>
          <w:sz w:val="32"/>
          <w:szCs w:val="32"/>
        </w:rPr>
        <w:t>不涉及行政许可但有行业主管部门的，行业主管部门为市场监管部门；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（三）</w:t>
      </w:r>
      <w:r>
        <w:rPr>
          <w:rFonts w:hint="eastAsia" w:ascii="宋体" w:hAnsi="宋体" w:eastAsia="仿宋_GB2312" w:cs="仿宋_GB2312"/>
          <w:b w:val="0"/>
          <w:bCs w:val="0"/>
          <w:sz w:val="32"/>
          <w:szCs w:val="32"/>
        </w:rPr>
        <w:t>不涉及行政许可且无行业主管部门</w:t>
      </w:r>
      <w:r>
        <w:rPr>
          <w:rFonts w:hint="eastAsia" w:ascii="宋体" w:hAnsi="宋体" w:eastAsia="仿宋_GB2312" w:cs="仿宋_GB2312"/>
          <w:b w:val="0"/>
          <w:bCs w:val="0"/>
          <w:sz w:val="32"/>
          <w:szCs w:val="32"/>
          <w:lang w:eastAsia="zh-CN"/>
        </w:rPr>
        <w:t>的</w:t>
      </w:r>
      <w:r>
        <w:rPr>
          <w:rFonts w:hint="eastAsia" w:ascii="宋体" w:hAnsi="宋体" w:eastAsia="仿宋_GB2312" w:cs="仿宋_GB2312"/>
          <w:b w:val="0"/>
          <w:bCs w:val="0"/>
          <w:sz w:val="32"/>
          <w:szCs w:val="32"/>
        </w:rPr>
        <w:t>，由</w:t>
      </w:r>
      <w:r>
        <w:rPr>
          <w:rFonts w:hint="eastAsia" w:ascii="宋体" w:hAnsi="宋体" w:eastAsia="仿宋_GB2312" w:cs="仿宋_GB2312"/>
          <w:b w:val="0"/>
          <w:bCs w:val="0"/>
          <w:i w:val="0"/>
          <w:iCs w:val="0"/>
          <w:sz w:val="32"/>
          <w:szCs w:val="32"/>
          <w:u w:val="none" w:color="auto"/>
          <w:lang w:eastAsia="zh-CN"/>
        </w:rPr>
        <w:t>县级以上</w:t>
      </w:r>
      <w:r>
        <w:rPr>
          <w:rFonts w:hint="eastAsia" w:ascii="宋体" w:hAnsi="宋体" w:eastAsia="仿宋_GB2312" w:cs="仿宋_GB2312"/>
          <w:b w:val="0"/>
          <w:bCs w:val="0"/>
          <w:sz w:val="32"/>
          <w:szCs w:val="32"/>
        </w:rPr>
        <w:t>人民政府指定市场监管部门；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（四）涉及多个部门且监管职责分工不明确的，由</w:t>
      </w:r>
      <w:r>
        <w:rPr>
          <w:rFonts w:hint="eastAsia" w:ascii="宋体" w:hAnsi="宋体" w:eastAsia="仿宋_GB2312" w:cs="仿宋_GB2312"/>
          <w:b w:val="0"/>
          <w:bCs w:val="0"/>
          <w:i w:val="0"/>
          <w:iCs w:val="0"/>
          <w:sz w:val="32"/>
          <w:szCs w:val="32"/>
          <w:u w:val="none" w:color="auto"/>
          <w:lang w:eastAsia="zh-CN"/>
        </w:rPr>
        <w:t>县级以上</w:t>
      </w:r>
      <w:r>
        <w:rPr>
          <w:rFonts w:hint="eastAsia" w:ascii="宋体" w:hAnsi="宋体" w:eastAsia="仿宋_GB2312" w:cs="仿宋_GB2312"/>
          <w:b w:val="0"/>
          <w:bCs w:val="0"/>
          <w:sz w:val="32"/>
          <w:szCs w:val="32"/>
        </w:rPr>
        <w:t>人民政府指定市场监管部门。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市场主体依法应当取得而未取得行政许可，擅自从事与许可事项相关的生产经营活动的，由行政许可实施部门予以查处。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除前款规定的情形外，市场主体依法应当取得而未取得营业执照，擅自从事生产经营活动的，由工商行政管理部门予以查处。</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法律、法规另有规定的，从其规定。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第十条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市场监管部门的不同层级对同一市场主体及其生产经营行为均有监管职权的，原则上由最低一级市场监管部门实施监管。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乡镇人民政府和街道办事处发现市场违法行为但无权查处的，应当向上一级人民政府或者其市场监管部门报告。</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地级以上市人民政府可以通过法定程序赋予特大镇人民政府行使县级人民政府及其部门的部分市场监管职权，委托较大镇、一般镇人民政府和街道办事处行使县级人民政府及其部门的部分市场监管职权。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第十一条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县级以上人民政府可以依法整合市场监管职能，相对集中</w:t>
      </w:r>
      <w:r>
        <w:rPr>
          <w:rFonts w:hint="eastAsia" w:ascii="宋体" w:hAnsi="宋体" w:eastAsia="仿宋_GB2312" w:cs="仿宋_GB2312"/>
          <w:b w:val="0"/>
          <w:bCs w:val="0"/>
          <w:sz w:val="32"/>
          <w:szCs w:val="32"/>
          <w:lang w:eastAsia="zh-CN"/>
        </w:rPr>
        <w:t>行使</w:t>
      </w:r>
      <w:r>
        <w:rPr>
          <w:rFonts w:hint="eastAsia" w:ascii="宋体" w:hAnsi="宋体" w:eastAsia="仿宋_GB2312" w:cs="仿宋_GB2312"/>
          <w:b w:val="0"/>
          <w:bCs w:val="0"/>
          <w:sz w:val="32"/>
          <w:szCs w:val="32"/>
        </w:rPr>
        <w:t>执法权。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市场监管部门可以整合所属机构的执法职能，交由一个机构履行。</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第十二条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市场监管部门可以将</w:t>
      </w:r>
      <w:r>
        <w:rPr>
          <w:rFonts w:hint="eastAsia" w:ascii="宋体" w:hAnsi="宋体" w:eastAsia="仿宋_GB2312" w:cs="仿宋_GB2312"/>
          <w:b w:val="0"/>
          <w:bCs w:val="0"/>
          <w:i w:val="0"/>
          <w:iCs w:val="0"/>
          <w:sz w:val="32"/>
          <w:szCs w:val="32"/>
          <w:u w:val="none" w:color="auto"/>
        </w:rPr>
        <w:t>适宜由行业组织承接的</w:t>
      </w:r>
      <w:r>
        <w:rPr>
          <w:rFonts w:hint="eastAsia" w:ascii="宋体" w:hAnsi="宋体" w:eastAsia="仿宋_GB2312" w:cs="仿宋_GB2312"/>
          <w:b w:val="0"/>
          <w:bCs w:val="0"/>
          <w:sz w:val="32"/>
          <w:szCs w:val="32"/>
          <w:lang w:eastAsia="zh-CN"/>
        </w:rPr>
        <w:t>市场监管</w:t>
      </w:r>
      <w:r>
        <w:rPr>
          <w:rFonts w:hint="eastAsia" w:ascii="宋体" w:hAnsi="宋体" w:eastAsia="仿宋_GB2312" w:cs="仿宋_GB2312"/>
          <w:b w:val="0"/>
          <w:bCs w:val="0"/>
          <w:sz w:val="32"/>
          <w:szCs w:val="32"/>
        </w:rPr>
        <w:t>职能或者事项，转移、委托给具备条件的行业组织。</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第十三条</w:t>
      </w:r>
      <w:r>
        <w:rPr>
          <w:rFonts w:hint="eastAsia" w:ascii="宋体" w:hAnsi="宋体" w:eastAsia="仿宋" w:cs="仿宋"/>
          <w:b w:val="0"/>
          <w:bCs w:val="0"/>
          <w:sz w:val="32"/>
          <w:szCs w:val="32"/>
        </w:rPr>
        <w:t xml:space="preserve"> </w:t>
      </w:r>
      <w:r>
        <w:rPr>
          <w:rFonts w:hint="eastAsia" w:ascii="宋体" w:hAnsi="宋体" w:eastAsia="仿宋" w:cs="仿宋"/>
          <w:b w:val="0"/>
          <w:bCs w:val="0"/>
          <w:sz w:val="32"/>
          <w:szCs w:val="32"/>
          <w:lang w:val="en-US" w:eastAsia="zh-CN"/>
        </w:rPr>
        <w:t xml:space="preserve"> </w:t>
      </w:r>
      <w:r>
        <w:rPr>
          <w:rFonts w:hint="eastAsia" w:ascii="宋体" w:hAnsi="宋体" w:eastAsia="仿宋_GB2312" w:cs="仿宋_GB2312"/>
          <w:b w:val="0"/>
          <w:bCs w:val="0"/>
          <w:i w:val="0"/>
          <w:iCs w:val="0"/>
          <w:sz w:val="32"/>
          <w:szCs w:val="32"/>
          <w:u w:val="none" w:color="auto"/>
          <w:lang w:eastAsia="zh-CN"/>
        </w:rPr>
        <w:t>市场监管的范围、方式、程序</w:t>
      </w:r>
      <w:r>
        <w:rPr>
          <w:rFonts w:hint="eastAsia" w:ascii="宋体" w:hAnsi="宋体" w:eastAsia="仿宋_GB2312" w:cs="仿宋_GB2312"/>
          <w:b w:val="0"/>
          <w:bCs w:val="0"/>
          <w:sz w:val="32"/>
          <w:szCs w:val="32"/>
        </w:rPr>
        <w:t>需要通过制定、修改地方性法规、规章进一步明确的，依照法定程序</w:t>
      </w:r>
      <w:r>
        <w:rPr>
          <w:rFonts w:hint="eastAsia" w:ascii="宋体" w:hAnsi="宋体" w:eastAsia="仿宋_GB2312" w:cs="仿宋_GB2312"/>
          <w:b w:val="0"/>
          <w:bCs w:val="0"/>
          <w:i w:val="0"/>
          <w:iCs w:val="0"/>
          <w:sz w:val="32"/>
          <w:szCs w:val="32"/>
          <w:u w:val="none" w:color="auto"/>
          <w:lang w:eastAsia="zh-CN"/>
        </w:rPr>
        <w:t>办理</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第三章　准入监管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 xml:space="preserve"> 市场准入实行负面清单管理制度。负面清单按照国家有关规定执行。</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i w:val="0"/>
          <w:iCs w:val="0"/>
          <w:sz w:val="32"/>
          <w:szCs w:val="32"/>
          <w:u w:val="none" w:color="auto"/>
          <w:lang w:eastAsia="zh-CN"/>
        </w:rPr>
        <w:t>没有法定依据不得</w:t>
      </w:r>
      <w:r>
        <w:rPr>
          <w:rFonts w:hint="eastAsia" w:ascii="宋体" w:hAnsi="宋体" w:eastAsia="仿宋_GB2312" w:cs="仿宋_GB2312"/>
          <w:b w:val="0"/>
          <w:bCs w:val="0"/>
          <w:i w:val="0"/>
          <w:iCs w:val="0"/>
          <w:sz w:val="32"/>
          <w:szCs w:val="32"/>
          <w:u w:val="none" w:color="auto"/>
        </w:rPr>
        <w:t>设定或者实施</w:t>
      </w:r>
      <w:r>
        <w:rPr>
          <w:rFonts w:hint="eastAsia" w:ascii="宋体" w:hAnsi="宋体" w:eastAsia="仿宋_GB2312" w:cs="仿宋_GB2312"/>
          <w:b w:val="0"/>
          <w:bCs w:val="0"/>
          <w:sz w:val="32"/>
          <w:szCs w:val="32"/>
        </w:rPr>
        <w:t>市场准入行政许可。已取消的市场准入行政许可，非经法定程序不得恢复。</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工商登记前置许可事项范围按照国家编制的目录执行，确需调整的，由省人民政府按照法定程序报请有权机关批准或者取得授权。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工商登记后置许可事项目录由省人民政府依法制定，并向社会公布。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第十六条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市场监管部门应当建立健全市场准入行政许可标准化制度，制定办事指南和业务手册，明确行政许可的依据、条件、期限、流程</w:t>
      </w:r>
      <w:r>
        <w:rPr>
          <w:rFonts w:hint="eastAsia" w:ascii="宋体" w:hAnsi="宋体" w:eastAsia="仿宋_GB2312" w:cs="仿宋_GB2312"/>
          <w:b w:val="0"/>
          <w:bCs w:val="0"/>
          <w:i w:val="0"/>
          <w:iCs w:val="0"/>
          <w:sz w:val="32"/>
          <w:szCs w:val="32"/>
          <w:u w:val="none" w:color="auto"/>
        </w:rPr>
        <w:t>、裁量标准</w:t>
      </w:r>
      <w:r>
        <w:rPr>
          <w:rFonts w:hint="eastAsia" w:ascii="宋体" w:hAnsi="宋体" w:eastAsia="仿宋_GB2312" w:cs="仿宋_GB2312"/>
          <w:b w:val="0"/>
          <w:bCs w:val="0"/>
          <w:sz w:val="32"/>
          <w:szCs w:val="32"/>
        </w:rPr>
        <w:t>和申请的材料、格式文本等事项，并在行政许可受理场所</w:t>
      </w:r>
      <w:r>
        <w:rPr>
          <w:rFonts w:hint="eastAsia" w:ascii="宋体" w:hAnsi="宋体" w:eastAsia="仿宋_GB2312" w:cs="仿宋_GB2312"/>
          <w:b w:val="0"/>
          <w:bCs w:val="0"/>
          <w:i w:val="0"/>
          <w:iCs w:val="0"/>
          <w:sz w:val="32"/>
          <w:szCs w:val="32"/>
          <w:u w:val="none" w:color="auto"/>
          <w:lang w:eastAsia="zh-CN"/>
        </w:rPr>
        <w:t>、</w:t>
      </w:r>
      <w:r>
        <w:rPr>
          <w:rFonts w:hint="eastAsia" w:ascii="宋体" w:hAnsi="宋体" w:eastAsia="仿宋_GB2312" w:cs="仿宋_GB2312"/>
          <w:b w:val="0"/>
          <w:bCs w:val="0"/>
          <w:sz w:val="32"/>
          <w:szCs w:val="32"/>
        </w:rPr>
        <w:t>政务网站公布。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 w:cs="仿宋"/>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　第十七条  </w:t>
      </w:r>
      <w:r>
        <w:rPr>
          <w:rFonts w:hint="eastAsia" w:ascii="宋体" w:hAnsi="宋体" w:eastAsia="仿宋_GB2312" w:cs="仿宋_GB2312"/>
          <w:b w:val="0"/>
          <w:bCs w:val="0"/>
          <w:sz w:val="32"/>
          <w:szCs w:val="32"/>
        </w:rPr>
        <w:t>各级人民政府应当完善政务服务平台和网上办事大厅，集中办理市场准入行政许可，简化流程，提高效率。</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第十八条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市场监管部门实施市场准入行政许可时，不得违法增减条件和程序。</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 w:cs="仿宋"/>
          <w:b w:val="0"/>
          <w:bCs w:val="0"/>
          <w:sz w:val="32"/>
          <w:szCs w:val="32"/>
        </w:rPr>
      </w:pPr>
      <w:r>
        <w:rPr>
          <w:rFonts w:hint="eastAsia" w:ascii="宋体" w:hAnsi="宋体" w:eastAsia="仿宋_GB2312" w:cs="仿宋_GB2312"/>
          <w:b w:val="0"/>
          <w:bCs w:val="0"/>
          <w:sz w:val="32"/>
          <w:szCs w:val="32"/>
        </w:rPr>
        <w:t>　　市场监管部门实施备案等非行政许可事项时，不得设置前置性限制条件，不得以行政许可的条件和程序要求行政相对人。</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第十九条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市场监管部门实施市场准入行政许可，不得</w:t>
      </w:r>
      <w:r>
        <w:rPr>
          <w:rFonts w:hint="eastAsia" w:ascii="宋体" w:hAnsi="宋体" w:eastAsia="仿宋_GB2312" w:cs="仿宋_GB2312"/>
          <w:b w:val="0"/>
          <w:bCs w:val="0"/>
          <w:sz w:val="32"/>
          <w:szCs w:val="32"/>
          <w:lang w:eastAsia="zh-CN"/>
        </w:rPr>
        <w:t>违法</w:t>
      </w:r>
      <w:r>
        <w:rPr>
          <w:rFonts w:hint="eastAsia" w:ascii="宋体" w:hAnsi="宋体" w:eastAsia="仿宋_GB2312" w:cs="仿宋_GB2312"/>
          <w:b w:val="0"/>
          <w:bCs w:val="0"/>
          <w:sz w:val="32"/>
          <w:szCs w:val="32"/>
        </w:rPr>
        <w:t>要求申请人接受中介服务。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行政许可前置环节确需技术审查、评估、鉴证、公证、信用评级、咨询等有偿中介服务的，应当向社会公开，并不得指定或者变相指定中介服务机构。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市场监管部门应当在职责范围内加强对中介服务机构的监管。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w:t>
      </w:r>
      <w:r>
        <w:rPr>
          <w:rFonts w:hint="eastAsia" w:ascii="宋体" w:hAnsi="宋体" w:eastAsia="仿宋_GB2312" w:cs="仿宋_GB2312"/>
          <w:b w:val="0"/>
          <w:bCs w:val="0"/>
          <w:i w:val="0"/>
          <w:iCs w:val="0"/>
          <w:sz w:val="32"/>
          <w:szCs w:val="32"/>
          <w:u w:val="none" w:color="auto"/>
          <w:lang w:eastAsia="zh-CN"/>
        </w:rPr>
        <w:t>维护</w:t>
      </w:r>
      <w:r>
        <w:rPr>
          <w:rFonts w:hint="eastAsia" w:ascii="宋体" w:hAnsi="宋体" w:eastAsia="仿宋_GB2312" w:cs="仿宋_GB2312"/>
          <w:b w:val="0"/>
          <w:bCs w:val="0"/>
          <w:sz w:val="32"/>
          <w:szCs w:val="32"/>
          <w:lang w:eastAsia="zh-CN"/>
        </w:rPr>
        <w:t>市场统一和公平竞争规则，</w:t>
      </w:r>
      <w:r>
        <w:rPr>
          <w:rFonts w:hint="eastAsia" w:ascii="宋体" w:hAnsi="宋体" w:eastAsia="仿宋_GB2312" w:cs="仿宋_GB2312"/>
          <w:b w:val="0"/>
          <w:bCs w:val="0"/>
          <w:i w:val="0"/>
          <w:iCs w:val="0"/>
          <w:sz w:val="32"/>
          <w:szCs w:val="32"/>
          <w:u w:val="none" w:color="auto"/>
        </w:rPr>
        <w:t>清理和废除妨碍</w:t>
      </w:r>
      <w:r>
        <w:rPr>
          <w:rFonts w:hint="eastAsia" w:ascii="宋体" w:hAnsi="宋体" w:eastAsia="仿宋_GB2312" w:cs="仿宋_GB2312"/>
          <w:b w:val="0"/>
          <w:bCs w:val="0"/>
          <w:i w:val="0"/>
          <w:iCs w:val="0"/>
          <w:sz w:val="32"/>
          <w:szCs w:val="32"/>
          <w:u w:val="none" w:color="auto"/>
          <w:lang w:eastAsia="zh-CN"/>
        </w:rPr>
        <w:t>市场</w:t>
      </w:r>
      <w:r>
        <w:rPr>
          <w:rFonts w:hint="eastAsia" w:ascii="宋体" w:hAnsi="宋体" w:eastAsia="仿宋_GB2312" w:cs="仿宋_GB2312"/>
          <w:b w:val="0"/>
          <w:bCs w:val="0"/>
          <w:i w:val="0"/>
          <w:iCs w:val="0"/>
          <w:sz w:val="32"/>
          <w:szCs w:val="32"/>
          <w:u w:val="none" w:color="auto"/>
        </w:rPr>
        <w:t>统一和公平竞争的规定和做法，</w:t>
      </w:r>
      <w:r>
        <w:rPr>
          <w:rFonts w:hint="eastAsia" w:ascii="宋体" w:hAnsi="宋体" w:eastAsia="仿宋_GB2312" w:cs="仿宋_GB2312"/>
          <w:b w:val="0"/>
          <w:bCs w:val="0"/>
          <w:sz w:val="32"/>
          <w:szCs w:val="32"/>
        </w:rPr>
        <w:t>不得限制、妨碍不同地区、不同行业市场主体之间的公平竞争，不得限制、妨碍其他地区的商品或者服务进入本地市场。</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第二十一条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sz w:val="32"/>
          <w:szCs w:val="32"/>
          <w:lang w:eastAsia="zh-CN"/>
        </w:rPr>
        <w:t>及其</w:t>
      </w:r>
      <w:r>
        <w:rPr>
          <w:rFonts w:hint="eastAsia" w:ascii="宋体" w:hAnsi="宋体" w:eastAsia="仿宋_GB2312" w:cs="仿宋_GB2312"/>
          <w:b w:val="0"/>
          <w:bCs w:val="0"/>
          <w:sz w:val="32"/>
          <w:szCs w:val="32"/>
        </w:rPr>
        <w:t>市场监管部门</w:t>
      </w:r>
      <w:r>
        <w:rPr>
          <w:rFonts w:hint="eastAsia" w:ascii="宋体" w:hAnsi="宋体" w:eastAsia="仿宋_GB2312" w:cs="仿宋_GB2312"/>
          <w:b w:val="0"/>
          <w:bCs w:val="0"/>
          <w:sz w:val="32"/>
          <w:szCs w:val="32"/>
          <w:lang w:eastAsia="zh-CN"/>
        </w:rPr>
        <w:t>对</w:t>
      </w:r>
      <w:r>
        <w:rPr>
          <w:rFonts w:hint="eastAsia" w:ascii="宋体" w:hAnsi="宋体" w:eastAsia="仿宋_GB2312" w:cs="仿宋_GB2312"/>
          <w:b w:val="0"/>
          <w:bCs w:val="0"/>
          <w:sz w:val="32"/>
          <w:szCs w:val="32"/>
        </w:rPr>
        <w:t>违反市场监管法律、法规禁止性规定或者</w:t>
      </w:r>
      <w:r>
        <w:rPr>
          <w:rFonts w:hint="eastAsia" w:ascii="宋体" w:hAnsi="宋体" w:eastAsia="仿宋_GB2312" w:cs="仿宋_GB2312"/>
          <w:b w:val="0"/>
          <w:bCs w:val="0"/>
          <w:i w:val="0"/>
          <w:iCs w:val="0"/>
          <w:sz w:val="32"/>
          <w:szCs w:val="32"/>
          <w:u w:val="none" w:color="auto"/>
          <w:lang w:eastAsia="zh-CN"/>
        </w:rPr>
        <w:t>不符合</w:t>
      </w:r>
      <w:r>
        <w:rPr>
          <w:rFonts w:hint="eastAsia" w:ascii="宋体" w:hAnsi="宋体" w:eastAsia="仿宋_GB2312" w:cs="仿宋_GB2312"/>
          <w:b w:val="0"/>
          <w:bCs w:val="0"/>
          <w:sz w:val="32"/>
          <w:szCs w:val="32"/>
        </w:rPr>
        <w:t>强制性标准要求的</w:t>
      </w:r>
      <w:r>
        <w:rPr>
          <w:rFonts w:hint="eastAsia" w:ascii="宋体" w:hAnsi="宋体" w:eastAsia="仿宋_GB2312" w:cs="仿宋_GB2312"/>
          <w:b w:val="0"/>
          <w:bCs w:val="0"/>
          <w:sz w:val="32"/>
          <w:szCs w:val="32"/>
          <w:lang w:eastAsia="zh-CN"/>
        </w:rPr>
        <w:t>市场主体</w:t>
      </w:r>
      <w:r>
        <w:rPr>
          <w:rFonts w:hint="eastAsia" w:ascii="宋体" w:hAnsi="宋体" w:eastAsia="仿宋_GB2312" w:cs="仿宋_GB2312"/>
          <w:b w:val="0"/>
          <w:bCs w:val="0"/>
          <w:sz w:val="32"/>
          <w:szCs w:val="32"/>
        </w:rPr>
        <w:t>，应当依法对其采取责令停产停业、吊销相关证照等市场退出措施。</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第四章　后续监管</w:t>
      </w: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lang w:val="en-US" w:eastAsia="zh-CN"/>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eastAsia="zh-CN"/>
        </w:rPr>
      </w:pPr>
      <w:r>
        <w:rPr>
          <w:rFonts w:hint="eastAsia" w:ascii="宋体" w:hAnsi="宋体" w:eastAsia="黑体" w:cs="黑体"/>
          <w:b w:val="0"/>
          <w:bCs w:val="0"/>
          <w:sz w:val="32"/>
          <w:szCs w:val="32"/>
          <w:lang w:val="en-US" w:eastAsia="zh-CN"/>
        </w:rPr>
        <w:t>第一节  一般监管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　第二十二条  </w:t>
      </w:r>
      <w:r>
        <w:rPr>
          <w:rFonts w:hint="eastAsia" w:ascii="宋体" w:hAnsi="宋体" w:eastAsia="仿宋_GB2312" w:cs="仿宋_GB2312"/>
          <w:b w:val="0"/>
          <w:bCs w:val="0"/>
          <w:sz w:val="32"/>
          <w:szCs w:val="32"/>
        </w:rPr>
        <w:t>各级人民政府应当完善监管程序，落实监管责任，组织和督促所属市场监管部门共同做好市场监管工作。</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 w:cs="仿宋"/>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第二十三条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 xml:space="preserve"> 市场监管部门应当制定本部门履行监管职责的具体标准和规范，明确监管事项、依据、程序等，并向社会公布。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仿宋" w:cs="仿宋"/>
          <w:b w:val="0"/>
          <w:bCs w:val="0"/>
          <w:sz w:val="32"/>
          <w:szCs w:val="32"/>
          <w:lang w:val="en-US" w:eastAsia="zh-CN"/>
        </w:rPr>
        <w:t xml:space="preserve"> </w:t>
      </w:r>
      <w:r>
        <w:rPr>
          <w:rFonts w:hint="eastAsia" w:ascii="宋体" w:hAnsi="宋体" w:eastAsia="黑体" w:cs="黑体"/>
          <w:b w:val="0"/>
          <w:bCs w:val="0"/>
          <w:sz w:val="32"/>
          <w:szCs w:val="32"/>
          <w:lang w:val="en-US" w:eastAsia="zh-CN"/>
        </w:rPr>
        <w:t xml:space="preserve"> </w:t>
      </w:r>
      <w:r>
        <w:rPr>
          <w:rFonts w:hint="eastAsia" w:ascii="宋体" w:hAnsi="宋体" w:eastAsia="黑体" w:cs="黑体"/>
          <w:b w:val="0"/>
          <w:bCs w:val="0"/>
          <w:sz w:val="32"/>
          <w:szCs w:val="32"/>
        </w:rPr>
        <w:t>第二十四条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市场监管部门应当建立监管信息交换共享机制，编制监管信息共享目录，运用信息技术，通过数据比对等方式</w:t>
      </w:r>
      <w:r>
        <w:rPr>
          <w:rFonts w:hint="eastAsia" w:ascii="宋体" w:hAnsi="宋体" w:eastAsia="仿宋_GB2312" w:cs="仿宋_GB2312"/>
          <w:b w:val="0"/>
          <w:bCs w:val="0"/>
          <w:i w:val="0"/>
          <w:iCs w:val="0"/>
          <w:sz w:val="32"/>
          <w:szCs w:val="32"/>
          <w:u w:val="none" w:color="auto"/>
          <w:lang w:eastAsia="zh-CN"/>
        </w:rPr>
        <w:t>提高监管效率</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市场监管部门可以通过自动监控系统实施在线监管</w:t>
      </w:r>
      <w:r>
        <w:rPr>
          <w:rFonts w:hint="eastAsia" w:ascii="宋体" w:hAnsi="宋体" w:eastAsia="仿宋_GB2312" w:cs="仿宋_GB2312"/>
          <w:b w:val="0"/>
          <w:bCs w:val="0"/>
          <w:sz w:val="32"/>
          <w:szCs w:val="32"/>
          <w:lang w:eastAsia="zh-CN"/>
        </w:rPr>
        <w:t>，并可以</w:t>
      </w:r>
      <w:r>
        <w:rPr>
          <w:rFonts w:hint="eastAsia" w:ascii="宋体" w:hAnsi="宋体" w:eastAsia="仿宋_GB2312" w:cs="仿宋_GB2312"/>
          <w:b w:val="0"/>
          <w:bCs w:val="0"/>
          <w:sz w:val="32"/>
          <w:szCs w:val="32"/>
        </w:rPr>
        <w:t>运用移动执法、电子案卷等信息网络技术，提高监管效能。</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县级以上人民政府应当按照</w:t>
      </w:r>
      <w:r>
        <w:rPr>
          <w:rFonts w:hint="eastAsia" w:ascii="宋体" w:hAnsi="宋体" w:eastAsia="仿宋_GB2312" w:cs="仿宋_GB2312"/>
          <w:b w:val="0"/>
          <w:bCs w:val="0"/>
          <w:sz w:val="32"/>
          <w:szCs w:val="32"/>
          <w:lang w:eastAsia="zh-CN"/>
        </w:rPr>
        <w:t>全</w:t>
      </w:r>
      <w:r>
        <w:rPr>
          <w:rFonts w:hint="eastAsia" w:ascii="宋体" w:hAnsi="宋体" w:eastAsia="仿宋_GB2312" w:cs="仿宋_GB2312"/>
          <w:b w:val="0"/>
          <w:bCs w:val="0"/>
          <w:sz w:val="32"/>
          <w:szCs w:val="32"/>
        </w:rPr>
        <w:t>省统一的数据标准、依托电子政务公共基础设施建设市场监管信息平台，实现各级人民政府之间和部门之间市场监管信息的交换共享，并与社会信用信息</w:t>
      </w:r>
      <w:r>
        <w:rPr>
          <w:rFonts w:hint="eastAsia" w:ascii="宋体" w:hAnsi="宋体" w:eastAsia="仿宋_GB2312" w:cs="仿宋_GB2312"/>
          <w:b w:val="0"/>
          <w:bCs w:val="0"/>
          <w:i w:val="0"/>
          <w:iCs w:val="0"/>
          <w:sz w:val="32"/>
          <w:szCs w:val="32"/>
          <w:u w:val="none" w:color="auto"/>
          <w:lang w:eastAsia="zh-CN"/>
        </w:rPr>
        <w:t>等</w:t>
      </w:r>
      <w:r>
        <w:rPr>
          <w:rFonts w:hint="eastAsia" w:ascii="宋体" w:hAnsi="宋体" w:eastAsia="仿宋_GB2312" w:cs="仿宋_GB2312"/>
          <w:b w:val="0"/>
          <w:bCs w:val="0"/>
          <w:sz w:val="32"/>
          <w:szCs w:val="32"/>
        </w:rPr>
        <w:t>平台互联互通。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在市场监管信息产生、更新之日起二十个工作日内，将市场主体的行政许可、备案、行政处罚、行政强制、表彰奖励等监管信息通过政务信息共享平台，归集到市场监管信息平台，并对其提供的信息的真实性负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第二十七条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市场监管部门应当制定年度监督检查计划，依法对市场主体实施监督检查。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市场监管部门实施监督检查，应当制作监督检查记录，如实记载监督检查情况和处理结果等内容。</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市场监管部门可以采取下列方式实施日常监督检查：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（一）随机抽取市场主体和随机选派监督检查人员，通过书面检查、实地检查、网络监测等方式进行检查；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xml:space="preserve">    （二）根据监管需要，对特定领域、行业、事项进行专项检查；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（三）对可能危及人体健康和人身财产安全、影响国计民生的重要产品、商品进行抽样检验检测；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（四）对投诉举报、上级交办、部门移交、媒体报道的线索和检验检测发现的问题进行核查；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（五）法律、法规规定的其他方式。</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第二十九条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市场监管部门实施监督检查时，可以依法行使下列职权：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（一）询问有关人员，要求其提供有关材料；</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（二）查阅、复制、登记保存有关的合同、原始记录、销售凭证、账簿、电子文档等资料；</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（三）检查有关的财物、场所，查封、扣押涉嫌违法经营的物品；</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（四）法律、法规规定的其他职权。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lang w:eastAsia="zh-CN"/>
        </w:rPr>
        <w:t>市场监管部门实施监督检查时，对于</w:t>
      </w:r>
      <w:r>
        <w:rPr>
          <w:rFonts w:hint="eastAsia" w:ascii="宋体" w:hAnsi="宋体" w:eastAsia="仿宋_GB2312" w:cs="仿宋_GB2312"/>
          <w:b w:val="0"/>
          <w:bCs w:val="0"/>
          <w:sz w:val="32"/>
          <w:szCs w:val="32"/>
        </w:rPr>
        <w:t>涉及商业秘密或者个人隐私的</w:t>
      </w:r>
      <w:r>
        <w:rPr>
          <w:rFonts w:hint="eastAsia" w:ascii="宋体" w:hAnsi="宋体" w:eastAsia="仿宋_GB2312" w:cs="仿宋_GB2312"/>
          <w:b w:val="0"/>
          <w:bCs w:val="0"/>
          <w:sz w:val="32"/>
          <w:szCs w:val="32"/>
          <w:lang w:eastAsia="zh-CN"/>
        </w:rPr>
        <w:t>信息</w:t>
      </w:r>
      <w:r>
        <w:rPr>
          <w:rFonts w:hint="eastAsia" w:ascii="宋体" w:hAnsi="宋体" w:eastAsia="仿宋_GB2312" w:cs="仿宋_GB2312"/>
          <w:b w:val="0"/>
          <w:bCs w:val="0"/>
          <w:sz w:val="32"/>
          <w:szCs w:val="32"/>
        </w:rPr>
        <w:t>，应当</w:t>
      </w:r>
      <w:r>
        <w:rPr>
          <w:rFonts w:hint="eastAsia" w:ascii="宋体" w:hAnsi="宋体" w:eastAsia="仿宋_GB2312" w:cs="仿宋_GB2312"/>
          <w:b w:val="0"/>
          <w:bCs w:val="0"/>
          <w:sz w:val="32"/>
          <w:szCs w:val="32"/>
          <w:lang w:eastAsia="zh-CN"/>
        </w:rPr>
        <w:t>保密</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第三十条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市场监管部门应当规范行政执法行为，落实行政执法责任制，完善行政执法监督和责任追究制度，严格实行行政执法人员持证上岗和资格考核、管理制度。</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市场监管部门应当建立行政执法自由裁量基准制度，细化、量化行政执法裁量标准，严格限定和合理规范裁量权的行使。</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市场监管部门应当加强执法台账、执法文书管理，完善登记</w:t>
      </w:r>
      <w:r>
        <w:rPr>
          <w:rFonts w:hint="eastAsia" w:ascii="宋体" w:hAnsi="宋体" w:eastAsia="仿宋_GB2312" w:cs="仿宋_GB2312"/>
          <w:b w:val="0"/>
          <w:bCs w:val="0"/>
          <w:spacing w:val="-6"/>
          <w:sz w:val="32"/>
          <w:szCs w:val="32"/>
        </w:rPr>
        <w:t>立案、监督检查、调查取证、行政决定等行政执法全过程记录制度。</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第三十一条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市场监管部门对情节轻微并及时纠正、没有造成危害后果的违法行为依法不予行政处罚</w:t>
      </w:r>
      <w:r>
        <w:rPr>
          <w:rFonts w:hint="eastAsia" w:ascii="宋体" w:hAnsi="宋体" w:eastAsia="仿宋_GB2312" w:cs="仿宋_GB2312"/>
          <w:b w:val="0"/>
          <w:bCs w:val="0"/>
          <w:sz w:val="32"/>
          <w:szCs w:val="32"/>
          <w:lang w:eastAsia="zh-CN"/>
        </w:rPr>
        <w:t>的</w:t>
      </w:r>
      <w:r>
        <w:rPr>
          <w:rFonts w:hint="eastAsia" w:ascii="宋体" w:hAnsi="宋体" w:eastAsia="仿宋_GB2312" w:cs="仿宋_GB2312"/>
          <w:b w:val="0"/>
          <w:bCs w:val="0"/>
          <w:sz w:val="32"/>
          <w:szCs w:val="32"/>
        </w:rPr>
        <w:t>，可以采用提醒、约谈、告诫等</w:t>
      </w:r>
      <w:r>
        <w:rPr>
          <w:rFonts w:hint="eastAsia" w:ascii="宋体" w:hAnsi="宋体" w:eastAsia="仿宋_GB2312" w:cs="仿宋_GB2312"/>
          <w:b w:val="0"/>
          <w:bCs w:val="0"/>
          <w:i w:val="0"/>
          <w:iCs w:val="0"/>
          <w:sz w:val="32"/>
          <w:szCs w:val="32"/>
          <w:u w:val="none" w:color="auto"/>
          <w:lang w:eastAsia="zh-CN"/>
        </w:rPr>
        <w:t>方式</w:t>
      </w:r>
      <w:r>
        <w:rPr>
          <w:rFonts w:hint="eastAsia" w:ascii="宋体" w:hAnsi="宋体" w:eastAsia="仿宋_GB2312" w:cs="仿宋_GB2312"/>
          <w:b w:val="0"/>
          <w:bCs w:val="0"/>
          <w:sz w:val="32"/>
          <w:szCs w:val="32"/>
        </w:rPr>
        <w:t>实施监管。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市场监管部门应当加强对网络交易平台、网络商品和服务经营者以及其他网络交易服务机构的监管，建立网络交易信用档案</w:t>
      </w:r>
      <w:r>
        <w:rPr>
          <w:rFonts w:hint="eastAsia" w:ascii="宋体" w:hAnsi="宋体" w:eastAsia="仿宋_GB2312" w:cs="仿宋_GB2312"/>
          <w:b w:val="0"/>
          <w:bCs w:val="0"/>
          <w:sz w:val="32"/>
          <w:szCs w:val="32"/>
          <w:lang w:eastAsia="zh-CN"/>
        </w:rPr>
        <w:t>，督促落实网络商品和服务经营者实名登记和身份核实制度，</w:t>
      </w:r>
      <w:r>
        <w:rPr>
          <w:rFonts w:hint="eastAsia" w:ascii="宋体" w:hAnsi="宋体" w:eastAsia="仿宋_GB2312" w:cs="仿宋_GB2312"/>
          <w:b w:val="0"/>
          <w:bCs w:val="0"/>
          <w:sz w:val="32"/>
          <w:szCs w:val="32"/>
        </w:rPr>
        <w:t>依法查处网络交易中的违法行为。</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lang w:eastAsia="zh-CN"/>
        </w:rPr>
      </w:pPr>
      <w:r>
        <w:rPr>
          <w:rFonts w:hint="eastAsia" w:ascii="宋体" w:hAnsi="宋体" w:eastAsia="仿宋_GB2312" w:cs="仿宋_GB2312"/>
          <w:b w:val="0"/>
          <w:bCs w:val="0"/>
          <w:sz w:val="32"/>
          <w:szCs w:val="32"/>
        </w:rPr>
        <w:t>网络交易平台</w:t>
      </w:r>
      <w:r>
        <w:rPr>
          <w:rFonts w:hint="eastAsia" w:ascii="宋体" w:hAnsi="宋体" w:eastAsia="仿宋_GB2312" w:cs="仿宋_GB2312"/>
          <w:b w:val="0"/>
          <w:bCs w:val="0"/>
          <w:sz w:val="32"/>
          <w:szCs w:val="32"/>
          <w:lang w:eastAsia="zh-CN"/>
        </w:rPr>
        <w:t>应当实行</w:t>
      </w:r>
      <w:r>
        <w:rPr>
          <w:rFonts w:hint="eastAsia" w:ascii="宋体" w:hAnsi="宋体" w:eastAsia="仿宋_GB2312" w:cs="仿宋_GB2312"/>
          <w:b w:val="0"/>
          <w:bCs w:val="0"/>
          <w:sz w:val="32"/>
          <w:szCs w:val="32"/>
        </w:rPr>
        <w:t>网络商品和服务经营者实名登记和身份核实制度</w:t>
      </w:r>
      <w:r>
        <w:rPr>
          <w:rFonts w:hint="eastAsia" w:ascii="宋体" w:hAnsi="宋体" w:eastAsia="仿宋_GB2312" w:cs="仿宋_GB2312"/>
          <w:b w:val="0"/>
          <w:bCs w:val="0"/>
          <w:sz w:val="32"/>
          <w:szCs w:val="32"/>
          <w:lang w:eastAsia="zh-CN"/>
        </w:rPr>
        <w:t>，</w:t>
      </w:r>
      <w:r>
        <w:rPr>
          <w:rFonts w:hint="eastAsia" w:ascii="宋体" w:hAnsi="宋体" w:eastAsia="仿宋_GB2312" w:cs="仿宋_GB2312"/>
          <w:b w:val="0"/>
          <w:bCs w:val="0"/>
          <w:sz w:val="32"/>
          <w:szCs w:val="32"/>
        </w:rPr>
        <w:t>建立信用评价</w:t>
      </w:r>
      <w:r>
        <w:rPr>
          <w:rFonts w:hint="eastAsia" w:ascii="宋体" w:hAnsi="宋体" w:eastAsia="仿宋_GB2312" w:cs="仿宋_GB2312"/>
          <w:b w:val="0"/>
          <w:bCs w:val="0"/>
          <w:sz w:val="32"/>
          <w:szCs w:val="32"/>
          <w:lang w:eastAsia="zh-CN"/>
        </w:rPr>
        <w:t>体系、信用披露制度，为网络</w:t>
      </w:r>
      <w:r>
        <w:rPr>
          <w:rFonts w:hint="eastAsia" w:ascii="宋体" w:hAnsi="宋体" w:eastAsia="仿宋_GB2312" w:cs="仿宋_GB2312"/>
          <w:b w:val="0"/>
          <w:bCs w:val="0"/>
          <w:sz w:val="32"/>
          <w:szCs w:val="32"/>
        </w:rPr>
        <w:t>交易</w:t>
      </w:r>
      <w:r>
        <w:rPr>
          <w:rFonts w:hint="eastAsia" w:ascii="宋体" w:hAnsi="宋体" w:eastAsia="仿宋_GB2312" w:cs="仿宋_GB2312"/>
          <w:b w:val="0"/>
          <w:bCs w:val="0"/>
          <w:sz w:val="32"/>
          <w:szCs w:val="32"/>
          <w:lang w:eastAsia="zh-CN"/>
        </w:rPr>
        <w:t>当</w:t>
      </w:r>
      <w:r>
        <w:rPr>
          <w:rFonts w:hint="eastAsia" w:ascii="宋体" w:hAnsi="宋体" w:eastAsia="仿宋_GB2312" w:cs="仿宋_GB2312"/>
          <w:b w:val="0"/>
          <w:bCs w:val="0"/>
          <w:spacing w:val="-6"/>
          <w:sz w:val="32"/>
          <w:szCs w:val="32"/>
          <w:lang w:eastAsia="zh-CN"/>
        </w:rPr>
        <w:t>事人</w:t>
      </w:r>
      <w:r>
        <w:rPr>
          <w:rFonts w:hint="eastAsia" w:ascii="宋体" w:hAnsi="宋体" w:eastAsia="仿宋_GB2312" w:cs="仿宋_GB2312"/>
          <w:b w:val="0"/>
          <w:bCs w:val="0"/>
          <w:spacing w:val="-6"/>
          <w:sz w:val="32"/>
          <w:szCs w:val="32"/>
        </w:rPr>
        <w:t>提供</w:t>
      </w:r>
      <w:r>
        <w:rPr>
          <w:rFonts w:hint="eastAsia" w:ascii="宋体" w:hAnsi="宋体" w:eastAsia="仿宋_GB2312" w:cs="仿宋_GB2312"/>
          <w:b w:val="0"/>
          <w:bCs w:val="0"/>
          <w:spacing w:val="-6"/>
          <w:sz w:val="32"/>
          <w:szCs w:val="32"/>
          <w:lang w:eastAsia="zh-CN"/>
        </w:rPr>
        <w:t>公平、公正的</w:t>
      </w:r>
      <w:r>
        <w:rPr>
          <w:rFonts w:hint="eastAsia" w:ascii="宋体" w:hAnsi="宋体" w:eastAsia="仿宋_GB2312" w:cs="仿宋_GB2312"/>
          <w:b w:val="0"/>
          <w:bCs w:val="0"/>
          <w:spacing w:val="-6"/>
          <w:sz w:val="32"/>
          <w:szCs w:val="32"/>
        </w:rPr>
        <w:t>信用评价服务，采取措施保障网络交易安全</w:t>
      </w:r>
      <w:r>
        <w:rPr>
          <w:rFonts w:hint="eastAsia" w:ascii="宋体" w:hAnsi="宋体" w:eastAsia="仿宋_GB2312" w:cs="仿宋_GB2312"/>
          <w:b w:val="0"/>
          <w:bCs w:val="0"/>
          <w:spacing w:val="-6"/>
          <w:sz w:val="32"/>
          <w:szCs w:val="32"/>
          <w:lang w:eastAsia="zh-CN"/>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lang w:eastAsia="zh-CN"/>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第二节  协同监管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lang w:eastAsia="zh-CN"/>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各级人民政府应当推进综合执法，两个以上市场监管部门</w:t>
      </w:r>
      <w:r>
        <w:rPr>
          <w:rFonts w:hint="eastAsia" w:ascii="宋体" w:hAnsi="宋体" w:eastAsia="仿宋_GB2312" w:cs="仿宋_GB2312"/>
          <w:b w:val="0"/>
          <w:bCs w:val="0"/>
          <w:sz w:val="32"/>
          <w:szCs w:val="32"/>
          <w:lang w:eastAsia="zh-CN"/>
        </w:rPr>
        <w:t>对同一市场违法行为都</w:t>
      </w:r>
      <w:r>
        <w:rPr>
          <w:rFonts w:hint="eastAsia" w:ascii="宋体" w:hAnsi="宋体" w:eastAsia="仿宋_GB2312" w:cs="仿宋_GB2312"/>
          <w:b w:val="0"/>
          <w:bCs w:val="0"/>
          <w:sz w:val="32"/>
          <w:szCs w:val="32"/>
        </w:rPr>
        <w:t>有监管职权的，</w:t>
      </w:r>
      <w:r>
        <w:rPr>
          <w:rFonts w:hint="eastAsia" w:ascii="宋体" w:hAnsi="宋体" w:eastAsia="仿宋_GB2312" w:cs="仿宋_GB2312"/>
          <w:b w:val="0"/>
          <w:bCs w:val="0"/>
          <w:sz w:val="32"/>
          <w:szCs w:val="32"/>
          <w:lang w:eastAsia="zh-CN"/>
        </w:rPr>
        <w:t>应当</w:t>
      </w:r>
      <w:r>
        <w:rPr>
          <w:rFonts w:hint="eastAsia" w:ascii="宋体" w:hAnsi="宋体" w:eastAsia="仿宋_GB2312" w:cs="仿宋_GB2312"/>
          <w:b w:val="0"/>
          <w:bCs w:val="0"/>
          <w:sz w:val="32"/>
          <w:szCs w:val="32"/>
        </w:rPr>
        <w:t>依照法定程序调整为一个部门执法。</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市场监管部门应当建立层级之间的执法联动机制。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上级部门应当依法监督和指导下级部门的市场监管工作，指挥重大执法活动，查处或者协调查处跨地区的重大案件，及时移送属于下级部门监管的案件或者违法行为</w:t>
      </w:r>
      <w:r>
        <w:rPr>
          <w:rFonts w:hint="eastAsia" w:ascii="宋体" w:hAnsi="宋体" w:eastAsia="仿宋_GB2312" w:cs="仿宋_GB2312"/>
          <w:b w:val="0"/>
          <w:bCs w:val="0"/>
          <w:sz w:val="32"/>
          <w:szCs w:val="32"/>
          <w:lang w:eastAsia="zh-CN"/>
        </w:rPr>
        <w:t>线索</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下级部门应当接受上级部门的监督和指导，完成上级部门部署的重大执法任务，查处或者协助查处涉及本地区的重大案件。对上级部门移送的案件或者违法行为线索应当及时调查处理，并在规定时限内回复处理结果。</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lang w:eastAsia="zh-CN"/>
        </w:rPr>
        <w:t>不同的</w:t>
      </w:r>
      <w:r>
        <w:rPr>
          <w:rFonts w:hint="eastAsia" w:ascii="宋体" w:hAnsi="宋体" w:eastAsia="仿宋_GB2312" w:cs="仿宋_GB2312"/>
          <w:b w:val="0"/>
          <w:bCs w:val="0"/>
          <w:sz w:val="32"/>
          <w:szCs w:val="32"/>
        </w:rPr>
        <w:t>市场监管部门在履行监管职责过程中，可以开展联合执法。</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联合执法的</w:t>
      </w:r>
      <w:r>
        <w:rPr>
          <w:rFonts w:hint="eastAsia" w:ascii="宋体" w:hAnsi="宋体" w:eastAsia="仿宋_GB2312" w:cs="仿宋_GB2312"/>
          <w:b w:val="0"/>
          <w:bCs w:val="0"/>
          <w:sz w:val="32"/>
          <w:szCs w:val="32"/>
          <w:lang w:eastAsia="zh-CN"/>
        </w:rPr>
        <w:t>牵头部门为</w:t>
      </w:r>
      <w:r>
        <w:rPr>
          <w:rFonts w:hint="eastAsia" w:ascii="宋体" w:hAnsi="宋体" w:eastAsia="仿宋_GB2312" w:cs="仿宋_GB2312"/>
          <w:b w:val="0"/>
          <w:bCs w:val="0"/>
          <w:sz w:val="32"/>
          <w:szCs w:val="32"/>
        </w:rPr>
        <w:t>发起部门或者承担主要监管职责的部门，负责联合执法的组织、协调工作。其他市场监管部门应当在职责范围内参与联合执法。</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对联合执法有争议的，牵头部门可以提请同级人民政府协调处理。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参与</w:t>
      </w:r>
      <w:r>
        <w:rPr>
          <w:rFonts w:hint="eastAsia" w:ascii="宋体" w:hAnsi="宋体" w:eastAsia="仿宋_GB2312" w:cs="仿宋_GB2312"/>
          <w:b w:val="0"/>
          <w:bCs w:val="0"/>
          <w:sz w:val="32"/>
          <w:szCs w:val="32"/>
        </w:rPr>
        <w:t>联合执法</w:t>
      </w:r>
      <w:r>
        <w:rPr>
          <w:rFonts w:hint="eastAsia" w:ascii="宋体" w:hAnsi="宋体" w:eastAsia="仿宋_GB2312" w:cs="仿宋_GB2312"/>
          <w:b w:val="0"/>
          <w:bCs w:val="0"/>
          <w:sz w:val="32"/>
          <w:szCs w:val="32"/>
          <w:lang w:eastAsia="zh-CN"/>
        </w:rPr>
        <w:t>的各</w:t>
      </w:r>
      <w:r>
        <w:rPr>
          <w:rFonts w:hint="eastAsia" w:ascii="宋体" w:hAnsi="宋体" w:eastAsia="仿宋_GB2312" w:cs="仿宋_GB2312"/>
          <w:b w:val="0"/>
          <w:bCs w:val="0"/>
          <w:sz w:val="32"/>
          <w:szCs w:val="32"/>
        </w:rPr>
        <w:t>部门分别对各自的执法行为承担法律责任。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市场监管部门对违法行为线索应当依法进行核查，属于本部门管辖的，应当依法</w:t>
      </w:r>
      <w:r>
        <w:rPr>
          <w:rFonts w:hint="eastAsia" w:ascii="宋体" w:hAnsi="宋体" w:eastAsia="仿宋_GB2312" w:cs="仿宋_GB2312"/>
          <w:b w:val="0"/>
          <w:bCs w:val="0"/>
          <w:sz w:val="32"/>
          <w:szCs w:val="32"/>
          <w:lang w:eastAsia="zh-CN"/>
        </w:rPr>
        <w:t>及时</w:t>
      </w:r>
      <w:r>
        <w:rPr>
          <w:rFonts w:hint="eastAsia" w:ascii="宋体" w:hAnsi="宋体" w:eastAsia="仿宋_GB2312" w:cs="仿宋_GB2312"/>
          <w:b w:val="0"/>
          <w:bCs w:val="0"/>
          <w:sz w:val="32"/>
          <w:szCs w:val="32"/>
        </w:rPr>
        <w:t>作出是否立案的决定；不属于本部门监管职权范围的，应当及时移送有监管职权的市场监管部门。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对前款移送有争议的，由发生争议的市场监管部门</w:t>
      </w:r>
      <w:r>
        <w:rPr>
          <w:rFonts w:hint="eastAsia" w:ascii="宋体" w:hAnsi="宋体" w:eastAsia="仿宋_GB2312" w:cs="仿宋_GB2312"/>
          <w:b w:val="0"/>
          <w:bCs w:val="0"/>
          <w:sz w:val="32"/>
          <w:szCs w:val="32"/>
          <w:lang w:eastAsia="zh-CN"/>
        </w:rPr>
        <w:t>协商确定，协商不成的，由</w:t>
      </w:r>
      <w:r>
        <w:rPr>
          <w:rFonts w:hint="eastAsia" w:ascii="宋体" w:hAnsi="宋体" w:eastAsia="仿宋_GB2312" w:cs="仿宋_GB2312"/>
          <w:b w:val="0"/>
          <w:bCs w:val="0"/>
          <w:sz w:val="32"/>
          <w:szCs w:val="32"/>
        </w:rPr>
        <w:t>共同上一级行政机关</w:t>
      </w:r>
      <w:r>
        <w:rPr>
          <w:rFonts w:hint="eastAsia" w:ascii="宋体" w:hAnsi="宋体" w:eastAsia="仿宋_GB2312" w:cs="仿宋_GB2312"/>
          <w:b w:val="0"/>
          <w:bCs w:val="0"/>
          <w:i w:val="0"/>
          <w:iCs w:val="0"/>
          <w:sz w:val="32"/>
          <w:szCs w:val="32"/>
          <w:u w:val="none" w:color="auto"/>
          <w:lang w:eastAsia="zh-CN"/>
        </w:rPr>
        <w:t>指定</w:t>
      </w:r>
      <w:r>
        <w:rPr>
          <w:rFonts w:hint="eastAsia" w:ascii="宋体" w:hAnsi="宋体" w:eastAsia="仿宋_GB2312" w:cs="仿宋_GB2312"/>
          <w:b w:val="0"/>
          <w:bCs w:val="0"/>
          <w:sz w:val="32"/>
          <w:szCs w:val="32"/>
        </w:rPr>
        <w:t>监管部门。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第三十七条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市场监管部门在履行监管职责过程中，需要其他市场监管部门协助的，应当以书面形式提出。其他市场监管部门应当依法予以协助。</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第三十八条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市场监管部门依法取得的检验检测报告、鉴定</w:t>
      </w:r>
      <w:r>
        <w:rPr>
          <w:rFonts w:hint="eastAsia" w:ascii="宋体" w:hAnsi="宋体" w:eastAsia="仿宋_GB2312" w:cs="仿宋_GB2312"/>
          <w:b w:val="0"/>
          <w:bCs w:val="0"/>
          <w:sz w:val="32"/>
          <w:szCs w:val="32"/>
          <w:lang w:eastAsia="zh-CN"/>
        </w:rPr>
        <w:t>意见</w:t>
      </w: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eastAsia="zh-CN"/>
        </w:rPr>
        <w:t>勘验笔录、</w:t>
      </w:r>
      <w:r>
        <w:rPr>
          <w:rFonts w:hint="eastAsia" w:ascii="宋体" w:hAnsi="宋体" w:eastAsia="仿宋_GB2312" w:cs="仿宋_GB2312"/>
          <w:b w:val="0"/>
          <w:bCs w:val="0"/>
          <w:sz w:val="32"/>
          <w:szCs w:val="32"/>
        </w:rPr>
        <w:t>现场</w:t>
      </w:r>
      <w:r>
        <w:rPr>
          <w:rFonts w:hint="eastAsia" w:ascii="宋体" w:hAnsi="宋体" w:eastAsia="仿宋_GB2312" w:cs="仿宋_GB2312"/>
          <w:b w:val="0"/>
          <w:bCs w:val="0"/>
          <w:sz w:val="32"/>
          <w:szCs w:val="32"/>
          <w:lang w:eastAsia="zh-CN"/>
        </w:rPr>
        <w:t>笔录</w:t>
      </w:r>
      <w:r>
        <w:rPr>
          <w:rFonts w:hint="eastAsia" w:ascii="宋体" w:hAnsi="宋体" w:eastAsia="仿宋_GB2312" w:cs="仿宋_GB2312"/>
          <w:b w:val="0"/>
          <w:bCs w:val="0"/>
          <w:sz w:val="32"/>
          <w:szCs w:val="32"/>
        </w:rPr>
        <w:t>，其他市场监管部门</w:t>
      </w:r>
      <w:r>
        <w:rPr>
          <w:rFonts w:hint="eastAsia" w:ascii="宋体" w:hAnsi="宋体" w:eastAsia="仿宋_GB2312" w:cs="仿宋_GB2312"/>
          <w:b w:val="0"/>
          <w:bCs w:val="0"/>
          <w:i w:val="0"/>
          <w:iCs w:val="0"/>
          <w:sz w:val="32"/>
          <w:szCs w:val="32"/>
          <w:u w:val="none" w:color="auto"/>
        </w:rPr>
        <w:t>可以</w:t>
      </w:r>
      <w:r>
        <w:rPr>
          <w:rFonts w:hint="eastAsia" w:ascii="宋体" w:hAnsi="宋体" w:eastAsia="仿宋_GB2312" w:cs="仿宋_GB2312"/>
          <w:b w:val="0"/>
          <w:bCs w:val="0"/>
          <w:i w:val="0"/>
          <w:iCs w:val="0"/>
          <w:sz w:val="32"/>
          <w:szCs w:val="32"/>
          <w:u w:val="none" w:color="auto"/>
          <w:lang w:eastAsia="zh-CN"/>
        </w:rPr>
        <w:t>调用</w:t>
      </w:r>
      <w:r>
        <w:rPr>
          <w:rFonts w:hint="eastAsia" w:ascii="宋体" w:hAnsi="宋体" w:eastAsia="仿宋_GB2312" w:cs="仿宋_GB2312"/>
          <w:b w:val="0"/>
          <w:bCs w:val="0"/>
          <w:sz w:val="32"/>
          <w:szCs w:val="32"/>
        </w:rPr>
        <w:t xml:space="preserve">。 </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 w:cs="仿宋"/>
          <w:b w:val="0"/>
          <w:bCs w:val="0"/>
          <w:sz w:val="32"/>
          <w:szCs w:val="32"/>
        </w:rPr>
      </w:pPr>
      <w:r>
        <w:rPr>
          <w:rFonts w:hint="eastAsia" w:ascii="宋体" w:hAnsi="宋体" w:eastAsia="仿宋_GB2312" w:cs="仿宋_GB2312"/>
          <w:b w:val="0"/>
          <w:bCs w:val="0"/>
          <w:sz w:val="32"/>
          <w:szCs w:val="32"/>
        </w:rPr>
        <w:t>不同市场监管部门的行政执法人员在联合执法中共同依法取得的证据，</w:t>
      </w:r>
      <w:r>
        <w:rPr>
          <w:rFonts w:hint="eastAsia" w:ascii="宋体" w:hAnsi="宋体" w:eastAsia="仿宋_GB2312" w:cs="仿宋_GB2312"/>
          <w:b w:val="0"/>
          <w:bCs w:val="0"/>
          <w:i w:val="0"/>
          <w:iCs w:val="0"/>
          <w:sz w:val="32"/>
          <w:szCs w:val="32"/>
          <w:u w:val="none" w:color="auto"/>
          <w:lang w:eastAsia="zh-CN"/>
        </w:rPr>
        <w:t>可以</w:t>
      </w:r>
      <w:r>
        <w:rPr>
          <w:rFonts w:hint="eastAsia" w:ascii="宋体" w:hAnsi="宋体" w:eastAsia="仿宋_GB2312" w:cs="仿宋_GB2312"/>
          <w:b w:val="0"/>
          <w:bCs w:val="0"/>
          <w:sz w:val="32"/>
          <w:szCs w:val="32"/>
        </w:rPr>
        <w:t>作为行政执法证据共同使用。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第三十九条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市场监管部门应当建立健全涉嫌犯罪案件移送</w:t>
      </w:r>
      <w:r>
        <w:rPr>
          <w:rFonts w:hint="eastAsia" w:ascii="宋体" w:hAnsi="宋体" w:eastAsia="仿宋_GB2312" w:cs="仿宋_GB2312"/>
          <w:b w:val="0"/>
          <w:bCs w:val="0"/>
          <w:sz w:val="32"/>
          <w:szCs w:val="32"/>
          <w:lang w:eastAsia="zh-CN"/>
        </w:rPr>
        <w:t>机制</w:t>
      </w:r>
      <w:r>
        <w:rPr>
          <w:rFonts w:hint="eastAsia" w:ascii="宋体" w:hAnsi="宋体" w:eastAsia="仿宋_GB2312" w:cs="仿宋_GB2312"/>
          <w:b w:val="0"/>
          <w:bCs w:val="0"/>
          <w:sz w:val="32"/>
          <w:szCs w:val="32"/>
        </w:rPr>
        <w:t>，完善涉嫌犯罪案件移送工作信息系统。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第三节  信用监管</w:t>
      </w: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lang w:val="en-US" w:eastAsia="zh-CN"/>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lang w:val="en-US" w:eastAsia="zh-CN"/>
        </w:rPr>
        <w:t xml:space="preserve">    </w:t>
      </w:r>
      <w:r>
        <w:rPr>
          <w:rFonts w:hint="eastAsia" w:ascii="宋体" w:hAnsi="宋体" w:eastAsia="黑体" w:cs="黑体"/>
          <w:b w:val="0"/>
          <w:bCs w:val="0"/>
          <w:sz w:val="32"/>
          <w:szCs w:val="32"/>
        </w:rPr>
        <w:t>第四十条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 xml:space="preserve"> 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市场监管部门应当建立信用监管制度，完善市场主体信用信息的采集、记录和交换共享机制，强化信用信息的公开、公示和应用。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信用信息的范围按照法律、法规以及国家和省的有关规定确定。</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第四十一条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市场监管部门应当建立市场主体信用承诺制度，将市场主体的信用承诺纳入其信用记录，向社会公开，接受社会监督。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lang w:eastAsia="zh-CN"/>
        </w:rPr>
      </w:pPr>
      <w:r>
        <w:rPr>
          <w:rFonts w:hint="eastAsia" w:ascii="宋体" w:hAnsi="宋体" w:eastAsia="仿宋_GB2312" w:cs="仿宋_GB2312"/>
          <w:b w:val="0"/>
          <w:bCs w:val="0"/>
          <w:sz w:val="32"/>
          <w:szCs w:val="32"/>
          <w:lang w:eastAsia="zh-CN"/>
        </w:rPr>
        <w:t>鼓励市场主体在经营场所公开信用承诺。</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市场监管部门应当及时、完整、准确、规范记录市场主体信用信息，建立市场主体信用档案。</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市场监管部门应当将市场主体信用记录作为市场监管的重要参考依据。</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市场监管部门应当根据市场主体信用状况，建立市场主体信用分类管理制度，明确分类的标准、程序和相应的监管措施，实行动态管理。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市场监管部门应当建立跨部门联动响应和失信惩戒机制，根据市场主体失信情况，依法采取重点监管、约束、限制措施。</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市场主体信用信息应当及时、统一在市场监管信息平台向社会公示，并向社会公众提供查询服务。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公开市场主体信用信息涉及国家秘密、商业秘密或者个人隐私的，应当符合相关法律、法规的规定。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市场监管部门发现市场主体信用信息存在错误或者遗漏的，应当及时更正或者补充。</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公民、法人和其他组织有证据证明</w:t>
      </w:r>
      <w:r>
        <w:rPr>
          <w:rFonts w:hint="eastAsia" w:ascii="宋体" w:hAnsi="宋体" w:eastAsia="仿宋_GB2312" w:cs="仿宋_GB2312"/>
          <w:b w:val="0"/>
          <w:bCs w:val="0"/>
          <w:i w:val="0"/>
          <w:iCs w:val="0"/>
          <w:sz w:val="32"/>
          <w:szCs w:val="32"/>
          <w:u w:val="none" w:color="auto"/>
          <w:lang w:eastAsia="zh-CN"/>
        </w:rPr>
        <w:t>公开</w:t>
      </w:r>
      <w:r>
        <w:rPr>
          <w:rFonts w:hint="eastAsia" w:ascii="宋体" w:hAnsi="宋体" w:eastAsia="仿宋_GB2312" w:cs="仿宋_GB2312"/>
          <w:b w:val="0"/>
          <w:bCs w:val="0"/>
          <w:sz w:val="32"/>
          <w:szCs w:val="32"/>
        </w:rPr>
        <w:t>的市场主体信用信息存在错误或者遗漏的，有权向市场监管部门提出异议，要求予以更正或者补充。市场监管部门应当自收到异议之日起二十日内核查和处理，将处理结果书面告知异议提出人。经核查，发现信用信息确实存在错误的，应当同时在公示影响范围内做出更正和</w:t>
      </w:r>
      <w:r>
        <w:rPr>
          <w:rFonts w:hint="eastAsia" w:ascii="宋体" w:hAnsi="宋体" w:eastAsia="仿宋_GB2312" w:cs="仿宋_GB2312"/>
          <w:b w:val="0"/>
          <w:bCs w:val="0"/>
          <w:i w:val="0"/>
          <w:iCs w:val="0"/>
          <w:sz w:val="32"/>
          <w:szCs w:val="32"/>
          <w:u w:val="none" w:color="auto"/>
          <w:lang w:eastAsia="zh-CN"/>
        </w:rPr>
        <w:t>补充</w:t>
      </w:r>
      <w:r>
        <w:rPr>
          <w:rFonts w:hint="eastAsia" w:ascii="宋体" w:hAnsi="宋体" w:eastAsia="仿宋_GB2312" w:cs="仿宋_GB2312"/>
          <w:b w:val="0"/>
          <w:bCs w:val="0"/>
          <w:sz w:val="32"/>
          <w:szCs w:val="32"/>
        </w:rPr>
        <w:t>。异议提出人对核查结果仍有异议的，可以依法提起</w:t>
      </w:r>
      <w:r>
        <w:rPr>
          <w:rFonts w:hint="eastAsia" w:ascii="宋体" w:hAnsi="宋体" w:eastAsia="仿宋_GB2312" w:cs="仿宋_GB2312"/>
          <w:b w:val="0"/>
          <w:bCs w:val="0"/>
          <w:sz w:val="32"/>
          <w:szCs w:val="32"/>
          <w:lang w:eastAsia="zh-CN"/>
        </w:rPr>
        <w:t>行政复议或者</w:t>
      </w:r>
      <w:r>
        <w:rPr>
          <w:rFonts w:hint="eastAsia" w:ascii="宋体" w:hAnsi="宋体" w:eastAsia="仿宋_GB2312" w:cs="仿宋_GB2312"/>
          <w:b w:val="0"/>
          <w:bCs w:val="0"/>
          <w:sz w:val="32"/>
          <w:szCs w:val="32"/>
        </w:rPr>
        <w:t>诉讼。</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第四十七条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及其部门在开展财政资金补助、政府采购、政府购买服务、政府投资工程建设招投标等行政管理和服务的过程中，应当查询市场主体信用记录或者要求市场主体提供由具备资质的信用服务机构出具的信用报告。</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各级人民政府及其部门应当明确信用记录、信用报告的主要内容、评价标准和运用规范。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第四节  风险监管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　　第四十八条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县级以上人民政府及其市场监管部门应当建立风险监管制度，对存在或者可能存在隐患的市场状况进行风险分析和评估，实施风险联动防控，防范区域性、行业性、系统性市场风险。</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县级以上人民政府应当建立统一的风险预警和协调处置机制，加强市场监管部门之间风险信息交换共享；完善市场信息通报、应急处理和救援机制，提高对市场风险事件的预警和处理能力。</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第五十条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市场监管部门应当建立市场风险信息采集、整理、分析、研判和报送制度，并建立统一的风险信息数据库，实现风险信息交换共享。</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市场监管部门应当建立风险信息采集网络，通过投诉举报、检验检测检定、监督检查、媒体报道等途径采集风险信息。</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第五十一条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市场监管部门应当建立市场风险监测制度，识别、验证市场风险。</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市场监管部门应当根据市场风险信息分析结果，制定市场风险监测计划，并将监测情况录入风险信息管理平台。</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仿宋_GB2312" w:cs="仿宋_GB2312"/>
          <w:b w:val="0"/>
          <w:bCs w:val="0"/>
          <w:sz w:val="32"/>
          <w:szCs w:val="32"/>
        </w:rPr>
        <w:t>　市场监管部门对突发的市场风险事件，应当及时组织实施应急专项风险监测。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市场监管部门应当对经监测识别的市场风险进行评估，根据风险发生概率、紧急程度、危害程度和社会影响等确定风险等级，提出风险处置建议。市场风险评估可以委托独立的风险评估机构进行。</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市场监管部门应当建立对高危行业、重点工程、重要商品及生产资料、重点领域的风险评估指标体系。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市场监管部门应当建立市场风险预警和处置制度。根据风险评估结果，按照规定及时、准确向社会发布风险警示，并采取相应风险防范措施。</w:t>
      </w: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第五章  社会监督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任何单位和个人有权向市场监管部门投诉举</w:t>
      </w:r>
      <w:r>
        <w:rPr>
          <w:rFonts w:hint="eastAsia" w:ascii="宋体" w:hAnsi="宋体" w:eastAsia="仿宋_GB2312" w:cs="仿宋_GB2312"/>
          <w:b w:val="0"/>
          <w:bCs w:val="0"/>
          <w:spacing w:val="-9"/>
          <w:sz w:val="32"/>
          <w:szCs w:val="32"/>
        </w:rPr>
        <w:t>报市场违法行为，监督市场监管部门及其工作人员的市场监管行为。</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市场监管部门应当建立举报奖励制度，按照规定奖励举报人，并为举报人保密。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地级以上市人民政府应当按照全省统一的运行规则、数据规范，通过12345投诉举报平台，对</w:t>
      </w:r>
      <w:r>
        <w:rPr>
          <w:rFonts w:hint="eastAsia" w:ascii="宋体" w:hAnsi="宋体" w:eastAsia="仿宋_GB2312" w:cs="仿宋_GB2312"/>
          <w:b w:val="0"/>
          <w:bCs w:val="0"/>
          <w:sz w:val="32"/>
          <w:szCs w:val="32"/>
          <w:lang w:eastAsia="zh-CN"/>
        </w:rPr>
        <w:t>消费投诉、</w:t>
      </w:r>
      <w:r>
        <w:rPr>
          <w:rFonts w:hint="eastAsia" w:ascii="宋体" w:hAnsi="宋体" w:eastAsia="仿宋_GB2312" w:cs="仿宋_GB2312"/>
          <w:b w:val="0"/>
          <w:bCs w:val="0"/>
          <w:sz w:val="32"/>
          <w:szCs w:val="32"/>
        </w:rPr>
        <w:t>市场违法行为举报实现统一接听、按责转办、限时办结、统一督办、统一考核。</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行业组织应当建立健全行业经营自律规范和职业道德准则，规范会员行为，引导会员合法生产经营。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黑体" w:cs="黑体"/>
          <w:b w:val="0"/>
          <w:bCs w:val="0"/>
          <w:sz w:val="32"/>
          <w:szCs w:val="32"/>
        </w:rPr>
        <w:t>第五十七条</w:t>
      </w:r>
      <w:r>
        <w:rPr>
          <w:rFonts w:hint="eastAsia" w:ascii="宋体" w:hAnsi="宋体" w:eastAsia="仿宋_GB2312" w:cs="仿宋_GB2312"/>
          <w:b w:val="0"/>
          <w:bCs w:val="0"/>
          <w:sz w:val="32"/>
          <w:szCs w:val="32"/>
        </w:rPr>
        <w:t xml:space="preserve">  行业组织应当推动行业诚信建设，依法收集、记录和整理会员的信用信息，开展行业信用评价并公开结果，</w:t>
      </w:r>
      <w:r>
        <w:rPr>
          <w:rFonts w:hint="eastAsia" w:ascii="宋体" w:hAnsi="宋体" w:eastAsia="仿宋_GB2312" w:cs="仿宋_GB2312"/>
          <w:b w:val="0"/>
          <w:bCs w:val="0"/>
          <w:i w:val="0"/>
          <w:iCs w:val="0"/>
          <w:sz w:val="32"/>
          <w:szCs w:val="32"/>
          <w:u w:val="none" w:color="auto"/>
          <w:lang w:eastAsia="zh-CN"/>
        </w:rPr>
        <w:t>增强</w:t>
      </w:r>
      <w:r>
        <w:rPr>
          <w:rFonts w:hint="eastAsia" w:ascii="宋体" w:hAnsi="宋体" w:eastAsia="仿宋_GB2312" w:cs="仿宋_GB2312"/>
          <w:b w:val="0"/>
          <w:bCs w:val="0"/>
          <w:sz w:val="32"/>
          <w:szCs w:val="32"/>
        </w:rPr>
        <w:t>会员的诚信意识。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 xml:space="preserve"> 行业组织应当与市场监管部门建立沟通合作机制，配合市场监管部门开展市场监管活动。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 w:cs="仿宋"/>
          <w:b w:val="0"/>
          <w:bCs w:val="0"/>
          <w:sz w:val="32"/>
          <w:szCs w:val="32"/>
        </w:rPr>
      </w:pPr>
      <w:r>
        <w:rPr>
          <w:rFonts w:hint="eastAsia" w:ascii="宋体" w:hAnsi="宋体" w:eastAsia="仿宋_GB2312" w:cs="仿宋_GB2312"/>
          <w:b w:val="0"/>
          <w:bCs w:val="0"/>
          <w:sz w:val="32"/>
          <w:szCs w:val="32"/>
        </w:rPr>
        <w:t>　　市场监管部门应当主动向行业组织了解行业市场准入、商品和服务质量、竞争行为等有关情况，并协调处理与市场监管有关的问题。</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第五十九条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会计师事务所、税务师事务所、律师事务所、资产评估机构、公证机构等专业服务机构可以依法对市场主体财务、纳税情况、资本验资、资产评估、交易行为等的真实性、合法性进行鉴证。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第六十条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新闻媒体应当对市场违法行为和市场监管违法行为进行舆论监督。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市场监管部门应当主动接受新闻媒体监督，与新闻媒体建立沟通联络机制，及时调查、处理、回应新闻媒体反映的市场监管问题。</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对社会关注的市场监管问题，市场监管部门应当按照规定及时向新闻媒体和社会公众发布相关信息。</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第六十一条 </w:t>
      </w:r>
      <w:r>
        <w:rPr>
          <w:rFonts w:hint="eastAsia" w:ascii="宋体" w:hAnsi="宋体" w:eastAsia="仿宋_GB2312" w:cs="仿宋_GB2312"/>
          <w:b w:val="0"/>
          <w:bCs w:val="0"/>
          <w:sz w:val="32"/>
          <w:szCs w:val="32"/>
        </w:rPr>
        <w:t xml:space="preserve"> 行业组织和新闻媒体应当</w:t>
      </w:r>
      <w:r>
        <w:rPr>
          <w:rFonts w:hint="eastAsia" w:ascii="宋体" w:hAnsi="宋体" w:eastAsia="仿宋_GB2312" w:cs="仿宋_GB2312"/>
          <w:b w:val="0"/>
          <w:bCs w:val="0"/>
          <w:sz w:val="32"/>
          <w:szCs w:val="32"/>
          <w:lang w:eastAsia="zh-CN"/>
        </w:rPr>
        <w:t>配合市场监管部门</w:t>
      </w:r>
      <w:r>
        <w:rPr>
          <w:rFonts w:hint="eastAsia" w:ascii="宋体" w:hAnsi="宋体" w:eastAsia="仿宋_GB2312" w:cs="仿宋_GB2312"/>
          <w:b w:val="0"/>
          <w:bCs w:val="0"/>
          <w:sz w:val="32"/>
          <w:szCs w:val="32"/>
        </w:rPr>
        <w:t>开展市场监管法律、法规的宣传</w:t>
      </w:r>
      <w:r>
        <w:rPr>
          <w:rFonts w:hint="eastAsia" w:ascii="宋体" w:hAnsi="宋体" w:eastAsia="仿宋_GB2312" w:cs="仿宋_GB2312"/>
          <w:b w:val="0"/>
          <w:bCs w:val="0"/>
          <w:sz w:val="32"/>
          <w:szCs w:val="32"/>
          <w:lang w:eastAsia="zh-CN"/>
        </w:rPr>
        <w:t>普及</w:t>
      </w:r>
      <w:r>
        <w:rPr>
          <w:rFonts w:hint="eastAsia" w:ascii="宋体" w:hAnsi="宋体" w:eastAsia="仿宋_GB2312" w:cs="仿宋_GB2312"/>
          <w:b w:val="0"/>
          <w:bCs w:val="0"/>
          <w:sz w:val="32"/>
          <w:szCs w:val="32"/>
        </w:rPr>
        <w:t>工作，引导生产经营者强化市场经营主体责任，引导消费者选择合法生产经营者生产、销售的商品或者提供的服务。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第六章　法律责任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　第六十二条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各级人民政府及其工作人员违反本条例的规定，未履行法定职责，造成不良后果的，视其情节轻重，依法对直接负责的主管人员和其他直接责任人员给予处分；涉嫌犯罪的，依法追究刑事责任。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第六十三条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及其工作人员违反本条例的规定，有下列行为之一的，由其上级行政机关或者监察机关依法责令改正；情节严重的，对直接负责的主管人员和其他直接责任人员依法给予处分；涉嫌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（一）实施市场准入行政许可事项时，违法增减条件或者程序的；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（二）实施备案等非行政许可事项时，违法设置前置性限制条件，</w:t>
      </w:r>
      <w:r>
        <w:rPr>
          <w:rFonts w:hint="eastAsia" w:ascii="宋体" w:hAnsi="宋体" w:eastAsia="仿宋_GB2312" w:cs="仿宋_GB2312"/>
          <w:b w:val="0"/>
          <w:bCs w:val="0"/>
          <w:sz w:val="32"/>
          <w:szCs w:val="32"/>
          <w:lang w:eastAsia="zh-CN"/>
        </w:rPr>
        <w:t>或者</w:t>
      </w:r>
      <w:r>
        <w:rPr>
          <w:rFonts w:hint="eastAsia" w:ascii="宋体" w:hAnsi="宋体" w:eastAsia="仿宋_GB2312" w:cs="仿宋_GB2312"/>
          <w:b w:val="0"/>
          <w:bCs w:val="0"/>
          <w:sz w:val="32"/>
          <w:szCs w:val="32"/>
        </w:rPr>
        <w:t>以行政许可的条件</w:t>
      </w:r>
      <w:r>
        <w:rPr>
          <w:rFonts w:hint="eastAsia" w:ascii="宋体" w:hAnsi="宋体" w:eastAsia="仿宋_GB2312" w:cs="仿宋_GB2312"/>
          <w:b w:val="0"/>
          <w:bCs w:val="0"/>
          <w:i w:val="0"/>
          <w:iCs w:val="0"/>
          <w:sz w:val="32"/>
          <w:szCs w:val="32"/>
          <w:u w:val="none" w:color="auto"/>
          <w:lang w:eastAsia="zh-CN"/>
        </w:rPr>
        <w:t>、</w:t>
      </w:r>
      <w:r>
        <w:rPr>
          <w:rFonts w:hint="eastAsia" w:ascii="宋体" w:hAnsi="宋体" w:eastAsia="仿宋_GB2312" w:cs="仿宋_GB2312"/>
          <w:b w:val="0"/>
          <w:bCs w:val="0"/>
          <w:i w:val="0"/>
          <w:iCs w:val="0"/>
          <w:sz w:val="32"/>
          <w:szCs w:val="32"/>
          <w:u w:val="none" w:color="auto"/>
        </w:rPr>
        <w:t>程序</w:t>
      </w:r>
      <w:r>
        <w:rPr>
          <w:rFonts w:hint="eastAsia" w:ascii="宋体" w:hAnsi="宋体" w:eastAsia="仿宋_GB2312" w:cs="仿宋_GB2312"/>
          <w:b w:val="0"/>
          <w:bCs w:val="0"/>
          <w:sz w:val="32"/>
          <w:szCs w:val="32"/>
        </w:rPr>
        <w:t>要求行政相对人的；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（三）在实施市场准入行政许可过程中，</w:t>
      </w:r>
      <w:r>
        <w:rPr>
          <w:rFonts w:hint="eastAsia" w:ascii="宋体" w:hAnsi="宋体" w:eastAsia="仿宋_GB2312" w:cs="仿宋_GB2312"/>
          <w:b w:val="0"/>
          <w:bCs w:val="0"/>
          <w:sz w:val="32"/>
          <w:szCs w:val="32"/>
          <w:lang w:eastAsia="zh-CN"/>
        </w:rPr>
        <w:t>违法</w:t>
      </w:r>
      <w:r>
        <w:rPr>
          <w:rFonts w:hint="eastAsia" w:ascii="宋体" w:hAnsi="宋体" w:eastAsia="仿宋_GB2312" w:cs="仿宋_GB2312"/>
          <w:b w:val="0"/>
          <w:bCs w:val="0"/>
          <w:sz w:val="32"/>
          <w:szCs w:val="32"/>
        </w:rPr>
        <w:t>要求申请人接受中介服务或者指定中介服务机构的；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（四）限制或者妨碍不同地区、不同行业市场主体公平竞争的；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（五）限制或者妨碍其他地区的商品或者服务进入本地市场的；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（六）无正当理由拒不配合或者协助其他市场监管部门履行监管职责的；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（七）对违法行为线索不依法进行核查或者不移送有监管职权的市场监管部门的；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（八）编造、篡改市场主体信用信息或者</w:t>
      </w:r>
      <w:r>
        <w:rPr>
          <w:rFonts w:hint="eastAsia" w:ascii="宋体" w:hAnsi="宋体" w:eastAsia="仿宋_GB2312" w:cs="仿宋_GB2312"/>
          <w:b w:val="0"/>
          <w:bCs w:val="0"/>
          <w:sz w:val="32"/>
          <w:szCs w:val="32"/>
          <w:lang w:eastAsia="zh-CN"/>
        </w:rPr>
        <w:t>对</w:t>
      </w:r>
      <w:r>
        <w:rPr>
          <w:rFonts w:hint="eastAsia" w:ascii="宋体" w:hAnsi="宋体" w:eastAsia="仿宋_GB2312" w:cs="仿宋_GB2312"/>
          <w:b w:val="0"/>
          <w:bCs w:val="0"/>
          <w:sz w:val="32"/>
          <w:szCs w:val="32"/>
        </w:rPr>
        <w:t>存在错误</w:t>
      </w:r>
      <w:r>
        <w:rPr>
          <w:rFonts w:hint="eastAsia" w:ascii="宋体" w:hAnsi="宋体" w:eastAsia="仿宋_GB2312" w:cs="仿宋_GB2312"/>
          <w:b w:val="0"/>
          <w:bCs w:val="0"/>
          <w:sz w:val="32"/>
          <w:szCs w:val="32"/>
          <w:lang w:eastAsia="zh-CN"/>
        </w:rPr>
        <w:t>、</w:t>
      </w:r>
      <w:r>
        <w:rPr>
          <w:rFonts w:hint="eastAsia" w:ascii="宋体" w:hAnsi="宋体" w:eastAsia="仿宋_GB2312" w:cs="仿宋_GB2312"/>
          <w:b w:val="0"/>
          <w:bCs w:val="0"/>
          <w:sz w:val="32"/>
          <w:szCs w:val="32"/>
        </w:rPr>
        <w:t>遗漏的市场主体信用信息拒不更正、补充</w:t>
      </w:r>
      <w:r>
        <w:rPr>
          <w:rFonts w:hint="eastAsia" w:ascii="宋体" w:hAnsi="宋体" w:eastAsia="仿宋_GB2312" w:cs="仿宋_GB2312"/>
          <w:b w:val="0"/>
          <w:bCs w:val="0"/>
          <w:sz w:val="32"/>
          <w:szCs w:val="32"/>
          <w:lang w:eastAsia="zh-CN"/>
        </w:rPr>
        <w:t>的</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（九）未按照规定及时发布市场风险警示或者采取风险防范措施的；</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lang w:eastAsia="zh-CN"/>
        </w:rPr>
      </w:pPr>
      <w:r>
        <w:rPr>
          <w:rFonts w:hint="eastAsia" w:ascii="宋体" w:hAnsi="宋体" w:eastAsia="仿宋_GB2312" w:cs="仿宋_GB2312"/>
          <w:b w:val="0"/>
          <w:bCs w:val="0"/>
          <w:sz w:val="32"/>
          <w:szCs w:val="32"/>
          <w:lang w:eastAsia="zh-CN"/>
        </w:rPr>
        <w:t>（十）未按照规定及时采取重点监管、约束、限制措施的；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i w:val="0"/>
          <w:iCs w:val="0"/>
          <w:sz w:val="32"/>
          <w:szCs w:val="32"/>
          <w:u w:val="none" w:color="auto"/>
          <w:lang w:eastAsia="zh-CN"/>
        </w:rPr>
        <w:t>十一</w:t>
      </w:r>
      <w:r>
        <w:rPr>
          <w:rFonts w:hint="eastAsia" w:ascii="宋体" w:hAnsi="宋体" w:eastAsia="仿宋_GB2312" w:cs="仿宋_GB2312"/>
          <w:b w:val="0"/>
          <w:bCs w:val="0"/>
          <w:sz w:val="32"/>
          <w:szCs w:val="32"/>
        </w:rPr>
        <w:t>）未按照规定及时回应新闻媒体反映或者社会关注的市场监管问题的；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十二</w:t>
      </w:r>
      <w:r>
        <w:rPr>
          <w:rFonts w:hint="eastAsia" w:ascii="宋体" w:hAnsi="宋体" w:eastAsia="仿宋_GB2312" w:cs="仿宋_GB2312"/>
          <w:b w:val="0"/>
          <w:bCs w:val="0"/>
          <w:sz w:val="32"/>
          <w:szCs w:val="32"/>
        </w:rPr>
        <w:t>）对投诉、举报的市场违法行为不及时处理，或者泄露投诉、举报人信息的；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十三</w:t>
      </w:r>
      <w:r>
        <w:rPr>
          <w:rFonts w:hint="eastAsia" w:ascii="宋体" w:hAnsi="宋体" w:eastAsia="仿宋_GB2312" w:cs="仿宋_GB2312"/>
          <w:b w:val="0"/>
          <w:bCs w:val="0"/>
          <w:sz w:val="32"/>
          <w:szCs w:val="32"/>
        </w:rPr>
        <w:t>）违反规定泄露案件查处信息的；</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eastAsia="zh-CN"/>
        </w:rPr>
        <w:t>十四</w:t>
      </w:r>
      <w:r>
        <w:rPr>
          <w:rFonts w:hint="eastAsia" w:ascii="宋体" w:hAnsi="宋体" w:eastAsia="仿宋_GB2312" w:cs="仿宋_GB2312"/>
          <w:b w:val="0"/>
          <w:bCs w:val="0"/>
          <w:sz w:val="32"/>
          <w:szCs w:val="32"/>
        </w:rPr>
        <w:t>）违反本条例规定的其他行为。</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第六十四条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公民、法人或者其他组织有下列行为之一的，由公安机关依照《中华人民共和国治安管理处罚法》的规定予以处罚；涉嫌犯罪的，依法追究刑事责任：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（一）</w:t>
      </w:r>
      <w:r>
        <w:rPr>
          <w:rFonts w:hint="eastAsia" w:ascii="宋体" w:hAnsi="宋体" w:eastAsia="仿宋_GB2312" w:cs="仿宋_GB2312"/>
          <w:b w:val="0"/>
          <w:bCs w:val="0"/>
          <w:i w:val="0"/>
          <w:iCs w:val="0"/>
          <w:sz w:val="32"/>
          <w:szCs w:val="32"/>
          <w:u w:val="none" w:color="auto"/>
        </w:rPr>
        <w:t>阻碍</w:t>
      </w:r>
      <w:r>
        <w:rPr>
          <w:rFonts w:hint="eastAsia" w:ascii="宋体" w:hAnsi="宋体" w:eastAsia="仿宋_GB2312" w:cs="仿宋_GB2312"/>
          <w:b w:val="0"/>
          <w:bCs w:val="0"/>
          <w:sz w:val="32"/>
          <w:szCs w:val="32"/>
        </w:rPr>
        <w:t>市场监管部门工作人员依法执行职务的；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（二）</w:t>
      </w:r>
      <w:r>
        <w:rPr>
          <w:rFonts w:hint="eastAsia" w:ascii="宋体" w:hAnsi="宋体" w:eastAsia="仿宋_GB2312" w:cs="仿宋_GB2312"/>
          <w:b w:val="0"/>
          <w:bCs w:val="0"/>
          <w:i w:val="0"/>
          <w:iCs w:val="0"/>
          <w:sz w:val="32"/>
          <w:szCs w:val="32"/>
          <w:u w:val="none" w:color="auto"/>
        </w:rPr>
        <w:t>隐藏</w:t>
      </w:r>
      <w:r>
        <w:rPr>
          <w:rFonts w:hint="eastAsia" w:ascii="宋体" w:hAnsi="宋体" w:eastAsia="仿宋_GB2312" w:cs="仿宋_GB2312"/>
          <w:b w:val="0"/>
          <w:bCs w:val="0"/>
          <w:sz w:val="32"/>
          <w:szCs w:val="32"/>
        </w:rPr>
        <w:t>、转移、变卖或者损毁市场监管部门依法查封、扣押、冻结的财物的；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（三）伪造、隐匿、毁灭证据或者提供虚假证言、谎报案情，影响市场监管部门依法办案的。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仿宋" w:cs="仿宋"/>
          <w:b w:val="0"/>
          <w:bCs w:val="0"/>
          <w:sz w:val="32"/>
          <w:szCs w:val="32"/>
        </w:rPr>
      </w:pPr>
      <w:r>
        <w:rPr>
          <w:rFonts w:hint="eastAsia" w:ascii="宋体" w:hAnsi="宋体" w:eastAsia="黑体" w:cs="黑体"/>
          <w:b w:val="0"/>
          <w:bCs w:val="0"/>
          <w:sz w:val="32"/>
          <w:szCs w:val="32"/>
        </w:rPr>
        <w:t>第七章　附则</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第六十五条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法律、法规授权的具有管理公共事务职能的组织在法定授权范围内，以自己的名义实施市场监管，适用本条例有关市场监管部门的规定。</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中央驻粤机构依照法律、行政法规</w:t>
      </w:r>
      <w:r>
        <w:rPr>
          <w:rFonts w:hint="eastAsia" w:ascii="宋体" w:hAnsi="宋体" w:eastAsia="仿宋_GB2312" w:cs="仿宋_GB2312"/>
          <w:b w:val="0"/>
          <w:bCs w:val="0"/>
          <w:i w:val="0"/>
          <w:iCs w:val="0"/>
          <w:sz w:val="32"/>
          <w:szCs w:val="32"/>
          <w:u w:val="none" w:color="auto"/>
          <w:lang w:eastAsia="zh-CN"/>
        </w:rPr>
        <w:t>实施</w:t>
      </w:r>
      <w:r>
        <w:rPr>
          <w:rFonts w:hint="eastAsia" w:ascii="宋体" w:hAnsi="宋体" w:eastAsia="仿宋_GB2312" w:cs="仿宋_GB2312"/>
          <w:b w:val="0"/>
          <w:bCs w:val="0"/>
          <w:sz w:val="32"/>
          <w:szCs w:val="32"/>
        </w:rPr>
        <w:t>市场监管，可以参照本条例</w:t>
      </w:r>
      <w:r>
        <w:rPr>
          <w:rFonts w:hint="eastAsia" w:ascii="宋体" w:hAnsi="宋体" w:eastAsia="仿宋_GB2312" w:cs="仿宋_GB2312"/>
          <w:b w:val="0"/>
          <w:bCs w:val="0"/>
          <w:i w:val="0"/>
          <w:iCs w:val="0"/>
          <w:sz w:val="32"/>
          <w:szCs w:val="32"/>
          <w:u w:val="none" w:color="auto"/>
        </w:rPr>
        <w:t>有关规定</w:t>
      </w:r>
      <w:r>
        <w:rPr>
          <w:rFonts w:hint="eastAsia" w:ascii="宋体" w:hAnsi="宋体" w:eastAsia="仿宋_GB2312" w:cs="仿宋_GB2312"/>
          <w:b w:val="0"/>
          <w:bCs w:val="0"/>
          <w:i w:val="0"/>
          <w:iCs w:val="0"/>
          <w:sz w:val="32"/>
          <w:szCs w:val="32"/>
          <w:u w:val="none" w:color="auto"/>
          <w:lang w:eastAsia="zh-CN"/>
        </w:rPr>
        <w:t>执行</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第六十七条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本条例自</w:t>
      </w:r>
      <w:r>
        <w:rPr>
          <w:rFonts w:hint="eastAsia" w:ascii="宋体" w:hAnsi="宋体" w:eastAsia="仿宋_GB2312" w:cs="仿宋_GB2312"/>
          <w:b w:val="0"/>
          <w:bCs w:val="0"/>
          <w:sz w:val="32"/>
          <w:szCs w:val="32"/>
          <w:lang w:val="en-US" w:eastAsia="zh-CN"/>
        </w:rPr>
        <w:t>2016</w:t>
      </w:r>
      <w:r>
        <w:rPr>
          <w:rFonts w:hint="eastAsia" w:ascii="宋体" w:hAnsi="宋体" w:eastAsia="仿宋_GB2312" w:cs="仿宋_GB2312"/>
          <w:b w:val="0"/>
          <w:bCs w:val="0"/>
          <w:sz w:val="32"/>
          <w:szCs w:val="32"/>
        </w:rPr>
        <w:t>年</w:t>
      </w:r>
      <w:r>
        <w:rPr>
          <w:rFonts w:hint="eastAsia" w:ascii="宋体" w:hAnsi="宋体" w:eastAsia="仿宋_GB2312" w:cs="仿宋_GB2312"/>
          <w:b w:val="0"/>
          <w:bCs w:val="0"/>
          <w:sz w:val="32"/>
          <w:szCs w:val="32"/>
          <w:lang w:val="en-US" w:eastAsia="zh-CN"/>
        </w:rPr>
        <w:t>10</w:t>
      </w:r>
      <w:r>
        <w:rPr>
          <w:rFonts w:hint="eastAsia" w:ascii="宋体" w:hAnsi="宋体" w:eastAsia="仿宋_GB2312" w:cs="仿宋_GB2312"/>
          <w:b w:val="0"/>
          <w:bCs w:val="0"/>
          <w:sz w:val="32"/>
          <w:szCs w:val="32"/>
        </w:rPr>
        <w:t>月</w:t>
      </w:r>
      <w:r>
        <w:rPr>
          <w:rFonts w:hint="eastAsia" w:ascii="宋体" w:hAnsi="宋体" w:eastAsia="仿宋_GB2312" w:cs="仿宋_GB2312"/>
          <w:b w:val="0"/>
          <w:bCs w:val="0"/>
          <w:sz w:val="32"/>
          <w:szCs w:val="32"/>
          <w:lang w:val="en-US" w:eastAsia="zh-CN"/>
        </w:rPr>
        <w:t>1</w:t>
      </w:r>
      <w:r>
        <w:rPr>
          <w:rFonts w:hint="eastAsia" w:ascii="宋体" w:hAnsi="宋体" w:eastAsia="仿宋_GB2312" w:cs="仿宋_GB2312"/>
          <w:b w:val="0"/>
          <w:bCs w:val="0"/>
          <w:sz w:val="32"/>
          <w:szCs w:val="32"/>
        </w:rPr>
        <w:t>日起施行。</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46" w:name="_Toc27964"/>
      <w:r>
        <w:rPr>
          <w:rFonts w:hint="eastAsia" w:ascii="宋体" w:hAnsi="宋体" w:eastAsia="宋体" w:cs="宋体"/>
          <w:color w:val="000000"/>
          <w:sz w:val="44"/>
          <w:szCs w:val="44"/>
        </w:rPr>
        <w:t>广东省租赁房屋治安管理规定</w:t>
      </w:r>
      <w:bookmarkEnd w:id="446"/>
    </w:p>
    <w:p>
      <w:pPr>
        <w:pStyle w:val="33"/>
        <w:widowControl w:val="0"/>
        <w:wordWrap/>
        <w:overflowPunct w:val="0"/>
        <w:spacing w:beforeAutospacing="0" w:afterAutospacing="0" w:line="560" w:lineRule="exact"/>
        <w:textAlignment w:val="auto"/>
        <w:rPr>
          <w:rFonts w:ascii="宋体" w:hAnsi="宋体"/>
          <w:sz w:val="32"/>
          <w:szCs w:val="32"/>
        </w:rPr>
      </w:pPr>
    </w:p>
    <w:p>
      <w:pPr>
        <w:widowControl w:val="0"/>
        <w:wordWrap/>
        <w:overflowPunct w:val="0"/>
        <w:adjustRightInd/>
        <w:snapToGrid/>
        <w:spacing w:beforeAutospacing="0" w:afterAutospacing="0" w:line="560" w:lineRule="exact"/>
        <w:ind w:left="640" w:leftChars="200" w:right="640" w:rightChars="200" w:firstLine="640" w:firstLineChars="200"/>
        <w:jc w:val="both"/>
        <w:textAlignment w:val="auto"/>
        <w:outlineLvl w:val="9"/>
        <w:rPr>
          <w:rFonts w:ascii="宋体" w:hAnsi="宋体" w:eastAsia="楷体_GB2312"/>
          <w:sz w:val="32"/>
          <w:szCs w:val="32"/>
        </w:rPr>
      </w:pPr>
      <w:r>
        <w:rPr>
          <w:rFonts w:ascii="宋体" w:hAnsi="宋体" w:eastAsia="楷体_GB2312"/>
          <w:sz w:val="32"/>
          <w:szCs w:val="32"/>
        </w:rPr>
        <w:t>（2012年5月31日广东省第十一届人民代表大会常务委员会第三十四次会议通过</w:t>
      </w:r>
      <w:r>
        <w:rPr>
          <w:rFonts w:hint="eastAsia" w:ascii="宋体" w:hAnsi="宋体" w:eastAsia="楷体_GB2312"/>
          <w:sz w:val="32"/>
          <w:szCs w:val="32"/>
          <w:lang w:val="en-US" w:eastAsia="zh-CN"/>
        </w:rPr>
        <w:t xml:space="preserve">  </w:t>
      </w:r>
      <w:r>
        <w:rPr>
          <w:rFonts w:hint="eastAsia" w:ascii="宋体" w:hAnsi="宋体" w:eastAsia="楷体_GB2312" w:cs="楷体_GB2312"/>
          <w:sz w:val="32"/>
          <w:szCs w:val="32"/>
          <w:lang w:val="en-US" w:eastAsia="zh-CN"/>
        </w:rPr>
        <w:t>根据2019年11月29日广东省第十三届人民代表大会常务委员会第十五次会议《</w:t>
      </w:r>
      <w:r>
        <w:rPr>
          <w:rFonts w:hint="eastAsia" w:ascii="宋体" w:hAnsi="宋体" w:eastAsia="楷体_GB2312" w:cs="楷体_GB2312"/>
          <w:b w:val="0"/>
          <w:bCs w:val="0"/>
          <w:spacing w:val="0"/>
          <w:sz w:val="32"/>
          <w:szCs w:val="32"/>
          <w:lang w:eastAsia="zh-CN"/>
        </w:rPr>
        <w:t>关于修改〈广东省水利工程管理条例〉</w:t>
      </w:r>
      <w:r>
        <w:rPr>
          <w:rFonts w:hint="eastAsia" w:ascii="宋体" w:hAnsi="宋体" w:eastAsia="楷体_GB2312" w:cs="楷体_GB2312"/>
          <w:spacing w:val="0"/>
          <w:sz w:val="32"/>
          <w:szCs w:val="32"/>
          <w:lang w:eastAsia="zh-CN"/>
        </w:rPr>
        <w:t>等十六项地方性法规的决定</w:t>
      </w:r>
      <w:r>
        <w:rPr>
          <w:rFonts w:hint="eastAsia" w:ascii="宋体" w:hAnsi="宋体" w:eastAsia="楷体_GB2312" w:cs="楷体_GB2312"/>
          <w:sz w:val="32"/>
          <w:szCs w:val="32"/>
          <w:lang w:val="en-US" w:eastAsia="zh-CN"/>
        </w:rPr>
        <w:t>》修正</w:t>
      </w:r>
      <w:r>
        <w:rPr>
          <w:rFonts w:ascii="宋体" w:hAnsi="宋体" w:eastAsia="楷体_GB2312"/>
          <w:sz w:val="32"/>
          <w:szCs w:val="32"/>
        </w:rPr>
        <w:t>）</w:t>
      </w:r>
    </w:p>
    <w:p>
      <w:pPr>
        <w:widowControl w:val="0"/>
        <w:wordWrap/>
        <w:overflowPunct w:val="0"/>
        <w:adjustRightInd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eastAsia="黑体" w:cs="黑体"/>
          <w:sz w:val="32"/>
          <w:szCs w:val="32"/>
        </w:rPr>
        <w:t>第一条</w:t>
      </w:r>
      <w:r>
        <w:rPr>
          <w:rFonts w:hint="eastAsia" w:ascii="宋体" w:hAnsi="宋体" w:cs="仿宋_GB2312"/>
          <w:sz w:val="32"/>
          <w:szCs w:val="32"/>
        </w:rPr>
        <w:t xml:space="preserve">  为了加强租赁房屋的治安管理，维护社会治安秩序，根据有关法律、法规，结合本省实际，制定本规定。</w:t>
      </w:r>
    </w:p>
    <w:p>
      <w:pPr>
        <w:widowControl w:val="0"/>
        <w:wordWrap/>
        <w:overflowPunct w:val="0"/>
        <w:adjustRightInd w:val="0"/>
        <w:snapToGrid w:val="0"/>
        <w:spacing w:beforeAutospacing="0" w:afterAutospacing="0" w:line="560" w:lineRule="exact"/>
        <w:ind w:firstLine="636" w:firstLineChars="199"/>
        <w:textAlignment w:val="auto"/>
        <w:rPr>
          <w:rFonts w:hint="eastAsia" w:ascii="宋体" w:hAnsi="宋体" w:cs="仿宋_GB2312"/>
          <w:sz w:val="32"/>
          <w:szCs w:val="32"/>
        </w:rPr>
      </w:pPr>
      <w:r>
        <w:rPr>
          <w:rFonts w:hint="eastAsia" w:ascii="宋体" w:hAnsi="宋体" w:eastAsia="黑体" w:cs="黑体"/>
          <w:sz w:val="32"/>
          <w:szCs w:val="32"/>
        </w:rPr>
        <w:t>第二条</w:t>
      </w:r>
      <w:r>
        <w:rPr>
          <w:rFonts w:hint="eastAsia" w:ascii="宋体" w:hAnsi="宋体" w:cs="仿宋_GB2312"/>
          <w:sz w:val="32"/>
          <w:szCs w:val="32"/>
        </w:rPr>
        <w:t xml:space="preserve">  本规定适用于本省行政区域内用于居住的租赁房屋的治安管理服务活动。</w:t>
      </w:r>
    </w:p>
    <w:p>
      <w:pPr>
        <w:widowControl w:val="0"/>
        <w:wordWrap/>
        <w:overflowPunct w:val="0"/>
        <w:adjustRightInd w:val="0"/>
        <w:snapToGrid w:val="0"/>
        <w:spacing w:beforeAutospacing="0" w:afterAutospacing="0" w:line="560" w:lineRule="exact"/>
        <w:ind w:firstLine="636" w:firstLineChars="199"/>
        <w:textAlignment w:val="auto"/>
        <w:rPr>
          <w:rFonts w:hint="eastAsia" w:ascii="宋体" w:hAnsi="宋体" w:cs="仿宋_GB2312"/>
          <w:sz w:val="32"/>
          <w:szCs w:val="32"/>
        </w:rPr>
      </w:pPr>
      <w:r>
        <w:rPr>
          <w:rFonts w:hint="eastAsia" w:ascii="宋体" w:hAnsi="宋体" w:cs="仿宋_GB2312"/>
          <w:sz w:val="32"/>
          <w:szCs w:val="32"/>
        </w:rPr>
        <w:t>租赁房屋用于其他用途的治安管理活动适用国家和省的有关规定。</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eastAsia="黑体" w:cs="黑体"/>
          <w:sz w:val="32"/>
          <w:szCs w:val="32"/>
        </w:rPr>
        <w:t>第三条</w:t>
      </w:r>
      <w:r>
        <w:rPr>
          <w:rFonts w:hint="eastAsia" w:ascii="宋体" w:hAnsi="宋体" w:cs="仿宋_GB2312"/>
          <w:sz w:val="32"/>
          <w:szCs w:val="32"/>
        </w:rPr>
        <w:t xml:space="preserve">  各级人民政府领导和综合协调本行政区域内租赁房屋的治安管理服务工作。</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cs="仿宋_GB2312"/>
          <w:sz w:val="32"/>
          <w:szCs w:val="32"/>
        </w:rPr>
        <w:t>各级人民政府应当按照资源整合、互联互通的原则，推进租赁房屋治安管理信息化，实现政府职能部门间的信息共享。</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cs="仿宋_GB2312"/>
          <w:sz w:val="32"/>
          <w:szCs w:val="32"/>
        </w:rPr>
        <w:t>乡镇人民政府、城市街道办事处应当按照便民原则，根据实际情况集中办理租赁房屋相关业务。</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eastAsia="黑体" w:cs="黑体"/>
          <w:sz w:val="32"/>
          <w:szCs w:val="32"/>
        </w:rPr>
        <w:t xml:space="preserve">第四条 </w:t>
      </w:r>
      <w:r>
        <w:rPr>
          <w:rFonts w:hint="eastAsia" w:ascii="宋体" w:hAnsi="宋体" w:cs="仿宋_GB2312"/>
          <w:sz w:val="32"/>
          <w:szCs w:val="32"/>
        </w:rPr>
        <w:t xml:space="preserve"> 市、县（区）人民政府应当在租赁房屋集中的地区统筹规划、建设公共安全视频图像信息系统，加强对公共安全视频图像信息系统及其信息资料的管理，维护公共安全。</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eastAsia="黑体" w:cs="黑体"/>
          <w:sz w:val="32"/>
          <w:szCs w:val="32"/>
        </w:rPr>
        <w:t>第五条</w:t>
      </w:r>
      <w:r>
        <w:rPr>
          <w:rFonts w:hint="eastAsia" w:ascii="宋体" w:hAnsi="宋体" w:cs="仿宋_GB2312"/>
          <w:sz w:val="32"/>
          <w:szCs w:val="32"/>
        </w:rPr>
        <w:t xml:space="preserve">  各级公安机关负责租赁房屋的治安管理服务工作，履行下列职责：</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（一）建立租赁房屋信息管理网络系统，采集、查核租赁房屋信息；</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（二）建立健全租赁房屋信息登记制度等管理制度；</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（三）建立治安状况通报制度和租赁房屋治安违法行为举报制度；</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（四）指导出租人和承租人做好安全防范措施，督促其依法报送租赁房屋信息；</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（五）指导乡镇、街道负责租赁房屋服务管理的机构开展租赁房屋治安管理服务工作，培训机构工作人员；</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（六）其他租赁房屋治安管理服务工作。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住房管理、卫生健康、税务、市场监督管理等部门按照各自职责，做好租赁房屋治安管理服务工作。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 xml:space="preserve">第六条  </w:t>
      </w:r>
      <w:r>
        <w:rPr>
          <w:rFonts w:hint="eastAsia" w:ascii="宋体" w:hAnsi="宋体" w:eastAsia="仿宋_GB2312" w:cs="仿宋_GB2312"/>
          <w:sz w:val="32"/>
          <w:szCs w:val="32"/>
        </w:rPr>
        <w:t>乡镇、街道负责租赁房屋服务管理的机构受公安机关委托，开展租</w:t>
      </w:r>
      <w:r>
        <w:rPr>
          <w:rFonts w:hint="eastAsia" w:ascii="宋体" w:hAnsi="宋体" w:cs="仿宋_GB2312"/>
          <w:sz w:val="32"/>
          <w:szCs w:val="32"/>
        </w:rPr>
        <w:t>赁房屋信息采集、登记等治安管理服务的日常工作。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居民委员会、村民委员会应当协助做好租赁房屋治安管理服务工作。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第七条</w:t>
      </w:r>
      <w:r>
        <w:rPr>
          <w:rFonts w:hint="eastAsia" w:ascii="宋体" w:hAnsi="宋体" w:cs="仿宋_GB2312"/>
          <w:sz w:val="32"/>
          <w:szCs w:val="32"/>
        </w:rPr>
        <w:t xml:space="preserve">  任何单位和个人对违反租赁房屋治安管理法律、法规和本规定的行为，有权向公安机关等管理部门举报或者投诉。</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i/>
          <w:iCs/>
          <w:sz w:val="32"/>
          <w:szCs w:val="32"/>
          <w:u w:val="single"/>
        </w:rPr>
      </w:pPr>
      <w:r>
        <w:rPr>
          <w:rFonts w:hint="eastAsia" w:ascii="宋体" w:hAnsi="宋体" w:cs="仿宋_GB2312"/>
          <w:sz w:val="32"/>
          <w:szCs w:val="32"/>
        </w:rPr>
        <w:t>对在租赁房屋治安管理服务工作中做出突出贡献的单位和个人，可以给予表彰、奖励。</w:t>
      </w: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eastAsia="黑体" w:cs="黑体"/>
          <w:sz w:val="32"/>
          <w:szCs w:val="32"/>
        </w:rPr>
        <w:t>第八条</w:t>
      </w:r>
      <w:r>
        <w:rPr>
          <w:rFonts w:hint="eastAsia" w:ascii="宋体" w:hAnsi="宋体" w:cs="仿宋_GB2312"/>
          <w:sz w:val="32"/>
          <w:szCs w:val="32"/>
        </w:rPr>
        <w:t xml:space="preserve">  租赁房屋的，应当向房屋所在地公安派出所或者乡镇、街道负责租赁房屋服务管理的机构报送租赁房屋信息。</w:t>
      </w: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cs="仿宋_GB2312"/>
          <w:sz w:val="32"/>
          <w:szCs w:val="32"/>
        </w:rPr>
        <w:t>出租人应当自签订房屋租赁合同之日起三个工作日内报送；未签订合同的，出租人应当自承租人入住之日起三个工作日内报送。承租人变更或者房屋停止租赁的，出租人应当自承租人变更之日起或者自停止租赁之日起三个工作日内报送。转租房屋给他人的，承租人应当自房屋转租之日起三个工作日内报送。</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通过房地产中介服务机构租赁房屋的，由房地产中介服务机构在签订房屋租赁合同之日起三个工作日内报送。</w:t>
      </w: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cs="仿宋_GB2312"/>
          <w:sz w:val="32"/>
          <w:szCs w:val="32"/>
        </w:rPr>
        <w:t>出租人委托代理人管理租赁房屋的，应当书面明确租赁房屋信息报送人；未明确的，由代理人报送。</w:t>
      </w: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eastAsia="黑体" w:cs="黑体"/>
          <w:sz w:val="32"/>
          <w:szCs w:val="32"/>
        </w:rPr>
        <w:t>第九条</w:t>
      </w:r>
      <w:r>
        <w:rPr>
          <w:rFonts w:hint="eastAsia" w:ascii="宋体" w:hAnsi="宋体" w:cs="仿宋_GB2312"/>
          <w:sz w:val="32"/>
          <w:szCs w:val="32"/>
        </w:rPr>
        <w:t xml:space="preserve">  租赁房屋的，应当报送出租人、承租人的下列租赁房屋信息：</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（一）姓名；</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（二）身份证件的种类和号码；</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（三）联系方式；</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（四）租赁房屋地址。</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报送租赁房屋信息的，可以到房屋所在地公安派出所或者乡镇、街道负责租赁房屋服务管理的机构报送，也可以通过电话、传真、网络、短信等方式报送。</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第十条</w:t>
      </w:r>
      <w:r>
        <w:rPr>
          <w:rFonts w:hint="eastAsia" w:ascii="宋体" w:hAnsi="宋体" w:cs="仿宋_GB2312"/>
          <w:sz w:val="32"/>
          <w:szCs w:val="32"/>
        </w:rPr>
        <w:t xml:space="preserve">  房屋所在地公安派出所或者乡镇、街道负责租赁房屋服务管理的机构对收到的租赁房屋信息，应当及时登记、录入租赁房屋信息管理网络系统。</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公安派出所或者乡镇、街道负责租赁房屋服务管理的机构应当为出租人或者其代理人、承租人和房地产中介服务机构报送租赁房屋信息提供便利，简化办事程序，在租赁房屋集中地区、办事窗口、网站等公布报送租赁房屋信息的流程、方式、材料目录。</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公安派出所或者乡镇、街道负责租赁房屋服务管理的机构办理租赁房屋信息登记不得收取费用。</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第十一条</w:t>
      </w:r>
      <w:r>
        <w:rPr>
          <w:rFonts w:hint="eastAsia" w:ascii="宋体" w:hAnsi="宋体" w:cs="仿宋_GB2312"/>
          <w:sz w:val="32"/>
          <w:szCs w:val="32"/>
        </w:rPr>
        <w:t xml:space="preserve">   公安机关、有关管理部门和乡镇、街道负责租赁房屋服务管理的机构及其工作人员，对租赁房屋治安管理服务工作中获悉的信息应当予以保密，不得用于法定职责以外的用途。</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房地产中介等服务机构及其工作人员对获悉的租赁房屋信息应当予以保密，不得出售或者非法提供给他人。</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第十二条</w:t>
      </w:r>
      <w:r>
        <w:rPr>
          <w:rFonts w:hint="eastAsia" w:ascii="宋体" w:hAnsi="宋体" w:cs="仿宋_GB2312"/>
          <w:sz w:val="32"/>
          <w:szCs w:val="32"/>
        </w:rPr>
        <w:t xml:space="preserve">  公安机关、有关管理部门和乡镇、街道负责租赁房屋服务管理的机构应当对租赁房屋集中地区进行日常巡查，定期走访并进行治安安全检查，及时通告周边治安状况，指导做好治安防范措施。</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第十三条</w:t>
      </w:r>
      <w:r>
        <w:rPr>
          <w:rFonts w:hint="eastAsia" w:ascii="宋体" w:hAnsi="宋体" w:cs="仿宋_GB2312"/>
          <w:sz w:val="32"/>
          <w:szCs w:val="32"/>
        </w:rPr>
        <w:t xml:space="preserve">  出租人发现治安安全隐患和出租的房屋内有涉嫌违法犯罪活动或者犯罪嫌疑人的，应当及时报告公安机关，并配合公安机关查处。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出租的房屋居住人数达到三十人以上的，出租人应当采取措施，配合相关租赁房屋服务管理机构做好治安管理工作。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第十四条</w:t>
      </w:r>
      <w:r>
        <w:rPr>
          <w:rFonts w:hint="eastAsia" w:ascii="宋体" w:hAnsi="宋体" w:cs="仿宋_GB2312"/>
          <w:sz w:val="32"/>
          <w:szCs w:val="32"/>
        </w:rPr>
        <w:t xml:space="preserve">  出租人以小时、天数为租期出租房屋的，应当遵守下列规定：</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（一）安装租住人员信息采集系统；</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（二）即时采集和报送租住人员基本信息；</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（三）配备专职管理人员，制定管理制度。</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第十五条</w:t>
      </w:r>
      <w:r>
        <w:rPr>
          <w:rFonts w:hint="eastAsia" w:ascii="宋体" w:hAnsi="宋体" w:cs="仿宋_GB2312"/>
          <w:sz w:val="32"/>
          <w:szCs w:val="32"/>
        </w:rPr>
        <w:t xml:space="preserve">  承租人应当接受公安派出所或者乡镇、街道负责租赁房屋服务管理的机构的监督、检查，不得提供虚假身份证件、留宿无身份证件的人员；不得利用承租的房屋生产、储存、经营爆炸性、毒害性、放射性、腐蚀性等危险品或者假冒伪劣商品以及进行其他违法犯罪活动。</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承租人发现同住人员有违法犯罪嫌疑的，应当及时向有关部门举报，配合有关部门进行查处。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第十六条</w:t>
      </w:r>
      <w:r>
        <w:rPr>
          <w:rFonts w:hint="eastAsia" w:ascii="宋体" w:hAnsi="宋体" w:cs="仿宋_GB2312"/>
          <w:sz w:val="32"/>
          <w:szCs w:val="32"/>
        </w:rPr>
        <w:t xml:space="preserve">  物业服务企业应当配合公安派出所或者乡镇、街道负责租赁房屋服务管理的机构，做好租赁房屋治安管理服务工作。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第十七条</w:t>
      </w:r>
      <w:r>
        <w:rPr>
          <w:rFonts w:hint="eastAsia" w:ascii="宋体" w:hAnsi="宋体" w:cs="仿宋_GB2312"/>
          <w:sz w:val="32"/>
          <w:szCs w:val="32"/>
        </w:rPr>
        <w:t xml:space="preserve">  公安机关、有关管理部门和乡镇、街道负责租赁房屋服务管理的机构及其工作人员违反本规定，有下列情形之一的，对直接负责的主管人员和其他直接责任人员依法给予处分；构成犯罪的，依法追究刑事责任：</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（一）违反规定收取费用的；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（二）对举报的违法犯罪活动，不依法及时处理的；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（三）未规范管理公共安全视频图像信息系统及其信息资料的；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（四）将租赁房屋治安管理工作中获悉的信息用于法定职责以外用途的；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（五）有其他滥用职权、玩忽职守、徇私舞弊行为的。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第十八条</w:t>
      </w:r>
      <w:r>
        <w:rPr>
          <w:rFonts w:hint="eastAsia" w:ascii="宋体" w:hAnsi="宋体" w:cs="仿宋_GB2312"/>
          <w:sz w:val="32"/>
          <w:szCs w:val="32"/>
        </w:rPr>
        <w:t xml:space="preserve">  出租人或者其代理人、承租人、房地产中介服务机构未按照本规定报送租赁房屋信息的，由公安机关责令限期改正；逾期未改正的，处二百元以上五百元以下罚款。</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出租人以小时、天数为租期出租房屋，未安装租住人员信息采集系统的，由公安机关责令限期改正；未按照本规定采集或者报送租住人员信息的，责令限期改正，逾期未改正的，处五百元以上一千元以下罚款。</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房地产中介等服务机构及其工作人员将获悉的租赁房屋信息出售或者非法提供给他人的，由公安机关没收违法所得，处五千元以上一万元以下罚款；构成犯罪的，依法追究刑事责任。</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pacing w:val="-7"/>
          <w:sz w:val="32"/>
          <w:szCs w:val="32"/>
        </w:rPr>
      </w:pPr>
      <w:r>
        <w:rPr>
          <w:rFonts w:hint="eastAsia" w:ascii="宋体" w:hAnsi="宋体" w:eastAsia="黑体" w:cs="黑体"/>
          <w:sz w:val="32"/>
          <w:szCs w:val="32"/>
        </w:rPr>
        <w:t>第十九条</w:t>
      </w:r>
      <w:r>
        <w:rPr>
          <w:rFonts w:hint="eastAsia" w:ascii="宋体" w:hAnsi="宋体" w:cs="仿宋_GB2312"/>
          <w:sz w:val="32"/>
          <w:szCs w:val="32"/>
        </w:rPr>
        <w:t xml:space="preserve">  本规定自</w:t>
      </w:r>
      <w:r>
        <w:rPr>
          <w:rFonts w:hint="eastAsia" w:ascii="宋体" w:hAnsi="宋体" w:eastAsia="宋体" w:cs="宋体"/>
          <w:sz w:val="32"/>
          <w:szCs w:val="32"/>
        </w:rPr>
        <w:t>2012</w:t>
      </w:r>
      <w:r>
        <w:rPr>
          <w:rFonts w:hint="eastAsia" w:ascii="宋体" w:hAnsi="宋体" w:cs="仿宋_GB2312"/>
          <w:sz w:val="32"/>
          <w:szCs w:val="32"/>
        </w:rPr>
        <w:t>年</w:t>
      </w:r>
      <w:r>
        <w:rPr>
          <w:rFonts w:hint="eastAsia" w:ascii="宋体" w:hAnsi="宋体" w:eastAsia="宋体" w:cs="宋体"/>
          <w:sz w:val="32"/>
          <w:szCs w:val="32"/>
        </w:rPr>
        <w:t>10</w:t>
      </w:r>
      <w:r>
        <w:rPr>
          <w:rFonts w:hint="eastAsia" w:ascii="宋体" w:hAnsi="宋体" w:cs="仿宋_GB2312"/>
          <w:sz w:val="32"/>
          <w:szCs w:val="32"/>
        </w:rPr>
        <w:t>月</w:t>
      </w:r>
      <w:r>
        <w:rPr>
          <w:rFonts w:hint="eastAsia" w:ascii="宋体" w:hAnsi="宋体" w:eastAsia="宋体" w:cs="宋体"/>
          <w:sz w:val="32"/>
          <w:szCs w:val="32"/>
        </w:rPr>
        <w:t>1</w:t>
      </w:r>
      <w:r>
        <w:rPr>
          <w:rFonts w:hint="eastAsia" w:ascii="宋体" w:hAnsi="宋体" w:cs="仿宋_GB2312"/>
          <w:sz w:val="32"/>
          <w:szCs w:val="32"/>
        </w:rPr>
        <w:t>日起施行。</w:t>
      </w:r>
      <w:r>
        <w:rPr>
          <w:rFonts w:hint="eastAsia" w:ascii="宋体" w:hAnsi="宋体" w:eastAsia="宋体" w:cs="宋体"/>
          <w:sz w:val="32"/>
          <w:szCs w:val="32"/>
        </w:rPr>
        <w:t>1994</w:t>
      </w:r>
      <w:r>
        <w:rPr>
          <w:rFonts w:hint="eastAsia" w:ascii="宋体" w:hAnsi="宋体" w:cs="仿宋_GB2312"/>
          <w:sz w:val="32"/>
          <w:szCs w:val="32"/>
        </w:rPr>
        <w:t>年</w:t>
      </w:r>
      <w:r>
        <w:rPr>
          <w:rFonts w:hint="eastAsia" w:ascii="宋体" w:hAnsi="宋体" w:eastAsia="宋体" w:cs="宋体"/>
          <w:sz w:val="32"/>
          <w:szCs w:val="32"/>
        </w:rPr>
        <w:t>9</w:t>
      </w:r>
      <w:r>
        <w:rPr>
          <w:rFonts w:hint="eastAsia" w:ascii="宋体" w:hAnsi="宋体" w:cs="仿宋_GB2312"/>
          <w:sz w:val="32"/>
          <w:szCs w:val="32"/>
        </w:rPr>
        <w:t>月</w:t>
      </w:r>
      <w:r>
        <w:rPr>
          <w:rFonts w:hint="eastAsia" w:ascii="宋体" w:hAnsi="宋体" w:eastAsia="宋体" w:cs="宋体"/>
          <w:sz w:val="32"/>
          <w:szCs w:val="32"/>
        </w:rPr>
        <w:t>15</w:t>
      </w:r>
      <w:r>
        <w:rPr>
          <w:rFonts w:hint="eastAsia" w:ascii="宋体" w:hAnsi="宋体" w:cs="仿宋_GB2312"/>
          <w:sz w:val="32"/>
          <w:szCs w:val="32"/>
        </w:rPr>
        <w:t>日广东省第八届人民代表大会常务委员会第十次会议通过、</w:t>
      </w:r>
      <w:r>
        <w:rPr>
          <w:rFonts w:hint="eastAsia" w:ascii="宋体" w:hAnsi="宋体" w:eastAsia="宋体" w:cs="宋体"/>
          <w:sz w:val="32"/>
          <w:szCs w:val="32"/>
        </w:rPr>
        <w:t>2000</w:t>
      </w:r>
      <w:r>
        <w:rPr>
          <w:rFonts w:hint="eastAsia" w:ascii="宋体" w:hAnsi="宋体" w:cs="仿宋_GB2312"/>
          <w:sz w:val="32"/>
          <w:szCs w:val="32"/>
        </w:rPr>
        <w:t>年</w:t>
      </w:r>
      <w:r>
        <w:rPr>
          <w:rFonts w:hint="eastAsia" w:ascii="宋体" w:hAnsi="宋体" w:eastAsia="宋体" w:cs="宋体"/>
          <w:sz w:val="32"/>
          <w:szCs w:val="32"/>
        </w:rPr>
        <w:t>7</w:t>
      </w:r>
      <w:r>
        <w:rPr>
          <w:rFonts w:hint="eastAsia" w:ascii="宋体" w:hAnsi="宋体" w:cs="仿宋_GB2312"/>
          <w:sz w:val="32"/>
          <w:szCs w:val="32"/>
        </w:rPr>
        <w:t>月</w:t>
      </w:r>
      <w:r>
        <w:rPr>
          <w:rFonts w:hint="eastAsia" w:ascii="宋体" w:hAnsi="宋体" w:eastAsia="宋体" w:cs="宋体"/>
          <w:sz w:val="32"/>
          <w:szCs w:val="32"/>
        </w:rPr>
        <w:t>28</w:t>
      </w:r>
      <w:r>
        <w:rPr>
          <w:rFonts w:hint="eastAsia" w:ascii="宋体" w:hAnsi="宋体" w:cs="仿宋_GB2312"/>
          <w:sz w:val="32"/>
          <w:szCs w:val="32"/>
        </w:rPr>
        <w:t>日广东省第九届人民代表大会常务委员会第十九</w:t>
      </w:r>
      <w:r>
        <w:rPr>
          <w:rFonts w:hint="eastAsia" w:ascii="宋体" w:hAnsi="宋体" w:cs="仿宋_GB2312"/>
          <w:spacing w:val="-7"/>
          <w:sz w:val="32"/>
          <w:szCs w:val="32"/>
        </w:rPr>
        <w:t>次会议修订的《广东省流动人员租赁房屋治安管理规定》同时废止。</w:t>
      </w:r>
    </w:p>
    <w:p>
      <w:pPr>
        <w:widowControl w:val="0"/>
        <w:wordWrap/>
        <w:overflowPunct w:val="0"/>
        <w:spacing w:beforeAutospacing="0" w:afterAutospacing="0" w:line="560" w:lineRule="exact"/>
        <w:textAlignment w:val="auto"/>
        <w:rPr>
          <w:rFonts w:ascii="宋体" w:hAnsi="宋体"/>
          <w:sz w:val="32"/>
          <w:szCs w:val="32"/>
        </w:rPr>
      </w:pPr>
    </w:p>
    <w:p>
      <w:pPr>
        <w:widowControl w:val="0"/>
        <w:wordWrap/>
        <w:overflowPunct w:val="0"/>
        <w:snapToGrid w:val="0"/>
        <w:spacing w:beforeAutospacing="0" w:afterAutospacing="0" w:line="560" w:lineRule="exact"/>
        <w:jc w:val="center"/>
        <w:textAlignment w:val="auto"/>
        <w:rPr>
          <w:rFonts w:hint="eastAsia" w:ascii="宋体" w:hAnsi="宋体" w:eastAsia="方正小标宋简体" w:cs="方正小标宋简体"/>
          <w:sz w:val="32"/>
          <w:szCs w:val="32"/>
        </w:rPr>
      </w:pPr>
    </w:p>
    <w:p>
      <w:pPr>
        <w:widowControl w:val="0"/>
        <w:wordWrap/>
        <w:overflowPunct w:val="0"/>
        <w:snapToGrid w:val="0"/>
        <w:spacing w:beforeAutospacing="0" w:afterAutospacing="0" w:line="560" w:lineRule="exact"/>
        <w:jc w:val="center"/>
        <w:textAlignment w:val="auto"/>
        <w:rPr>
          <w:rFonts w:hint="eastAsia" w:ascii="宋体" w:hAnsi="宋体" w:eastAsia="方正小标宋简体" w:cs="方正小标宋简体"/>
          <w:sz w:val="32"/>
          <w:szCs w:val="32"/>
        </w:rPr>
      </w:pPr>
      <w:r>
        <w:rPr>
          <w:rFonts w:hint="eastAsia" w:ascii="宋体" w:hAnsi="宋体" w:eastAsia="方正小标宋简体" w:cs="方正小标宋简体"/>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47" w:name="_Toc11130"/>
      <w:r>
        <w:rPr>
          <w:rFonts w:hint="eastAsia" w:ascii="宋体" w:hAnsi="宋体" w:eastAsia="宋体" w:cs="宋体"/>
          <w:color w:val="000000"/>
          <w:sz w:val="44"/>
          <w:szCs w:val="44"/>
        </w:rPr>
        <w:t>广东省流动人口服务管理条例</w:t>
      </w:r>
      <w:bookmarkEnd w:id="447"/>
    </w:p>
    <w:p>
      <w:pPr>
        <w:pStyle w:val="33"/>
        <w:widowControl w:val="0"/>
        <w:wordWrap/>
        <w:overflowPunct w:val="0"/>
        <w:spacing w:beforeAutospacing="0" w:afterAutospacing="0" w:line="560" w:lineRule="exact"/>
        <w:textAlignment w:val="auto"/>
        <w:rPr>
          <w:rFonts w:hint="eastAsia" w:ascii="宋体" w:hAnsi="宋体"/>
          <w:sz w:val="32"/>
          <w:szCs w:val="32"/>
        </w:rPr>
      </w:pPr>
    </w:p>
    <w:p>
      <w:pPr>
        <w:widowControl w:val="0"/>
        <w:wordWrap/>
        <w:overflowPunct w:val="0"/>
        <w:adjustRightInd w:val="0"/>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 xml:space="preserve"> （1998年12月31日广东省第九届人民代表大会常务委员会第七次会议通过《广东省流动人员管理条例》　根据2003年7月25日广东省第十届人民代表大会常务委员会第五次会议《关于修改〈广东省流动人员管理条例〉的决定》第一次修正　2009年7月30日广东省第十一届人民代表大会常务委员会第十二次会议修订为《广东省流动人口服务管理条例》  2017年7月27日广东省第十二届人民代表大会常务委员会第三十四次会议第二次修订  </w:t>
      </w:r>
      <w:r>
        <w:rPr>
          <w:rFonts w:hint="eastAsia" w:ascii="宋体" w:hAnsi="宋体" w:eastAsia="楷体_GB2312" w:cs="楷体_GB2312"/>
          <w:sz w:val="32"/>
          <w:szCs w:val="32"/>
          <w:lang w:val="en-US" w:eastAsia="zh-CN"/>
        </w:rPr>
        <w:t>根据2019年11月29日广东省第十三届人民代表大会常务委员会第十五次会议《</w:t>
      </w:r>
      <w:r>
        <w:rPr>
          <w:rFonts w:hint="eastAsia" w:ascii="宋体" w:hAnsi="宋体" w:eastAsia="楷体_GB2312" w:cs="楷体_GB2312"/>
          <w:b w:val="0"/>
          <w:bCs w:val="0"/>
          <w:spacing w:val="0"/>
          <w:sz w:val="32"/>
          <w:szCs w:val="32"/>
          <w:lang w:eastAsia="zh-CN"/>
        </w:rPr>
        <w:t>关于修改〈广东省水利工程管理条例〉</w:t>
      </w:r>
      <w:r>
        <w:rPr>
          <w:rFonts w:hint="eastAsia" w:ascii="宋体" w:hAnsi="宋体" w:eastAsia="楷体_GB2312" w:cs="楷体_GB2312"/>
          <w:spacing w:val="0"/>
          <w:sz w:val="32"/>
          <w:szCs w:val="32"/>
          <w:lang w:eastAsia="zh-CN"/>
        </w:rPr>
        <w:t>等十六项地方性法规的决定</w:t>
      </w:r>
      <w:r>
        <w:rPr>
          <w:rFonts w:hint="eastAsia" w:ascii="宋体" w:hAnsi="宋体" w:eastAsia="楷体_GB2312" w:cs="楷体_GB2312"/>
          <w:sz w:val="32"/>
          <w:szCs w:val="32"/>
          <w:lang w:val="en-US" w:eastAsia="zh-CN"/>
        </w:rPr>
        <w:t>》第二次修正</w:t>
      </w:r>
      <w:r>
        <w:rPr>
          <w:rFonts w:hint="eastAsia" w:ascii="宋体" w:hAnsi="宋体" w:eastAsia="楷体_GB2312"/>
          <w:kern w:val="2"/>
          <w:sz w:val="32"/>
          <w:szCs w:val="32"/>
          <w:lang w:val="en-US" w:eastAsia="zh-CN" w:bidi="ar-SA"/>
        </w:rPr>
        <w:t>）</w:t>
      </w:r>
    </w:p>
    <w:p>
      <w:pPr>
        <w:widowControl w:val="0"/>
        <w:wordWrap/>
        <w:overflowPunct w:val="0"/>
        <w:spacing w:beforeAutospacing="0" w:afterAutospacing="0" w:line="560" w:lineRule="exact"/>
        <w:ind w:firstLine="640" w:firstLineChars="200"/>
        <w:jc w:val="center"/>
        <w:textAlignment w:val="auto"/>
        <w:rPr>
          <w:rFonts w:hint="eastAsia" w:ascii="宋体" w:hAnsi="宋体" w:eastAsia="楷体_GB2312" w:cs="楷体_GB2312"/>
          <w:sz w:val="32"/>
          <w:szCs w:val="32"/>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楷体_GB2312" w:cs="楷体_GB2312"/>
          <w:sz w:val="32"/>
          <w:szCs w:val="32"/>
        </w:rPr>
      </w:pPr>
      <w:r>
        <w:rPr>
          <w:rFonts w:hint="eastAsia" w:ascii="宋体" w:hAnsi="宋体" w:eastAsia="楷体_GB2312" w:cs="楷体_GB2312"/>
          <w:sz w:val="32"/>
          <w:szCs w:val="32"/>
        </w:rPr>
        <w:t>目    录</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rPr>
      </w:pPr>
      <w:r>
        <w:rPr>
          <w:rFonts w:hint="eastAsia" w:ascii="宋体" w:hAnsi="宋体" w:eastAsia="楷体_GB2312" w:cs="楷体_GB2312"/>
          <w:sz w:val="32"/>
          <w:szCs w:val="32"/>
        </w:rPr>
        <w:t>第一章  总则</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第二章  </w:t>
      </w:r>
      <w:r>
        <w:rPr>
          <w:rFonts w:hint="eastAsia" w:ascii="宋体" w:hAnsi="宋体" w:eastAsia="楷体_GB2312" w:cs="楷体_GB2312"/>
          <w:sz w:val="32"/>
          <w:szCs w:val="32"/>
          <w:lang w:eastAsia="zh-CN"/>
        </w:rPr>
        <w:t>居住登记</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第三章  </w:t>
      </w:r>
      <w:r>
        <w:rPr>
          <w:rFonts w:hint="eastAsia" w:ascii="宋体" w:hAnsi="宋体" w:eastAsia="楷体_GB2312" w:cs="楷体_GB2312"/>
          <w:sz w:val="32"/>
          <w:szCs w:val="32"/>
          <w:lang w:eastAsia="zh-CN"/>
        </w:rPr>
        <w:t>居住证申领</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第四章  </w:t>
      </w:r>
      <w:r>
        <w:rPr>
          <w:rFonts w:hint="eastAsia" w:ascii="宋体" w:hAnsi="宋体" w:eastAsia="楷体_GB2312" w:cs="楷体_GB2312"/>
          <w:sz w:val="32"/>
          <w:szCs w:val="32"/>
          <w:lang w:eastAsia="zh-CN"/>
        </w:rPr>
        <w:t>权益保障和公共服务</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rPr>
      </w:pPr>
      <w:r>
        <w:rPr>
          <w:rFonts w:hint="eastAsia" w:ascii="宋体" w:hAnsi="宋体" w:eastAsia="楷体_GB2312" w:cs="楷体_GB2312"/>
          <w:sz w:val="32"/>
          <w:szCs w:val="32"/>
        </w:rPr>
        <w:t>第</w:t>
      </w:r>
      <w:r>
        <w:rPr>
          <w:rFonts w:hint="eastAsia" w:ascii="宋体" w:hAnsi="宋体" w:eastAsia="楷体_GB2312" w:cs="楷体_GB2312"/>
          <w:sz w:val="32"/>
          <w:szCs w:val="32"/>
          <w:lang w:eastAsia="zh-CN"/>
        </w:rPr>
        <w:t>五</w:t>
      </w:r>
      <w:r>
        <w:rPr>
          <w:rFonts w:hint="eastAsia" w:ascii="宋体" w:hAnsi="宋体" w:eastAsia="楷体_GB2312" w:cs="楷体_GB2312"/>
          <w:sz w:val="32"/>
          <w:szCs w:val="32"/>
        </w:rPr>
        <w:t>章  法律责任</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rPr>
      </w:pPr>
      <w:r>
        <w:rPr>
          <w:rFonts w:hint="eastAsia" w:ascii="宋体" w:hAnsi="宋体" w:eastAsia="楷体_GB2312" w:cs="楷体_GB2312"/>
          <w:sz w:val="32"/>
          <w:szCs w:val="32"/>
        </w:rPr>
        <w:t>第</w:t>
      </w:r>
      <w:r>
        <w:rPr>
          <w:rFonts w:hint="eastAsia" w:ascii="宋体" w:hAnsi="宋体" w:eastAsia="楷体_GB2312" w:cs="楷体_GB2312"/>
          <w:sz w:val="32"/>
          <w:szCs w:val="32"/>
          <w:lang w:eastAsia="zh-CN"/>
        </w:rPr>
        <w:t>六</w:t>
      </w:r>
      <w:r>
        <w:rPr>
          <w:rFonts w:hint="eastAsia" w:ascii="宋体" w:hAnsi="宋体" w:eastAsia="楷体_GB2312" w:cs="楷体_GB2312"/>
          <w:sz w:val="32"/>
          <w:szCs w:val="32"/>
        </w:rPr>
        <w:t>章  附则</w:t>
      </w:r>
    </w:p>
    <w:p>
      <w:pPr>
        <w:pStyle w:val="33"/>
        <w:widowControl w:val="0"/>
        <w:wordWrap/>
        <w:overflowPunct w:val="0"/>
        <w:spacing w:beforeAutospacing="0" w:afterAutospacing="0" w:line="560" w:lineRule="exact"/>
        <w:textAlignment w:val="auto"/>
        <w:rPr>
          <w:rFonts w:hint="eastAsia" w:ascii="宋体" w:hAnsi="宋体"/>
          <w:sz w:val="32"/>
          <w:szCs w:val="32"/>
        </w:rPr>
      </w:pPr>
    </w:p>
    <w:p>
      <w:pPr>
        <w:widowControl w:val="0"/>
        <w:wordWrap/>
        <w:overflowPunct w:val="0"/>
        <w:snapToGrid w:val="0"/>
        <w:spacing w:beforeAutospacing="0" w:afterAutospacing="0" w:line="560" w:lineRule="exact"/>
        <w:textAlignment w:val="auto"/>
        <w:rPr>
          <w:rFonts w:hint="eastAsia" w:ascii="宋体" w:hAnsi="宋体" w:cs="仿宋"/>
          <w:sz w:val="32"/>
          <w:szCs w:val="32"/>
        </w:rPr>
      </w:pPr>
    </w:p>
    <w:p>
      <w:pPr>
        <w:widowControl w:val="0"/>
        <w:wordWrap/>
        <w:overflowPunct w:val="0"/>
        <w:snapToGrid w:val="0"/>
        <w:spacing w:beforeAutospacing="0" w:afterAutospacing="0" w:line="560" w:lineRule="exact"/>
        <w:ind w:firstLine="3200" w:firstLineChars="1000"/>
        <w:textAlignment w:val="auto"/>
        <w:rPr>
          <w:rFonts w:hint="eastAsia" w:ascii="宋体" w:hAnsi="宋体" w:eastAsia="黑体" w:cs="黑体"/>
          <w:sz w:val="32"/>
          <w:szCs w:val="32"/>
        </w:rPr>
      </w:pPr>
      <w:r>
        <w:rPr>
          <w:rFonts w:hint="eastAsia" w:ascii="宋体" w:hAnsi="宋体" w:eastAsia="黑体" w:cs="黑体"/>
          <w:sz w:val="32"/>
          <w:szCs w:val="32"/>
        </w:rPr>
        <w:t>第一章  总  则</w:t>
      </w:r>
    </w:p>
    <w:p>
      <w:pPr>
        <w:pStyle w:val="33"/>
        <w:widowControl w:val="0"/>
        <w:wordWrap/>
        <w:overflowPunct w:val="0"/>
        <w:spacing w:beforeAutospacing="0" w:afterAutospacing="0" w:line="560" w:lineRule="exact"/>
        <w:ind w:firstLine="0" w:firstLineChars="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第一条</w:t>
      </w:r>
      <w:r>
        <w:rPr>
          <w:rFonts w:hint="eastAsia" w:ascii="宋体" w:hAnsi="宋体" w:cs="仿宋_GB2312"/>
          <w:sz w:val="32"/>
          <w:szCs w:val="32"/>
        </w:rPr>
        <w:t xml:space="preserve"> 为了保障流动人口的合法权益，加强流动人口服务管理，维护社会秩序，根据国务院《居住证暂行条例》和有关法律、法规，结合本省实际，制定本条例。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第二条</w:t>
      </w:r>
      <w:r>
        <w:rPr>
          <w:rFonts w:hint="eastAsia" w:ascii="宋体" w:hAnsi="宋体" w:cs="仿宋_GB2312"/>
          <w:sz w:val="32"/>
          <w:szCs w:val="32"/>
        </w:rPr>
        <w:t xml:space="preserve"> 本条例适用于本省行政区域内流动人口的居住管理、权益保障和公共服务。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本条例所称流动人口，是指离开常住户口所在地进入本省和在本省行政区域内跨地级以上市居住的人员。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第三条</w:t>
      </w:r>
      <w:r>
        <w:rPr>
          <w:rFonts w:hint="eastAsia" w:ascii="宋体" w:hAnsi="宋体" w:cs="仿宋_GB2312"/>
          <w:sz w:val="32"/>
          <w:szCs w:val="32"/>
        </w:rPr>
        <w:t xml:space="preserve"> 流动人口的服务管理工作，应当遵循以人为本、便民高效、规范有序和居住地属地管理的原则。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第四条</w:t>
      </w:r>
      <w:r>
        <w:rPr>
          <w:rFonts w:hint="eastAsia" w:ascii="宋体" w:hAnsi="宋体" w:cs="仿宋_GB2312"/>
          <w:sz w:val="32"/>
          <w:szCs w:val="32"/>
        </w:rPr>
        <w:t xml:space="preserve"> 流动人口服务管理实行居住登记和居住证制度。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广东省居住证是持证人在本省行政区域内居住地居住、作为常住人口享受基本公共服务和便利、申请登记常住户口的证明。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第五条</w:t>
      </w:r>
      <w:r>
        <w:rPr>
          <w:rFonts w:hint="eastAsia" w:ascii="宋体" w:hAnsi="宋体" w:cs="仿宋_GB2312"/>
          <w:sz w:val="32"/>
          <w:szCs w:val="32"/>
        </w:rPr>
        <w:t xml:space="preserve"> 各级人民政府负责本行政区域内流动人口的服务管理和权益保障工作。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各级人民政府应当将流动人口的服务管理工作纳入国民经济和社会发展规划，逐步实现基本公共服务均等化。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流动人口的服务管理工作所需经费纳入各级人民政府财政预算。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第六条</w:t>
      </w:r>
      <w:r>
        <w:rPr>
          <w:rFonts w:hint="eastAsia" w:ascii="宋体" w:hAnsi="宋体" w:cs="仿宋_GB2312"/>
          <w:sz w:val="32"/>
          <w:szCs w:val="32"/>
        </w:rPr>
        <w:t xml:space="preserve"> 县级以上人民政府可以根据实际需要指定或者成立负责流动人口服务管理统筹工作的机构，组织、协调、指导、督促各有关部门的流动人口服务管理工作。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
          <w:sz w:val="32"/>
          <w:szCs w:val="32"/>
        </w:rPr>
        <w:t>　　</w:t>
      </w:r>
      <w:r>
        <w:rPr>
          <w:rFonts w:hint="eastAsia" w:ascii="宋体" w:hAnsi="宋体" w:cs="仿宋_GB2312"/>
          <w:sz w:val="32"/>
          <w:szCs w:val="32"/>
        </w:rPr>
        <w:t>县级以上人民政府发</w:t>
      </w:r>
      <w:r>
        <w:rPr>
          <w:rFonts w:hint="eastAsia" w:ascii="宋体" w:hAnsi="宋体" w:eastAsia="仿宋_GB2312" w:cs="仿宋_GB2312"/>
          <w:sz w:val="32"/>
          <w:szCs w:val="32"/>
        </w:rPr>
        <w:t>展改革、教育、公安、民政、司法行政、财政、人力资源社会保障、住房城乡建设、卫生健康、市场监督管理等有关部门按照职责分工开展流动</w:t>
      </w:r>
      <w:r>
        <w:rPr>
          <w:rFonts w:hint="eastAsia" w:ascii="宋体" w:hAnsi="宋体" w:cs="仿宋_GB2312"/>
          <w:sz w:val="32"/>
          <w:szCs w:val="32"/>
        </w:rPr>
        <w:t xml:space="preserve">人口服务管理工作。 </w:t>
      </w:r>
    </w:p>
    <w:p>
      <w:pPr>
        <w:widowControl w:val="0"/>
        <w:wordWrap/>
        <w:overflowPunct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cs="仿宋_GB2312"/>
          <w:sz w:val="32"/>
          <w:szCs w:val="32"/>
        </w:rPr>
        <w:t xml:space="preserve">工会、共青团、妇联等人民团体和居民委员会、村民委员会等群众性自治组织以及用人单位、房屋出租人、就读学校应当协助做好流动人口服务管理工作。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
          <w:sz w:val="32"/>
          <w:szCs w:val="32"/>
        </w:rPr>
        <w:t>　　</w:t>
      </w:r>
      <w:r>
        <w:rPr>
          <w:rFonts w:hint="eastAsia" w:ascii="宋体" w:hAnsi="宋体" w:eastAsia="黑体" w:cs="黑体"/>
          <w:sz w:val="32"/>
          <w:szCs w:val="32"/>
        </w:rPr>
        <w:t>第七条</w:t>
      </w:r>
      <w:r>
        <w:rPr>
          <w:rFonts w:hint="eastAsia" w:ascii="宋体" w:hAnsi="宋体" w:cs="仿宋_GB2312"/>
          <w:sz w:val="32"/>
          <w:szCs w:val="32"/>
        </w:rPr>
        <w:t xml:space="preserve"> 公安机关负责流动人口的居住登记、居住变更登记和居住证管理工作。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乡镇、街道承担流动人口服务管理工作的机构受公安机关委托，开展居住登记、居住变更登记和居住证申领受理、发放、签注等具体工作，并受其他行政管理部门委托，开展流动人口服务管理的日常工作。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第八条</w:t>
      </w:r>
      <w:r>
        <w:rPr>
          <w:rFonts w:hint="eastAsia" w:ascii="宋体" w:hAnsi="宋体" w:cs="仿宋_GB2312"/>
          <w:sz w:val="32"/>
          <w:szCs w:val="32"/>
        </w:rPr>
        <w:t xml:space="preserve"> 县级以上人民政府可以根据需要决定聘用流动人口协管人员。流动人口协管人员的规模、聘用条件、聘用程序及其工作职责和管理办法由地级以上市人民政府制定。 </w:t>
      </w:r>
    </w:p>
    <w:p>
      <w:pPr>
        <w:widowControl w:val="0"/>
        <w:wordWrap/>
        <w:overflowPunct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eastAsia="黑体" w:cs="黑体"/>
          <w:sz w:val="32"/>
          <w:szCs w:val="32"/>
        </w:rPr>
        <w:t>第九条</w:t>
      </w:r>
      <w:r>
        <w:rPr>
          <w:rFonts w:hint="eastAsia" w:ascii="宋体" w:hAnsi="宋体" w:cs="仿宋_GB2312"/>
          <w:sz w:val="32"/>
          <w:szCs w:val="32"/>
        </w:rPr>
        <w:t xml:space="preserve"> 县级以上人民政府应当按照全省统一、资源整合、互联互通的原则，建立和完善流动人口综合服务管理信息系统和人口信息数据库，加强政府职能部门之间、地区之间的信息共享，为推进社会保险、住房公积金等转移接续制度，实现基本公共服务常住人口全覆盖提供信息支持，为流动人口办理有关事项和获取公共服务提供便利。 </w:t>
      </w:r>
    </w:p>
    <w:p>
      <w:pPr>
        <w:pStyle w:val="33"/>
        <w:widowControl w:val="0"/>
        <w:wordWrap/>
        <w:overflowPunct w:val="0"/>
        <w:spacing w:beforeAutospacing="0" w:afterAutospacing="0" w:line="560" w:lineRule="exact"/>
        <w:ind w:firstLine="640"/>
        <w:textAlignment w:val="auto"/>
        <w:rPr>
          <w:rFonts w:hint="eastAsia" w:ascii="宋体" w:hAnsi="宋体" w:eastAsia="仿宋_GB2312" w:cs="仿宋_GB2312"/>
          <w:sz w:val="32"/>
          <w:szCs w:val="32"/>
        </w:rPr>
      </w:pPr>
    </w:p>
    <w:p>
      <w:pPr>
        <w:widowControl w:val="0"/>
        <w:numPr>
          <w:ilvl w:val="0"/>
          <w:numId w:val="18"/>
        </w:numPr>
        <w:wordWrap/>
        <w:overflowPunct w:val="0"/>
        <w:snapToGrid w:val="0"/>
        <w:spacing w:beforeAutospacing="0" w:afterAutospacing="0" w:line="560" w:lineRule="exact"/>
        <w:ind w:firstLine="2880" w:firstLineChars="900"/>
        <w:textAlignment w:val="auto"/>
        <w:rPr>
          <w:rFonts w:hint="eastAsia" w:ascii="宋体" w:hAnsi="宋体" w:eastAsia="黑体" w:cs="黑体"/>
          <w:sz w:val="32"/>
          <w:szCs w:val="32"/>
        </w:rPr>
      </w:pPr>
      <w:r>
        <w:rPr>
          <w:rFonts w:hint="eastAsia" w:ascii="宋体" w:hAnsi="宋体" w:eastAsia="黑体" w:cs="黑体"/>
          <w:sz w:val="32"/>
          <w:szCs w:val="32"/>
        </w:rPr>
        <w:t>居住登记</w:t>
      </w:r>
    </w:p>
    <w:p>
      <w:pPr>
        <w:pStyle w:val="33"/>
        <w:widowControl w:val="0"/>
        <w:wordWrap/>
        <w:overflowPunct w:val="0"/>
        <w:spacing w:beforeAutospacing="0" w:afterAutospacing="0" w:line="560" w:lineRule="exact"/>
        <w:ind w:firstLine="0" w:firstLineChars="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第十条</w:t>
      </w:r>
      <w:r>
        <w:rPr>
          <w:rFonts w:hint="eastAsia" w:ascii="宋体" w:hAnsi="宋体" w:cs="仿宋_GB2312"/>
          <w:sz w:val="32"/>
          <w:szCs w:val="32"/>
        </w:rPr>
        <w:t xml:space="preserve"> 流动人口应当自到达居住地之日起三个工作日内持本人居民身份证或者户口簿、护照等其他有效身份证明、居住地住址证明向居住地公安派出所或者乡镇、街道承担流动人口服务管理工作的机构申报居住登记。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流动人口变更居住地址的，应当自变更之日起三个工作日内持本人居民身份证或者户口簿、护照等其他有效身份证明、居住地住址证明向居住地公安派出所或者乡镇、街道承担流动人口服务管理工作的机构申报居住变更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流动人口申报居住登记或者居住变更登记，公安派出所或者乡镇、街道承担流动人口服务管理工作的机构应当发给相应的登记凭证。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第十一条</w:t>
      </w:r>
      <w:r>
        <w:rPr>
          <w:rFonts w:hint="eastAsia" w:ascii="宋体" w:hAnsi="宋体" w:cs="仿宋_GB2312"/>
          <w:sz w:val="32"/>
          <w:szCs w:val="32"/>
        </w:rPr>
        <w:t xml:space="preserve"> 流动人口符合下列情形之一的，可以不申报居住登记：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（一）在居住地就医、探亲、旅游、出差的；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（二）在全日制小学、中学、中高等职业学校或者普通高等学校就读的；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（三）在宾馆、酒店、旅店、招待所以及其他可供住宿的经营性服务场所居住，且已按照有关规定办理旅馆业住宿登记的。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第十二条</w:t>
      </w:r>
      <w:r>
        <w:rPr>
          <w:rFonts w:hint="eastAsia" w:ascii="宋体" w:hAnsi="宋体" w:cs="仿宋_GB2312"/>
          <w:sz w:val="32"/>
          <w:szCs w:val="32"/>
        </w:rPr>
        <w:t xml:space="preserve"> 房屋出租人或者其委托代理人应当在流动人口入住后二十四小时内登记其姓名、身份证件种类和号码等基本情况，在三个工作日内报告当地公安派出所或者乡镇、街道承担流动人口服务管理工作的机构，并督促其按照规定申报居住登记或者居住变更登记。流动人口终止居住的，房屋出租人或者其委托代理人应当在流动人口离开后三个工作日内报告当地公安派出所或者乡镇、街道承担流动人口服务管理工作的机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第十三条</w:t>
      </w:r>
      <w:r>
        <w:rPr>
          <w:rFonts w:hint="eastAsia" w:ascii="宋体" w:hAnsi="宋体" w:cs="仿宋_GB2312"/>
          <w:sz w:val="32"/>
          <w:szCs w:val="32"/>
        </w:rPr>
        <w:t xml:space="preserve"> 用人单位招用流动人口的，应当督促其按照规定申报居住登记或者居住变更登记。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ind w:firstLine="2560" w:firstLineChars="800"/>
        <w:textAlignment w:val="auto"/>
        <w:rPr>
          <w:rFonts w:hint="eastAsia" w:ascii="宋体" w:hAnsi="宋体" w:eastAsia="黑体" w:cs="黑体"/>
          <w:sz w:val="32"/>
          <w:szCs w:val="32"/>
        </w:rPr>
      </w:pPr>
      <w:r>
        <w:rPr>
          <w:rFonts w:hint="eastAsia" w:ascii="宋体" w:hAnsi="宋体" w:eastAsia="黑体" w:cs="黑体"/>
          <w:sz w:val="32"/>
          <w:szCs w:val="32"/>
        </w:rPr>
        <w:t>第三章  居住证申领</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第十四条</w:t>
      </w:r>
      <w:r>
        <w:rPr>
          <w:rFonts w:hint="eastAsia" w:ascii="宋体" w:hAnsi="宋体" w:cs="仿宋_GB2312"/>
          <w:sz w:val="32"/>
          <w:szCs w:val="32"/>
        </w:rPr>
        <w:t xml:space="preserve"> 流动人口在居住地居住半年以上，符合有合法稳定就业、合法稳定住所、连续就读条件之一的，可以按照规定申领居住证。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前款规定的居住时间自申报居住登记之日起计算。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第十五条</w:t>
      </w:r>
      <w:r>
        <w:rPr>
          <w:rFonts w:hint="eastAsia" w:ascii="宋体" w:hAnsi="宋体" w:cs="仿宋_GB2312"/>
          <w:sz w:val="32"/>
          <w:szCs w:val="32"/>
        </w:rPr>
        <w:t xml:space="preserve"> 申领居住证，应当向居住地公安派出所或者乡镇、街道承担流动人口服务管理工作的机构提交本人居民身份证、本人相片以及居住地住址、就业、就读等证明材料。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公安派出所或者乡镇、街道承担流动人口服务管理工作的机构收到申领广东省居住证的相关材料后，对材料齐全的，应当受理，出具受理凭证；对申请材料不齐全的，应当一次性告知申领人需要补充的材料。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第十六条</w:t>
      </w:r>
      <w:r>
        <w:rPr>
          <w:rFonts w:hint="eastAsia" w:ascii="宋体" w:hAnsi="宋体" w:cs="仿宋_GB2312"/>
          <w:sz w:val="32"/>
          <w:szCs w:val="32"/>
        </w:rPr>
        <w:t xml:space="preserve"> 广东省居住证由省人民政府公安机关统一印制，县级人民政府公安机关签发。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居住证每年签注一次，居住证持有人在居住地连续居住的，应当在居住每满一年之日前一个月内，到居住地公安派出所或者乡镇、街道承担流动人口服务管理工作的机构办理签注手续。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逾期未办理签注手续的，居住证使用功能中止；补办签注手续的，居住证的使用功能恢复，居住证持有人在居住地的居住年限自补办签注手续之日起连续计算。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第十七条</w:t>
      </w:r>
      <w:r>
        <w:rPr>
          <w:rFonts w:hint="eastAsia" w:ascii="宋体" w:hAnsi="宋体" w:cs="仿宋_GB2312"/>
          <w:sz w:val="32"/>
          <w:szCs w:val="32"/>
        </w:rPr>
        <w:t xml:space="preserve"> 居住证遗失、损坏或者登载内容发生变更的，居住证持有人应当及时向居住地公安派出所或者乡镇、街道承担流动人口服务管理工作的机构申请补领、换领。换领新证时，应当交回原证。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居住证持有人申报居住地住址变更登记的，无需换领新证。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第十八条</w:t>
      </w:r>
      <w:r>
        <w:rPr>
          <w:rFonts w:hint="eastAsia" w:ascii="宋体" w:hAnsi="宋体" w:cs="仿宋_GB2312"/>
          <w:sz w:val="32"/>
          <w:szCs w:val="32"/>
        </w:rPr>
        <w:t xml:space="preserve"> 流动人口按照规定申领或者补领、换领居住证，公安派出所或者乡镇、街道承担流动人口服务管理工作的机构应当自受理之日起十个工作日内予以发放。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第十九条</w:t>
      </w:r>
      <w:r>
        <w:rPr>
          <w:rFonts w:hint="eastAsia" w:ascii="宋体" w:hAnsi="宋体" w:cs="仿宋_GB2312"/>
          <w:sz w:val="32"/>
          <w:szCs w:val="32"/>
        </w:rPr>
        <w:t xml:space="preserve"> 公安机关人民警察依法执行职务，需要查验居住证时，被查验者应当予以配合。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其他有关行政管理部门和乡镇、街道承担流动人口服务管理工作的机构在履行法定职责或者为流动人口提供服务时，可以要求居住证持有人出示居住证，居住证持有人应当予以配合。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除法律、行政法规规定的情形外，任何单位和个人不得扣押居住证。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第二十条</w:t>
      </w:r>
      <w:r>
        <w:rPr>
          <w:rFonts w:hint="eastAsia" w:ascii="宋体" w:hAnsi="宋体" w:cs="仿宋_GB2312"/>
          <w:sz w:val="32"/>
          <w:szCs w:val="32"/>
        </w:rPr>
        <w:t xml:space="preserve"> 流动人口办理居住登记、居住变更登记、首次领取居住证和办理居住证签注手续，办理单位不得收取费用。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补领、换领居住证的，应当按照有关规定缴纳证件工本费。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未经省人民政府批准，办理流动人口居住登记、居住变更登记、居住证时不得附加其他收费。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第二十一条</w:t>
      </w:r>
      <w:r>
        <w:rPr>
          <w:rFonts w:hint="eastAsia" w:ascii="宋体" w:hAnsi="宋体" w:cs="仿宋_GB2312"/>
          <w:sz w:val="32"/>
          <w:szCs w:val="32"/>
        </w:rPr>
        <w:t xml:space="preserve"> 行政管理部门、公安派出所和乡镇、街道承担流动人口服务管理工作的机构及其工作人员对工作过程中所获悉的有关流动人口信息应当予以保密，不得用于法定职责以外的用途。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ind w:firstLine="2240" w:firstLineChars="700"/>
        <w:textAlignment w:val="auto"/>
        <w:rPr>
          <w:rFonts w:hint="eastAsia" w:ascii="宋体" w:hAnsi="宋体" w:cs="仿宋_GB2312"/>
          <w:sz w:val="32"/>
          <w:szCs w:val="32"/>
        </w:rPr>
      </w:pPr>
      <w:r>
        <w:rPr>
          <w:rFonts w:hint="eastAsia" w:ascii="宋体" w:hAnsi="宋体" w:eastAsia="黑体" w:cs="黑体"/>
          <w:sz w:val="32"/>
          <w:szCs w:val="32"/>
        </w:rPr>
        <w:t>第四章  权益保障和公共服务</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第二十二条</w:t>
      </w:r>
      <w:r>
        <w:rPr>
          <w:rFonts w:hint="eastAsia" w:ascii="宋体" w:hAnsi="宋体" w:cs="仿宋_GB2312"/>
          <w:sz w:val="32"/>
          <w:szCs w:val="32"/>
        </w:rPr>
        <w:t xml:space="preserve"> 各级人民政府应当建立和完善流动人口的权益保障机制、社会保障体系和公共服务网络。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第二十三条</w:t>
      </w:r>
      <w:r>
        <w:rPr>
          <w:rFonts w:hint="eastAsia" w:ascii="宋体" w:hAnsi="宋体" w:cs="仿宋_GB2312"/>
          <w:sz w:val="32"/>
          <w:szCs w:val="32"/>
        </w:rPr>
        <w:t xml:space="preserve"> 县级以上人民政府应当逐步将流动人口权益保障、公共服务、居住管理等纳入居住登记和居住证制度，完善和扩大居住证件的使用功能。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公安机关和乡镇、街道承担流动人口服务管理工作的机构应当拓展流动人口信息的申报、采集、核对方式，运用移动终端、互联网等现代信息技术及其他便捷的手段，及时告知公共服务和便利以及签注时限等信息，逐步推行利用公共资源数据库有效信息替代流动人口提供有关证明材料，为流动人口办理居住登记、居住变更登记和居住证以及查询相关办理信息提供便利。有关公共服务机构和商业服务组织应当为居住证的使用提供便利。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第二十四条</w:t>
      </w:r>
      <w:r>
        <w:rPr>
          <w:rFonts w:hint="eastAsia" w:ascii="宋体" w:hAnsi="宋体" w:cs="仿宋_GB2312"/>
          <w:sz w:val="32"/>
          <w:szCs w:val="32"/>
        </w:rPr>
        <w:t xml:space="preserve"> 居住证持有人在居住地依法享受劳动就业，参加社会保险，缴存、提取和使用住房公积金的权利。县级以上人民政府及其有关部门应当为居住证持有人提供下列基本公共服务：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（一）义务教育；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（二）基本公共就业服务；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（三）基本公共卫生服务和计划生育服务；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（四）公共文化体育服务；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（五）法律援助和其他法律服务；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（六）国家和居住地人民政府规定的其他基本公共服务。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第二十五条</w:t>
      </w:r>
      <w:r>
        <w:rPr>
          <w:rFonts w:hint="eastAsia" w:ascii="宋体" w:hAnsi="宋体" w:cs="仿宋_GB2312"/>
          <w:sz w:val="32"/>
          <w:szCs w:val="32"/>
        </w:rPr>
        <w:t xml:space="preserve"> 居住证持有人在居住地享受下列便利：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（一）按照国家有关规定办理出入境证件；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（二）按照国家有关规定换领、补领居民身份证；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（三）机动车登记；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（四）申领机动车驾驶证；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（五）报名参加职业资格考试、申请授予职业资格；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（六）办理生育登记和其他计划生育证明材料；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（七）国家和居住地人民政府规定的其他便利。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居住地人民政府可以根据实际制定居住凭证持有人享受便利的具体办法。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第二十六条</w:t>
      </w:r>
      <w:r>
        <w:rPr>
          <w:rFonts w:hint="eastAsia" w:ascii="宋体" w:hAnsi="宋体" w:cs="仿宋_GB2312"/>
          <w:sz w:val="32"/>
          <w:szCs w:val="32"/>
        </w:rPr>
        <w:t xml:space="preserve"> 各级人民政府及其有关部门应当积极创造条件，逐步扩大为居住证持有人提供公共服务和便利的范围，不断提高服务标准，并及时向社会公布公共服务和便利的具体内容，加快推进基本公共服务均等化。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第二十七条</w:t>
      </w:r>
      <w:r>
        <w:rPr>
          <w:rFonts w:hint="eastAsia" w:ascii="宋体" w:hAnsi="宋体" w:cs="仿宋_GB2312"/>
          <w:sz w:val="32"/>
          <w:szCs w:val="32"/>
        </w:rPr>
        <w:t xml:space="preserve"> 居住证持有人符合居住地人民政府规定的落户条件的，可以根据本人意愿，将常住户口由原户口所在地迁入居住地。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居住地人民政府应当根据国家和省有关户籍制度改革的政策规定，放宽落户条件，具体办法由居住地地级以上市人民政府制定。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第二十八条</w:t>
      </w:r>
      <w:r>
        <w:rPr>
          <w:rFonts w:hint="eastAsia" w:ascii="宋体" w:hAnsi="宋体" w:cs="仿宋_GB2312"/>
          <w:sz w:val="32"/>
          <w:szCs w:val="32"/>
        </w:rPr>
        <w:t xml:space="preserve"> 流动人口合法权益受到侵害的，可以向有关行政管理部门投诉，有关行政管理部门应当及时受理，并依法处理。 </w:t>
      </w:r>
    </w:p>
    <w:p>
      <w:pPr>
        <w:widowControl w:val="0"/>
        <w:wordWrap/>
        <w:overflowPunct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cs="仿宋_GB2312"/>
          <w:sz w:val="32"/>
          <w:szCs w:val="32"/>
        </w:rPr>
        <w:t xml:space="preserve">公安派出所和乡镇、街道承担流动人口服务管理工作的机构应当公布流动人口办事指南，公开投诉方式、受理机构等事项。 </w:t>
      </w:r>
    </w:p>
    <w:p>
      <w:pPr>
        <w:pStyle w:val="33"/>
        <w:widowControl w:val="0"/>
        <w:wordWrap/>
        <w:overflowPunct w:val="0"/>
        <w:spacing w:beforeAutospacing="0" w:afterAutospacing="0" w:line="560" w:lineRule="exact"/>
        <w:ind w:firstLine="64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ind w:left="2560" w:leftChars="800" w:firstLine="960" w:firstLineChars="300"/>
        <w:textAlignment w:val="auto"/>
        <w:rPr>
          <w:rFonts w:hint="eastAsia" w:ascii="宋体" w:hAnsi="宋体" w:cs="仿宋_GB2312"/>
          <w:sz w:val="32"/>
          <w:szCs w:val="32"/>
        </w:rPr>
      </w:pPr>
      <w:r>
        <w:rPr>
          <w:rFonts w:hint="eastAsia" w:ascii="宋体" w:hAnsi="宋体" w:eastAsia="黑体" w:cs="黑体"/>
          <w:sz w:val="32"/>
          <w:szCs w:val="32"/>
        </w:rPr>
        <w:t>第五章  法律责任</w:t>
      </w:r>
    </w:p>
    <w:p>
      <w:pPr>
        <w:pStyle w:val="33"/>
        <w:widowControl w:val="0"/>
        <w:wordWrap/>
        <w:overflowPunct w:val="0"/>
        <w:spacing w:beforeAutospacing="0" w:afterAutospacing="0" w:line="560" w:lineRule="exact"/>
        <w:ind w:firstLine="0" w:firstLineChars="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第二十九条</w:t>
      </w:r>
      <w:r>
        <w:rPr>
          <w:rFonts w:hint="eastAsia" w:ascii="宋体" w:hAnsi="宋体" w:cs="仿宋_GB2312"/>
          <w:sz w:val="32"/>
          <w:szCs w:val="32"/>
        </w:rPr>
        <w:t xml:space="preserve"> 流动人口未按照本条例第十条第一款、第二款规定申报居住登记、居住变更登记的，由公安机关责令限期改正，并可以给予警告。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第三十条</w:t>
      </w:r>
      <w:r>
        <w:rPr>
          <w:rFonts w:hint="eastAsia" w:ascii="宋体" w:hAnsi="宋体" w:cs="仿宋_GB2312"/>
          <w:sz w:val="32"/>
          <w:szCs w:val="32"/>
        </w:rPr>
        <w:t xml:space="preserve"> 房屋出租人或者其委托代理人未按照本条例第十二条规定报告流动人口基本情况或者流动人口终止居住情况的，由公安机关依照有关规定处理。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第三十一条</w:t>
      </w:r>
      <w:r>
        <w:rPr>
          <w:rFonts w:hint="eastAsia" w:ascii="宋体" w:hAnsi="宋体" w:cs="仿宋_GB2312"/>
          <w:sz w:val="32"/>
          <w:szCs w:val="32"/>
        </w:rPr>
        <w:t xml:space="preserve"> 行政管理部门、公安派出所和乡镇、街道承担流动人口服务管理工作的机构及其工作人员有下列行为之一的，由其上级主管部门或者所在单位视情节轻重，对直接负责的主管人员和其他直接责任人员给予处分；构成犯罪的，依法追究刑事责任：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（一）对侵害流动人口合法权益的行为不依法及时处理的；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（二）对流动人口申报居住登记、居住变更登记或者申办居住证不依法办理的；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（三）违规向流动人口收取费用的；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（四）利用制作、发放居住证等职务上的便利，收受他人财物或者谋取其他利益的；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（五）超越职权或者违反法定情形、处罚种类、数额对流动人口或者相关单位、个人实施处罚的；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（六）篡改居住证信息的；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（七）将工作过程中所获悉的有关流动人口信息用于法定职责以外的用途的；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（八）违反流动人口服务管理规定的其他行为。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jc w:val="center"/>
        <w:textAlignment w:val="auto"/>
        <w:rPr>
          <w:rFonts w:hint="eastAsia" w:ascii="宋体" w:hAnsi="宋体" w:cs="仿宋_GB2312"/>
          <w:sz w:val="32"/>
          <w:szCs w:val="32"/>
        </w:rPr>
      </w:pPr>
      <w:r>
        <w:rPr>
          <w:rFonts w:hint="eastAsia" w:ascii="宋体" w:hAnsi="宋体" w:eastAsia="黑体" w:cs="黑体"/>
          <w:sz w:val="32"/>
          <w:szCs w:val="32"/>
        </w:rPr>
        <w:t>第六章  附则</w:t>
      </w:r>
    </w:p>
    <w:p>
      <w:pPr>
        <w:pStyle w:val="33"/>
        <w:widowControl w:val="0"/>
        <w:wordWrap/>
        <w:overflowPunct w:val="0"/>
        <w:spacing w:beforeAutospacing="0" w:afterAutospacing="0" w:line="560" w:lineRule="exact"/>
        <w:ind w:left="2560" w:leftChars="800" w:firstLine="0" w:firstLineChars="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第三十二条</w:t>
      </w:r>
      <w:r>
        <w:rPr>
          <w:rFonts w:hint="eastAsia" w:ascii="宋体" w:hAnsi="宋体" w:cs="仿宋_GB2312"/>
          <w:sz w:val="32"/>
          <w:szCs w:val="32"/>
        </w:rPr>
        <w:t xml:space="preserve"> 符合本省引进人才专业需求的流动人口的居住登记和服务管理依照省人民政府的有关规定执行。 </w:t>
      </w:r>
    </w:p>
    <w:p>
      <w:pPr>
        <w:widowControl w:val="0"/>
        <w:wordWrap/>
        <w:overflowPunct w:val="0"/>
        <w:snapToGrid w:val="0"/>
        <w:spacing w:beforeAutospacing="0" w:afterAutospacing="0" w:line="560" w:lineRule="exact"/>
        <w:ind w:firstLine="640"/>
        <w:textAlignment w:val="auto"/>
        <w:rPr>
          <w:rFonts w:hint="eastAsia" w:ascii="宋体" w:hAnsi="宋体" w:cs="仿宋_GB2312"/>
          <w:sz w:val="32"/>
          <w:szCs w:val="32"/>
        </w:rPr>
      </w:pPr>
      <w:r>
        <w:rPr>
          <w:rFonts w:hint="eastAsia" w:ascii="宋体" w:hAnsi="宋体" w:eastAsia="黑体" w:cs="黑体"/>
          <w:sz w:val="32"/>
          <w:szCs w:val="32"/>
        </w:rPr>
        <w:t>第三十三条</w:t>
      </w:r>
      <w:r>
        <w:rPr>
          <w:rFonts w:hint="eastAsia" w:ascii="宋体" w:hAnsi="宋体" w:cs="仿宋_GB2312"/>
          <w:sz w:val="32"/>
          <w:szCs w:val="32"/>
        </w:rPr>
        <w:t xml:space="preserve"> 本条例自2017年9月1日起施行。本条例修订前已发放的居住证，在有效期内继续有效。</w:t>
      </w:r>
    </w:p>
    <w:p>
      <w:pPr>
        <w:pStyle w:val="33"/>
        <w:widowControl w:val="0"/>
        <w:wordWrap/>
        <w:overflowPunct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br w:type="page"/>
      </w:r>
    </w:p>
    <w:p>
      <w:pPr>
        <w:widowControl w:val="0"/>
        <w:wordWrap/>
        <w:adjustRightInd/>
        <w:spacing w:line="560" w:lineRule="exact"/>
        <w:jc w:val="center"/>
        <w:textAlignment w:val="auto"/>
        <w:outlineLvl w:val="0"/>
        <w:rPr>
          <w:rFonts w:hint="eastAsia" w:ascii="宋体" w:hAnsi="宋体" w:eastAsia="宋体" w:cs="宋体"/>
          <w:color w:val="000000"/>
          <w:kern w:val="2"/>
          <w:sz w:val="44"/>
          <w:szCs w:val="32"/>
          <w:lang w:val="en-US" w:eastAsia="zh-CN" w:bidi="ar-SA"/>
        </w:rPr>
      </w:pPr>
      <w:bookmarkStart w:id="448" w:name="_Toc9343"/>
      <w:r>
        <w:rPr>
          <w:rFonts w:hint="eastAsia" w:ascii="宋体" w:hAnsi="宋体" w:eastAsia="宋体" w:cs="宋体"/>
          <w:color w:val="000000"/>
          <w:kern w:val="2"/>
          <w:sz w:val="44"/>
          <w:szCs w:val="32"/>
          <w:lang w:val="en-US" w:eastAsia="zh-CN" w:bidi="ar-SA"/>
        </w:rPr>
        <w:t>广东省大气污染防治条例</w:t>
      </w:r>
      <w:bookmarkEnd w:id="448"/>
    </w:p>
    <w:p>
      <w:pPr>
        <w:widowControl w:val="0"/>
        <w:wordWrap/>
        <w:adjustRightInd/>
        <w:snapToGrid/>
        <w:spacing w:line="560" w:lineRule="exact"/>
        <w:ind w:right="0"/>
        <w:jc w:val="both"/>
        <w:textAlignment w:val="auto"/>
        <w:outlineLvl w:val="9"/>
        <w:rPr>
          <w:rFonts w:hint="default" w:ascii="宋体" w:hAnsi="宋体" w:eastAsia="楷体_GB2312" w:cs="Times New Roman"/>
          <w:kern w:val="2"/>
          <w:sz w:val="32"/>
          <w:szCs w:val="32"/>
          <w:lang w:val="en-US" w:eastAsia="zh-CN" w:bidi="ar-SA"/>
        </w:rPr>
      </w:pPr>
    </w:p>
    <w:p>
      <w:pPr>
        <w:widowControl w:val="0"/>
        <w:wordWrap/>
        <w:adjustRightInd/>
        <w:snapToGrid/>
        <w:spacing w:line="560" w:lineRule="exact"/>
        <w:ind w:left="640" w:leftChars="200" w:right="640" w:rightChars="200" w:firstLine="0" w:firstLineChars="0"/>
        <w:jc w:val="both"/>
        <w:textAlignment w:val="auto"/>
        <w:outlineLvl w:val="9"/>
        <w:rPr>
          <w:rFonts w:hint="eastAsia" w:ascii="宋体" w:hAnsi="宋体" w:eastAsia="楷体_GB2312" w:cs="楷体_GB2312"/>
          <w:color w:val="000000"/>
          <w:sz w:val="32"/>
          <w:szCs w:val="32"/>
        </w:rPr>
      </w:pPr>
      <w:r>
        <w:rPr>
          <w:rFonts w:hint="eastAsia" w:ascii="宋体" w:hAnsi="宋体" w:eastAsia="楷体_GB2312" w:cs="楷体_GB2312"/>
          <w:color w:val="000000"/>
          <w:sz w:val="32"/>
          <w:szCs w:val="32"/>
        </w:rPr>
        <w:t>（20</w:t>
      </w:r>
      <w:r>
        <w:rPr>
          <w:rFonts w:hint="eastAsia" w:ascii="宋体" w:hAnsi="宋体" w:eastAsia="楷体_GB2312" w:cs="楷体_GB2312"/>
          <w:color w:val="000000"/>
          <w:sz w:val="32"/>
          <w:szCs w:val="32"/>
          <w:lang w:val="en-US" w:eastAsia="zh-CN"/>
        </w:rPr>
        <w:t>18</w:t>
      </w:r>
      <w:r>
        <w:rPr>
          <w:rFonts w:hint="eastAsia" w:ascii="宋体" w:hAnsi="宋体" w:eastAsia="楷体_GB2312" w:cs="楷体_GB2312"/>
          <w:color w:val="000000"/>
          <w:sz w:val="32"/>
          <w:szCs w:val="32"/>
        </w:rPr>
        <w:t>年</w:t>
      </w:r>
      <w:r>
        <w:rPr>
          <w:rFonts w:hint="eastAsia" w:ascii="宋体" w:hAnsi="宋体" w:eastAsia="楷体_GB2312" w:cs="楷体_GB2312"/>
          <w:color w:val="000000"/>
          <w:sz w:val="32"/>
          <w:szCs w:val="32"/>
          <w:lang w:val="en-US" w:eastAsia="zh-CN"/>
        </w:rPr>
        <w:t>11</w:t>
      </w:r>
      <w:r>
        <w:rPr>
          <w:rFonts w:hint="eastAsia" w:ascii="宋体" w:hAnsi="宋体" w:eastAsia="楷体_GB2312" w:cs="楷体_GB2312"/>
          <w:color w:val="000000"/>
          <w:sz w:val="32"/>
          <w:szCs w:val="32"/>
        </w:rPr>
        <w:t>月</w:t>
      </w:r>
      <w:r>
        <w:rPr>
          <w:rFonts w:hint="eastAsia" w:ascii="宋体" w:hAnsi="宋体" w:eastAsia="楷体_GB2312" w:cs="楷体_GB2312"/>
          <w:color w:val="000000"/>
          <w:sz w:val="32"/>
          <w:szCs w:val="32"/>
          <w:lang w:val="en-US" w:eastAsia="zh-CN"/>
        </w:rPr>
        <w:t>29</w:t>
      </w:r>
      <w:r>
        <w:rPr>
          <w:rFonts w:hint="eastAsia" w:ascii="宋体" w:hAnsi="宋体" w:eastAsia="楷体_GB2312" w:cs="楷体_GB2312"/>
          <w:color w:val="000000"/>
          <w:sz w:val="32"/>
          <w:szCs w:val="32"/>
        </w:rPr>
        <w:t>日广东省第十</w:t>
      </w:r>
      <w:r>
        <w:rPr>
          <w:rFonts w:hint="eastAsia" w:ascii="宋体" w:hAnsi="宋体" w:eastAsia="楷体_GB2312" w:cs="楷体_GB2312"/>
          <w:color w:val="000000"/>
          <w:sz w:val="32"/>
          <w:szCs w:val="32"/>
          <w:lang w:eastAsia="zh-CN"/>
        </w:rPr>
        <w:t>三</w:t>
      </w:r>
      <w:r>
        <w:rPr>
          <w:rFonts w:hint="eastAsia" w:ascii="宋体" w:hAnsi="宋体" w:eastAsia="楷体_GB2312" w:cs="楷体_GB2312"/>
          <w:color w:val="000000"/>
          <w:sz w:val="32"/>
          <w:szCs w:val="32"/>
        </w:rPr>
        <w:t>届人民代表大会常务委员会第</w:t>
      </w:r>
      <w:r>
        <w:rPr>
          <w:rFonts w:hint="eastAsia" w:ascii="宋体" w:hAnsi="宋体" w:eastAsia="楷体_GB2312" w:cs="楷体_GB2312"/>
          <w:color w:val="000000"/>
          <w:sz w:val="32"/>
          <w:szCs w:val="32"/>
          <w:lang w:eastAsia="zh-CN"/>
        </w:rPr>
        <w:t>七</w:t>
      </w:r>
      <w:r>
        <w:rPr>
          <w:rFonts w:hint="eastAsia" w:ascii="宋体" w:hAnsi="宋体" w:eastAsia="楷体_GB2312" w:cs="楷体_GB2312"/>
          <w:color w:val="000000"/>
          <w:sz w:val="32"/>
          <w:szCs w:val="32"/>
        </w:rPr>
        <w:t>次会议通过）</w:t>
      </w:r>
    </w:p>
    <w:p>
      <w:pPr>
        <w:widowControl w:val="0"/>
        <w:wordWrap/>
        <w:adjustRightInd/>
        <w:spacing w:line="560" w:lineRule="exact"/>
        <w:ind w:firstLine="640" w:firstLineChars="200"/>
        <w:textAlignment w:val="auto"/>
        <w:outlineLvl w:val="9"/>
        <w:rPr>
          <w:rFonts w:hint="eastAsia" w:ascii="宋体" w:hAnsi="宋体" w:eastAsia="楷体_GB2312" w:cs="楷体_GB2312"/>
          <w:color w:val="000000"/>
          <w:sz w:val="32"/>
          <w:szCs w:val="32"/>
        </w:rPr>
      </w:pPr>
    </w:p>
    <w:p>
      <w:pPr>
        <w:widowControl w:val="0"/>
        <w:wordWrap/>
        <w:adjustRightInd/>
        <w:spacing w:before="0" w:beforeLines="0" w:after="0" w:afterLines="0" w:line="560" w:lineRule="exact"/>
        <w:jc w:val="center"/>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目    录</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第一章  总则</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第二章  达标及提升规划</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第三章  监督管理</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shd w:val="clear" w:color="auto" w:fill="FFFFFF"/>
          <w:lang w:val="en-US" w:eastAsia="zh-CN" w:bidi="ar-SA"/>
        </w:rPr>
        <w:t>第四章  工业污染防治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shd w:val="clear" w:color="auto" w:fill="FFFFFF"/>
          <w:lang w:val="en-US" w:eastAsia="zh-CN" w:bidi="ar-SA"/>
        </w:rPr>
        <w:t>第五章  移动源污染防治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第六章  扬尘污染和其他污染防治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shd w:val="clear" w:color="auto" w:fill="FFFFFF"/>
          <w:lang w:val="en-US" w:eastAsia="zh-CN" w:bidi="ar-SA"/>
        </w:rPr>
      </w:pPr>
      <w:r>
        <w:rPr>
          <w:rFonts w:hint="eastAsia" w:ascii="楷体_GB2312" w:hAnsi="宋体" w:eastAsia="楷体_GB2312" w:cs="Times New Roman"/>
          <w:kern w:val="2"/>
          <w:sz w:val="32"/>
          <w:szCs w:val="32"/>
          <w:shd w:val="clear" w:color="auto" w:fill="FFFFFF"/>
          <w:lang w:val="en-US" w:eastAsia="zh-CN" w:bidi="ar-SA"/>
        </w:rPr>
        <w:t>第七章  重污染天气应对和重点区域大气污染联合防治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shd w:val="clear" w:color="auto" w:fill="FFFFFF"/>
          <w:lang w:val="en-US" w:eastAsia="zh-CN" w:bidi="ar-SA"/>
        </w:rPr>
      </w:pPr>
      <w:r>
        <w:rPr>
          <w:rFonts w:hint="eastAsia" w:ascii="楷体_GB2312" w:hAnsi="宋体" w:eastAsia="楷体_GB2312" w:cs="Times New Roman"/>
          <w:kern w:val="2"/>
          <w:sz w:val="32"/>
          <w:szCs w:val="32"/>
          <w:shd w:val="clear" w:color="auto" w:fill="FFFFFF"/>
          <w:lang w:val="en-US" w:eastAsia="zh-CN" w:bidi="ar-SA"/>
        </w:rPr>
        <w:t>第八章  法律责任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shd w:val="clear" w:color="auto" w:fill="FFFFFF"/>
          <w:lang w:val="en-US" w:eastAsia="zh-CN" w:bidi="ar-SA"/>
        </w:rPr>
      </w:pPr>
      <w:r>
        <w:rPr>
          <w:rFonts w:hint="eastAsia" w:ascii="楷体_GB2312" w:hAnsi="宋体" w:eastAsia="楷体_GB2312" w:cs="Times New Roman"/>
          <w:kern w:val="2"/>
          <w:sz w:val="32"/>
          <w:szCs w:val="32"/>
          <w:shd w:val="clear" w:color="auto" w:fill="FFFFFF"/>
          <w:lang w:val="en-US" w:eastAsia="zh-CN" w:bidi="ar-SA"/>
        </w:rPr>
        <w:t>第九章  附  则</w:t>
      </w:r>
    </w:p>
    <w:p>
      <w:pPr>
        <w:widowControl w:val="0"/>
        <w:wordWrap/>
        <w:adjustRightInd/>
        <w:snapToGrid w:val="0"/>
        <w:spacing w:beforeAutospacing="0" w:afterAutospacing="0" w:line="560" w:lineRule="exact"/>
        <w:ind w:left="0" w:leftChars="0" w:right="0"/>
        <w:jc w:val="both"/>
        <w:textAlignment w:val="auto"/>
        <w:outlineLvl w:val="9"/>
        <w:rPr>
          <w:rFonts w:hint="eastAsia" w:ascii="黑体" w:hAnsi="黑体" w:eastAsia="黑体" w:cs="黑体"/>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第一章  总则</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第一条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为</w:t>
      </w:r>
      <w:r>
        <w:rPr>
          <w:rFonts w:hint="eastAsia" w:ascii="仿宋_GB2312" w:hAnsi="仿宋_GB2312" w:eastAsia="仿宋_GB2312" w:cs="仿宋_GB2312"/>
          <w:sz w:val="32"/>
          <w:szCs w:val="32"/>
          <w:highlight w:val="none"/>
          <w:lang w:eastAsia="zh-CN"/>
        </w:rPr>
        <w:t>保护和改善大气环境，</w:t>
      </w:r>
      <w:r>
        <w:rPr>
          <w:rFonts w:hint="eastAsia" w:ascii="仿宋_GB2312" w:hAnsi="仿宋_GB2312" w:eastAsia="仿宋_GB2312" w:cs="仿宋_GB2312"/>
          <w:sz w:val="32"/>
          <w:szCs w:val="32"/>
          <w:highlight w:val="none"/>
        </w:rPr>
        <w:t>防治大气污染，保障公众健康，推进生态文明建设，促进经济社会可持续发展，根据《中华人民共和国环境保护法》</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《中华人民共和国大气污染防治法》等法律法规，结合本省实际，制定本条例。</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第二条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本条例适用于本省行政区域内大气污染防治及其监督管理。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第三条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各级人民政府应当对本行政区域的大气环境质量负责。</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县级以上人民政府应当加强对大气污染防治工作的领导，优化产业结构</w:t>
      </w:r>
      <w:r>
        <w:rPr>
          <w:rFonts w:hint="eastAsia" w:ascii="仿宋_GB2312" w:hAnsi="仿宋_GB2312" w:eastAsia="仿宋_GB2312" w:cs="仿宋_GB2312"/>
          <w:sz w:val="32"/>
          <w:szCs w:val="32"/>
          <w:highlight w:val="none"/>
          <w:lang w:eastAsia="zh-CN"/>
        </w:rPr>
        <w:t>、能源结构和运输结构</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i w:val="0"/>
          <w:iCs w:val="0"/>
          <w:sz w:val="32"/>
          <w:szCs w:val="32"/>
          <w:highlight w:val="none"/>
          <w:u w:val="none"/>
        </w:rPr>
        <w:t>加大对大气污染防治的财政投入，</w:t>
      </w:r>
      <w:r>
        <w:rPr>
          <w:rFonts w:hint="eastAsia" w:ascii="仿宋_GB2312" w:hAnsi="仿宋_GB2312" w:eastAsia="仿宋_GB2312" w:cs="仿宋_GB2312"/>
          <w:sz w:val="32"/>
          <w:szCs w:val="32"/>
          <w:highlight w:val="none"/>
        </w:rPr>
        <w:t>建立健全大气污染防治协调机制，督促有关部门依法履行监督管理职责</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br w:type="textWrapping"/>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街道办事处应当</w:t>
      </w:r>
      <w:r>
        <w:rPr>
          <w:rFonts w:hint="eastAsia" w:ascii="仿宋_GB2312" w:hAnsi="仿宋_GB2312" w:eastAsia="仿宋_GB2312" w:cs="仿宋_GB2312"/>
          <w:kern w:val="0"/>
          <w:sz w:val="32"/>
          <w:szCs w:val="32"/>
          <w:highlight w:val="none"/>
        </w:rPr>
        <w:t>配合有关部门</w:t>
      </w:r>
      <w:r>
        <w:rPr>
          <w:rFonts w:hint="eastAsia" w:ascii="仿宋_GB2312" w:hAnsi="仿宋_GB2312" w:eastAsia="仿宋_GB2312" w:cs="仿宋_GB2312"/>
          <w:i w:val="0"/>
          <w:iCs w:val="0"/>
          <w:sz w:val="32"/>
          <w:szCs w:val="32"/>
          <w:highlight w:val="none"/>
          <w:u w:val="none"/>
        </w:rPr>
        <w:t>做好</w:t>
      </w:r>
      <w:r>
        <w:rPr>
          <w:rFonts w:hint="eastAsia" w:ascii="仿宋_GB2312" w:hAnsi="仿宋_GB2312" w:eastAsia="仿宋_GB2312" w:cs="仿宋_GB2312"/>
          <w:kern w:val="0"/>
          <w:sz w:val="32"/>
          <w:szCs w:val="32"/>
          <w:highlight w:val="none"/>
        </w:rPr>
        <w:t>本辖区内</w:t>
      </w:r>
      <w:r>
        <w:rPr>
          <w:rFonts w:hint="eastAsia" w:ascii="仿宋_GB2312" w:hAnsi="仿宋_GB2312" w:eastAsia="仿宋_GB2312" w:cs="仿宋_GB2312"/>
          <w:sz w:val="32"/>
          <w:szCs w:val="32"/>
          <w:highlight w:val="none"/>
        </w:rPr>
        <w:t>大气污染防治</w:t>
      </w:r>
      <w:r>
        <w:rPr>
          <w:rFonts w:hint="eastAsia" w:ascii="仿宋_GB2312" w:hAnsi="仿宋_GB2312" w:eastAsia="仿宋_GB2312" w:cs="仿宋_GB2312"/>
          <w:i w:val="0"/>
          <w:iCs w:val="0"/>
          <w:sz w:val="32"/>
          <w:szCs w:val="32"/>
          <w:highlight w:val="none"/>
          <w:u w:val="none"/>
        </w:rPr>
        <w:t>相关监督管理</w:t>
      </w:r>
      <w:r>
        <w:rPr>
          <w:rFonts w:hint="eastAsia" w:ascii="仿宋_GB2312" w:hAnsi="仿宋_GB2312" w:eastAsia="仿宋_GB2312" w:cs="仿宋_GB2312"/>
          <w:sz w:val="32"/>
          <w:szCs w:val="32"/>
          <w:highlight w:val="none"/>
        </w:rPr>
        <w:t>工作。</w:t>
      </w: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sz w:val="32"/>
          <w:szCs w:val="32"/>
          <w:highlight w:val="none"/>
          <w:lang w:eastAsia="zh-CN"/>
        </w:rPr>
        <w:t>第四条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县级以上人民政府</w:t>
      </w:r>
      <w:r>
        <w:rPr>
          <w:rFonts w:hint="eastAsia" w:ascii="仿宋_GB2312" w:hAnsi="仿宋_GB2312" w:eastAsia="仿宋_GB2312" w:cs="仿宋_GB2312"/>
          <w:sz w:val="32"/>
          <w:szCs w:val="32"/>
          <w:highlight w:val="none"/>
        </w:rPr>
        <w:t>生态</w:t>
      </w:r>
      <w:r>
        <w:rPr>
          <w:rFonts w:hint="eastAsia" w:ascii="仿宋_GB2312" w:hAnsi="仿宋_GB2312" w:eastAsia="仿宋_GB2312" w:cs="仿宋_GB2312"/>
          <w:sz w:val="32"/>
          <w:szCs w:val="32"/>
          <w:highlight w:val="none"/>
          <w:lang w:eastAsia="zh-CN"/>
        </w:rPr>
        <w:t>环境主管部门对大气污染防治实施统一监督管理。</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县级以上人民政府有关部门依照有关法律、法规</w:t>
      </w:r>
      <w:r>
        <w:rPr>
          <w:rFonts w:hint="eastAsia" w:ascii="仿宋_GB2312" w:hAnsi="仿宋_GB2312" w:eastAsia="仿宋_GB2312" w:cs="仿宋_GB2312"/>
          <w:sz w:val="32"/>
          <w:szCs w:val="32"/>
          <w:highlight w:val="none"/>
          <w:lang w:eastAsia="zh-CN"/>
        </w:rPr>
        <w:t>规定</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本级人民</w:t>
      </w:r>
      <w:r>
        <w:rPr>
          <w:rFonts w:hint="eastAsia" w:ascii="仿宋_GB2312" w:hAnsi="仿宋_GB2312" w:eastAsia="仿宋_GB2312" w:cs="仿宋_GB2312"/>
          <w:sz w:val="32"/>
          <w:szCs w:val="32"/>
          <w:highlight w:val="none"/>
        </w:rPr>
        <w:t>政府关于</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环境保护工作的职责分工，按照下列规定，履行大气污染防治监督管理职责：</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黑体" w:hAnsi="黑体" w:eastAsia="黑体" w:cs="黑体"/>
          <w:sz w:val="32"/>
          <w:szCs w:val="32"/>
          <w:highlight w:val="none"/>
          <w:lang w:eastAsia="zh-CN"/>
        </w:rPr>
      </w:pPr>
      <w:r>
        <w:rPr>
          <w:rFonts w:hint="eastAsia" w:ascii="仿宋_GB2312" w:hAnsi="仿宋_GB2312" w:eastAsia="仿宋_GB2312" w:cs="仿宋_GB2312"/>
          <w:sz w:val="32"/>
          <w:szCs w:val="32"/>
          <w:highlight w:val="none"/>
        </w:rPr>
        <w:t>（一）工业污染防治的监督管理：生态</w:t>
      </w:r>
      <w:r>
        <w:rPr>
          <w:rFonts w:hint="eastAsia" w:ascii="仿宋_GB2312" w:hAnsi="仿宋_GB2312" w:eastAsia="仿宋_GB2312" w:cs="仿宋_GB2312"/>
          <w:i w:val="0"/>
          <w:iCs w:val="0"/>
          <w:sz w:val="32"/>
          <w:szCs w:val="32"/>
          <w:highlight w:val="none"/>
          <w:u w:val="none"/>
        </w:rPr>
        <w:t>环境</w:t>
      </w:r>
      <w:r>
        <w:rPr>
          <w:rFonts w:hint="eastAsia" w:ascii="仿宋_GB2312" w:hAnsi="仿宋_GB2312" w:eastAsia="仿宋_GB2312" w:cs="仿宋_GB2312"/>
          <w:sz w:val="32"/>
          <w:szCs w:val="32"/>
          <w:highlight w:val="none"/>
        </w:rPr>
        <w:t>主管部门负责工业大气污染防治的监督管理；</w:t>
      </w:r>
      <w:r>
        <w:rPr>
          <w:rFonts w:hint="eastAsia" w:ascii="仿宋_GB2312" w:hAnsi="仿宋_GB2312" w:eastAsia="仿宋_GB2312" w:cs="仿宋_GB2312"/>
          <w:i w:val="0"/>
          <w:iCs w:val="0"/>
          <w:sz w:val="32"/>
          <w:szCs w:val="32"/>
          <w:highlight w:val="none"/>
          <w:u w:val="none"/>
        </w:rPr>
        <w:t>发展改革</w:t>
      </w:r>
      <w:r>
        <w:rPr>
          <w:rFonts w:hint="eastAsia" w:ascii="仿宋_GB2312" w:hAnsi="仿宋_GB2312" w:eastAsia="仿宋_GB2312" w:cs="仿宋_GB2312"/>
          <w:sz w:val="32"/>
          <w:szCs w:val="32"/>
          <w:highlight w:val="none"/>
        </w:rPr>
        <w:t>主管部门负责产业结构调整</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rPr>
        <w:t>优化布局及相关监督管理工作</w:t>
      </w:r>
      <w:r>
        <w:rPr>
          <w:rFonts w:hint="eastAsia" w:ascii="仿宋_GB2312" w:hAnsi="仿宋_GB2312" w:eastAsia="仿宋_GB2312" w:cs="仿宋_GB2312"/>
          <w:i w:val="0"/>
          <w:iCs w:val="0"/>
          <w:sz w:val="32"/>
          <w:szCs w:val="32"/>
          <w:highlight w:val="none"/>
          <w:u w:val="none"/>
        </w:rPr>
        <w:t>，负责煤炭消费总量控制、能源结构调整相关监督管理工作</w:t>
      </w:r>
      <w:r>
        <w:rPr>
          <w:rFonts w:hint="eastAsia" w:ascii="仿宋_GB2312" w:hAnsi="仿宋_GB2312" w:eastAsia="仿宋_GB2312" w:cs="仿宋_GB2312"/>
          <w:i w:val="0"/>
          <w:iCs w:val="0"/>
          <w:sz w:val="32"/>
          <w:szCs w:val="32"/>
          <w:highlight w:val="none"/>
          <w:u w:val="none"/>
          <w:lang w:eastAsia="zh-CN"/>
        </w:rPr>
        <w:t>，负责能源供应协调，推进发电领域煤炭清洁高效利用</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lang w:eastAsia="zh-CN"/>
        </w:rPr>
        <w:t>工业</w:t>
      </w:r>
      <w:r>
        <w:rPr>
          <w:rFonts w:hint="eastAsia" w:ascii="仿宋_GB2312" w:hAnsi="仿宋_GB2312" w:eastAsia="仿宋_GB2312" w:cs="仿宋_GB2312"/>
          <w:sz w:val="32"/>
          <w:szCs w:val="32"/>
          <w:highlight w:val="none"/>
        </w:rPr>
        <w:t>和信息化主管部门负责组织推动工业企业技术改造和升级、落后产能淘汰及相关监督管理工作；</w:t>
      </w:r>
      <w:r>
        <w:rPr>
          <w:rFonts w:hint="eastAsia" w:ascii="仿宋_GB2312" w:hAnsi="仿宋_GB2312" w:eastAsia="仿宋_GB2312" w:cs="仿宋_GB2312"/>
          <w:color w:val="000000"/>
          <w:kern w:val="2"/>
          <w:sz w:val="32"/>
          <w:szCs w:val="32"/>
          <w:highlight w:val="none"/>
          <w:lang w:val="en-US" w:eastAsia="zh-CN" w:bidi="ar-SA"/>
        </w:rPr>
        <w:t>市场监督管理主管部门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2"/>
          <w:sz w:val="32"/>
          <w:szCs w:val="32"/>
          <w:highlight w:val="none"/>
          <w:lang w:val="en-US" w:eastAsia="zh-CN" w:bidi="ar-SA"/>
        </w:rPr>
        <w:t>海关</w:t>
      </w:r>
      <w:r>
        <w:rPr>
          <w:rFonts w:hint="eastAsia" w:ascii="仿宋_GB2312" w:hAnsi="仿宋_GB2312" w:eastAsia="仿宋_GB2312" w:cs="仿宋_GB2312"/>
          <w:sz w:val="32"/>
          <w:szCs w:val="32"/>
          <w:highlight w:val="none"/>
        </w:rPr>
        <w:t>等部门在各自职责范围内对生产、销售、进口的煤炭、油品、生物质成型燃料等能源和机动车船、非道路移动机械的燃料、发动机油、氮氧化物还原剂以及其他添加剂的质量实施监督管理</w:t>
      </w:r>
      <w:r>
        <w:rPr>
          <w:rFonts w:hint="eastAsia" w:ascii="仿宋_GB2312" w:hAnsi="仿宋_GB2312" w:eastAsia="仿宋_GB2312" w:cs="仿宋_GB2312"/>
          <w:i w:val="0"/>
          <w:iCs w:val="0"/>
          <w:sz w:val="32"/>
          <w:szCs w:val="32"/>
          <w:highlight w:val="none"/>
          <w:u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（二）移动源污染防治的监督管理：发展改革、</w:t>
      </w:r>
      <w:r>
        <w:rPr>
          <w:rFonts w:hint="eastAsia" w:ascii="仿宋_GB2312" w:hAnsi="仿宋_GB2312" w:eastAsia="仿宋_GB2312" w:cs="仿宋_GB2312"/>
          <w:sz w:val="32"/>
          <w:szCs w:val="32"/>
          <w:highlight w:val="none"/>
          <w:lang w:eastAsia="zh-CN"/>
        </w:rPr>
        <w:t>工业</w:t>
      </w:r>
      <w:r>
        <w:rPr>
          <w:rFonts w:hint="eastAsia" w:ascii="仿宋_GB2312" w:hAnsi="仿宋_GB2312" w:eastAsia="仿宋_GB2312" w:cs="仿宋_GB2312"/>
          <w:sz w:val="32"/>
          <w:szCs w:val="32"/>
          <w:highlight w:val="none"/>
        </w:rPr>
        <w:t>和信息化、交通运输主管部门在各自职责范围内负责</w:t>
      </w:r>
      <w:r>
        <w:rPr>
          <w:rFonts w:hint="eastAsia" w:ascii="仿宋_GB2312" w:hAnsi="仿宋_GB2312" w:eastAsia="仿宋_GB2312" w:cs="仿宋_GB2312"/>
          <w:sz w:val="32"/>
          <w:szCs w:val="32"/>
          <w:highlight w:val="none"/>
          <w:lang w:eastAsia="zh-CN"/>
        </w:rPr>
        <w:t>新</w:t>
      </w:r>
      <w:r>
        <w:rPr>
          <w:rFonts w:hint="eastAsia" w:ascii="仿宋_GB2312" w:hAnsi="仿宋_GB2312" w:eastAsia="仿宋_GB2312" w:cs="仿宋_GB2312"/>
          <w:sz w:val="32"/>
          <w:szCs w:val="32"/>
          <w:highlight w:val="none"/>
        </w:rPr>
        <w:t>能源</w:t>
      </w:r>
      <w:r>
        <w:rPr>
          <w:rFonts w:hint="eastAsia" w:ascii="仿宋_GB2312" w:hAnsi="仿宋_GB2312" w:eastAsia="仿宋_GB2312" w:cs="仿宋_GB2312"/>
          <w:sz w:val="32"/>
          <w:szCs w:val="32"/>
          <w:highlight w:val="none"/>
          <w:lang w:eastAsia="zh-CN"/>
        </w:rPr>
        <w:t>汽</w:t>
      </w:r>
      <w:r>
        <w:rPr>
          <w:rFonts w:hint="eastAsia" w:ascii="仿宋_GB2312" w:hAnsi="仿宋_GB2312" w:eastAsia="仿宋_GB2312" w:cs="仿宋_GB2312"/>
          <w:sz w:val="32"/>
          <w:szCs w:val="32"/>
          <w:highlight w:val="none"/>
        </w:rPr>
        <w:t>车推广的监督管理工作；生态环境主管部门会同公安机关交通管理部门、交通运输主管部门对机动车大气污染防治实施监督管理；生态环境主管部门会同交通运输、住房城乡建设、农业农村、水行政、</w:t>
      </w:r>
      <w:r>
        <w:rPr>
          <w:rFonts w:hint="eastAsia" w:ascii="仿宋_GB2312" w:hAnsi="仿宋_GB2312" w:eastAsia="仿宋_GB2312" w:cs="仿宋_GB2312"/>
          <w:color w:val="000000"/>
          <w:kern w:val="2"/>
          <w:sz w:val="32"/>
          <w:szCs w:val="32"/>
          <w:highlight w:val="none"/>
          <w:lang w:val="en-US" w:eastAsia="zh-CN" w:bidi="ar-SA"/>
        </w:rPr>
        <w:t>市场监督管理</w:t>
      </w:r>
      <w:r>
        <w:rPr>
          <w:rFonts w:hint="eastAsia" w:ascii="仿宋_GB2312" w:hAnsi="仿宋_GB2312" w:eastAsia="仿宋_GB2312" w:cs="仿宋_GB2312"/>
          <w:sz w:val="32"/>
          <w:szCs w:val="32"/>
          <w:highlight w:val="none"/>
        </w:rPr>
        <w:t>等主管部门对非道路移动机械的大气污染防治实施监督管理；交通运输主管部门、海事管理机构在各自职责范围内负责运输船舶大气污染防治的监督管理，农业农村主管部门负责渔业船舶大气污染防治的监督管理</w:t>
      </w:r>
      <w:r>
        <w:rPr>
          <w:rFonts w:hint="eastAsia" w:ascii="仿宋_GB2312" w:hAnsi="仿宋_GB2312" w:eastAsia="仿宋_GB2312" w:cs="仿宋_GB2312"/>
          <w:i w:val="0"/>
          <w:iCs w:val="0"/>
          <w:sz w:val="32"/>
          <w:szCs w:val="32"/>
          <w:highlight w:val="none"/>
          <w:u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三）扬尘污染防治的监督管理：生态环境主管部门负责工业企业物料堆场扬尘污染防治的监督管理；住房城乡建设主管部门负责房屋和市政工程施工活动、预拌混凝土和预拌砂浆生产活动扬尘污染防治的监督管理工作；城市管理、市政环卫、园林绿化等主管部门在各自职责范围内负责市政公用设施、城市道路清扫保洁扬尘污染防治的监督管理工作；</w:t>
      </w:r>
      <w:r>
        <w:rPr>
          <w:rFonts w:hint="eastAsia" w:ascii="仿宋_GB2312" w:hAnsi="仿宋_GB2312" w:eastAsia="仿宋_GB2312" w:cs="仿宋_GB2312"/>
          <w:i w:val="0"/>
          <w:iCs w:val="0"/>
          <w:sz w:val="32"/>
          <w:szCs w:val="32"/>
          <w:highlight w:val="none"/>
          <w:u w:val="none"/>
          <w:lang w:eastAsia="zh-CN"/>
        </w:rPr>
        <w:t>自然资源</w:t>
      </w:r>
      <w:r>
        <w:rPr>
          <w:rFonts w:hint="eastAsia" w:ascii="仿宋_GB2312" w:hAnsi="仿宋_GB2312" w:eastAsia="仿宋_GB2312" w:cs="仿宋_GB2312"/>
          <w:sz w:val="32"/>
          <w:szCs w:val="32"/>
          <w:highlight w:val="none"/>
        </w:rPr>
        <w:t>主管部门</w:t>
      </w:r>
      <w:r>
        <w:rPr>
          <w:rFonts w:hint="eastAsia" w:ascii="仿宋_GB2312" w:hAnsi="仿宋_GB2312" w:eastAsia="仿宋_GB2312" w:cs="仿宋_GB2312"/>
          <w:i w:val="0"/>
          <w:iCs w:val="0"/>
          <w:sz w:val="32"/>
          <w:szCs w:val="32"/>
          <w:highlight w:val="none"/>
          <w:u w:val="none"/>
        </w:rPr>
        <w:t>负责</w:t>
      </w:r>
      <w:r>
        <w:rPr>
          <w:rFonts w:hint="eastAsia" w:ascii="仿宋_GB2312" w:hAnsi="仿宋_GB2312" w:eastAsia="仿宋_GB2312" w:cs="仿宋_GB2312"/>
          <w:sz w:val="32"/>
          <w:szCs w:val="32"/>
          <w:highlight w:val="none"/>
        </w:rPr>
        <w:t>违法用地建筑物、构筑物拆除工程、矿山开采和矿山地质环境治理项目等扬尘污染防治的监督管理工作；交通运输主管部门负责道路、港口码头等交通基础设施的建设、维修、拆除等施工活动和使用裸地停车场扬尘污染防治，以及公路的清扫保洁和绿化工程、绿化作业、港口码头工程贮存物料扬尘污染防治的监督管理；水行政主管部门负责水利工程施工活动以及河道管理范围内砂场扬尘污染防治的监督管理工作；农业</w:t>
      </w:r>
      <w:r>
        <w:rPr>
          <w:rFonts w:hint="eastAsia" w:ascii="仿宋_GB2312" w:hAnsi="仿宋_GB2312" w:eastAsia="仿宋_GB2312" w:cs="仿宋_GB2312"/>
          <w:sz w:val="32"/>
          <w:szCs w:val="32"/>
          <w:highlight w:val="none"/>
          <w:lang w:eastAsia="zh-CN"/>
        </w:rPr>
        <w:t>农村</w:t>
      </w:r>
      <w:r>
        <w:rPr>
          <w:rFonts w:hint="eastAsia" w:ascii="仿宋_GB2312" w:hAnsi="仿宋_GB2312" w:eastAsia="仿宋_GB2312" w:cs="仿宋_GB2312"/>
          <w:sz w:val="32"/>
          <w:szCs w:val="32"/>
          <w:highlight w:val="none"/>
        </w:rPr>
        <w:t>主管部门负责农业生产活动排放大气污染物和秸秆等农业废弃物综合利用的监督管理</w:t>
      </w:r>
      <w:r>
        <w:rPr>
          <w:rFonts w:hint="eastAsia" w:ascii="仿宋_GB2312" w:hAnsi="仿宋_GB2312" w:eastAsia="仿宋_GB2312" w:cs="仿宋_GB2312"/>
          <w:sz w:val="32"/>
          <w:szCs w:val="32"/>
          <w:highlight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lang w:eastAsia="zh-CN"/>
        </w:rPr>
        <w:t>（四）</w:t>
      </w:r>
      <w:r>
        <w:rPr>
          <w:rFonts w:hint="eastAsia" w:ascii="仿宋_GB2312" w:hAnsi="仿宋_GB2312" w:eastAsia="仿宋_GB2312" w:cs="仿宋_GB2312"/>
          <w:sz w:val="32"/>
          <w:szCs w:val="32"/>
          <w:highlight w:val="none"/>
        </w:rPr>
        <w:t>其他大气污染防治的监督管理由有关部门在各自职责范围内</w:t>
      </w:r>
      <w:r>
        <w:rPr>
          <w:rFonts w:hint="eastAsia" w:ascii="仿宋_GB2312" w:hAnsi="仿宋_GB2312" w:eastAsia="仿宋_GB2312" w:cs="仿宋_GB2312"/>
          <w:color w:val="000000"/>
          <w:kern w:val="2"/>
          <w:sz w:val="32"/>
          <w:szCs w:val="32"/>
          <w:highlight w:val="none"/>
          <w:lang w:val="en-US" w:eastAsia="zh-CN" w:bidi="ar-SA"/>
        </w:rPr>
        <w:t>组织</w:t>
      </w:r>
      <w:r>
        <w:rPr>
          <w:rFonts w:hint="eastAsia" w:ascii="仿宋_GB2312" w:hAnsi="仿宋_GB2312" w:eastAsia="仿宋_GB2312" w:cs="仿宋_GB2312"/>
          <w:sz w:val="32"/>
          <w:szCs w:val="32"/>
          <w:highlight w:val="none"/>
        </w:rPr>
        <w:t>实施。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黑体" w:hAnsi="黑体" w:eastAsia="黑体" w:cs="黑体"/>
          <w:sz w:val="32"/>
          <w:szCs w:val="32"/>
          <w:highlight w:val="none"/>
          <w:lang w:val="en-US" w:eastAsia="zh-CN"/>
        </w:rPr>
        <w:t xml:space="preserve">第五条  </w:t>
      </w:r>
      <w:r>
        <w:rPr>
          <w:rFonts w:hint="eastAsia" w:ascii="仿宋_GB2312" w:hAnsi="仿宋_GB2312" w:eastAsia="仿宋_GB2312" w:cs="仿宋_GB2312"/>
          <w:sz w:val="32"/>
          <w:szCs w:val="32"/>
          <w:highlight w:val="none"/>
          <w:lang w:val="en-US" w:eastAsia="zh-CN"/>
        </w:rPr>
        <w:t>公民、法人和其他组织依法享有获取大气环境信息、参与和监督大气环境保护的权利。</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县级以上人民政府生态环境主管部门及其他负有大气环境监督管理职责的部门应当依法公开大气环境质量状况信息，完善公众参与程序，为公众参与和监督大气环境保护提供便利。</w:t>
      </w: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第六条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企业事业单位和其他生产经营者应当执行国家和省规定的大气污染物排放标准</w:t>
      </w:r>
      <w:r>
        <w:rPr>
          <w:rFonts w:hint="eastAsia" w:ascii="仿宋_GB2312" w:hAnsi="仿宋_GB2312" w:eastAsia="仿宋_GB2312" w:cs="仿宋_GB2312"/>
          <w:i w:val="0"/>
          <w:iCs w:val="0"/>
          <w:sz w:val="32"/>
          <w:szCs w:val="32"/>
          <w:highlight w:val="none"/>
          <w:u w:val="none"/>
        </w:rPr>
        <w:t>和技术规范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i w:val="0"/>
          <w:iCs w:val="0"/>
          <w:sz w:val="32"/>
          <w:szCs w:val="32"/>
          <w:highlight w:val="none"/>
          <w:u w:val="none"/>
        </w:rPr>
        <w:t>从源头、生产过程及末端选用污染防治技</w:t>
      </w:r>
      <w:r>
        <w:rPr>
          <w:rFonts w:hint="eastAsia" w:ascii="仿宋_GB2312" w:hAnsi="仿宋_GB2312" w:eastAsia="仿宋_GB2312" w:cs="仿宋_GB2312"/>
          <w:i w:val="0"/>
          <w:iCs w:val="0"/>
          <w:sz w:val="32"/>
          <w:szCs w:val="32"/>
          <w:highlight w:val="none"/>
          <w:u w:val="none"/>
          <w:lang w:eastAsia="zh-CN"/>
        </w:rPr>
        <w:t>术</w:t>
      </w:r>
      <w:r>
        <w:rPr>
          <w:rFonts w:hint="eastAsia" w:ascii="仿宋_GB2312" w:hAnsi="仿宋_GB2312" w:eastAsia="仿宋_GB2312" w:cs="仿宋_GB2312"/>
          <w:sz w:val="32"/>
          <w:szCs w:val="32"/>
          <w:highlight w:val="none"/>
        </w:rPr>
        <w:t>，防止、减少大气污染，并对所造成的损害依法承担责任。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行业协会应当加强行业自律，开展大气污染防治法律、法规和相关知识的宣传，督促会员采取有效措施防止和减少大气污染。</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公民应当增强大气环境保护意识，采取</w:t>
      </w:r>
      <w:r>
        <w:rPr>
          <w:rFonts w:hint="eastAsia" w:ascii="仿宋_GB2312" w:hAnsi="仿宋_GB2312" w:eastAsia="仿宋_GB2312" w:cs="仿宋_GB2312"/>
          <w:sz w:val="32"/>
          <w:szCs w:val="32"/>
          <w:highlight w:val="none"/>
          <w:lang w:eastAsia="zh-CN"/>
        </w:rPr>
        <w:t>绿色、</w:t>
      </w:r>
      <w:r>
        <w:rPr>
          <w:rFonts w:hint="eastAsia" w:ascii="仿宋_GB2312" w:hAnsi="仿宋_GB2312" w:eastAsia="仿宋_GB2312" w:cs="仿宋_GB2312"/>
          <w:sz w:val="32"/>
          <w:szCs w:val="32"/>
          <w:highlight w:val="none"/>
        </w:rPr>
        <w:t>低碳、节俭的生活方式，自觉履行大气环境保护义务。</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第七条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各级</w:t>
      </w:r>
      <w:r>
        <w:rPr>
          <w:rFonts w:hint="eastAsia" w:ascii="仿宋_GB2312" w:hAnsi="仿宋_GB2312" w:eastAsia="仿宋_GB2312" w:cs="仿宋_GB2312"/>
          <w:sz w:val="32"/>
          <w:szCs w:val="32"/>
          <w:highlight w:val="none"/>
        </w:rPr>
        <w:t>人民政府及</w:t>
      </w:r>
      <w:r>
        <w:rPr>
          <w:rFonts w:hint="eastAsia" w:ascii="仿宋_GB2312" w:hAnsi="仿宋_GB2312" w:eastAsia="仿宋_GB2312" w:cs="仿宋_GB2312"/>
          <w:i w:val="0"/>
          <w:iCs w:val="0"/>
          <w:sz w:val="32"/>
          <w:szCs w:val="32"/>
          <w:highlight w:val="none"/>
          <w:u w:val="none"/>
        </w:rPr>
        <w:t>其有关部门</w:t>
      </w:r>
      <w:r>
        <w:rPr>
          <w:rFonts w:hint="eastAsia" w:ascii="仿宋_GB2312" w:hAnsi="仿宋_GB2312" w:eastAsia="仿宋_GB2312" w:cs="仿宋_GB2312"/>
          <w:i w:val="0"/>
          <w:iCs w:val="0"/>
          <w:sz w:val="32"/>
          <w:szCs w:val="32"/>
          <w:highlight w:val="none"/>
          <w:u w:val="none"/>
          <w:lang w:eastAsia="zh-CN"/>
        </w:rPr>
        <w:t>和</w:t>
      </w:r>
      <w:r>
        <w:rPr>
          <w:rFonts w:hint="eastAsia" w:ascii="仿宋_GB2312" w:hAnsi="仿宋_GB2312" w:eastAsia="仿宋_GB2312" w:cs="仿宋_GB2312"/>
          <w:sz w:val="32"/>
          <w:szCs w:val="32"/>
          <w:highlight w:val="none"/>
        </w:rPr>
        <w:t>社会团体、学校、新闻媒体、基层群众性自治组织等应当</w:t>
      </w:r>
      <w:r>
        <w:rPr>
          <w:rFonts w:hint="eastAsia" w:ascii="仿宋_GB2312" w:hAnsi="仿宋_GB2312" w:eastAsia="仿宋_GB2312" w:cs="仿宋_GB2312"/>
          <w:sz w:val="32"/>
          <w:szCs w:val="32"/>
          <w:highlight w:val="none"/>
          <w:lang w:eastAsia="zh-CN"/>
        </w:rPr>
        <w:t>开展</w:t>
      </w:r>
      <w:r>
        <w:rPr>
          <w:rFonts w:hint="eastAsia" w:ascii="仿宋_GB2312" w:hAnsi="仿宋_GB2312" w:eastAsia="仿宋_GB2312" w:cs="仿宋_GB2312"/>
          <w:sz w:val="32"/>
          <w:szCs w:val="32"/>
          <w:highlight w:val="none"/>
        </w:rPr>
        <w:t>大气污染防治法律法规</w:t>
      </w:r>
      <w:r>
        <w:rPr>
          <w:rFonts w:hint="eastAsia" w:ascii="仿宋_GB2312" w:hAnsi="仿宋_GB2312" w:eastAsia="仿宋_GB2312" w:cs="仿宋_GB2312"/>
          <w:sz w:val="32"/>
          <w:szCs w:val="32"/>
          <w:highlight w:val="none"/>
          <w:lang w:eastAsia="zh-CN"/>
        </w:rPr>
        <w:t>宣传教育</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普及</w:t>
      </w:r>
      <w:r>
        <w:rPr>
          <w:rFonts w:hint="eastAsia" w:ascii="仿宋_GB2312" w:hAnsi="仿宋_GB2312" w:eastAsia="仿宋_GB2312" w:cs="仿宋_GB2312"/>
          <w:sz w:val="32"/>
          <w:szCs w:val="32"/>
          <w:highlight w:val="none"/>
        </w:rPr>
        <w:t>大气污染防治科学知识</w:t>
      </w:r>
      <w:r>
        <w:rPr>
          <w:rFonts w:hint="eastAsia" w:ascii="仿宋_GB2312" w:hAnsi="仿宋_GB2312" w:eastAsia="仿宋_GB2312" w:cs="仿宋_GB2312"/>
          <w:sz w:val="32"/>
          <w:szCs w:val="32"/>
          <w:highlight w:val="none"/>
          <w:lang w:eastAsia="zh-CN"/>
        </w:rPr>
        <w:t>，倡导文明、节约、低碳、绿色消费习惯和生活方式</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p>
    <w:p>
      <w:pPr>
        <w:widowControl w:val="0"/>
        <w:numPr>
          <w:ilvl w:val="0"/>
          <w:numId w:val="0"/>
        </w:numPr>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第二章</w:t>
      </w:r>
      <w:r>
        <w:rPr>
          <w:rFonts w:hint="eastAsia" w:ascii="黑体" w:hAnsi="黑体" w:eastAsia="黑体" w:cs="黑体"/>
          <w:sz w:val="32"/>
          <w:szCs w:val="32"/>
          <w:highlight w:val="none"/>
        </w:rPr>
        <w:t xml:space="preserve"> 达标</w:t>
      </w:r>
      <w:r>
        <w:rPr>
          <w:rFonts w:hint="eastAsia" w:ascii="黑体" w:hAnsi="黑体" w:eastAsia="黑体" w:cs="黑体"/>
          <w:sz w:val="32"/>
          <w:szCs w:val="32"/>
          <w:highlight w:val="none"/>
          <w:lang w:eastAsia="zh-CN"/>
        </w:rPr>
        <w:t>及提升</w:t>
      </w:r>
      <w:r>
        <w:rPr>
          <w:rFonts w:hint="eastAsia" w:ascii="黑体" w:hAnsi="黑体" w:eastAsia="黑体" w:cs="黑体"/>
          <w:sz w:val="32"/>
          <w:szCs w:val="32"/>
          <w:highlight w:val="none"/>
        </w:rPr>
        <w:t>规划</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第八条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县级以上人民政府应当将大气污染防治工作纳入国民经济和社会发展规划</w:t>
      </w:r>
      <w:r>
        <w:rPr>
          <w:rFonts w:hint="eastAsia" w:ascii="仿宋_GB2312" w:hAnsi="仿宋_GB2312" w:eastAsia="仿宋_GB2312" w:cs="仿宋_GB2312"/>
          <w:i w:val="0"/>
          <w:iCs w:val="0"/>
          <w:sz w:val="32"/>
          <w:szCs w:val="32"/>
          <w:highlight w:val="none"/>
          <w:u w:val="none"/>
        </w:rPr>
        <w:t>，并将</w:t>
      </w:r>
      <w:r>
        <w:rPr>
          <w:rFonts w:hint="eastAsia" w:ascii="仿宋_GB2312" w:hAnsi="仿宋_GB2312" w:eastAsia="仿宋_GB2312" w:cs="仿宋_GB2312"/>
          <w:i w:val="0"/>
          <w:iCs w:val="0"/>
          <w:sz w:val="32"/>
          <w:szCs w:val="32"/>
          <w:highlight w:val="none"/>
          <w:u w:val="none"/>
          <w:lang w:eastAsia="zh-CN"/>
        </w:rPr>
        <w:t>大气污染防治工作</w:t>
      </w:r>
      <w:r>
        <w:rPr>
          <w:rFonts w:hint="eastAsia" w:ascii="仿宋_GB2312" w:hAnsi="仿宋_GB2312" w:eastAsia="仿宋_GB2312" w:cs="仿宋_GB2312"/>
          <w:i w:val="0"/>
          <w:iCs w:val="0"/>
          <w:sz w:val="32"/>
          <w:szCs w:val="32"/>
          <w:highlight w:val="none"/>
          <w:u w:val="none"/>
        </w:rPr>
        <w:t>与</w:t>
      </w:r>
      <w:r>
        <w:rPr>
          <w:rFonts w:hint="eastAsia" w:ascii="仿宋_GB2312" w:hAnsi="仿宋_GB2312" w:eastAsia="仿宋_GB2312" w:cs="仿宋_GB2312"/>
          <w:sz w:val="32"/>
          <w:szCs w:val="32"/>
          <w:highlight w:val="none"/>
        </w:rPr>
        <w:t>主体功能区规划、土地利用总体规划、城乡规划</w:t>
      </w:r>
      <w:r>
        <w:rPr>
          <w:rFonts w:hint="eastAsia" w:ascii="仿宋_GB2312" w:hAnsi="仿宋_GB2312" w:eastAsia="仿宋_GB2312" w:cs="仿宋_GB2312"/>
          <w:i w:val="0"/>
          <w:iCs w:val="0"/>
          <w:sz w:val="32"/>
          <w:szCs w:val="32"/>
          <w:highlight w:val="none"/>
          <w:u w:val="none"/>
        </w:rPr>
        <w:t>相衔接，与</w:t>
      </w:r>
      <w:r>
        <w:rPr>
          <w:rFonts w:hint="eastAsia" w:ascii="仿宋_GB2312" w:hAnsi="仿宋_GB2312" w:eastAsia="仿宋_GB2312" w:cs="仿宋_GB2312"/>
          <w:sz w:val="32"/>
          <w:szCs w:val="32"/>
          <w:highlight w:val="none"/>
        </w:rPr>
        <w:t>能源结构调整、产业结构调整和发展方式转变</w:t>
      </w:r>
      <w:r>
        <w:rPr>
          <w:rFonts w:hint="eastAsia" w:ascii="仿宋_GB2312" w:hAnsi="仿宋_GB2312" w:eastAsia="仿宋_GB2312" w:cs="仿宋_GB2312"/>
          <w:i w:val="0"/>
          <w:iCs w:val="0"/>
          <w:sz w:val="32"/>
          <w:szCs w:val="32"/>
          <w:highlight w:val="none"/>
          <w:u w:val="none"/>
          <w:lang w:eastAsia="zh-CN"/>
        </w:rPr>
        <w:t>等</w:t>
      </w:r>
      <w:r>
        <w:rPr>
          <w:rFonts w:hint="eastAsia" w:ascii="仿宋_GB2312" w:hAnsi="仿宋_GB2312" w:eastAsia="仿宋_GB2312" w:cs="仿宋_GB2312"/>
          <w:i w:val="0"/>
          <w:iCs w:val="0"/>
          <w:sz w:val="32"/>
          <w:szCs w:val="32"/>
          <w:highlight w:val="none"/>
          <w:u w:val="none"/>
        </w:rPr>
        <w:t>相结合</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i w:val="0"/>
          <w:caps w:val="0"/>
          <w:color w:val="444444"/>
          <w:spacing w:val="0"/>
          <w:sz w:val="32"/>
          <w:szCs w:val="32"/>
          <w:highlight w:val="none"/>
          <w:shd w:val="clear" w:color="auto" w:fill="FFFFFF"/>
        </w:rPr>
      </w:pPr>
      <w:r>
        <w:rPr>
          <w:rFonts w:hint="eastAsia" w:ascii="仿宋_GB2312" w:hAnsi="仿宋_GB2312" w:eastAsia="仿宋_GB2312" w:cs="仿宋_GB2312"/>
          <w:i w:val="0"/>
          <w:iCs w:val="0"/>
          <w:kern w:val="2"/>
          <w:sz w:val="32"/>
          <w:szCs w:val="32"/>
          <w:highlight w:val="none"/>
          <w:u w:val="none"/>
        </w:rPr>
        <w:t>城市</w:t>
      </w:r>
      <w:r>
        <w:rPr>
          <w:rFonts w:hint="eastAsia" w:ascii="仿宋_GB2312" w:hAnsi="仿宋_GB2312" w:eastAsia="仿宋_GB2312" w:cs="仿宋_GB2312"/>
          <w:kern w:val="2"/>
          <w:sz w:val="32"/>
          <w:szCs w:val="32"/>
          <w:highlight w:val="none"/>
        </w:rPr>
        <w:t>人民政府编制或者修改城市规划时，应当根据大气环境承载能力，按照有利于大气污染物</w:t>
      </w:r>
      <w:r>
        <w:rPr>
          <w:rFonts w:hint="eastAsia" w:ascii="仿宋_GB2312" w:hAnsi="仿宋_GB2312" w:eastAsia="仿宋_GB2312" w:cs="仿宋_GB2312"/>
          <w:i w:val="0"/>
          <w:iCs w:val="0"/>
          <w:sz w:val="32"/>
          <w:szCs w:val="32"/>
          <w:highlight w:val="none"/>
          <w:u w:val="none"/>
          <w:lang w:eastAsia="zh-CN"/>
        </w:rPr>
        <w:t>消</w:t>
      </w:r>
      <w:r>
        <w:rPr>
          <w:rFonts w:hint="eastAsia" w:ascii="仿宋_GB2312" w:hAnsi="仿宋_GB2312" w:eastAsia="仿宋_GB2312" w:cs="仿宋_GB2312"/>
          <w:kern w:val="2"/>
          <w:sz w:val="32"/>
          <w:szCs w:val="32"/>
          <w:highlight w:val="none"/>
        </w:rPr>
        <w:t>散的原则，合理规划城市建设空间布局，控制建筑物的密度、高度，预留城市通风廊道。</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在通风廊道上</w:t>
      </w:r>
      <w:r>
        <w:rPr>
          <w:rFonts w:hint="eastAsia" w:ascii="仿宋_GB2312" w:hAnsi="仿宋_GB2312" w:eastAsia="仿宋_GB2312" w:cs="仿宋_GB2312"/>
          <w:sz w:val="32"/>
          <w:szCs w:val="32"/>
          <w:highlight w:val="none"/>
          <w:lang w:eastAsia="zh-CN"/>
        </w:rPr>
        <w:t>不得</w:t>
      </w:r>
      <w:r>
        <w:rPr>
          <w:rFonts w:hint="eastAsia" w:ascii="仿宋_GB2312" w:hAnsi="仿宋_GB2312" w:eastAsia="仿宋_GB2312" w:cs="仿宋_GB2312"/>
          <w:sz w:val="32"/>
          <w:szCs w:val="32"/>
          <w:highlight w:val="none"/>
        </w:rPr>
        <w:t>建设高层建筑群及其他影响大气</w:t>
      </w:r>
      <w:r>
        <w:rPr>
          <w:rFonts w:hint="eastAsia" w:ascii="仿宋_GB2312" w:hAnsi="仿宋_GB2312" w:eastAsia="仿宋_GB2312" w:cs="仿宋_GB2312"/>
          <w:i w:val="0"/>
          <w:iCs w:val="0"/>
          <w:sz w:val="32"/>
          <w:szCs w:val="32"/>
          <w:highlight w:val="none"/>
          <w:u w:val="none"/>
        </w:rPr>
        <w:t>扩</w:t>
      </w:r>
      <w:r>
        <w:rPr>
          <w:rFonts w:hint="eastAsia" w:ascii="仿宋_GB2312" w:hAnsi="仿宋_GB2312" w:eastAsia="仿宋_GB2312" w:cs="仿宋_GB2312"/>
          <w:sz w:val="32"/>
          <w:szCs w:val="32"/>
          <w:highlight w:val="none"/>
        </w:rPr>
        <w:t>散条件的建设项目。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第九条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未达到国家大气环境质量标准</w:t>
      </w:r>
      <w:r>
        <w:rPr>
          <w:rFonts w:hint="eastAsia" w:ascii="仿宋_GB2312" w:hAnsi="仿宋_GB2312" w:eastAsia="仿宋_GB2312" w:cs="仿宋_GB2312"/>
          <w:i w:val="0"/>
          <w:iCs w:val="0"/>
          <w:sz w:val="32"/>
          <w:szCs w:val="32"/>
          <w:highlight w:val="none"/>
          <w:u w:val="none" w:color="auto"/>
        </w:rPr>
        <w:t>城市</w:t>
      </w:r>
      <w:r>
        <w:rPr>
          <w:rFonts w:hint="eastAsia" w:ascii="仿宋_GB2312" w:hAnsi="仿宋_GB2312" w:eastAsia="仿宋_GB2312" w:cs="仿宋_GB2312"/>
          <w:sz w:val="32"/>
          <w:szCs w:val="32"/>
          <w:highlight w:val="none"/>
        </w:rPr>
        <w:t>的人民政府应当及时编制大气环境质量限期达标规划</w:t>
      </w:r>
      <w:r>
        <w:rPr>
          <w:rFonts w:hint="eastAsia" w:ascii="仿宋_GB2312" w:hAnsi="仿宋_GB2312" w:eastAsia="仿宋_GB2312" w:cs="仿宋_GB2312"/>
          <w:sz w:val="32"/>
          <w:szCs w:val="32"/>
          <w:highlight w:val="none"/>
          <w:lang w:eastAsia="zh-CN"/>
        </w:rPr>
        <w:t>，采取措施，按照国务院或者省人民政府规定的期限达到大气环境质量标准</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sz w:val="32"/>
          <w:szCs w:val="32"/>
          <w:highlight w:val="none"/>
        </w:rPr>
        <w:t>达</w:t>
      </w:r>
      <w:r>
        <w:rPr>
          <w:rFonts w:hint="eastAsia" w:ascii="仿宋_GB2312" w:hAnsi="仿宋_GB2312" w:eastAsia="仿宋_GB2312" w:cs="仿宋_GB2312"/>
          <w:sz w:val="32"/>
          <w:szCs w:val="32"/>
          <w:highlight w:val="none"/>
        </w:rPr>
        <w:t>到国家</w:t>
      </w:r>
      <w:r>
        <w:rPr>
          <w:rFonts w:hint="eastAsia" w:ascii="仿宋_GB2312" w:hAnsi="仿宋_GB2312" w:eastAsia="仿宋_GB2312" w:cs="仿宋_GB2312"/>
          <w:sz w:val="32"/>
          <w:szCs w:val="32"/>
          <w:highlight w:val="none"/>
          <w:lang w:eastAsia="zh-CN"/>
        </w:rPr>
        <w:t>大气环境</w:t>
      </w:r>
      <w:r>
        <w:rPr>
          <w:rFonts w:hint="eastAsia" w:ascii="仿宋_GB2312" w:hAnsi="仿宋_GB2312" w:eastAsia="仿宋_GB2312" w:cs="仿宋_GB2312"/>
          <w:sz w:val="32"/>
          <w:szCs w:val="32"/>
          <w:highlight w:val="none"/>
        </w:rPr>
        <w:t>质量标准的地级以上市人民政府应当编制大气环境质量持续达标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规划，采取措施，保持和提升大气环境质量。</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编制大气环境质量</w:t>
      </w:r>
      <w:r>
        <w:rPr>
          <w:rFonts w:hint="eastAsia" w:ascii="仿宋_GB2312" w:hAnsi="仿宋_GB2312" w:eastAsia="仿宋_GB2312" w:cs="仿宋_GB2312"/>
          <w:sz w:val="32"/>
          <w:szCs w:val="32"/>
          <w:highlight w:val="none"/>
          <w:lang w:eastAsia="zh-CN"/>
        </w:rPr>
        <w:t>限期达标规划和</w:t>
      </w:r>
      <w:r>
        <w:rPr>
          <w:rFonts w:hint="eastAsia" w:ascii="仿宋_GB2312" w:hAnsi="仿宋_GB2312" w:eastAsia="仿宋_GB2312" w:cs="仿宋_GB2312"/>
          <w:sz w:val="32"/>
          <w:szCs w:val="32"/>
          <w:highlight w:val="none"/>
        </w:rPr>
        <w:t>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规划，应当征求有关行业协会、企业事业单位、专家和公众等方面的意见。</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第十</w:t>
      </w:r>
      <w:r>
        <w:rPr>
          <w:rFonts w:hint="eastAsia" w:ascii="黑体" w:hAnsi="黑体" w:eastAsia="黑体" w:cs="黑体"/>
          <w:sz w:val="32"/>
          <w:szCs w:val="32"/>
          <w:highlight w:val="none"/>
          <w:lang w:val="en-US" w:eastAsia="zh-CN"/>
        </w:rPr>
        <w:t xml:space="preserve">条  </w:t>
      </w:r>
      <w:r>
        <w:rPr>
          <w:rFonts w:hint="eastAsia" w:ascii="仿宋_GB2312" w:hAnsi="仿宋_GB2312" w:eastAsia="仿宋_GB2312" w:cs="仿宋_GB2312"/>
          <w:sz w:val="32"/>
          <w:szCs w:val="32"/>
          <w:highlight w:val="none"/>
        </w:rPr>
        <w:t>大气环境质量</w:t>
      </w:r>
      <w:r>
        <w:rPr>
          <w:rFonts w:hint="eastAsia" w:ascii="仿宋_GB2312" w:hAnsi="仿宋_GB2312" w:eastAsia="仿宋_GB2312" w:cs="仿宋_GB2312"/>
          <w:sz w:val="32"/>
          <w:szCs w:val="32"/>
          <w:highlight w:val="none"/>
          <w:lang w:eastAsia="zh-CN"/>
        </w:rPr>
        <w:t>限期达标规划和</w:t>
      </w:r>
      <w:r>
        <w:rPr>
          <w:rFonts w:hint="eastAsia" w:ascii="仿宋_GB2312" w:hAnsi="仿宋_GB2312" w:eastAsia="仿宋_GB2312" w:cs="仿宋_GB2312"/>
          <w:sz w:val="32"/>
          <w:szCs w:val="32"/>
          <w:highlight w:val="none"/>
        </w:rPr>
        <w:t>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规划应当向社会公开。地级以上市</w:t>
      </w:r>
      <w:r>
        <w:rPr>
          <w:rFonts w:hint="eastAsia" w:ascii="仿宋_GB2312" w:hAnsi="仿宋_GB2312" w:eastAsia="仿宋_GB2312" w:cs="仿宋_GB2312"/>
          <w:sz w:val="32"/>
          <w:szCs w:val="32"/>
          <w:highlight w:val="none"/>
          <w:lang w:eastAsia="zh-CN"/>
        </w:rPr>
        <w:t>人民政府</w:t>
      </w:r>
      <w:r>
        <w:rPr>
          <w:rFonts w:hint="eastAsia" w:ascii="仿宋_GB2312" w:hAnsi="仿宋_GB2312" w:eastAsia="仿宋_GB2312" w:cs="仿宋_GB2312"/>
          <w:sz w:val="32"/>
          <w:szCs w:val="32"/>
          <w:highlight w:val="none"/>
        </w:rPr>
        <w:t>的大气环境质量</w:t>
      </w:r>
      <w:r>
        <w:rPr>
          <w:rFonts w:hint="eastAsia" w:ascii="仿宋_GB2312" w:hAnsi="仿宋_GB2312" w:eastAsia="仿宋_GB2312" w:cs="仿宋_GB2312"/>
          <w:sz w:val="32"/>
          <w:szCs w:val="32"/>
          <w:highlight w:val="none"/>
          <w:lang w:eastAsia="zh-CN"/>
        </w:rPr>
        <w:t>限期达标规划应当报国务院生态环境主管部门备案，持续达标及提升规划应当报省人民政府生态环境主管部门备案</w:t>
      </w:r>
      <w:r>
        <w:rPr>
          <w:rFonts w:hint="eastAsia" w:ascii="仿宋_GB2312" w:hAnsi="仿宋_GB2312" w:eastAsia="仿宋_GB2312" w:cs="仿宋_GB2312"/>
          <w:i w:val="0"/>
          <w:iCs w:val="0"/>
          <w:color w:val="000000"/>
          <w:sz w:val="32"/>
          <w:szCs w:val="32"/>
          <w:highlight w:val="none"/>
          <w:u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lang w:eastAsia="zh-CN"/>
        </w:rPr>
        <w:t>城市</w:t>
      </w:r>
      <w:r>
        <w:rPr>
          <w:rFonts w:hint="eastAsia" w:ascii="仿宋_GB2312" w:hAnsi="仿宋_GB2312" w:eastAsia="仿宋_GB2312" w:cs="仿宋_GB2312"/>
          <w:sz w:val="32"/>
          <w:szCs w:val="32"/>
          <w:highlight w:val="none"/>
        </w:rPr>
        <w:t>人民政府每年在向本级人民代表大会或者人民代表大会常务委员会报告环境状况和环境保护目标完成情况时，应当报告大气环境质量</w:t>
      </w:r>
      <w:r>
        <w:rPr>
          <w:rFonts w:hint="eastAsia" w:ascii="仿宋_GB2312" w:hAnsi="仿宋_GB2312" w:eastAsia="仿宋_GB2312" w:cs="仿宋_GB2312"/>
          <w:sz w:val="32"/>
          <w:szCs w:val="32"/>
          <w:highlight w:val="none"/>
          <w:lang w:eastAsia="zh-CN"/>
        </w:rPr>
        <w:t>限期达标规划或者</w:t>
      </w:r>
      <w:r>
        <w:rPr>
          <w:rFonts w:hint="eastAsia" w:ascii="仿宋_GB2312" w:hAnsi="仿宋_GB2312" w:eastAsia="仿宋_GB2312" w:cs="仿宋_GB2312"/>
          <w:sz w:val="32"/>
          <w:szCs w:val="32"/>
          <w:highlight w:val="none"/>
        </w:rPr>
        <w:t>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规划执行情况，并向社会公开。</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大气环境质量</w:t>
      </w:r>
      <w:r>
        <w:rPr>
          <w:rFonts w:hint="eastAsia" w:ascii="仿宋_GB2312" w:hAnsi="仿宋_GB2312" w:eastAsia="仿宋_GB2312" w:cs="仿宋_GB2312"/>
          <w:sz w:val="32"/>
          <w:szCs w:val="32"/>
          <w:highlight w:val="none"/>
          <w:lang w:eastAsia="zh-CN"/>
        </w:rPr>
        <w:t>限期达标规划和</w:t>
      </w:r>
      <w:r>
        <w:rPr>
          <w:rFonts w:hint="eastAsia" w:ascii="仿宋_GB2312" w:hAnsi="仿宋_GB2312" w:eastAsia="仿宋_GB2312" w:cs="仿宋_GB2312"/>
          <w:sz w:val="32"/>
          <w:szCs w:val="32"/>
          <w:highlight w:val="none"/>
        </w:rPr>
        <w:t>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规划应当根据大气污染防治的要求和经济、技术条件适时进行评估、修订。</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第十一条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大气环境质量限期达标规划和持续达标</w:t>
      </w:r>
      <w:r>
        <w:rPr>
          <w:rFonts w:hint="eastAsia" w:ascii="仿宋_GB2312" w:hAnsi="仿宋_GB2312" w:eastAsia="仿宋_GB2312" w:cs="仿宋_GB2312"/>
          <w:b w:val="0"/>
          <w:bCs w:val="0"/>
          <w:sz w:val="32"/>
          <w:szCs w:val="32"/>
          <w:highlight w:val="none"/>
          <w:lang w:eastAsia="zh-CN"/>
        </w:rPr>
        <w:t>及提升</w:t>
      </w:r>
      <w:r>
        <w:rPr>
          <w:rFonts w:hint="eastAsia" w:ascii="仿宋_GB2312" w:hAnsi="仿宋_GB2312" w:eastAsia="仿宋_GB2312" w:cs="仿宋_GB2312"/>
          <w:sz w:val="32"/>
          <w:szCs w:val="32"/>
          <w:highlight w:val="none"/>
        </w:rPr>
        <w:t>规划应当对本行政区域环境质量及其影响因素进行分析，确定大气环境质量分阶段改善目标，明确相应责任主体、工作重点和保障措施。</w:t>
      </w:r>
    </w:p>
    <w:p>
      <w:pPr>
        <w:widowControl w:val="0"/>
        <w:numPr>
          <w:ilvl w:val="0"/>
          <w:numId w:val="0"/>
        </w:numPr>
        <w:wordWrap/>
        <w:adjustRightInd/>
        <w:snapToGrid w:val="0"/>
        <w:spacing w:beforeAutospacing="0" w:afterAutospacing="0" w:line="560" w:lineRule="exact"/>
        <w:ind w:left="640" w:leftChars="200" w:right="0" w:firstLine="0" w:firstLineChars="0"/>
        <w:jc w:val="both"/>
        <w:textAlignment w:val="auto"/>
        <w:outlineLvl w:val="9"/>
        <w:rPr>
          <w:rFonts w:hint="eastAsia" w:ascii="仿宋_GB2312" w:hAnsi="仿宋_GB2312" w:eastAsia="仿宋_GB2312" w:cs="仿宋_GB2312"/>
          <w:sz w:val="32"/>
          <w:szCs w:val="32"/>
          <w:highlight w:val="none"/>
        </w:rPr>
      </w:pPr>
    </w:p>
    <w:p>
      <w:pPr>
        <w:widowControl w:val="0"/>
        <w:numPr>
          <w:ilvl w:val="0"/>
          <w:numId w:val="1"/>
        </w:numPr>
        <w:wordWrap/>
        <w:adjustRightInd/>
        <w:snapToGrid w:val="0"/>
        <w:spacing w:beforeAutospacing="0" w:afterAutospacing="0" w:line="560" w:lineRule="exact"/>
        <w:ind w:left="425" w:leftChars="0" w:right="0" w:hanging="425" w:firstLineChars="0"/>
        <w:jc w:val="center"/>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 xml:space="preserve"> 监督管理</w:t>
      </w:r>
    </w:p>
    <w:p>
      <w:pPr>
        <w:widowControl w:val="0"/>
        <w:numPr>
          <w:ilvl w:val="0"/>
          <w:numId w:val="0"/>
        </w:numPr>
        <w:wordWrap/>
        <w:adjustRightInd/>
        <w:snapToGrid w:val="0"/>
        <w:spacing w:beforeAutospacing="0" w:afterAutospacing="0" w:line="560" w:lineRule="exact"/>
        <w:ind w:left="0" w:leftChars="0" w:right="0" w:firstLine="0" w:firstLineChars="0"/>
        <w:jc w:val="both"/>
        <w:textAlignment w:val="auto"/>
        <w:outlineLvl w:val="9"/>
        <w:rPr>
          <w:rFonts w:hint="eastAsia" w:ascii="仿宋_GB2312" w:hAnsi="仿宋_GB2312" w:eastAsia="仿宋_GB2312" w:cs="仿宋_GB2312"/>
          <w:sz w:val="32"/>
          <w:szCs w:val="32"/>
          <w:highlight w:val="none"/>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wordWrap/>
        <w:adjustRightInd/>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t xml:space="preserve">第十二条  </w:t>
      </w:r>
      <w:r>
        <w:rPr>
          <w:rFonts w:hint="eastAsia" w:ascii="仿宋_GB2312" w:hAnsi="仿宋_GB2312" w:eastAsia="仿宋_GB2312" w:cs="仿宋_GB2312"/>
          <w:kern w:val="2"/>
          <w:sz w:val="32"/>
          <w:szCs w:val="32"/>
          <w:highlight w:val="none"/>
          <w:lang w:val="en-US" w:eastAsia="zh-CN" w:bidi="ar-SA"/>
        </w:rPr>
        <w:t>重点大气污染物排放实行总量控制制度。重点大气污染物包括国家确定的二氧化硫、氮氧化物等污染物和本省确定的挥发性有机物等污染物。</w:t>
      </w:r>
    </w:p>
    <w:p>
      <w:pPr>
        <w:widowControl w:val="0"/>
        <w:numPr>
          <w:ilvl w:val="0"/>
          <w:numId w:val="0"/>
        </w:numPr>
        <w:pBdr>
          <w:top w:val="none" w:color="auto" w:sz="0" w:space="0"/>
          <w:left w:val="none" w:color="auto" w:sz="0" w:space="0"/>
          <w:bottom w:val="none" w:color="auto" w:sz="0" w:space="0"/>
          <w:right w:val="none" w:color="auto" w:sz="0" w:space="0"/>
        </w:pBdr>
        <w:wordWrap/>
        <w:adjustRightInd/>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省人民政府按照国务院下达的总量控制目标和国务院生态环境主管部门规定的分解总量控制指标要求，综合考虑区域经济社会发展水平、产业结构、大气环境质量状况等因素，将重点大气污染物排放总量控制指标分解落实到地级以上市人民政府。</w:t>
      </w:r>
    </w:p>
    <w:p>
      <w:pPr>
        <w:widowControl w:val="0"/>
        <w:numPr>
          <w:ilvl w:val="0"/>
          <w:numId w:val="0"/>
        </w:numPr>
        <w:pBdr>
          <w:top w:val="none" w:color="auto" w:sz="0" w:space="0"/>
          <w:left w:val="none" w:color="auto" w:sz="0" w:space="0"/>
          <w:bottom w:val="none" w:color="auto" w:sz="0" w:space="0"/>
          <w:right w:val="none" w:color="auto" w:sz="0" w:space="0"/>
        </w:pBdr>
        <w:wordWrap/>
        <w:adjustRightInd/>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地级以上市人民政府应当根据本行政区域总量控制指标，控制或者削减重点大气污染物排放总量。</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企业事业单位和其他生产经营者</w:t>
      </w:r>
      <w:r>
        <w:rPr>
          <w:rFonts w:hint="eastAsia" w:ascii="仿宋_GB2312" w:hAnsi="仿宋_GB2312" w:eastAsia="仿宋_GB2312" w:cs="仿宋_GB2312"/>
          <w:sz w:val="32"/>
          <w:szCs w:val="32"/>
          <w:highlight w:val="none"/>
          <w:lang w:eastAsia="zh-CN"/>
        </w:rPr>
        <w:t>在</w:t>
      </w:r>
      <w:r>
        <w:rPr>
          <w:rFonts w:hint="eastAsia" w:ascii="仿宋_GB2312" w:hAnsi="仿宋_GB2312" w:eastAsia="仿宋_GB2312" w:cs="仿宋_GB2312"/>
          <w:sz w:val="32"/>
          <w:szCs w:val="32"/>
          <w:highlight w:val="none"/>
        </w:rPr>
        <w:t>执行国家和地方污染物排放标准</w:t>
      </w:r>
      <w:r>
        <w:rPr>
          <w:rFonts w:hint="eastAsia" w:ascii="仿宋_GB2312" w:hAnsi="仿宋_GB2312" w:eastAsia="仿宋_GB2312" w:cs="仿宋_GB2312"/>
          <w:sz w:val="32"/>
          <w:szCs w:val="32"/>
          <w:highlight w:val="none"/>
          <w:lang w:eastAsia="zh-CN"/>
        </w:rPr>
        <w:t>的同时，</w:t>
      </w:r>
      <w:r>
        <w:rPr>
          <w:rFonts w:hint="eastAsia" w:ascii="仿宋_GB2312" w:hAnsi="仿宋_GB2312" w:eastAsia="仿宋_GB2312" w:cs="仿宋_GB2312"/>
          <w:sz w:val="32"/>
          <w:szCs w:val="32"/>
          <w:highlight w:val="none"/>
        </w:rPr>
        <w:t>应当</w:t>
      </w:r>
      <w:r>
        <w:rPr>
          <w:rFonts w:hint="eastAsia" w:ascii="仿宋_GB2312" w:hAnsi="仿宋_GB2312" w:eastAsia="仿宋_GB2312" w:cs="仿宋_GB2312"/>
          <w:sz w:val="32"/>
          <w:szCs w:val="32"/>
          <w:highlight w:val="none"/>
          <w:lang w:eastAsia="zh-CN"/>
        </w:rPr>
        <w:t>遵守</w:t>
      </w:r>
      <w:r>
        <w:rPr>
          <w:rFonts w:hint="eastAsia" w:ascii="仿宋_GB2312" w:hAnsi="仿宋_GB2312" w:eastAsia="仿宋_GB2312" w:cs="仿宋_GB2312"/>
          <w:sz w:val="32"/>
          <w:szCs w:val="32"/>
          <w:highlight w:val="none"/>
        </w:rPr>
        <w:t>分解落实到本单位的重点</w:t>
      </w:r>
      <w:r>
        <w:rPr>
          <w:rFonts w:hint="eastAsia" w:ascii="仿宋_GB2312" w:hAnsi="仿宋_GB2312" w:eastAsia="仿宋_GB2312" w:cs="仿宋_GB2312"/>
          <w:sz w:val="32"/>
          <w:szCs w:val="32"/>
          <w:highlight w:val="none"/>
          <w:lang w:eastAsia="zh-CN"/>
        </w:rPr>
        <w:t>大气</w:t>
      </w:r>
      <w:r>
        <w:rPr>
          <w:rFonts w:hint="eastAsia" w:ascii="仿宋_GB2312" w:hAnsi="仿宋_GB2312" w:eastAsia="仿宋_GB2312" w:cs="仿宋_GB2312"/>
          <w:sz w:val="32"/>
          <w:szCs w:val="32"/>
          <w:highlight w:val="none"/>
        </w:rPr>
        <w:t>污染物排放总量控制指标。</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第十三条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新建、改建、扩建</w:t>
      </w:r>
      <w:r>
        <w:rPr>
          <w:rFonts w:hint="eastAsia" w:ascii="仿宋_GB2312" w:hAnsi="仿宋_GB2312" w:eastAsia="仿宋_GB2312" w:cs="仿宋_GB2312"/>
          <w:i w:val="0"/>
          <w:iCs w:val="0"/>
          <w:sz w:val="32"/>
          <w:szCs w:val="32"/>
          <w:highlight w:val="none"/>
          <w:u w:val="none" w:color="auto"/>
        </w:rPr>
        <w:t>新增排放重点大气污染物的</w:t>
      </w:r>
      <w:r>
        <w:rPr>
          <w:rFonts w:hint="eastAsia" w:ascii="仿宋_GB2312" w:hAnsi="仿宋_GB2312" w:eastAsia="仿宋_GB2312" w:cs="仿宋_GB2312"/>
          <w:sz w:val="32"/>
          <w:szCs w:val="32"/>
          <w:highlight w:val="none"/>
        </w:rPr>
        <w:t>建设项目，建设单位应当在报批环境影响评价文件前按照规定向</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环境主管部门申请取得重点大气污染物排放总量</w:t>
      </w:r>
      <w:r>
        <w:rPr>
          <w:rFonts w:hint="eastAsia" w:ascii="仿宋_GB2312" w:hAnsi="仿宋_GB2312" w:eastAsia="仿宋_GB2312" w:cs="仿宋_GB2312"/>
          <w:sz w:val="32"/>
          <w:szCs w:val="32"/>
          <w:highlight w:val="none"/>
          <w:lang w:eastAsia="zh-CN"/>
        </w:rPr>
        <w:t>控制</w:t>
      </w:r>
      <w:r>
        <w:rPr>
          <w:rFonts w:hint="eastAsia" w:ascii="仿宋_GB2312" w:hAnsi="仿宋_GB2312" w:eastAsia="仿宋_GB2312" w:cs="仿宋_GB2312"/>
          <w:sz w:val="32"/>
          <w:szCs w:val="32"/>
          <w:highlight w:val="none"/>
        </w:rPr>
        <w:t>指标。</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环境主管部门按照等量或者减量替代的原则核定重点大气污染物排放总量</w:t>
      </w:r>
      <w:r>
        <w:rPr>
          <w:rFonts w:hint="eastAsia" w:ascii="仿宋_GB2312" w:hAnsi="仿宋_GB2312" w:eastAsia="仿宋_GB2312" w:cs="仿宋_GB2312"/>
          <w:sz w:val="32"/>
          <w:szCs w:val="32"/>
          <w:highlight w:val="none"/>
          <w:lang w:eastAsia="zh-CN"/>
        </w:rPr>
        <w:t>控制</w:t>
      </w:r>
      <w:r>
        <w:rPr>
          <w:rFonts w:hint="eastAsia" w:ascii="仿宋_GB2312" w:hAnsi="仿宋_GB2312" w:eastAsia="仿宋_GB2312" w:cs="仿宋_GB2312"/>
          <w:sz w:val="32"/>
          <w:szCs w:val="32"/>
          <w:highlight w:val="none"/>
        </w:rPr>
        <w:t>指标。</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新增重点大气污染物排放总量</w:t>
      </w:r>
      <w:r>
        <w:rPr>
          <w:rFonts w:hint="eastAsia" w:ascii="仿宋_GB2312" w:hAnsi="仿宋_GB2312" w:eastAsia="仿宋_GB2312" w:cs="仿宋_GB2312"/>
          <w:sz w:val="32"/>
          <w:szCs w:val="32"/>
          <w:highlight w:val="none"/>
          <w:lang w:eastAsia="zh-CN"/>
        </w:rPr>
        <w:t>控制</w:t>
      </w:r>
      <w:r>
        <w:rPr>
          <w:rFonts w:hint="eastAsia" w:ascii="仿宋_GB2312" w:hAnsi="仿宋_GB2312" w:eastAsia="仿宋_GB2312" w:cs="仿宋_GB2312"/>
          <w:sz w:val="32"/>
          <w:szCs w:val="32"/>
          <w:highlight w:val="none"/>
        </w:rPr>
        <w:t>指标可以通过实施工程治理减排、结构调整减排项目或者排污权交易等方式取得。</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color="auto"/>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十四</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环境主管部门应当根据国家和省</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有关规定，建立</w:t>
      </w:r>
      <w:r>
        <w:rPr>
          <w:rFonts w:hint="eastAsia" w:ascii="仿宋_GB2312" w:hAnsi="仿宋_GB2312" w:eastAsia="仿宋_GB2312" w:cs="仿宋_GB2312"/>
          <w:i w:val="0"/>
          <w:iCs w:val="0"/>
          <w:sz w:val="32"/>
          <w:szCs w:val="32"/>
          <w:highlight w:val="none"/>
          <w:u w:val="none" w:color="auto"/>
          <w:lang w:eastAsia="zh-CN"/>
        </w:rPr>
        <w:t>健全</w:t>
      </w:r>
      <w:r>
        <w:rPr>
          <w:rFonts w:hint="eastAsia" w:ascii="仿宋_GB2312" w:hAnsi="仿宋_GB2312" w:eastAsia="仿宋_GB2312" w:cs="仿宋_GB2312"/>
          <w:sz w:val="32"/>
          <w:szCs w:val="32"/>
          <w:highlight w:val="none"/>
        </w:rPr>
        <w:t>本行政区域大气环境质量监测网和大气污染源监控网</w:t>
      </w:r>
      <w:r>
        <w:rPr>
          <w:rFonts w:hint="eastAsia" w:ascii="仿宋_GB2312" w:hAnsi="仿宋_GB2312" w:eastAsia="仿宋_GB2312" w:cs="仿宋_GB2312"/>
          <w:i w:val="0"/>
          <w:iCs w:val="0"/>
          <w:sz w:val="32"/>
          <w:szCs w:val="32"/>
          <w:highlight w:val="none"/>
          <w:u w:val="none" w:color="auto"/>
        </w:rPr>
        <w:t>，并保证监测设施的正常运行。</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color="auto"/>
        </w:rPr>
        <w:t>工业园区、产业园区、开发区的管理机构和</w:t>
      </w:r>
      <w:r>
        <w:rPr>
          <w:rFonts w:hint="eastAsia" w:ascii="仿宋_GB2312" w:hAnsi="仿宋_GB2312" w:eastAsia="仿宋_GB2312" w:cs="仿宋_GB2312"/>
          <w:sz w:val="32"/>
          <w:szCs w:val="32"/>
          <w:highlight w:val="none"/>
        </w:rPr>
        <w:t>重点排污单位应当按照国家和省</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有关规定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i w:val="0"/>
          <w:iCs w:val="0"/>
          <w:sz w:val="32"/>
          <w:szCs w:val="32"/>
          <w:highlight w:val="none"/>
          <w:u w:val="none" w:color="auto"/>
        </w:rPr>
        <w:t>设置与</w:t>
      </w:r>
      <w:r>
        <w:rPr>
          <w:rFonts w:hint="eastAsia" w:ascii="仿宋_GB2312" w:hAnsi="仿宋_GB2312" w:eastAsia="仿宋_GB2312" w:cs="仿宋_GB2312"/>
          <w:i w:val="0"/>
          <w:iCs w:val="0"/>
          <w:sz w:val="32"/>
          <w:szCs w:val="32"/>
          <w:highlight w:val="none"/>
          <w:u w:val="none" w:color="auto"/>
          <w:lang w:eastAsia="zh-CN"/>
        </w:rPr>
        <w:t>生态</w:t>
      </w:r>
      <w:r>
        <w:rPr>
          <w:rFonts w:hint="eastAsia" w:ascii="仿宋_GB2312" w:hAnsi="仿宋_GB2312" w:eastAsia="仿宋_GB2312" w:cs="仿宋_GB2312"/>
          <w:i w:val="0"/>
          <w:iCs w:val="0"/>
          <w:sz w:val="32"/>
          <w:szCs w:val="32"/>
          <w:highlight w:val="none"/>
          <w:u w:val="none" w:color="auto"/>
        </w:rPr>
        <w:t>环境主管部门监测监控平台联网的大气特征污染物监测监控设施，保证监测监控设施正常运行</w:t>
      </w:r>
      <w:r>
        <w:rPr>
          <w:rFonts w:hint="eastAsia" w:ascii="仿宋_GB2312" w:hAnsi="仿宋_GB2312" w:eastAsia="仿宋_GB2312" w:cs="仿宋_GB2312"/>
          <w:i w:val="0"/>
          <w:iCs w:val="0"/>
          <w:sz w:val="32"/>
          <w:szCs w:val="32"/>
          <w:highlight w:val="none"/>
          <w:u w:val="none" w:color="auto"/>
          <w:lang w:eastAsia="zh-CN"/>
        </w:rPr>
        <w:t>并依法公开排放信息</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十五</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重点排污单位安装的自动监测设备列入强制检定计量器具目录的</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rPr>
        <w:t>按照国家和省</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有关规定进行计量检定；未列入强制检定计量器具目录的，由排污单位委托具有相应检定能力的计量检定机构进行计量检定。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经</w:t>
      </w:r>
      <w:r>
        <w:rPr>
          <w:rFonts w:hint="eastAsia" w:ascii="仿宋_GB2312" w:hAnsi="仿宋_GB2312" w:eastAsia="仿宋_GB2312" w:cs="仿宋_GB2312"/>
          <w:i w:val="0"/>
          <w:iCs w:val="0"/>
          <w:sz w:val="32"/>
          <w:szCs w:val="32"/>
          <w:highlight w:val="none"/>
          <w:u w:val="none" w:color="auto"/>
        </w:rPr>
        <w:t>计量检定并正常运行的自动监测设备的监测数据可以作为行政执法的依</w:t>
      </w:r>
      <w:r>
        <w:rPr>
          <w:rFonts w:hint="eastAsia" w:ascii="仿宋_GB2312" w:hAnsi="仿宋_GB2312" w:eastAsia="仿宋_GB2312" w:cs="仿宋_GB2312"/>
          <w:sz w:val="32"/>
          <w:szCs w:val="32"/>
          <w:highlight w:val="none"/>
        </w:rPr>
        <w:t>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自动监测设备的监测数据是否超过大气污染物排放标准，按</w:t>
      </w:r>
      <w:r>
        <w:rPr>
          <w:rFonts w:hint="eastAsia" w:ascii="仿宋_GB2312" w:hAnsi="仿宋_GB2312" w:eastAsia="仿宋_GB2312" w:cs="仿宋_GB2312"/>
          <w:i w:val="0"/>
          <w:iCs w:val="0"/>
          <w:sz w:val="32"/>
          <w:szCs w:val="32"/>
          <w:highlight w:val="none"/>
          <w:u w:val="none"/>
        </w:rPr>
        <w:t>照</w:t>
      </w:r>
      <w:r>
        <w:rPr>
          <w:rFonts w:hint="eastAsia" w:ascii="仿宋_GB2312" w:hAnsi="仿宋_GB2312" w:eastAsia="仿宋_GB2312" w:cs="仿宋_GB2312"/>
          <w:i w:val="0"/>
          <w:iCs w:val="0"/>
          <w:color w:val="auto"/>
          <w:sz w:val="32"/>
          <w:szCs w:val="32"/>
          <w:highlight w:val="none"/>
          <w:u w:val="none"/>
          <w:lang w:eastAsia="zh-CN"/>
        </w:rPr>
        <w:t>小</w:t>
      </w:r>
      <w:r>
        <w:rPr>
          <w:rFonts w:hint="eastAsia" w:ascii="仿宋_GB2312" w:hAnsi="仿宋_GB2312" w:eastAsia="仿宋_GB2312" w:cs="仿宋_GB2312"/>
          <w:color w:val="auto"/>
          <w:sz w:val="32"/>
          <w:szCs w:val="32"/>
          <w:highlight w:val="none"/>
        </w:rPr>
        <w:t>时均值确定。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任何单位和个人不得破坏、毁损或者擅自拆除大气污染物排放自动监测设备，不得篡改、伪造监测数据。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十六</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省人民政府应当制定</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定期修订禁止新建、扩建的高污染工业项目名录和高污染工艺设备淘汰名录，并向社会公布。禁止新建、扩建列入名录的高污染工业项目。禁止使用列入淘汰名录的高污染工艺设备。淘汰的高污染工艺设备，不得转让给他人使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地级以上市、县</w:t>
      </w:r>
      <w:r>
        <w:rPr>
          <w:rFonts w:hint="eastAsia" w:ascii="仿宋_GB2312" w:hAnsi="仿宋_GB2312" w:eastAsia="仿宋_GB2312" w:cs="仿宋_GB2312"/>
          <w:sz w:val="32"/>
          <w:szCs w:val="32"/>
          <w:highlight w:val="none"/>
          <w:lang w:eastAsia="zh-CN"/>
        </w:rPr>
        <w:t>级</w:t>
      </w:r>
      <w:r>
        <w:rPr>
          <w:rFonts w:hint="eastAsia" w:ascii="仿宋_GB2312" w:hAnsi="仿宋_GB2312" w:eastAsia="仿宋_GB2312" w:cs="仿宋_GB2312"/>
          <w:sz w:val="32"/>
          <w:szCs w:val="32"/>
          <w:highlight w:val="none"/>
        </w:rPr>
        <w:t>人民政府应当组织制定</w:t>
      </w:r>
      <w:r>
        <w:rPr>
          <w:rFonts w:hint="eastAsia" w:ascii="仿宋_GB2312" w:hAnsi="仿宋_GB2312" w:eastAsia="仿宋_GB2312" w:cs="仿宋_GB2312"/>
          <w:sz w:val="32"/>
          <w:szCs w:val="32"/>
          <w:highlight w:val="none"/>
          <w:lang w:eastAsia="zh-CN"/>
        </w:rPr>
        <w:t>本行政区域内</w:t>
      </w:r>
      <w:r>
        <w:rPr>
          <w:rFonts w:hint="eastAsia" w:ascii="仿宋_GB2312" w:hAnsi="仿宋_GB2312" w:eastAsia="仿宋_GB2312" w:cs="仿宋_GB2312"/>
          <w:sz w:val="32"/>
          <w:szCs w:val="32"/>
          <w:highlight w:val="none"/>
        </w:rPr>
        <w:t>现有高污染工业项目调整退出计划</w:t>
      </w:r>
      <w:r>
        <w:rPr>
          <w:rFonts w:hint="eastAsia" w:ascii="仿宋_GB2312" w:hAnsi="仿宋_GB2312" w:eastAsia="仿宋_GB2312" w:cs="仿宋_GB2312"/>
          <w:i w:val="0"/>
          <w:iCs w:val="0"/>
          <w:sz w:val="32"/>
          <w:szCs w:val="32"/>
          <w:highlight w:val="none"/>
          <w:u w:val="none" w:color="auto"/>
        </w:rPr>
        <w:t>，并组织实施</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第四章  工业污染防治</w:t>
      </w:r>
    </w:p>
    <w:p>
      <w:pPr>
        <w:widowControl w:val="0"/>
        <w:wordWrap/>
        <w:adjustRightInd/>
        <w:snapToGrid w:val="0"/>
        <w:spacing w:beforeAutospacing="0" w:afterAutospacing="0" w:line="560" w:lineRule="exact"/>
        <w:ind w:left="0" w:leftChars="0" w:right="0"/>
        <w:jc w:val="center"/>
        <w:textAlignment w:val="auto"/>
        <w:outlineLvl w:val="9"/>
        <w:rPr>
          <w:rFonts w:hint="eastAsia" w:ascii="黑体" w:hAnsi="黑体" w:eastAsia="黑体" w:cs="黑体"/>
          <w:sz w:val="32"/>
          <w:szCs w:val="32"/>
          <w:highlight w:val="none"/>
          <w:lang w:eastAsia="zh-CN"/>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b w:val="0"/>
          <w:bCs w:val="0"/>
          <w:sz w:val="32"/>
          <w:szCs w:val="32"/>
          <w:highlight w:val="none"/>
        </w:rPr>
      </w:pPr>
      <w:r>
        <w:rPr>
          <w:rFonts w:hint="eastAsia" w:ascii="黑体" w:hAnsi="黑体" w:eastAsia="黑体" w:cs="黑体"/>
          <w:sz w:val="32"/>
          <w:szCs w:val="32"/>
          <w:highlight w:val="none"/>
        </w:rPr>
        <w:t>第一节  能源消耗污染防治</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 xml:space="preserve">第十七条  </w:t>
      </w:r>
      <w:r>
        <w:rPr>
          <w:rFonts w:hint="eastAsia" w:ascii="仿宋_GB2312" w:hAnsi="仿宋_GB2312" w:eastAsia="仿宋_GB2312" w:cs="仿宋_GB2312"/>
          <w:sz w:val="32"/>
          <w:szCs w:val="32"/>
          <w:highlight w:val="none"/>
        </w:rPr>
        <w:t>珠江三角洲区域禁止新建、扩建燃煤燃油火电机组或者企业燃煤燃油自备电站。</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珠江三角洲区域禁止新建、扩建国家规划外的钢铁、原油加工、乙烯生产、</w:t>
      </w:r>
      <w:r>
        <w:rPr>
          <w:rFonts w:hint="eastAsia" w:ascii="仿宋_GB2312" w:hAnsi="仿宋_GB2312" w:eastAsia="仿宋_GB2312" w:cs="仿宋_GB2312"/>
          <w:sz w:val="32"/>
          <w:szCs w:val="32"/>
          <w:highlight w:val="none"/>
          <w:lang w:eastAsia="zh-CN"/>
        </w:rPr>
        <w:t>造纸、</w:t>
      </w:r>
      <w:r>
        <w:rPr>
          <w:rFonts w:hint="eastAsia" w:ascii="仿宋_GB2312" w:hAnsi="仿宋_GB2312" w:eastAsia="仿宋_GB2312" w:cs="仿宋_GB2312"/>
          <w:sz w:val="32"/>
          <w:szCs w:val="32"/>
          <w:highlight w:val="none"/>
        </w:rPr>
        <w:t>水泥、平板玻璃、除特种陶瓷以外的陶瓷、有色金属冶炼等大气重污染项目。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本省行政区域内服役到期的燃煤发电机组应当按期关停退役</w:t>
      </w:r>
      <w:r>
        <w:rPr>
          <w:rFonts w:hint="eastAsia" w:ascii="仿宋_GB2312" w:hAnsi="仿宋_GB2312" w:eastAsia="仿宋_GB2312" w:cs="仿宋_GB2312"/>
          <w:sz w:val="32"/>
          <w:szCs w:val="32"/>
          <w:highlight w:val="none"/>
          <w:lang w:eastAsia="zh-CN"/>
        </w:rPr>
        <w:t>。县级以上人民政府</w:t>
      </w:r>
      <w:r>
        <w:rPr>
          <w:rFonts w:hint="eastAsia" w:ascii="仿宋_GB2312" w:hAnsi="仿宋_GB2312" w:eastAsia="仿宋_GB2312" w:cs="仿宋_GB2312"/>
          <w:sz w:val="32"/>
          <w:szCs w:val="32"/>
          <w:highlight w:val="none"/>
        </w:rPr>
        <w:t>推动服役时间较长的燃煤发电机组提前退役。</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第十八条  </w:t>
      </w:r>
      <w:r>
        <w:rPr>
          <w:rFonts w:hint="eastAsia" w:ascii="仿宋_GB2312" w:hAnsi="仿宋_GB2312" w:eastAsia="仿宋_GB2312" w:cs="仿宋_GB2312"/>
          <w:sz w:val="32"/>
          <w:szCs w:val="32"/>
          <w:highlight w:val="none"/>
        </w:rPr>
        <w:t>本省实施煤炭消费总量控制。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rPr>
        <w:t>省人民政府发展改革</w:t>
      </w:r>
      <w:r>
        <w:rPr>
          <w:rFonts w:hint="eastAsia" w:ascii="仿宋_GB2312" w:hAnsi="仿宋_GB2312" w:eastAsia="仿宋_GB2312" w:cs="仿宋_GB2312"/>
          <w:sz w:val="32"/>
          <w:szCs w:val="32"/>
          <w:highlight w:val="none"/>
        </w:rPr>
        <w:t>主管部门应当会同有关部门确定煤</w:t>
      </w:r>
      <w:r>
        <w:rPr>
          <w:rFonts w:hint="eastAsia" w:ascii="仿宋_GB2312" w:hAnsi="仿宋_GB2312" w:eastAsia="仿宋_GB2312" w:cs="仿宋_GB2312"/>
          <w:sz w:val="32"/>
          <w:szCs w:val="32"/>
          <w:highlight w:val="none"/>
          <w:lang w:eastAsia="zh-CN"/>
        </w:rPr>
        <w:t>炭</w:t>
      </w:r>
      <w:r>
        <w:rPr>
          <w:rFonts w:hint="eastAsia" w:ascii="仿宋_GB2312" w:hAnsi="仿宋_GB2312" w:eastAsia="仿宋_GB2312" w:cs="仿宋_GB2312"/>
          <w:sz w:val="32"/>
          <w:szCs w:val="32"/>
          <w:highlight w:val="none"/>
        </w:rPr>
        <w:t>总量控制目标，明确实施途径。</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地级以上市人民政府应当按照煤</w:t>
      </w:r>
      <w:r>
        <w:rPr>
          <w:rFonts w:hint="eastAsia" w:ascii="仿宋_GB2312" w:hAnsi="仿宋_GB2312" w:eastAsia="仿宋_GB2312" w:cs="仿宋_GB2312"/>
          <w:sz w:val="32"/>
          <w:szCs w:val="32"/>
          <w:highlight w:val="none"/>
          <w:lang w:eastAsia="zh-CN"/>
        </w:rPr>
        <w:t>炭</w:t>
      </w:r>
      <w:r>
        <w:rPr>
          <w:rFonts w:hint="eastAsia" w:ascii="仿宋_GB2312" w:hAnsi="仿宋_GB2312" w:eastAsia="仿宋_GB2312" w:cs="仿宋_GB2312"/>
          <w:sz w:val="32"/>
          <w:szCs w:val="32"/>
          <w:highlight w:val="none"/>
        </w:rPr>
        <w:t>总量控制目标，制定削减煤</w:t>
      </w:r>
      <w:r>
        <w:rPr>
          <w:rFonts w:hint="eastAsia" w:ascii="仿宋_GB2312" w:hAnsi="仿宋_GB2312" w:eastAsia="仿宋_GB2312" w:cs="仿宋_GB2312"/>
          <w:sz w:val="32"/>
          <w:szCs w:val="32"/>
          <w:highlight w:val="none"/>
          <w:lang w:eastAsia="zh-CN"/>
        </w:rPr>
        <w:t>炭</w:t>
      </w:r>
      <w:r>
        <w:rPr>
          <w:rFonts w:hint="eastAsia" w:ascii="仿宋_GB2312" w:hAnsi="仿宋_GB2312" w:eastAsia="仿宋_GB2312" w:cs="仿宋_GB2312"/>
          <w:sz w:val="32"/>
          <w:szCs w:val="32"/>
          <w:highlight w:val="none"/>
        </w:rPr>
        <w:t>和清洁能源改造计划，并组织实施。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县级以上人民政府应当采取有利于煤</w:t>
      </w:r>
      <w:r>
        <w:rPr>
          <w:rFonts w:hint="eastAsia" w:ascii="仿宋_GB2312" w:hAnsi="仿宋_GB2312" w:eastAsia="仿宋_GB2312" w:cs="仿宋_GB2312"/>
          <w:sz w:val="32"/>
          <w:szCs w:val="32"/>
          <w:highlight w:val="none"/>
          <w:lang w:eastAsia="zh-CN"/>
        </w:rPr>
        <w:t>炭</w:t>
      </w:r>
      <w:r>
        <w:rPr>
          <w:rFonts w:hint="eastAsia" w:ascii="仿宋_GB2312" w:hAnsi="仿宋_GB2312" w:eastAsia="仿宋_GB2312" w:cs="仿宋_GB2312"/>
          <w:sz w:val="32"/>
          <w:szCs w:val="32"/>
          <w:highlight w:val="none"/>
        </w:rPr>
        <w:t>总量削减的经济、技术政策和措施，</w:t>
      </w:r>
      <w:r>
        <w:rPr>
          <w:rFonts w:hint="eastAsia" w:ascii="仿宋_GB2312" w:hAnsi="仿宋_GB2312" w:eastAsia="仿宋_GB2312" w:cs="仿宋_GB2312"/>
          <w:i w:val="0"/>
          <w:iCs w:val="0"/>
          <w:sz w:val="32"/>
          <w:szCs w:val="32"/>
          <w:highlight w:val="none"/>
          <w:u w:val="none"/>
          <w:lang w:eastAsia="zh-CN"/>
        </w:rPr>
        <w:t>调整</w:t>
      </w:r>
      <w:r>
        <w:rPr>
          <w:rFonts w:hint="eastAsia" w:ascii="仿宋_GB2312" w:hAnsi="仿宋_GB2312" w:eastAsia="仿宋_GB2312" w:cs="仿宋_GB2312"/>
          <w:sz w:val="32"/>
          <w:szCs w:val="32"/>
          <w:highlight w:val="none"/>
        </w:rPr>
        <w:t>能源结构，</w:t>
      </w:r>
      <w:r>
        <w:rPr>
          <w:rFonts w:hint="eastAsia" w:ascii="仿宋_GB2312" w:hAnsi="仿宋_GB2312" w:eastAsia="仿宋_GB2312" w:cs="仿宋_GB2312"/>
          <w:i w:val="0"/>
          <w:iCs w:val="0"/>
          <w:sz w:val="32"/>
          <w:szCs w:val="32"/>
          <w:highlight w:val="none"/>
          <w:u w:val="none"/>
          <w:lang w:eastAsia="zh-CN"/>
        </w:rPr>
        <w:t>推广</w:t>
      </w:r>
      <w:r>
        <w:rPr>
          <w:rFonts w:hint="eastAsia" w:ascii="仿宋_GB2312" w:hAnsi="仿宋_GB2312" w:eastAsia="仿宋_GB2312" w:cs="仿宋_GB2312"/>
          <w:sz w:val="32"/>
          <w:szCs w:val="32"/>
          <w:highlight w:val="none"/>
        </w:rPr>
        <w:t>清洁能源</w:t>
      </w:r>
      <w:r>
        <w:rPr>
          <w:rFonts w:hint="eastAsia" w:ascii="仿宋_GB2312" w:hAnsi="仿宋_GB2312" w:eastAsia="仿宋_GB2312" w:cs="仿宋_GB2312"/>
          <w:i w:val="0"/>
          <w:iCs w:val="0"/>
          <w:sz w:val="32"/>
          <w:szCs w:val="32"/>
          <w:highlight w:val="none"/>
          <w:u w:val="none"/>
        </w:rPr>
        <w:t>的开发利用</w:t>
      </w:r>
      <w:r>
        <w:rPr>
          <w:rFonts w:hint="eastAsia" w:ascii="仿宋_GB2312" w:hAnsi="仿宋_GB2312" w:eastAsia="仿宋_GB2312" w:cs="仿宋_GB2312"/>
          <w:sz w:val="32"/>
          <w:szCs w:val="32"/>
          <w:highlight w:val="none"/>
        </w:rPr>
        <w:t>，引导企业</w:t>
      </w:r>
      <w:r>
        <w:rPr>
          <w:rFonts w:hint="eastAsia" w:ascii="仿宋_GB2312" w:hAnsi="仿宋_GB2312" w:eastAsia="仿宋_GB2312" w:cs="仿宋_GB2312"/>
          <w:i w:val="0"/>
          <w:iCs w:val="0"/>
          <w:sz w:val="32"/>
          <w:szCs w:val="32"/>
          <w:highlight w:val="none"/>
          <w:u w:val="none"/>
          <w:lang w:eastAsia="zh-CN"/>
        </w:rPr>
        <w:t>落实</w:t>
      </w:r>
      <w:r>
        <w:rPr>
          <w:rFonts w:hint="eastAsia" w:ascii="仿宋_GB2312" w:hAnsi="仿宋_GB2312" w:eastAsia="仿宋_GB2312" w:cs="仿宋_GB2312"/>
          <w:sz w:val="32"/>
          <w:szCs w:val="32"/>
          <w:highlight w:val="none"/>
        </w:rPr>
        <w:t>清洁能源替代</w:t>
      </w:r>
      <w:r>
        <w:rPr>
          <w:rFonts w:hint="eastAsia" w:ascii="仿宋_GB2312" w:hAnsi="仿宋_GB2312" w:eastAsia="仿宋_GB2312" w:cs="仿宋_GB2312"/>
          <w:i w:val="0"/>
          <w:iCs w:val="0"/>
          <w:sz w:val="32"/>
          <w:szCs w:val="32"/>
          <w:highlight w:val="none"/>
          <w:u w:val="none"/>
          <w:lang w:eastAsia="zh-CN"/>
        </w:rPr>
        <w:t>措施</w:t>
      </w:r>
      <w:r>
        <w:rPr>
          <w:rFonts w:hint="eastAsia" w:ascii="仿宋_GB2312" w:hAnsi="仿宋_GB2312" w:eastAsia="仿宋_GB2312" w:cs="仿宋_GB2312"/>
          <w:sz w:val="32"/>
          <w:szCs w:val="32"/>
          <w:highlight w:val="none"/>
        </w:rPr>
        <w:t>。</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第十九条  </w:t>
      </w:r>
      <w:r>
        <w:rPr>
          <w:rFonts w:hint="eastAsia" w:ascii="仿宋_GB2312" w:hAnsi="仿宋_GB2312" w:eastAsia="仿宋_GB2312" w:cs="仿宋_GB2312"/>
          <w:sz w:val="32"/>
          <w:szCs w:val="32"/>
          <w:highlight w:val="none"/>
        </w:rPr>
        <w:t>火电、钢铁、石油、化工、平板玻璃、水泥、陶瓷等大气污染重点行业企业及锅炉项目，应当采用污染防治</w:t>
      </w:r>
      <w:r>
        <w:rPr>
          <w:rFonts w:hint="eastAsia" w:ascii="仿宋_GB2312" w:hAnsi="仿宋_GB2312" w:eastAsia="仿宋_GB2312" w:cs="仿宋_GB2312"/>
          <w:i w:val="0"/>
          <w:iCs w:val="0"/>
          <w:sz w:val="32"/>
          <w:szCs w:val="32"/>
          <w:highlight w:val="none"/>
          <w:u w:val="none"/>
        </w:rPr>
        <w:t>先进可行</w:t>
      </w:r>
      <w:r>
        <w:rPr>
          <w:rFonts w:hint="eastAsia" w:ascii="仿宋_GB2312" w:hAnsi="仿宋_GB2312" w:eastAsia="仿宋_GB2312" w:cs="仿宋_GB2312"/>
          <w:sz w:val="32"/>
          <w:szCs w:val="32"/>
          <w:highlight w:val="none"/>
        </w:rPr>
        <w:t>技术，使重点大气污染物排放浓度达到国家</w:t>
      </w:r>
      <w:r>
        <w:rPr>
          <w:rFonts w:hint="eastAsia" w:ascii="仿宋_GB2312" w:hAnsi="仿宋_GB2312" w:eastAsia="仿宋_GB2312" w:cs="仿宋_GB2312"/>
          <w:i w:val="0"/>
          <w:iCs w:val="0"/>
          <w:sz w:val="32"/>
          <w:szCs w:val="32"/>
          <w:highlight w:val="none"/>
          <w:u w:val="none"/>
          <w:lang w:eastAsia="zh-CN"/>
        </w:rPr>
        <w:t>和</w:t>
      </w:r>
      <w:r>
        <w:rPr>
          <w:rFonts w:hint="eastAsia" w:ascii="仿宋_GB2312" w:hAnsi="仿宋_GB2312" w:eastAsia="仿宋_GB2312" w:cs="仿宋_GB2312"/>
          <w:sz w:val="32"/>
          <w:szCs w:val="32"/>
          <w:highlight w:val="none"/>
        </w:rPr>
        <w:t>省的</w:t>
      </w:r>
      <w:r>
        <w:rPr>
          <w:rFonts w:hint="eastAsia" w:ascii="仿宋_GB2312" w:hAnsi="仿宋_GB2312" w:eastAsia="仿宋_GB2312" w:cs="仿宋_GB2312"/>
          <w:i w:val="0"/>
          <w:iCs w:val="0"/>
          <w:sz w:val="32"/>
          <w:szCs w:val="32"/>
          <w:highlight w:val="none"/>
          <w:u w:val="none"/>
        </w:rPr>
        <w:t>超低</w:t>
      </w:r>
      <w:r>
        <w:rPr>
          <w:rFonts w:hint="eastAsia" w:ascii="仿宋_GB2312" w:hAnsi="仿宋_GB2312" w:eastAsia="仿宋_GB2312" w:cs="仿宋_GB2312"/>
          <w:sz w:val="32"/>
          <w:szCs w:val="32"/>
          <w:highlight w:val="none"/>
        </w:rPr>
        <w:t>排放</w:t>
      </w:r>
      <w:r>
        <w:rPr>
          <w:rFonts w:hint="eastAsia" w:ascii="仿宋_GB2312" w:hAnsi="仿宋_GB2312" w:eastAsia="仿宋_GB2312" w:cs="仿宋_GB2312"/>
          <w:i w:val="0"/>
          <w:iCs w:val="0"/>
          <w:sz w:val="32"/>
          <w:szCs w:val="32"/>
          <w:highlight w:val="none"/>
          <w:u w:val="none"/>
          <w:lang w:eastAsia="zh-CN"/>
        </w:rPr>
        <w:t>要求</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rPr>
      </w:pPr>
      <w:r>
        <w:rPr>
          <w:rFonts w:hint="eastAsia" w:ascii="黑体" w:hAnsi="黑体" w:eastAsia="黑体" w:cs="黑体"/>
          <w:color w:val="000000"/>
          <w:kern w:val="2"/>
          <w:sz w:val="32"/>
          <w:szCs w:val="32"/>
          <w:highlight w:val="none"/>
          <w:lang w:val="en-US" w:eastAsia="zh-CN"/>
        </w:rPr>
        <w:t xml:space="preserve">第二十条  </w:t>
      </w:r>
      <w:r>
        <w:rPr>
          <w:rFonts w:hint="eastAsia" w:ascii="仿宋_GB2312" w:hAnsi="仿宋_GB2312" w:eastAsia="仿宋_GB2312" w:cs="仿宋_GB2312"/>
          <w:sz w:val="32"/>
          <w:szCs w:val="32"/>
          <w:highlight w:val="none"/>
        </w:rPr>
        <w:t>地级以上市人民政府应当组织</w:t>
      </w:r>
      <w:r>
        <w:rPr>
          <w:rFonts w:hint="eastAsia" w:ascii="仿宋_GB2312" w:hAnsi="仿宋_GB2312" w:eastAsia="仿宋_GB2312" w:cs="仿宋_GB2312"/>
          <w:i w:val="0"/>
          <w:iCs w:val="0"/>
          <w:sz w:val="32"/>
          <w:szCs w:val="32"/>
          <w:highlight w:val="none"/>
          <w:u w:val="none"/>
          <w:lang w:eastAsia="zh-CN"/>
        </w:rPr>
        <w:t>编制</w:t>
      </w:r>
      <w:r>
        <w:rPr>
          <w:rFonts w:hint="eastAsia" w:ascii="仿宋_GB2312" w:hAnsi="仿宋_GB2312" w:eastAsia="仿宋_GB2312" w:cs="仿宋_GB2312"/>
          <w:sz w:val="32"/>
          <w:szCs w:val="32"/>
          <w:highlight w:val="none"/>
        </w:rPr>
        <w:t>区域供热规划，建设和完善供热系统，对</w:t>
      </w:r>
      <w:r>
        <w:rPr>
          <w:rFonts w:hint="eastAsia" w:ascii="仿宋_GB2312" w:hAnsi="仿宋_GB2312" w:eastAsia="仿宋_GB2312" w:cs="仿宋_GB2312"/>
          <w:sz w:val="32"/>
          <w:szCs w:val="32"/>
          <w:highlight w:val="none"/>
          <w:lang w:eastAsia="zh-CN"/>
        </w:rPr>
        <w:t>具备条件的</w:t>
      </w:r>
      <w:r>
        <w:rPr>
          <w:rFonts w:hint="eastAsia" w:ascii="仿宋_GB2312" w:hAnsi="仿宋_GB2312" w:eastAsia="仿宋_GB2312" w:cs="仿宋_GB2312"/>
          <w:sz w:val="32"/>
          <w:szCs w:val="32"/>
          <w:highlight w:val="none"/>
        </w:rPr>
        <w:t>工业园区、产业园区</w:t>
      </w:r>
      <w:r>
        <w:rPr>
          <w:rFonts w:hint="eastAsia" w:ascii="仿宋_GB2312" w:hAnsi="仿宋_GB2312" w:eastAsia="仿宋_GB2312" w:cs="仿宋_GB2312"/>
          <w:sz w:val="32"/>
          <w:szCs w:val="32"/>
          <w:highlight w:val="none"/>
          <w:lang w:eastAsia="zh-CN"/>
        </w:rPr>
        <w:t>、开发区</w:t>
      </w:r>
      <w:r>
        <w:rPr>
          <w:rFonts w:hint="eastAsia" w:ascii="仿宋_GB2312" w:hAnsi="仿宋_GB2312" w:eastAsia="仿宋_GB2312" w:cs="仿宋_GB2312"/>
          <w:sz w:val="32"/>
          <w:szCs w:val="32"/>
          <w:highlight w:val="none"/>
        </w:rPr>
        <w:t>的用热单位实行集中供热，并逐步扩大供</w:t>
      </w:r>
      <w:r>
        <w:rPr>
          <w:rFonts w:hint="eastAsia" w:ascii="仿宋_GB2312" w:hAnsi="仿宋_GB2312" w:eastAsia="仿宋_GB2312" w:cs="仿宋_GB2312"/>
          <w:i w:val="0"/>
          <w:iCs w:val="0"/>
          <w:sz w:val="32"/>
          <w:szCs w:val="32"/>
          <w:highlight w:val="none"/>
          <w:u w:val="none"/>
        </w:rPr>
        <w:t>热管网覆盖范围。</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rPr>
        <w:t>在集中供热管网覆盖范围内，禁止新建、扩建燃用煤炭、重油、渣油、生物质等</w:t>
      </w:r>
      <w:r>
        <w:rPr>
          <w:rFonts w:hint="eastAsia" w:ascii="仿宋_GB2312" w:hAnsi="仿宋_GB2312" w:eastAsia="仿宋_GB2312" w:cs="仿宋_GB2312"/>
          <w:i w:val="0"/>
          <w:iCs w:val="0"/>
          <w:sz w:val="32"/>
          <w:szCs w:val="32"/>
          <w:highlight w:val="none"/>
          <w:u w:val="none"/>
          <w:lang w:eastAsia="zh-CN"/>
        </w:rPr>
        <w:t>分散供热锅炉</w:t>
      </w:r>
      <w:r>
        <w:rPr>
          <w:rFonts w:hint="eastAsia" w:ascii="仿宋_GB2312" w:hAnsi="仿宋_GB2312" w:eastAsia="仿宋_GB2312" w:cs="仿宋_GB2312"/>
          <w:i w:val="0"/>
          <w:iCs w:val="0"/>
          <w:sz w:val="32"/>
          <w:szCs w:val="32"/>
          <w:highlight w:val="none"/>
          <w:u w:val="none"/>
        </w:rPr>
        <w:t>；已建成</w:t>
      </w:r>
      <w:r>
        <w:rPr>
          <w:rFonts w:hint="eastAsia" w:ascii="仿宋_GB2312" w:hAnsi="仿宋_GB2312" w:eastAsia="仿宋_GB2312" w:cs="仿宋_GB2312"/>
          <w:sz w:val="32"/>
          <w:szCs w:val="32"/>
          <w:highlight w:val="none"/>
        </w:rPr>
        <w:t>的不能达标排放的供热</w:t>
      </w:r>
      <w:r>
        <w:rPr>
          <w:rFonts w:hint="eastAsia" w:ascii="仿宋_GB2312" w:hAnsi="仿宋_GB2312" w:eastAsia="仿宋_GB2312" w:cs="仿宋_GB2312"/>
          <w:sz w:val="32"/>
          <w:szCs w:val="32"/>
          <w:highlight w:val="none"/>
          <w:lang w:eastAsia="zh-CN"/>
        </w:rPr>
        <w:t>锅炉</w:t>
      </w:r>
      <w:r>
        <w:rPr>
          <w:rFonts w:hint="eastAsia" w:ascii="仿宋_GB2312" w:hAnsi="仿宋_GB2312" w:eastAsia="仿宋_GB2312" w:cs="仿宋_GB2312"/>
          <w:sz w:val="32"/>
          <w:szCs w:val="32"/>
          <w:highlight w:val="none"/>
        </w:rPr>
        <w:t>应当在县级以上人民政府规定的期限内拆除。</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color w:val="0000FF"/>
          <w:sz w:val="32"/>
          <w:szCs w:val="32"/>
          <w:highlight w:val="none"/>
        </w:rPr>
      </w:pPr>
      <w:r>
        <w:rPr>
          <w:rFonts w:hint="eastAsia" w:ascii="黑体" w:hAnsi="黑体" w:eastAsia="黑体" w:cs="黑体"/>
          <w:color w:val="000000"/>
          <w:kern w:val="2"/>
          <w:sz w:val="32"/>
          <w:szCs w:val="32"/>
          <w:highlight w:val="none"/>
          <w:lang w:val="en-US" w:eastAsia="zh-CN"/>
        </w:rPr>
        <w:t xml:space="preserve">第二十一条  </w:t>
      </w:r>
      <w:r>
        <w:rPr>
          <w:rFonts w:hint="eastAsia" w:ascii="仿宋_GB2312" w:hAnsi="仿宋_GB2312" w:eastAsia="仿宋_GB2312" w:cs="仿宋_GB2312"/>
          <w:sz w:val="32"/>
          <w:szCs w:val="32"/>
          <w:highlight w:val="none"/>
        </w:rPr>
        <w:t>禁止安装国家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省明令淘汰、强制报废、禁止制造和使用的锅炉等燃烧设备。</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lang w:eastAsia="zh-CN"/>
        </w:rPr>
      </w:pPr>
      <w:r>
        <w:rPr>
          <w:rFonts w:hint="eastAsia" w:ascii="仿宋_GB2312" w:hAnsi="仿宋_GB2312" w:eastAsia="仿宋_GB2312" w:cs="仿宋_GB2312"/>
          <w:i w:val="0"/>
          <w:iCs w:val="0"/>
          <w:sz w:val="32"/>
          <w:szCs w:val="32"/>
          <w:highlight w:val="none"/>
          <w:u w:val="none"/>
          <w:lang w:eastAsia="zh-CN"/>
        </w:rPr>
        <w:t>地级以上市</w:t>
      </w:r>
      <w:r>
        <w:rPr>
          <w:rFonts w:hint="eastAsia" w:ascii="仿宋_GB2312" w:hAnsi="仿宋_GB2312" w:eastAsia="仿宋_GB2312" w:cs="仿宋_GB2312"/>
          <w:i w:val="0"/>
          <w:iCs w:val="0"/>
          <w:sz w:val="32"/>
          <w:szCs w:val="32"/>
          <w:highlight w:val="none"/>
          <w:u w:val="none"/>
          <w:lang w:val="en-US" w:eastAsia="zh-CN"/>
        </w:rPr>
        <w:t>人民政府根据大气污染防治需要，限制高污染</w:t>
      </w:r>
      <w:r>
        <w:rPr>
          <w:rFonts w:hint="eastAsia" w:ascii="仿宋_GB2312" w:hAnsi="仿宋_GB2312" w:eastAsia="仿宋_GB2312" w:cs="仿宋_GB2312"/>
          <w:i w:val="0"/>
          <w:iCs w:val="0"/>
          <w:sz w:val="32"/>
          <w:szCs w:val="32"/>
          <w:highlight w:val="none"/>
          <w:u w:val="none"/>
          <w:lang w:eastAsia="zh-CN"/>
        </w:rPr>
        <w:t>锅炉、</w:t>
      </w:r>
      <w:r>
        <w:rPr>
          <w:rFonts w:hint="eastAsia" w:ascii="仿宋_GB2312" w:hAnsi="仿宋_GB2312" w:eastAsia="仿宋_GB2312" w:cs="仿宋_GB2312"/>
          <w:i w:val="0"/>
          <w:iCs w:val="0"/>
          <w:sz w:val="32"/>
          <w:szCs w:val="32"/>
          <w:highlight w:val="none"/>
          <w:u w:val="none"/>
          <w:lang w:val="en-US" w:eastAsia="zh-CN"/>
        </w:rPr>
        <w:t>炉窑的</w:t>
      </w:r>
      <w:r>
        <w:rPr>
          <w:rFonts w:hint="eastAsia" w:ascii="仿宋_GB2312" w:hAnsi="仿宋_GB2312" w:eastAsia="仿宋_GB2312" w:cs="仿宋_GB2312"/>
          <w:i w:val="0"/>
          <w:iCs w:val="0"/>
          <w:sz w:val="32"/>
          <w:szCs w:val="32"/>
          <w:highlight w:val="none"/>
          <w:u w:val="none"/>
          <w:lang w:eastAsia="zh-CN"/>
        </w:rPr>
        <w:t>使用。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第二十二条  </w:t>
      </w:r>
      <w:r>
        <w:rPr>
          <w:rFonts w:hint="eastAsia" w:ascii="仿宋_GB2312" w:hAnsi="仿宋_GB2312" w:eastAsia="仿宋_GB2312" w:cs="仿宋_GB2312"/>
          <w:sz w:val="32"/>
          <w:szCs w:val="32"/>
          <w:highlight w:val="none"/>
        </w:rPr>
        <w:t>禁止安装、使用</w:t>
      </w:r>
      <w:r>
        <w:rPr>
          <w:rFonts w:hint="eastAsia" w:ascii="仿宋_GB2312" w:hAnsi="仿宋_GB2312" w:eastAsia="仿宋_GB2312" w:cs="仿宋_GB2312"/>
          <w:i w:val="0"/>
          <w:iCs w:val="0"/>
          <w:sz w:val="32"/>
          <w:szCs w:val="32"/>
          <w:highlight w:val="none"/>
          <w:u w:val="none"/>
          <w:lang w:eastAsia="zh-CN"/>
        </w:rPr>
        <w:t>非专用</w:t>
      </w:r>
      <w:r>
        <w:rPr>
          <w:rFonts w:hint="eastAsia" w:ascii="仿宋_GB2312" w:hAnsi="仿宋_GB2312" w:eastAsia="仿宋_GB2312" w:cs="仿宋_GB2312"/>
          <w:sz w:val="32"/>
          <w:szCs w:val="32"/>
          <w:highlight w:val="none"/>
        </w:rPr>
        <w:t>生物质锅炉</w:t>
      </w:r>
      <w:r>
        <w:rPr>
          <w:rFonts w:hint="eastAsia" w:ascii="仿宋_GB2312" w:hAnsi="仿宋_GB2312" w:eastAsia="仿宋_GB2312" w:cs="仿宋_GB2312"/>
          <w:i w:val="0"/>
          <w:iCs w:val="0"/>
          <w:sz w:val="32"/>
          <w:szCs w:val="32"/>
          <w:highlight w:val="none"/>
          <w:u w:val="none"/>
          <w:lang w:eastAsia="zh-CN"/>
        </w:rPr>
        <w:t>。</w:t>
      </w:r>
      <w:r>
        <w:rPr>
          <w:rFonts w:hint="eastAsia" w:ascii="仿宋_GB2312" w:hAnsi="仿宋_GB2312" w:eastAsia="仿宋_GB2312" w:cs="仿宋_GB2312"/>
          <w:sz w:val="32"/>
          <w:szCs w:val="32"/>
          <w:highlight w:val="none"/>
        </w:rPr>
        <w:t>禁止安装、使用可以燃用煤及其制品的双燃料或者多燃料生物质锅炉。</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生物质锅炉应当</w:t>
      </w:r>
      <w:r>
        <w:rPr>
          <w:rFonts w:hint="eastAsia" w:ascii="仿宋_GB2312" w:hAnsi="仿宋_GB2312" w:eastAsia="仿宋_GB2312" w:cs="仿宋_GB2312"/>
          <w:sz w:val="32"/>
          <w:szCs w:val="32"/>
          <w:highlight w:val="none"/>
          <w:lang w:eastAsia="zh-CN"/>
        </w:rPr>
        <w:t>以经过加工的木本植物或者草本植物为燃料，禁止掺杂添加燃烧后产生有毒有害烟尘和恶臭气体的其他物质，并配备高效除尘设施，</w:t>
      </w:r>
      <w:r>
        <w:rPr>
          <w:rFonts w:hint="eastAsia" w:ascii="仿宋_GB2312" w:hAnsi="仿宋_GB2312" w:eastAsia="仿宋_GB2312" w:cs="仿宋_GB2312"/>
          <w:sz w:val="32"/>
          <w:szCs w:val="32"/>
          <w:highlight w:val="none"/>
        </w:rPr>
        <w:t>按照</w:t>
      </w:r>
      <w:r>
        <w:rPr>
          <w:rFonts w:hint="eastAsia" w:ascii="仿宋_GB2312" w:hAnsi="仿宋_GB2312" w:eastAsia="仿宋_GB2312" w:cs="仿宋_GB2312"/>
          <w:i w:val="0"/>
          <w:iCs w:val="0"/>
          <w:sz w:val="32"/>
          <w:szCs w:val="32"/>
          <w:highlight w:val="none"/>
          <w:u w:val="none"/>
          <w:lang w:val="en-US" w:eastAsia="zh-CN"/>
        </w:rPr>
        <w:t>国家和省的有关</w:t>
      </w:r>
      <w:r>
        <w:rPr>
          <w:rFonts w:hint="eastAsia" w:ascii="仿宋_GB2312" w:hAnsi="仿宋_GB2312" w:eastAsia="仿宋_GB2312" w:cs="仿宋_GB2312"/>
          <w:sz w:val="32"/>
          <w:szCs w:val="32"/>
          <w:highlight w:val="none"/>
          <w:lang w:eastAsia="zh-CN"/>
        </w:rPr>
        <w:t>规定</w:t>
      </w:r>
      <w:r>
        <w:rPr>
          <w:rFonts w:hint="eastAsia" w:ascii="仿宋_GB2312" w:hAnsi="仿宋_GB2312" w:eastAsia="仿宋_GB2312" w:cs="仿宋_GB2312"/>
          <w:sz w:val="32"/>
          <w:szCs w:val="32"/>
          <w:highlight w:val="none"/>
        </w:rPr>
        <w:t>安装自动监控或者监测设备。</w:t>
      </w: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b w:val="0"/>
          <w:bCs w:val="0"/>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b w:val="0"/>
          <w:bCs w:val="0"/>
          <w:sz w:val="32"/>
          <w:szCs w:val="32"/>
          <w:highlight w:val="none"/>
        </w:rPr>
      </w:pPr>
      <w:r>
        <w:rPr>
          <w:rFonts w:hint="eastAsia" w:ascii="黑体" w:hAnsi="黑体" w:eastAsia="黑体" w:cs="黑体"/>
          <w:color w:val="000000"/>
          <w:kern w:val="2"/>
          <w:sz w:val="32"/>
          <w:szCs w:val="32"/>
          <w:highlight w:val="none"/>
          <w:lang w:val="en-US" w:eastAsia="zh-CN"/>
        </w:rPr>
        <w:t>第二节  挥发性有机物污染防治</w:t>
      </w:r>
    </w:p>
    <w:p>
      <w:pPr>
        <w:widowControl w:val="0"/>
        <w:wordWrap/>
        <w:adjustRightInd/>
        <w:snapToGrid w:val="0"/>
        <w:spacing w:beforeAutospacing="0" w:afterAutospacing="0" w:line="560" w:lineRule="exact"/>
        <w:ind w:left="0" w:leftChars="0" w:right="0" w:firstLine="643" w:firstLineChars="200"/>
        <w:jc w:val="both"/>
        <w:textAlignment w:val="auto"/>
        <w:outlineLvl w:val="9"/>
        <w:rPr>
          <w:rFonts w:hint="eastAsia" w:ascii="仿宋_GB2312" w:hAnsi="仿宋_GB2312" w:eastAsia="仿宋_GB2312" w:cs="仿宋_GB2312"/>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第二十三条  </w:t>
      </w: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sz w:val="32"/>
          <w:szCs w:val="32"/>
          <w:highlight w:val="none"/>
          <w:lang w:eastAsia="zh-CN"/>
        </w:rPr>
        <w:t>负责</w:t>
      </w:r>
      <w:r>
        <w:rPr>
          <w:rFonts w:hint="eastAsia" w:ascii="仿宋_GB2312" w:hAnsi="仿宋_GB2312" w:eastAsia="仿宋_GB2312" w:cs="仿宋_GB2312"/>
          <w:sz w:val="32"/>
          <w:szCs w:val="32"/>
          <w:highlight w:val="none"/>
        </w:rPr>
        <w:t>林业</w:t>
      </w:r>
      <w:r>
        <w:rPr>
          <w:rFonts w:hint="eastAsia" w:ascii="仿宋_GB2312" w:hAnsi="仿宋_GB2312" w:eastAsia="仿宋_GB2312" w:cs="仿宋_GB2312"/>
          <w:i w:val="0"/>
          <w:iCs w:val="0"/>
          <w:sz w:val="32"/>
          <w:szCs w:val="32"/>
          <w:highlight w:val="none"/>
          <w:u w:val="none"/>
        </w:rPr>
        <w:t>和</w:t>
      </w:r>
      <w:r>
        <w:rPr>
          <w:rFonts w:hint="eastAsia" w:ascii="仿宋_GB2312" w:hAnsi="仿宋_GB2312" w:eastAsia="仿宋_GB2312" w:cs="仿宋_GB2312"/>
          <w:sz w:val="32"/>
          <w:szCs w:val="32"/>
          <w:highlight w:val="none"/>
        </w:rPr>
        <w:t>园林</w:t>
      </w:r>
      <w:r>
        <w:rPr>
          <w:rFonts w:hint="eastAsia" w:ascii="仿宋_GB2312" w:hAnsi="仿宋_GB2312" w:eastAsia="仿宋_GB2312" w:cs="仿宋_GB2312"/>
          <w:sz w:val="32"/>
          <w:szCs w:val="32"/>
          <w:highlight w:val="none"/>
          <w:lang w:eastAsia="zh-CN"/>
        </w:rPr>
        <w:t>工作的</w:t>
      </w:r>
      <w:r>
        <w:rPr>
          <w:rFonts w:hint="eastAsia" w:ascii="仿宋_GB2312" w:hAnsi="仿宋_GB2312" w:eastAsia="仿宋_GB2312" w:cs="仿宋_GB2312"/>
          <w:sz w:val="32"/>
          <w:szCs w:val="32"/>
          <w:highlight w:val="none"/>
        </w:rPr>
        <w:t>主管部门应当根据大气污染防治、物种多样性、植物生长动态、生态系统功能、地理条件等需要，选择适当的绿化树种，减少植物源挥发性有机物排放。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sz w:val="32"/>
          <w:szCs w:val="32"/>
          <w:highlight w:val="none"/>
          <w:lang w:eastAsia="zh-CN"/>
        </w:rPr>
        <w:t>负责</w:t>
      </w:r>
      <w:r>
        <w:rPr>
          <w:rFonts w:hint="eastAsia" w:ascii="仿宋_GB2312" w:hAnsi="仿宋_GB2312" w:eastAsia="仿宋_GB2312" w:cs="仿宋_GB2312"/>
          <w:sz w:val="32"/>
          <w:szCs w:val="32"/>
          <w:highlight w:val="none"/>
        </w:rPr>
        <w:t>林业</w:t>
      </w:r>
      <w:r>
        <w:rPr>
          <w:rFonts w:hint="eastAsia" w:ascii="仿宋_GB2312" w:hAnsi="仿宋_GB2312" w:eastAsia="仿宋_GB2312" w:cs="仿宋_GB2312"/>
          <w:i w:val="0"/>
          <w:iCs w:val="0"/>
          <w:sz w:val="32"/>
          <w:szCs w:val="32"/>
          <w:highlight w:val="none"/>
          <w:u w:val="none"/>
          <w:lang w:eastAsia="zh-CN"/>
        </w:rPr>
        <w:t>和</w:t>
      </w:r>
      <w:r>
        <w:rPr>
          <w:rFonts w:hint="eastAsia" w:ascii="仿宋_GB2312" w:hAnsi="仿宋_GB2312" w:eastAsia="仿宋_GB2312" w:cs="仿宋_GB2312"/>
          <w:sz w:val="32"/>
          <w:szCs w:val="32"/>
          <w:highlight w:val="none"/>
        </w:rPr>
        <w:t>园林</w:t>
      </w:r>
      <w:r>
        <w:rPr>
          <w:rFonts w:hint="eastAsia" w:ascii="仿宋_GB2312" w:hAnsi="仿宋_GB2312" w:eastAsia="仿宋_GB2312" w:cs="仿宋_GB2312"/>
          <w:i w:val="0"/>
          <w:iCs w:val="0"/>
          <w:sz w:val="32"/>
          <w:szCs w:val="32"/>
          <w:highlight w:val="none"/>
          <w:u w:val="none"/>
          <w:lang w:eastAsia="zh-CN"/>
        </w:rPr>
        <w:t>工作的</w:t>
      </w:r>
      <w:r>
        <w:rPr>
          <w:rFonts w:hint="eastAsia" w:ascii="仿宋_GB2312" w:hAnsi="仿宋_GB2312" w:eastAsia="仿宋_GB2312" w:cs="仿宋_GB2312"/>
          <w:sz w:val="32"/>
          <w:szCs w:val="32"/>
          <w:highlight w:val="none"/>
        </w:rPr>
        <w:t>主管部门</w:t>
      </w:r>
      <w:r>
        <w:rPr>
          <w:rFonts w:hint="eastAsia" w:ascii="仿宋_GB2312" w:hAnsi="仿宋_GB2312" w:eastAsia="仿宋_GB2312" w:cs="仿宋_GB2312"/>
          <w:sz w:val="32"/>
          <w:szCs w:val="32"/>
          <w:highlight w:val="none"/>
          <w:lang w:eastAsia="zh-CN"/>
        </w:rPr>
        <w:t>和农业农村主管部门</w:t>
      </w:r>
      <w:r>
        <w:rPr>
          <w:rFonts w:hint="eastAsia" w:ascii="仿宋_GB2312" w:hAnsi="仿宋_GB2312" w:eastAsia="仿宋_GB2312" w:cs="仿宋_GB2312"/>
          <w:sz w:val="32"/>
          <w:szCs w:val="32"/>
          <w:highlight w:val="none"/>
        </w:rPr>
        <w:t>应当采取措施鼓励推广应用绿色农药剂型。</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第二十四条  </w:t>
      </w:r>
      <w:r>
        <w:rPr>
          <w:rFonts w:hint="eastAsia" w:ascii="仿宋_GB2312" w:hAnsi="仿宋_GB2312" w:eastAsia="仿宋_GB2312" w:cs="仿宋_GB2312"/>
          <w:sz w:val="32"/>
          <w:szCs w:val="32"/>
          <w:highlight w:val="none"/>
        </w:rPr>
        <w:t>省人民政府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环境主管部门应当会同</w:t>
      </w:r>
      <w:r>
        <w:rPr>
          <w:rFonts w:hint="eastAsia" w:ascii="仿宋_GB2312" w:hAnsi="仿宋_GB2312" w:eastAsia="仿宋_GB2312" w:cs="仿宋_GB2312"/>
          <w:i w:val="0"/>
          <w:iCs w:val="0"/>
          <w:sz w:val="32"/>
          <w:szCs w:val="32"/>
          <w:highlight w:val="none"/>
          <w:u w:val="none"/>
          <w:lang w:eastAsia="zh-CN"/>
        </w:rPr>
        <w:t>标准化</w:t>
      </w:r>
      <w:r>
        <w:rPr>
          <w:rFonts w:hint="eastAsia" w:ascii="仿宋_GB2312" w:hAnsi="仿宋_GB2312" w:eastAsia="仿宋_GB2312" w:cs="仿宋_GB2312"/>
          <w:sz w:val="32"/>
          <w:szCs w:val="32"/>
          <w:highlight w:val="none"/>
        </w:rPr>
        <w:t>主管部门制定产品挥发性有机物含量限值标准，明确挥发性有机物含量，并向社会公布。</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在本省生产、销售、使用含挥发性有机物的原材料和产品的，其挥发性有机物含量应当符合本省规定的限值标准。高挥发性有机物含量的产品，应当在包装或者说明中标注挥发性有机物含量。</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i w:val="0"/>
          <w:iCs w:val="0"/>
          <w:sz w:val="32"/>
          <w:szCs w:val="32"/>
          <w:highlight w:val="none"/>
          <w:u w:val="none"/>
          <w:lang w:val="en-US" w:eastAsia="zh-CN"/>
        </w:rPr>
        <w:t xml:space="preserve">第二十五条  </w:t>
      </w:r>
      <w:r>
        <w:rPr>
          <w:rFonts w:hint="eastAsia" w:ascii="仿宋_GB2312" w:hAnsi="仿宋_GB2312" w:eastAsia="仿宋_GB2312" w:cs="仿宋_GB2312"/>
          <w:sz w:val="32"/>
          <w:szCs w:val="32"/>
          <w:highlight w:val="none"/>
        </w:rPr>
        <w:t>省人民政府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环境主管部门应当会同</w:t>
      </w:r>
      <w:r>
        <w:rPr>
          <w:rFonts w:hint="eastAsia" w:ascii="仿宋_GB2312" w:hAnsi="仿宋_GB2312" w:eastAsia="仿宋_GB2312" w:cs="仿宋_GB2312"/>
          <w:sz w:val="32"/>
          <w:szCs w:val="32"/>
          <w:highlight w:val="none"/>
          <w:lang w:eastAsia="zh-CN"/>
        </w:rPr>
        <w:t>标准化</w:t>
      </w:r>
      <w:r>
        <w:rPr>
          <w:rFonts w:hint="eastAsia" w:ascii="仿宋_GB2312" w:hAnsi="仿宋_GB2312" w:eastAsia="仿宋_GB2312" w:cs="仿宋_GB2312"/>
          <w:sz w:val="32"/>
          <w:szCs w:val="32"/>
          <w:highlight w:val="none"/>
        </w:rPr>
        <w:t>等主管部门，制定本省重点行业挥发性有机物排放标准、技术规范。</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企业事业单位和其他生产经营者应当按照挥发性有机物排放标准、技术规范的规定，制定操作规程，组织生产管理。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iCs/>
          <w:sz w:val="32"/>
          <w:szCs w:val="32"/>
          <w:highlight w:val="none"/>
          <w:u w:val="single"/>
        </w:rPr>
      </w:pPr>
      <w:r>
        <w:rPr>
          <w:rFonts w:hint="eastAsia" w:ascii="黑体" w:hAnsi="黑体" w:eastAsia="黑体" w:cs="黑体"/>
          <w:color w:val="000000"/>
          <w:kern w:val="2"/>
          <w:sz w:val="32"/>
          <w:szCs w:val="32"/>
          <w:highlight w:val="none"/>
          <w:lang w:val="en-US" w:eastAsia="zh-CN"/>
        </w:rPr>
        <w:t xml:space="preserve">第二十六条  </w:t>
      </w:r>
      <w:r>
        <w:rPr>
          <w:rFonts w:hint="eastAsia" w:ascii="仿宋_GB2312" w:hAnsi="仿宋_GB2312" w:eastAsia="仿宋_GB2312" w:cs="仿宋_GB2312"/>
          <w:i w:val="0"/>
          <w:iCs w:val="0"/>
          <w:sz w:val="32"/>
          <w:szCs w:val="32"/>
          <w:highlight w:val="none"/>
          <w:u w:val="none"/>
        </w:rPr>
        <w:t>新建、改建、扩建排放挥发性有机物的建设项目，应当使用污染防治</w:t>
      </w:r>
      <w:r>
        <w:rPr>
          <w:rFonts w:hint="eastAsia" w:ascii="仿宋_GB2312" w:hAnsi="仿宋_GB2312" w:eastAsia="仿宋_GB2312" w:cs="仿宋_GB2312"/>
          <w:i w:val="0"/>
          <w:iCs w:val="0"/>
          <w:sz w:val="32"/>
          <w:szCs w:val="32"/>
          <w:highlight w:val="none"/>
          <w:u w:val="none"/>
          <w:lang w:eastAsia="zh-CN"/>
        </w:rPr>
        <w:t>先进</w:t>
      </w:r>
      <w:r>
        <w:rPr>
          <w:rFonts w:hint="eastAsia" w:ascii="仿宋_GB2312" w:hAnsi="仿宋_GB2312" w:eastAsia="仿宋_GB2312" w:cs="仿宋_GB2312"/>
          <w:i w:val="0"/>
          <w:iCs w:val="0"/>
          <w:sz w:val="32"/>
          <w:szCs w:val="32"/>
          <w:highlight w:val="none"/>
          <w:u w:val="none"/>
        </w:rPr>
        <w:t>可行技术。</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下列产生含挥发性有机物废气的生产和服务活动，应当优先使用低挥发性有机物含量的原材料和低排放环保工艺，在确保安全条件下，按照规定在密闭空间或者设备中进行，安装、使用满足防爆、防静电要求的</w:t>
      </w:r>
      <w:r>
        <w:rPr>
          <w:rFonts w:hint="eastAsia" w:ascii="仿宋_GB2312" w:hAnsi="仿宋_GB2312" w:eastAsia="仿宋_GB2312" w:cs="仿宋_GB2312"/>
          <w:i w:val="0"/>
          <w:iCs w:val="0"/>
          <w:sz w:val="32"/>
          <w:szCs w:val="32"/>
          <w:highlight w:val="none"/>
          <w:u w:val="none"/>
        </w:rPr>
        <w:t>治理效率高的</w:t>
      </w:r>
      <w:r>
        <w:rPr>
          <w:rFonts w:hint="eastAsia" w:ascii="仿宋_GB2312" w:hAnsi="仿宋_GB2312" w:eastAsia="仿宋_GB2312" w:cs="仿宋_GB2312"/>
          <w:sz w:val="32"/>
          <w:szCs w:val="32"/>
          <w:highlight w:val="none"/>
        </w:rPr>
        <w:t>污染防治设施；无法密闭或者不适宜密闭的，应当采取有效措施减少废气排放：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（一）石油、化工、煤炭加工与转化等含挥发性有机物原料的生产；</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（二）燃油、溶剂的储存、运输和销售；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（三）涂料、油墨、胶粘剂、农药等以挥发性有机物为原料的生产；</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（四）涂装、印刷、粘合、工业清洗等</w:t>
      </w:r>
      <w:r>
        <w:rPr>
          <w:rFonts w:hint="eastAsia" w:ascii="仿宋_GB2312" w:hAnsi="仿宋_GB2312" w:eastAsia="仿宋_GB2312" w:cs="仿宋_GB2312"/>
          <w:sz w:val="32"/>
          <w:szCs w:val="32"/>
          <w:highlight w:val="none"/>
          <w:lang w:eastAsia="zh-CN"/>
        </w:rPr>
        <w:t>使用</w:t>
      </w:r>
      <w:r>
        <w:rPr>
          <w:rFonts w:hint="eastAsia" w:ascii="仿宋_GB2312" w:hAnsi="仿宋_GB2312" w:eastAsia="仿宋_GB2312" w:cs="仿宋_GB2312"/>
          <w:sz w:val="32"/>
          <w:szCs w:val="32"/>
          <w:highlight w:val="none"/>
        </w:rPr>
        <w:t>含挥发性有机物产品</w:t>
      </w:r>
      <w:r>
        <w:rPr>
          <w:rFonts w:hint="eastAsia" w:ascii="仿宋_GB2312" w:hAnsi="仿宋_GB2312" w:eastAsia="仿宋_GB2312" w:cs="仿宋_GB2312"/>
          <w:sz w:val="32"/>
          <w:szCs w:val="32"/>
          <w:highlight w:val="none"/>
          <w:lang w:eastAsia="zh-CN"/>
        </w:rPr>
        <w:t>的生产活动</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（五）其他产生挥发性有机物的生产和服务活动。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二十七</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工业涂装企业应当使用低挥发性有机物含量的涂料，并建立台账，如实记录生产原料、辅料的使用量、废弃量、去向以及挥发性有机物含量并向县级以上人民政府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i w:val="0"/>
          <w:iCs w:val="0"/>
          <w:sz w:val="32"/>
          <w:szCs w:val="32"/>
          <w:highlight w:val="none"/>
          <w:u w:val="none"/>
        </w:rPr>
        <w:t>申报</w:t>
      </w:r>
      <w:r>
        <w:rPr>
          <w:rFonts w:hint="eastAsia" w:ascii="仿宋_GB2312" w:hAnsi="仿宋_GB2312" w:eastAsia="仿宋_GB2312" w:cs="仿宋_GB2312"/>
          <w:sz w:val="32"/>
          <w:szCs w:val="32"/>
          <w:highlight w:val="none"/>
        </w:rPr>
        <w:t>。台账保存期限不少于三年。</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其他产生挥发性有机物的工业企业应当按照国家和省的有关规定，建立台账并向县级以上人民政府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环境主管部门如实申报原辅材料使用等情况。台账保存期限不少于三年。</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 xml:space="preserve">第二十八条  </w:t>
      </w:r>
      <w:r>
        <w:rPr>
          <w:rFonts w:hint="eastAsia" w:ascii="仿宋_GB2312" w:hAnsi="仿宋_GB2312" w:eastAsia="仿宋_GB2312" w:cs="仿宋_GB2312"/>
          <w:sz w:val="32"/>
          <w:szCs w:val="32"/>
          <w:highlight w:val="none"/>
        </w:rPr>
        <w:t>石油、化工、有机医药及其他生产和使用有机溶剂的企业，应当根据国家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省的标准、技术规范建立泄漏检测与修复制度，对管道、设备进行日常维护、维修，减少物料泄漏</w:t>
      </w:r>
      <w:r>
        <w:rPr>
          <w:rFonts w:hint="eastAsia" w:ascii="仿宋_GB2312" w:hAnsi="仿宋_GB2312" w:eastAsia="仿宋_GB2312" w:cs="仿宋_GB2312"/>
          <w:sz w:val="32"/>
          <w:szCs w:val="32"/>
          <w:highlight w:val="none"/>
          <w:lang w:val="en-US" w:eastAsia="zh-CN"/>
        </w:rPr>
        <w:t>，对泄漏的物料应当及时收集处理</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石油、化工等排放挥发性有机物的企业事业单位和其他生产经营者在维修、检修时，应当按照技术规范，对生产装置系统的停运、倒空、清洗等环节</w:t>
      </w:r>
      <w:r>
        <w:rPr>
          <w:rFonts w:hint="eastAsia" w:ascii="仿宋_GB2312" w:hAnsi="仿宋_GB2312" w:eastAsia="仿宋_GB2312" w:cs="仿宋_GB2312"/>
          <w:i w:val="0"/>
          <w:iCs w:val="0"/>
          <w:sz w:val="32"/>
          <w:szCs w:val="32"/>
          <w:highlight w:val="none"/>
          <w:u w:val="none"/>
          <w:lang w:eastAsia="zh-CN"/>
        </w:rPr>
        <w:t>进行</w:t>
      </w:r>
      <w:r>
        <w:rPr>
          <w:rFonts w:hint="eastAsia" w:ascii="仿宋_GB2312" w:hAnsi="仿宋_GB2312" w:eastAsia="仿宋_GB2312" w:cs="仿宋_GB2312"/>
          <w:sz w:val="32"/>
          <w:szCs w:val="32"/>
          <w:highlight w:val="none"/>
        </w:rPr>
        <w:t>挥发性有机物排放控制。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 xml:space="preserve">第二十九条  </w:t>
      </w:r>
      <w:r>
        <w:rPr>
          <w:rFonts w:hint="eastAsia" w:ascii="仿宋_GB2312" w:hAnsi="仿宋_GB2312" w:eastAsia="仿宋_GB2312" w:cs="仿宋_GB2312"/>
          <w:sz w:val="32"/>
          <w:szCs w:val="32"/>
          <w:highlight w:val="none"/>
        </w:rPr>
        <w:t>储油储气库、加油加气站、原油成品油码头、原油成品油运输船舶和油罐车、气罐车等，应当按照国家和省</w:t>
      </w:r>
      <w:r>
        <w:rPr>
          <w:rFonts w:hint="eastAsia" w:ascii="仿宋_GB2312" w:hAnsi="仿宋_GB2312" w:eastAsia="仿宋_GB2312" w:cs="仿宋_GB2312"/>
          <w:sz w:val="32"/>
          <w:szCs w:val="32"/>
          <w:highlight w:val="none"/>
          <w:lang w:eastAsia="zh-CN"/>
        </w:rPr>
        <w:t>的有关</w:t>
      </w:r>
      <w:r>
        <w:rPr>
          <w:rFonts w:hint="eastAsia" w:ascii="仿宋_GB2312" w:hAnsi="仿宋_GB2312" w:eastAsia="仿宋_GB2312" w:cs="仿宋_GB2312"/>
          <w:sz w:val="32"/>
          <w:szCs w:val="32"/>
          <w:highlight w:val="none"/>
        </w:rPr>
        <w:t>规定安装油气回收装置和自动监测装置并保持正常使用，每年向</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环境主管部门报送</w:t>
      </w:r>
      <w:r>
        <w:rPr>
          <w:rFonts w:hint="eastAsia" w:ascii="仿宋_GB2312" w:hAnsi="仿宋_GB2312" w:eastAsia="仿宋_GB2312" w:cs="仿宋_GB2312"/>
          <w:i w:val="0"/>
          <w:iCs w:val="0"/>
          <w:sz w:val="32"/>
          <w:szCs w:val="32"/>
          <w:highlight w:val="none"/>
          <w:u w:val="none"/>
        </w:rPr>
        <w:t>有</w:t>
      </w:r>
      <w:r>
        <w:rPr>
          <w:rFonts w:hint="eastAsia" w:ascii="仿宋_GB2312" w:hAnsi="仿宋_GB2312" w:eastAsia="仿宋_GB2312" w:cs="仿宋_GB2312"/>
          <w:sz w:val="32"/>
          <w:szCs w:val="32"/>
          <w:highlight w:val="none"/>
        </w:rPr>
        <w:t>检测资质的机构出具的油气排放检测报告，油气排放检测报告标准文书由</w:t>
      </w:r>
      <w:r>
        <w:rPr>
          <w:rFonts w:hint="eastAsia" w:ascii="仿宋_GB2312" w:hAnsi="仿宋_GB2312" w:eastAsia="仿宋_GB2312" w:cs="仿宋_GB2312"/>
          <w:sz w:val="32"/>
          <w:szCs w:val="32"/>
          <w:highlight w:val="none"/>
          <w:lang w:eastAsia="zh-CN"/>
        </w:rPr>
        <w:t>省生态</w:t>
      </w:r>
      <w:r>
        <w:rPr>
          <w:rFonts w:hint="eastAsia" w:ascii="仿宋_GB2312" w:hAnsi="仿宋_GB2312" w:eastAsia="仿宋_GB2312" w:cs="仿宋_GB2312"/>
          <w:sz w:val="32"/>
          <w:szCs w:val="32"/>
          <w:highlight w:val="none"/>
        </w:rPr>
        <w:t>环境主管部门制定。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严格控制新建、扩建排放恶臭污染物的工业类建设项目。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产生</w:t>
      </w:r>
      <w:r>
        <w:rPr>
          <w:rFonts w:hint="eastAsia" w:ascii="仿宋_GB2312" w:hAnsi="仿宋_GB2312" w:eastAsia="仿宋_GB2312" w:cs="仿宋_GB2312"/>
          <w:sz w:val="32"/>
          <w:szCs w:val="32"/>
          <w:highlight w:val="none"/>
        </w:rPr>
        <w:t>恶臭污染物的化工、石化、制药、制革、骨胶炼制、生物发酵、饲料加工、家具制造等行业应当科学选址，设置合理的防护距离，并安装净化装置或者采取其他措施，防止排放恶臭污染物。</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鼓励</w:t>
      </w:r>
      <w:r>
        <w:rPr>
          <w:rFonts w:hint="eastAsia" w:ascii="仿宋_GB2312" w:hAnsi="仿宋_GB2312" w:eastAsia="仿宋_GB2312" w:cs="仿宋_GB2312"/>
          <w:sz w:val="32"/>
          <w:szCs w:val="32"/>
          <w:highlight w:val="none"/>
        </w:rPr>
        <w:t>企业采用先进的技术、工艺和设备，减少恶臭污染物排放。</w:t>
      </w:r>
    </w:p>
    <w:p>
      <w:pPr>
        <w:widowControl w:val="0"/>
        <w:wordWrap/>
        <w:adjustRightInd/>
        <w:spacing w:line="560" w:lineRule="exact"/>
        <w:ind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color w:val="000000"/>
          <w:kern w:val="0"/>
          <w:sz w:val="32"/>
          <w:szCs w:val="32"/>
          <w:highlight w:val="none"/>
          <w:lang w:eastAsia="zh-CN"/>
        </w:rPr>
        <w:t>第三十一</w:t>
      </w:r>
      <w:r>
        <w:rPr>
          <w:rFonts w:hint="eastAsia" w:ascii="黑体" w:hAnsi="黑体" w:eastAsia="黑体" w:cs="黑体"/>
          <w:color w:val="000000"/>
          <w:kern w:val="0"/>
          <w:sz w:val="32"/>
          <w:szCs w:val="32"/>
          <w:highlight w:val="none"/>
          <w:lang w:val="en-US" w:eastAsia="zh-CN"/>
        </w:rPr>
        <w:t xml:space="preserve">条  </w:t>
      </w:r>
      <w:r>
        <w:rPr>
          <w:rFonts w:hint="eastAsia" w:ascii="仿宋_GB2312" w:hAnsi="仿宋_GB2312" w:eastAsia="仿宋_GB2312" w:cs="仿宋_GB2312"/>
          <w:b w:val="0"/>
          <w:i w:val="0"/>
          <w:color w:val="000000"/>
          <w:spacing w:val="0"/>
          <w:kern w:val="0"/>
          <w:sz w:val="32"/>
          <w:szCs w:val="32"/>
          <w:highlight w:val="none"/>
          <w:lang w:val="en-US" w:eastAsia="zh-CN"/>
        </w:rPr>
        <w:t>科学教育、医疗保健、餐饮住宿、娱乐购物、文化体育、交通运输等公共场所建筑物以及办公楼、居民住宅的室内装修</w:t>
      </w:r>
      <w:r>
        <w:rPr>
          <w:rFonts w:hint="eastAsia" w:ascii="仿宋_GB2312" w:hAnsi="仿宋_GB2312" w:eastAsia="仿宋_GB2312" w:cs="仿宋_GB2312"/>
          <w:color w:val="000000"/>
          <w:kern w:val="0"/>
          <w:sz w:val="32"/>
          <w:szCs w:val="32"/>
          <w:highlight w:val="none"/>
          <w:lang w:eastAsia="zh-CN"/>
        </w:rPr>
        <w:t>应当选用符合国家有关规范和标准的建筑和装饰材料，鼓励选用</w:t>
      </w:r>
      <w:r>
        <w:rPr>
          <w:rFonts w:hint="eastAsia" w:ascii="仿宋_GB2312" w:hAnsi="仿宋_GB2312" w:eastAsia="仿宋_GB2312" w:cs="仿宋_GB2312"/>
          <w:b w:val="0"/>
          <w:i w:val="0"/>
          <w:color w:val="000000"/>
          <w:spacing w:val="0"/>
          <w:kern w:val="0"/>
          <w:sz w:val="32"/>
          <w:szCs w:val="32"/>
          <w:highlight w:val="none"/>
          <w:lang w:val="en-US" w:eastAsia="zh-CN"/>
        </w:rPr>
        <w:t>绿色环保材料，</w:t>
      </w:r>
      <w:r>
        <w:rPr>
          <w:rFonts w:hint="eastAsia" w:ascii="仿宋_GB2312" w:hAnsi="仿宋_GB2312" w:eastAsia="仿宋_GB2312" w:cs="仿宋_GB2312"/>
          <w:color w:val="000000"/>
          <w:kern w:val="0"/>
          <w:sz w:val="32"/>
          <w:szCs w:val="32"/>
          <w:highlight w:val="none"/>
          <w:lang w:eastAsia="zh-CN"/>
        </w:rPr>
        <w:t>预防和控制室内环境污染。</w:t>
      </w:r>
    </w:p>
    <w:p>
      <w:pPr>
        <w:widowControl w:val="0"/>
        <w:numPr>
          <w:ilvl w:val="0"/>
          <w:numId w:val="0"/>
        </w:numPr>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lang w:eastAsia="zh-CN"/>
        </w:rPr>
      </w:pPr>
    </w:p>
    <w:p>
      <w:pPr>
        <w:widowControl w:val="0"/>
        <w:numPr>
          <w:ilvl w:val="0"/>
          <w:numId w:val="0"/>
        </w:numPr>
        <w:wordWrap/>
        <w:adjustRightInd/>
        <w:snapToGrid w:val="0"/>
        <w:spacing w:beforeAutospacing="0" w:afterAutospacing="0" w:line="560" w:lineRule="exact"/>
        <w:ind w:right="0"/>
        <w:jc w:val="center"/>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第五章</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移动源污染防治</w:t>
      </w:r>
    </w:p>
    <w:p>
      <w:pPr>
        <w:widowControl w:val="0"/>
        <w:numPr>
          <w:ilvl w:val="0"/>
          <w:numId w:val="0"/>
        </w:numPr>
        <w:wordWrap/>
        <w:adjustRightInd/>
        <w:snapToGrid w:val="0"/>
        <w:spacing w:beforeAutospacing="0" w:afterAutospacing="0" w:line="560" w:lineRule="exact"/>
        <w:ind w:right="0"/>
        <w:jc w:val="center"/>
        <w:textAlignment w:val="auto"/>
        <w:outlineLvl w:val="9"/>
        <w:rPr>
          <w:rFonts w:hint="eastAsia" w:ascii="黑体" w:hAnsi="黑体" w:eastAsia="黑体" w:cs="黑体"/>
          <w:sz w:val="32"/>
          <w:szCs w:val="32"/>
          <w:highlight w:val="none"/>
        </w:rPr>
      </w:pPr>
    </w:p>
    <w:p>
      <w:pPr>
        <w:widowControl w:val="0"/>
        <w:numPr>
          <w:ilvl w:val="0"/>
          <w:numId w:val="0"/>
        </w:numPr>
        <w:wordWrap/>
        <w:adjustRightInd/>
        <w:snapToGrid w:val="0"/>
        <w:spacing w:beforeAutospacing="0" w:afterAutospacing="0" w:line="560" w:lineRule="exact"/>
        <w:ind w:right="0" w:firstLine="2880" w:firstLineChars="900"/>
        <w:jc w:val="both"/>
        <w:textAlignment w:val="auto"/>
        <w:outlineLvl w:val="9"/>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第一节  机动车污染防治</w:t>
      </w:r>
    </w:p>
    <w:p>
      <w:pPr>
        <w:widowControl w:val="0"/>
        <w:wordWrap/>
        <w:adjustRightInd/>
        <w:snapToGrid w:val="0"/>
        <w:spacing w:beforeAutospacing="0" w:afterAutospacing="0" w:line="560" w:lineRule="exact"/>
        <w:ind w:left="0" w:leftChars="0" w:right="0"/>
        <w:jc w:val="both"/>
        <w:textAlignment w:val="auto"/>
        <w:outlineLvl w:val="9"/>
        <w:rPr>
          <w:rFonts w:hint="eastAsia" w:ascii="黑体" w:hAnsi="黑体" w:eastAsia="黑体" w:cs="黑体"/>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第三十二条  </w:t>
      </w:r>
      <w:r>
        <w:rPr>
          <w:rFonts w:hint="eastAsia" w:ascii="仿宋_GB2312" w:hAnsi="仿宋_GB2312" w:eastAsia="仿宋_GB2312" w:cs="仿宋_GB2312"/>
          <w:sz w:val="32"/>
          <w:szCs w:val="32"/>
          <w:highlight w:val="none"/>
        </w:rPr>
        <w:t>地级以上市人民政府应当加快</w:t>
      </w:r>
      <w:r>
        <w:rPr>
          <w:rFonts w:hint="eastAsia" w:ascii="仿宋_GB2312" w:hAnsi="仿宋_GB2312" w:eastAsia="仿宋_GB2312" w:cs="仿宋_GB2312"/>
          <w:color w:val="000000"/>
          <w:kern w:val="0"/>
          <w:sz w:val="32"/>
          <w:szCs w:val="32"/>
          <w:highlight w:val="none"/>
          <w:lang w:val="en-US" w:eastAsia="zh-CN"/>
        </w:rPr>
        <w:t>淘汰高排放</w:t>
      </w:r>
      <w:r>
        <w:rPr>
          <w:rFonts w:hint="eastAsia" w:ascii="仿宋_GB2312" w:hAnsi="仿宋_GB2312" w:eastAsia="仿宋_GB2312" w:cs="仿宋_GB2312"/>
          <w:sz w:val="32"/>
          <w:szCs w:val="32"/>
          <w:highlight w:val="none"/>
        </w:rPr>
        <w:t>公交、邮政、环卫、出租等车辆，</w:t>
      </w:r>
      <w:r>
        <w:rPr>
          <w:rFonts w:hint="eastAsia" w:ascii="仿宋_GB2312" w:hAnsi="仿宋_GB2312" w:cs="仿宋_GB2312"/>
          <w:sz w:val="32"/>
          <w:szCs w:val="32"/>
          <w:highlight w:val="none"/>
          <w:lang w:eastAsia="zh-CN"/>
        </w:rPr>
        <w:t>制定更新淘汰计划，</w:t>
      </w:r>
      <w:r>
        <w:rPr>
          <w:rFonts w:hint="eastAsia" w:ascii="仿宋_GB2312" w:hAnsi="仿宋_GB2312" w:eastAsia="仿宋_GB2312" w:cs="仿宋_GB2312"/>
          <w:sz w:val="32"/>
          <w:szCs w:val="32"/>
          <w:highlight w:val="none"/>
        </w:rPr>
        <w:t>鼓励推广</w:t>
      </w:r>
      <w:r>
        <w:rPr>
          <w:rFonts w:hint="eastAsia" w:ascii="仿宋_GB2312" w:hAnsi="仿宋_GB2312" w:eastAsia="仿宋_GB2312" w:cs="仿宋_GB2312"/>
          <w:i w:val="0"/>
          <w:iCs w:val="0"/>
          <w:sz w:val="32"/>
          <w:szCs w:val="32"/>
          <w:highlight w:val="none"/>
          <w:u w:val="none"/>
        </w:rPr>
        <w:t>应用</w:t>
      </w:r>
      <w:r>
        <w:rPr>
          <w:rFonts w:hint="eastAsia" w:ascii="仿宋_GB2312" w:hAnsi="仿宋_GB2312" w:eastAsia="仿宋_GB2312" w:cs="仿宋_GB2312"/>
          <w:sz w:val="32"/>
          <w:szCs w:val="32"/>
          <w:highlight w:val="none"/>
        </w:rPr>
        <w:t>纯电、氢能源等</w:t>
      </w:r>
      <w:r>
        <w:rPr>
          <w:rFonts w:hint="eastAsia" w:ascii="仿宋_GB2312" w:hAnsi="仿宋_GB2312" w:eastAsia="仿宋_GB2312" w:cs="仿宋_GB2312"/>
          <w:color w:val="000000"/>
          <w:kern w:val="2"/>
          <w:sz w:val="32"/>
          <w:szCs w:val="32"/>
          <w:highlight w:val="none"/>
          <w:lang w:val="en-US" w:eastAsia="zh-CN"/>
        </w:rPr>
        <w:t>新</w:t>
      </w:r>
      <w:r>
        <w:rPr>
          <w:rFonts w:hint="eastAsia" w:ascii="仿宋_GB2312" w:hAnsi="仿宋_GB2312" w:eastAsia="仿宋_GB2312" w:cs="仿宋_GB2312"/>
          <w:sz w:val="32"/>
          <w:szCs w:val="32"/>
          <w:highlight w:val="none"/>
        </w:rPr>
        <w:t>能源</w:t>
      </w:r>
      <w:r>
        <w:rPr>
          <w:rFonts w:hint="eastAsia" w:ascii="仿宋_GB2312" w:hAnsi="仿宋_GB2312" w:eastAsia="仿宋_GB2312" w:cs="仿宋_GB2312"/>
          <w:color w:val="000000"/>
          <w:kern w:val="2"/>
          <w:sz w:val="32"/>
          <w:szCs w:val="32"/>
          <w:highlight w:val="none"/>
          <w:lang w:val="en-US" w:eastAsia="zh-CN"/>
        </w:rPr>
        <w:t>汽</w:t>
      </w:r>
      <w:r>
        <w:rPr>
          <w:rFonts w:hint="eastAsia" w:ascii="仿宋_GB2312" w:hAnsi="仿宋_GB2312" w:eastAsia="仿宋_GB2312" w:cs="仿宋_GB2312"/>
          <w:sz w:val="32"/>
          <w:szCs w:val="32"/>
          <w:highlight w:val="none"/>
        </w:rPr>
        <w:t>车，加快其配套</w:t>
      </w:r>
      <w:r>
        <w:rPr>
          <w:rFonts w:hint="eastAsia" w:ascii="仿宋_GB2312" w:hAnsi="仿宋_GB2312" w:eastAsia="仿宋_GB2312" w:cs="仿宋_GB2312"/>
          <w:sz w:val="32"/>
          <w:szCs w:val="32"/>
          <w:highlight w:val="none"/>
          <w:lang w:eastAsia="zh-CN"/>
        </w:rPr>
        <w:t>设</w:t>
      </w:r>
      <w:r>
        <w:rPr>
          <w:rFonts w:hint="eastAsia" w:ascii="仿宋_GB2312" w:hAnsi="仿宋_GB2312" w:eastAsia="仿宋_GB2312" w:cs="仿宋_GB2312"/>
          <w:sz w:val="32"/>
          <w:szCs w:val="32"/>
          <w:highlight w:val="none"/>
        </w:rPr>
        <w:t>施建设，限制高油耗、高排放车</w:t>
      </w:r>
      <w:r>
        <w:rPr>
          <w:rFonts w:hint="eastAsia" w:ascii="仿宋_GB2312" w:hAnsi="仿宋_GB2312" w:eastAsia="仿宋_GB2312" w:cs="仿宋_GB2312"/>
          <w:sz w:val="32"/>
          <w:szCs w:val="32"/>
          <w:highlight w:val="none"/>
          <w:lang w:eastAsia="zh-CN"/>
        </w:rPr>
        <w:t>辆</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i w:val="0"/>
          <w:iCs w:val="0"/>
          <w:sz w:val="32"/>
          <w:szCs w:val="32"/>
          <w:highlight w:val="none"/>
          <w:u w:val="none"/>
        </w:rPr>
        <w:t>使用</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color w:val="000000"/>
          <w:kern w:val="0"/>
          <w:sz w:val="32"/>
          <w:szCs w:val="32"/>
          <w:highlight w:val="none"/>
          <w:lang w:val="en-US" w:eastAsia="zh-CN"/>
        </w:rPr>
        <w:t>三十三</w:t>
      </w:r>
      <w:r>
        <w:rPr>
          <w:rFonts w:hint="eastAsia" w:ascii="黑体" w:hAnsi="黑体" w:eastAsia="黑体" w:cs="黑体"/>
          <w:color w:val="000000"/>
          <w:kern w:val="2"/>
          <w:sz w:val="32"/>
          <w:szCs w:val="32"/>
          <w:highlight w:val="none"/>
          <w:lang w:val="en-US" w:eastAsia="zh-CN"/>
        </w:rPr>
        <w:t>条</w:t>
      </w:r>
      <w:r>
        <w:rPr>
          <w:rFonts w:hint="eastAsia" w:ascii="仿宋_GB2312" w:hAnsi="仿宋_GB2312" w:cs="仿宋_GB2312"/>
          <w:color w:val="000000"/>
          <w:kern w:val="2"/>
          <w:sz w:val="32"/>
          <w:szCs w:val="32"/>
          <w:highlight w:val="none"/>
          <w:lang w:val="en-US" w:eastAsia="zh-CN"/>
        </w:rPr>
        <w:t xml:space="preserve">  </w:t>
      </w:r>
      <w:r>
        <w:rPr>
          <w:rFonts w:hint="eastAsia" w:ascii="仿宋_GB2312" w:hAnsi="仿宋_GB2312" w:eastAsia="仿宋_GB2312" w:cs="仿宋_GB2312"/>
          <w:i w:val="0"/>
          <w:iCs w:val="0"/>
          <w:sz w:val="32"/>
          <w:szCs w:val="32"/>
          <w:highlight w:val="none"/>
          <w:u w:val="none" w:color="auto"/>
        </w:rPr>
        <w:t>地级以上市</w:t>
      </w:r>
      <w:r>
        <w:rPr>
          <w:rFonts w:hint="eastAsia" w:ascii="仿宋_GB2312" w:hAnsi="仿宋_GB2312" w:eastAsia="仿宋_GB2312" w:cs="仿宋_GB2312"/>
          <w:sz w:val="32"/>
          <w:szCs w:val="32"/>
          <w:highlight w:val="none"/>
        </w:rPr>
        <w:t>人民政府可以根据大气污染防治需要，</w:t>
      </w:r>
      <w:r>
        <w:rPr>
          <w:rFonts w:hint="eastAsia" w:ascii="仿宋_GB2312" w:hAnsi="仿宋_GB2312" w:eastAsia="仿宋_GB2312" w:cs="仿宋_GB2312"/>
          <w:sz w:val="32"/>
          <w:szCs w:val="32"/>
          <w:highlight w:val="none"/>
          <w:lang w:eastAsia="zh-CN"/>
        </w:rPr>
        <w:t>采取限制通行、经济补偿等措施逐步淘汰高排放车辆。限制通行、经济补偿等具体办法由地级以上市人民政府制定。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rPr>
      </w:pPr>
      <w:r>
        <w:rPr>
          <w:rFonts w:hint="eastAsia" w:ascii="仿宋_GB2312" w:hAnsi="仿宋_GB2312" w:eastAsia="仿宋_GB2312" w:cs="仿宋_GB2312"/>
          <w:i w:val="0"/>
          <w:iCs w:val="0"/>
          <w:sz w:val="32"/>
          <w:szCs w:val="32"/>
          <w:highlight w:val="none"/>
          <w:u w:val="none"/>
        </w:rPr>
        <w:t>地级以上市人民政府采取前款规定措施的，应当公开征求公众意见，在正式实施三十日以前向社会公告，并报省人民政府备案。</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三十四</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省人民政府可以在条件具备的地区，提前执行国家机动车大气污染物排放标准</w:t>
      </w:r>
      <w:r>
        <w:rPr>
          <w:rFonts w:hint="eastAsia" w:ascii="仿宋_GB2312" w:hAnsi="仿宋_GB2312" w:eastAsia="仿宋_GB2312" w:cs="仿宋_GB2312"/>
          <w:i w:val="0"/>
          <w:iCs w:val="0"/>
          <w:sz w:val="32"/>
          <w:szCs w:val="32"/>
          <w:highlight w:val="none"/>
          <w:u w:val="none"/>
        </w:rPr>
        <w:t>中</w:t>
      </w:r>
      <w:r>
        <w:rPr>
          <w:rFonts w:hint="eastAsia" w:ascii="仿宋_GB2312" w:hAnsi="仿宋_GB2312" w:eastAsia="仿宋_GB2312" w:cs="仿宋_GB2312"/>
          <w:sz w:val="32"/>
          <w:szCs w:val="32"/>
          <w:highlight w:val="none"/>
        </w:rPr>
        <w:t>相应阶段排放限值，并报国务院</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环境主管部门备案。</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在本省销售的</w:t>
      </w:r>
      <w:r>
        <w:rPr>
          <w:rFonts w:hint="eastAsia" w:ascii="仿宋_GB2312" w:hAnsi="仿宋_GB2312" w:eastAsia="仿宋_GB2312" w:cs="仿宋_GB2312"/>
          <w:sz w:val="32"/>
          <w:szCs w:val="32"/>
          <w:highlight w:val="none"/>
          <w:lang w:eastAsia="zh-CN"/>
        </w:rPr>
        <w:t>新</w:t>
      </w:r>
      <w:r>
        <w:rPr>
          <w:rFonts w:hint="eastAsia" w:ascii="仿宋_GB2312" w:hAnsi="仿宋_GB2312" w:eastAsia="仿宋_GB2312" w:cs="仿宋_GB2312"/>
          <w:sz w:val="32"/>
          <w:szCs w:val="32"/>
          <w:highlight w:val="none"/>
        </w:rPr>
        <w:t>车，应当符合</w:t>
      </w:r>
      <w:r>
        <w:rPr>
          <w:rFonts w:hint="eastAsia" w:ascii="仿宋_GB2312" w:hAnsi="仿宋_GB2312" w:eastAsia="仿宋_GB2312" w:cs="仿宋_GB2312"/>
          <w:sz w:val="32"/>
          <w:szCs w:val="32"/>
          <w:highlight w:val="none"/>
          <w:lang w:val="en-US" w:eastAsia="zh-CN"/>
        </w:rPr>
        <w:t>注册登记地</w:t>
      </w:r>
      <w:r>
        <w:rPr>
          <w:rFonts w:hint="eastAsia" w:ascii="仿宋_GB2312" w:hAnsi="仿宋_GB2312" w:eastAsia="仿宋_GB2312" w:cs="仿宋_GB2312"/>
          <w:sz w:val="32"/>
          <w:szCs w:val="32"/>
          <w:highlight w:val="none"/>
          <w:lang w:eastAsia="zh-CN"/>
        </w:rPr>
        <w:t>现行执行的</w:t>
      </w:r>
      <w:r>
        <w:rPr>
          <w:rFonts w:hint="eastAsia" w:ascii="仿宋_GB2312" w:hAnsi="仿宋_GB2312" w:eastAsia="仿宋_GB2312" w:cs="仿宋_GB2312"/>
          <w:sz w:val="32"/>
          <w:szCs w:val="32"/>
          <w:highlight w:val="none"/>
        </w:rPr>
        <w:t>国家</w:t>
      </w:r>
      <w:r>
        <w:rPr>
          <w:rFonts w:hint="eastAsia" w:ascii="仿宋_GB2312" w:hAnsi="仿宋_GB2312" w:eastAsia="仿宋_GB2312" w:cs="仿宋_GB2312"/>
          <w:sz w:val="32"/>
          <w:szCs w:val="32"/>
          <w:highlight w:val="none"/>
          <w:lang w:eastAsia="zh-CN"/>
        </w:rPr>
        <w:t>机动车大气污染物</w:t>
      </w:r>
      <w:r>
        <w:rPr>
          <w:rFonts w:hint="eastAsia" w:ascii="仿宋_GB2312" w:hAnsi="仿宋_GB2312" w:eastAsia="仿宋_GB2312" w:cs="仿宋_GB2312"/>
          <w:sz w:val="32"/>
          <w:szCs w:val="32"/>
          <w:highlight w:val="none"/>
        </w:rPr>
        <w:t>排放标准</w:t>
      </w:r>
      <w:r>
        <w:rPr>
          <w:rFonts w:hint="eastAsia" w:ascii="仿宋_GB2312" w:hAnsi="仿宋_GB2312" w:eastAsia="仿宋_GB2312" w:cs="仿宋_GB2312"/>
          <w:sz w:val="32"/>
          <w:szCs w:val="32"/>
          <w:highlight w:val="none"/>
          <w:lang w:eastAsia="zh-CN"/>
        </w:rPr>
        <w:t>中相应阶段排放限值，</w:t>
      </w:r>
      <w:r>
        <w:rPr>
          <w:rFonts w:hint="eastAsia" w:ascii="仿宋_GB2312" w:hAnsi="仿宋_GB2312" w:eastAsia="仿宋_GB2312" w:cs="仿宋_GB2312"/>
          <w:sz w:val="32"/>
          <w:szCs w:val="32"/>
          <w:highlight w:val="none"/>
        </w:rPr>
        <w:t>并在耐久性期限内稳定达标。</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i w:val="0"/>
          <w:iCs w:val="0"/>
          <w:sz w:val="32"/>
          <w:szCs w:val="32"/>
          <w:highlight w:val="none"/>
          <w:u w:val="none" w:color="auto"/>
          <w:lang w:val="en-US" w:eastAsia="zh-CN"/>
        </w:rPr>
        <w:t>三十五</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i w:val="0"/>
          <w:iCs w:val="0"/>
          <w:sz w:val="32"/>
          <w:szCs w:val="32"/>
          <w:highlight w:val="none"/>
          <w:u w:val="none" w:color="auto"/>
          <w:lang w:eastAsia="zh-CN"/>
        </w:rPr>
        <w:t>省</w:t>
      </w:r>
      <w:r>
        <w:rPr>
          <w:rFonts w:hint="eastAsia" w:ascii="仿宋_GB2312" w:hAnsi="仿宋_GB2312" w:eastAsia="仿宋_GB2312" w:cs="仿宋_GB2312"/>
          <w:sz w:val="32"/>
          <w:szCs w:val="32"/>
          <w:highlight w:val="none"/>
        </w:rPr>
        <w:t>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sz w:val="32"/>
          <w:szCs w:val="32"/>
          <w:highlight w:val="none"/>
          <w:lang w:eastAsia="zh-CN"/>
        </w:rPr>
        <w:t>及其委托的地级以上市人民政府生态环境主管部门</w:t>
      </w:r>
      <w:r>
        <w:rPr>
          <w:rFonts w:hint="eastAsia" w:ascii="仿宋_GB2312" w:hAnsi="仿宋_GB2312" w:eastAsia="仿宋_GB2312" w:cs="仿宋_GB2312"/>
          <w:sz w:val="32"/>
          <w:szCs w:val="32"/>
          <w:highlight w:val="none"/>
        </w:rPr>
        <w:t>应当加强对销售机动车</w:t>
      </w:r>
      <w:r>
        <w:rPr>
          <w:rFonts w:hint="eastAsia" w:ascii="仿宋_GB2312" w:hAnsi="仿宋_GB2312" w:eastAsia="仿宋_GB2312" w:cs="仿宋_GB2312"/>
          <w:i w:val="0"/>
          <w:iCs w:val="0"/>
          <w:sz w:val="32"/>
          <w:szCs w:val="32"/>
          <w:highlight w:val="none"/>
          <w:u w:val="none"/>
          <w:lang w:eastAsia="zh-CN"/>
        </w:rPr>
        <w:t>大气污染物</w:t>
      </w:r>
      <w:r>
        <w:rPr>
          <w:rFonts w:hint="eastAsia" w:ascii="仿宋_GB2312" w:hAnsi="仿宋_GB2312" w:eastAsia="仿宋_GB2312" w:cs="仿宋_GB2312"/>
          <w:sz w:val="32"/>
          <w:szCs w:val="32"/>
          <w:highlight w:val="none"/>
        </w:rPr>
        <w:t>排放</w:t>
      </w:r>
      <w:r>
        <w:rPr>
          <w:rFonts w:hint="eastAsia" w:ascii="仿宋_GB2312" w:hAnsi="仿宋_GB2312" w:eastAsia="仿宋_GB2312" w:cs="仿宋_GB2312"/>
          <w:sz w:val="32"/>
          <w:szCs w:val="32"/>
          <w:highlight w:val="none"/>
          <w:lang w:eastAsia="zh-CN"/>
        </w:rPr>
        <w:t>状况</w:t>
      </w:r>
      <w:r>
        <w:rPr>
          <w:rFonts w:hint="eastAsia" w:ascii="仿宋_GB2312" w:hAnsi="仿宋_GB2312" w:eastAsia="仿宋_GB2312" w:cs="仿宋_GB2312"/>
          <w:sz w:val="32"/>
          <w:szCs w:val="32"/>
          <w:highlight w:val="none"/>
        </w:rPr>
        <w:t>、污染控制技术等环境保护信息公开情况</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监督检查。</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2"/>
          <w:sz w:val="32"/>
          <w:szCs w:val="32"/>
          <w:highlight w:val="none"/>
          <w:lang w:val="en-US" w:eastAsia="zh-CN"/>
        </w:rPr>
        <w:t xml:space="preserve">    </w:t>
      </w: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三十六</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公安机关交通管理部门在机动车注册登记时应当通过国务院</w:t>
      </w:r>
      <w:r>
        <w:rPr>
          <w:rFonts w:hint="eastAsia" w:ascii="仿宋_GB2312" w:hAnsi="仿宋_GB2312" w:eastAsia="仿宋_GB2312" w:cs="仿宋_GB2312"/>
          <w:sz w:val="32"/>
          <w:szCs w:val="32"/>
          <w:highlight w:val="none"/>
          <w:lang w:val="en-US" w:eastAsia="zh-CN"/>
        </w:rPr>
        <w:t>生态</w:t>
      </w:r>
      <w:r>
        <w:rPr>
          <w:rFonts w:hint="eastAsia" w:ascii="仿宋_GB2312" w:hAnsi="仿宋_GB2312" w:eastAsia="仿宋_GB2312" w:cs="仿宋_GB2312"/>
          <w:sz w:val="32"/>
          <w:szCs w:val="32"/>
          <w:highlight w:val="none"/>
        </w:rPr>
        <w:t>环境主管部门认可的机动车环保信息公开系统，确定车辆的排放检验信息，</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现场</w:t>
      </w:r>
      <w:r>
        <w:rPr>
          <w:rFonts w:hint="eastAsia" w:ascii="仿宋_GB2312" w:hAnsi="仿宋_GB2312" w:eastAsia="仿宋_GB2312" w:cs="仿宋_GB2312"/>
          <w:sz w:val="32"/>
          <w:szCs w:val="32"/>
          <w:highlight w:val="none"/>
          <w:lang w:eastAsia="zh-CN"/>
        </w:rPr>
        <w:t>抽查</w:t>
      </w:r>
      <w:r>
        <w:rPr>
          <w:rFonts w:hint="eastAsia" w:ascii="仿宋_GB2312" w:hAnsi="仿宋_GB2312" w:eastAsia="仿宋_GB2312" w:cs="仿宋_GB2312"/>
          <w:sz w:val="32"/>
          <w:szCs w:val="32"/>
          <w:highlight w:val="none"/>
        </w:rPr>
        <w:t>车辆有无排放控制装置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对</w:t>
      </w:r>
      <w:r>
        <w:rPr>
          <w:rFonts w:hint="eastAsia" w:ascii="仿宋_GB2312" w:hAnsi="仿宋_GB2312" w:eastAsia="仿宋_GB2312" w:cs="仿宋_GB2312"/>
          <w:sz w:val="32"/>
          <w:szCs w:val="32"/>
          <w:highlight w:val="none"/>
        </w:rPr>
        <w:t>未达到本行政区域现行执行的国家机动车</w:t>
      </w:r>
      <w:r>
        <w:rPr>
          <w:rFonts w:hint="eastAsia" w:ascii="仿宋_GB2312" w:hAnsi="仿宋_GB2312" w:eastAsia="仿宋_GB2312" w:cs="仿宋_GB2312"/>
          <w:sz w:val="32"/>
          <w:szCs w:val="32"/>
          <w:highlight w:val="none"/>
          <w:lang w:val="en-US" w:eastAsia="zh-CN"/>
        </w:rPr>
        <w:t>大气</w:t>
      </w:r>
      <w:r>
        <w:rPr>
          <w:rFonts w:hint="eastAsia" w:ascii="仿宋_GB2312" w:hAnsi="仿宋_GB2312" w:eastAsia="仿宋_GB2312" w:cs="仿宋_GB2312"/>
          <w:sz w:val="32"/>
          <w:szCs w:val="32"/>
          <w:highlight w:val="none"/>
        </w:rPr>
        <w:t>污染物排放标准</w:t>
      </w:r>
      <w:r>
        <w:rPr>
          <w:rFonts w:hint="eastAsia" w:ascii="仿宋_GB2312" w:hAnsi="仿宋_GB2312" w:eastAsia="仿宋_GB2312" w:cs="仿宋_GB2312"/>
          <w:sz w:val="32"/>
          <w:szCs w:val="32"/>
          <w:highlight w:val="none"/>
          <w:lang w:val="en-US" w:eastAsia="zh-CN"/>
        </w:rPr>
        <w:t>中相应阶段排放限值</w:t>
      </w:r>
      <w:r>
        <w:rPr>
          <w:rFonts w:hint="eastAsia" w:ascii="仿宋_GB2312" w:hAnsi="仿宋_GB2312" w:eastAsia="仿宋_GB2312" w:cs="仿宋_GB2312"/>
          <w:i w:val="0"/>
          <w:iCs w:val="0"/>
          <w:sz w:val="32"/>
          <w:szCs w:val="32"/>
          <w:highlight w:val="none"/>
          <w:u w:val="none"/>
        </w:rPr>
        <w:t>的机动车</w:t>
      </w:r>
      <w:r>
        <w:rPr>
          <w:rFonts w:hint="eastAsia" w:ascii="仿宋_GB2312" w:hAnsi="仿宋_GB2312" w:eastAsia="仿宋_GB2312" w:cs="仿宋_GB2312"/>
          <w:sz w:val="32"/>
          <w:szCs w:val="32"/>
          <w:highlight w:val="none"/>
        </w:rPr>
        <w:t>，不予办理注册登记。</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机动车所有人</w:t>
      </w:r>
      <w:r>
        <w:rPr>
          <w:rFonts w:hint="eastAsia" w:ascii="仿宋_GB2312" w:hAnsi="仿宋_GB2312" w:eastAsia="仿宋_GB2312" w:cs="仿宋_GB2312"/>
          <w:sz w:val="32"/>
          <w:szCs w:val="32"/>
          <w:highlight w:val="none"/>
        </w:rPr>
        <w:t>自带</w:t>
      </w:r>
      <w:r>
        <w:rPr>
          <w:rFonts w:hint="eastAsia" w:ascii="仿宋_GB2312" w:hAnsi="仿宋_GB2312" w:eastAsia="仿宋_GB2312" w:cs="仿宋_GB2312"/>
          <w:sz w:val="32"/>
          <w:szCs w:val="32"/>
          <w:highlight w:val="none"/>
          <w:lang w:eastAsia="zh-CN"/>
        </w:rPr>
        <w:t>入</w:t>
      </w:r>
      <w:r>
        <w:rPr>
          <w:rFonts w:hint="eastAsia" w:ascii="仿宋_GB2312" w:hAnsi="仿宋_GB2312" w:eastAsia="仿宋_GB2312" w:cs="仿宋_GB2312"/>
          <w:sz w:val="32"/>
          <w:szCs w:val="32"/>
          <w:highlight w:val="none"/>
        </w:rPr>
        <w:t>境的机动车在</w:t>
      </w:r>
      <w:r>
        <w:rPr>
          <w:rFonts w:hint="eastAsia" w:ascii="仿宋_GB2312" w:hAnsi="仿宋_GB2312" w:eastAsia="仿宋_GB2312" w:cs="仿宋_GB2312"/>
          <w:sz w:val="32"/>
          <w:szCs w:val="32"/>
          <w:highlight w:val="none"/>
          <w:lang w:val="en-US" w:eastAsia="zh-CN"/>
        </w:rPr>
        <w:t>国务院</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环境主管部门认可的机动车环保信息公开系统无法查询车辆排放检验等技术信息的，申请注册登记时，应当提交有资质的机动车排放检验机构出具的达到本行政区域现行执行的国家机动车</w:t>
      </w:r>
      <w:r>
        <w:rPr>
          <w:rFonts w:hint="eastAsia" w:ascii="仿宋_GB2312" w:hAnsi="仿宋_GB2312" w:eastAsia="仿宋_GB2312" w:cs="仿宋_GB2312"/>
          <w:sz w:val="32"/>
          <w:szCs w:val="32"/>
          <w:highlight w:val="none"/>
          <w:lang w:eastAsia="zh-CN"/>
        </w:rPr>
        <w:t>大气</w:t>
      </w:r>
      <w:r>
        <w:rPr>
          <w:rFonts w:hint="eastAsia" w:ascii="仿宋_GB2312" w:hAnsi="仿宋_GB2312" w:eastAsia="仿宋_GB2312" w:cs="仿宋_GB2312"/>
          <w:sz w:val="32"/>
          <w:szCs w:val="32"/>
          <w:highlight w:val="none"/>
        </w:rPr>
        <w:t>污染物排放标准</w:t>
      </w:r>
      <w:r>
        <w:rPr>
          <w:rFonts w:hint="eastAsia" w:ascii="仿宋_GB2312" w:hAnsi="仿宋_GB2312" w:eastAsia="仿宋_GB2312" w:cs="仿宋_GB2312"/>
          <w:sz w:val="32"/>
          <w:szCs w:val="32"/>
          <w:highlight w:val="none"/>
          <w:lang w:eastAsia="zh-CN"/>
        </w:rPr>
        <w:t>中相应阶段排放限值</w:t>
      </w:r>
      <w:r>
        <w:rPr>
          <w:rFonts w:hint="eastAsia" w:ascii="仿宋_GB2312" w:hAnsi="仿宋_GB2312" w:eastAsia="仿宋_GB2312" w:cs="仿宋_GB2312"/>
          <w:sz w:val="32"/>
          <w:szCs w:val="32"/>
          <w:highlight w:val="none"/>
        </w:rPr>
        <w:t>的检验合格报告。未提交检验合格报告的，公安机关交通管理部门不予办理注册登记。</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三十七</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跨地级以上市迁入的在用车，</w:t>
      </w:r>
      <w:r>
        <w:rPr>
          <w:rFonts w:hint="eastAsia" w:ascii="仿宋_GB2312" w:hAnsi="仿宋_GB2312" w:eastAsia="仿宋_GB2312" w:cs="仿宋_GB2312"/>
          <w:i w:val="0"/>
          <w:iCs w:val="0"/>
          <w:sz w:val="32"/>
          <w:szCs w:val="32"/>
          <w:highlight w:val="none"/>
          <w:u w:val="none"/>
          <w:lang w:eastAsia="zh-CN"/>
        </w:rPr>
        <w:t>迁入粤东粤西粤北地区的，</w:t>
      </w:r>
      <w:r>
        <w:rPr>
          <w:rFonts w:hint="eastAsia" w:ascii="仿宋_GB2312" w:hAnsi="仿宋_GB2312" w:eastAsia="仿宋_GB2312" w:cs="仿宋_GB2312"/>
          <w:i w:val="0"/>
          <w:iCs w:val="0"/>
          <w:sz w:val="32"/>
          <w:szCs w:val="32"/>
          <w:highlight w:val="none"/>
          <w:u w:val="none"/>
        </w:rPr>
        <w:t>经迁入地排放检验，符合迁入地在用车排放标准要求</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公安机关交通管理部门</w:t>
      </w:r>
      <w:r>
        <w:rPr>
          <w:rFonts w:hint="eastAsia" w:ascii="仿宋_GB2312" w:hAnsi="仿宋_GB2312" w:eastAsia="仿宋_GB2312" w:cs="仿宋_GB2312"/>
          <w:sz w:val="32"/>
          <w:szCs w:val="32"/>
          <w:highlight w:val="none"/>
          <w:lang w:eastAsia="zh-CN"/>
        </w:rPr>
        <w:t>应当</w:t>
      </w:r>
      <w:r>
        <w:rPr>
          <w:rFonts w:hint="eastAsia" w:ascii="仿宋_GB2312" w:hAnsi="仿宋_GB2312" w:eastAsia="仿宋_GB2312" w:cs="仿宋_GB2312"/>
          <w:sz w:val="32"/>
          <w:szCs w:val="32"/>
          <w:highlight w:val="none"/>
        </w:rPr>
        <w:t>办理登记</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rPr>
        <w:t>迁入珠江三角洲区域</w:t>
      </w:r>
      <w:r>
        <w:rPr>
          <w:rFonts w:hint="eastAsia" w:ascii="仿宋_GB2312" w:hAnsi="仿宋_GB2312" w:eastAsia="仿宋_GB2312" w:cs="仿宋_GB2312"/>
          <w:sz w:val="32"/>
          <w:szCs w:val="32"/>
          <w:highlight w:val="none"/>
          <w:lang w:eastAsia="zh-CN"/>
        </w:rPr>
        <w:t>各地级以上市</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eastAsia="zh-CN"/>
        </w:rPr>
        <w:t>应当</w:t>
      </w:r>
      <w:r>
        <w:rPr>
          <w:rFonts w:hint="eastAsia" w:ascii="仿宋_GB2312" w:hAnsi="仿宋_GB2312" w:eastAsia="仿宋_GB2312" w:cs="仿宋_GB2312"/>
          <w:sz w:val="32"/>
          <w:szCs w:val="32"/>
          <w:highlight w:val="none"/>
        </w:rPr>
        <w:t>符合迁入地现行执行的国家机动车大气污染物排放标准</w:t>
      </w:r>
      <w:r>
        <w:rPr>
          <w:rFonts w:hint="eastAsia" w:ascii="仿宋_GB2312" w:hAnsi="仿宋_GB2312" w:eastAsia="仿宋_GB2312" w:cs="仿宋_GB2312"/>
          <w:sz w:val="32"/>
          <w:szCs w:val="32"/>
          <w:highlight w:val="none"/>
          <w:lang w:eastAsia="zh-CN"/>
        </w:rPr>
        <w:t>中相应阶段排放限值</w:t>
      </w:r>
      <w:r>
        <w:rPr>
          <w:rFonts w:hint="eastAsia" w:ascii="仿宋_GB2312" w:hAnsi="仿宋_GB2312" w:eastAsia="仿宋_GB2312" w:cs="仿宋_GB2312"/>
          <w:i w:val="0"/>
          <w:iCs w:val="0"/>
          <w:sz w:val="32"/>
          <w:szCs w:val="32"/>
          <w:highlight w:val="none"/>
          <w:u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国家鼓励淘汰和要求淘汰的相关车辆</w:t>
      </w:r>
      <w:r>
        <w:rPr>
          <w:rFonts w:hint="eastAsia" w:ascii="仿宋_GB2312" w:hAnsi="仿宋_GB2312" w:eastAsia="仿宋_GB2312" w:cs="仿宋_GB2312"/>
          <w:i w:val="0"/>
          <w:iCs w:val="0"/>
          <w:sz w:val="32"/>
          <w:szCs w:val="32"/>
          <w:highlight w:val="none"/>
          <w:u w:val="none"/>
        </w:rPr>
        <w:t>不得跨省或者跨地</w:t>
      </w:r>
      <w:r>
        <w:rPr>
          <w:rFonts w:hint="eastAsia" w:ascii="仿宋_GB2312" w:hAnsi="仿宋_GB2312" w:eastAsia="仿宋_GB2312" w:cs="仿宋_GB2312"/>
          <w:i w:val="0"/>
          <w:iCs w:val="0"/>
          <w:sz w:val="32"/>
          <w:szCs w:val="32"/>
          <w:highlight w:val="none"/>
          <w:u w:val="none"/>
          <w:lang w:eastAsia="zh-CN"/>
        </w:rPr>
        <w:t>级以上</w:t>
      </w:r>
      <w:r>
        <w:rPr>
          <w:rFonts w:hint="eastAsia" w:ascii="仿宋_GB2312" w:hAnsi="仿宋_GB2312" w:eastAsia="仿宋_GB2312" w:cs="仿宋_GB2312"/>
          <w:i w:val="0"/>
          <w:iCs w:val="0"/>
          <w:sz w:val="32"/>
          <w:szCs w:val="32"/>
          <w:highlight w:val="none"/>
          <w:u w:val="none"/>
        </w:rPr>
        <w:t>市迁入</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三十八</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机动车排放检验机构应当遵守下列规定：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（一）配备符合国家规定要求的检测技术人员；</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i w:val="0"/>
          <w:iCs w:val="0"/>
          <w:sz w:val="32"/>
          <w:szCs w:val="32"/>
          <w:highlight w:val="none"/>
          <w:u w:val="none"/>
          <w:lang w:eastAsia="zh-CN"/>
        </w:rPr>
        <w:t>二</w:t>
      </w:r>
      <w:r>
        <w:rPr>
          <w:rFonts w:hint="eastAsia" w:ascii="仿宋_GB2312" w:hAnsi="仿宋_GB2312" w:eastAsia="仿宋_GB2312" w:cs="仿宋_GB2312"/>
          <w:sz w:val="32"/>
          <w:szCs w:val="32"/>
          <w:highlight w:val="none"/>
        </w:rPr>
        <w:t>）依法获得计量认证证书；</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）机动车排放检验使用的仪器、设备经</w:t>
      </w:r>
      <w:r>
        <w:rPr>
          <w:rFonts w:hint="eastAsia" w:ascii="仿宋_GB2312" w:hAnsi="仿宋_GB2312" w:eastAsia="仿宋_GB2312" w:cs="仿宋_GB2312"/>
          <w:color w:val="000000"/>
          <w:kern w:val="2"/>
          <w:sz w:val="32"/>
          <w:szCs w:val="32"/>
          <w:highlight w:val="none"/>
          <w:lang w:val="en-US" w:eastAsia="zh-CN"/>
        </w:rPr>
        <w:t>依法</w:t>
      </w:r>
      <w:r>
        <w:rPr>
          <w:rFonts w:hint="eastAsia" w:ascii="仿宋_GB2312" w:hAnsi="仿宋_GB2312" w:eastAsia="仿宋_GB2312" w:cs="仿宋_GB2312"/>
          <w:sz w:val="32"/>
          <w:szCs w:val="32"/>
          <w:highlight w:val="none"/>
        </w:rPr>
        <w:t>检定合格；</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）依据法定的检测方法、检测标准实施机动车排放检验；</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）出具真实、准确的机动车排放检验结果；</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六</w:t>
      </w:r>
      <w:r>
        <w:rPr>
          <w:rFonts w:hint="eastAsia" w:ascii="仿宋_GB2312" w:hAnsi="仿宋_GB2312" w:eastAsia="仿宋_GB2312" w:cs="仿宋_GB2312"/>
          <w:sz w:val="32"/>
          <w:szCs w:val="32"/>
          <w:highlight w:val="none"/>
        </w:rPr>
        <w:t>）根据国家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省机动车环保信息联网规范要求向所在地地级以上市人民政府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环境主管部门传输检验数据；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）建立机动车排放检验档案；</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八</w:t>
      </w:r>
      <w:r>
        <w:rPr>
          <w:rFonts w:hint="eastAsia" w:ascii="仿宋_GB2312" w:hAnsi="仿宋_GB2312" w:eastAsia="仿宋_GB2312" w:cs="仿宋_GB2312"/>
          <w:sz w:val="32"/>
          <w:szCs w:val="32"/>
          <w:highlight w:val="none"/>
        </w:rPr>
        <w:t>）不得以任何方式经营或者参与经营机动车维修业务；</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九</w:t>
      </w:r>
      <w:r>
        <w:rPr>
          <w:rFonts w:hint="eastAsia" w:ascii="仿宋_GB2312" w:hAnsi="仿宋_GB2312" w:eastAsia="仿宋_GB2312" w:cs="仿宋_GB2312"/>
          <w:sz w:val="32"/>
          <w:szCs w:val="32"/>
          <w:highlight w:val="none"/>
        </w:rPr>
        <w:t>）符合国家和省有关技术规范的其他要求。</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机动车</w:t>
      </w:r>
      <w:r>
        <w:rPr>
          <w:rFonts w:hint="eastAsia" w:ascii="仿宋_GB2312" w:hAnsi="仿宋_GB2312" w:eastAsia="仿宋_GB2312" w:cs="仿宋_GB2312"/>
          <w:sz w:val="32"/>
          <w:szCs w:val="32"/>
          <w:highlight w:val="none"/>
          <w:lang w:eastAsia="zh-CN"/>
        </w:rPr>
        <w:t>排放</w:t>
      </w:r>
      <w:r>
        <w:rPr>
          <w:rFonts w:hint="eastAsia" w:ascii="仿宋_GB2312" w:hAnsi="仿宋_GB2312" w:eastAsia="仿宋_GB2312" w:cs="仿宋_GB2312"/>
          <w:sz w:val="32"/>
          <w:szCs w:val="32"/>
          <w:highlight w:val="none"/>
        </w:rPr>
        <w:t>检验机构应当将</w:t>
      </w:r>
      <w:r>
        <w:rPr>
          <w:rFonts w:hint="eastAsia" w:ascii="仿宋_GB2312" w:hAnsi="仿宋_GB2312" w:eastAsia="仿宋_GB2312" w:cs="仿宋_GB2312"/>
          <w:sz w:val="32"/>
          <w:szCs w:val="32"/>
          <w:highlight w:val="none"/>
          <w:lang w:eastAsia="zh-CN"/>
        </w:rPr>
        <w:t>机动车排放</w:t>
      </w:r>
      <w:r>
        <w:rPr>
          <w:rFonts w:hint="eastAsia" w:ascii="仿宋_GB2312" w:hAnsi="仿宋_GB2312" w:eastAsia="仿宋_GB2312" w:cs="仿宋_GB2312"/>
          <w:sz w:val="32"/>
          <w:szCs w:val="32"/>
          <w:highlight w:val="none"/>
        </w:rPr>
        <w:t>检验结果上传到公安</w:t>
      </w:r>
      <w:r>
        <w:rPr>
          <w:rFonts w:hint="eastAsia" w:ascii="仿宋_GB2312" w:hAnsi="仿宋_GB2312" w:eastAsia="仿宋_GB2312" w:cs="仿宋_GB2312"/>
          <w:sz w:val="32"/>
          <w:szCs w:val="32"/>
          <w:highlight w:val="none"/>
          <w:lang w:eastAsia="zh-CN"/>
        </w:rPr>
        <w:t>机关</w:t>
      </w:r>
      <w:r>
        <w:rPr>
          <w:rFonts w:hint="eastAsia" w:ascii="仿宋_GB2312" w:hAnsi="仿宋_GB2312" w:eastAsia="仿宋_GB2312" w:cs="仿宋_GB2312"/>
          <w:sz w:val="32"/>
          <w:szCs w:val="32"/>
          <w:highlight w:val="none"/>
        </w:rPr>
        <w:t>交通管理部门的检验监管系统。未上传</w:t>
      </w:r>
      <w:r>
        <w:rPr>
          <w:rFonts w:hint="eastAsia" w:ascii="仿宋_GB2312" w:hAnsi="仿宋_GB2312" w:eastAsia="仿宋_GB2312" w:cs="仿宋_GB2312"/>
          <w:sz w:val="32"/>
          <w:szCs w:val="32"/>
          <w:highlight w:val="none"/>
          <w:lang w:eastAsia="zh-CN"/>
        </w:rPr>
        <w:t>排放</w:t>
      </w:r>
      <w:r>
        <w:rPr>
          <w:rFonts w:hint="eastAsia" w:ascii="仿宋_GB2312" w:hAnsi="仿宋_GB2312" w:eastAsia="仿宋_GB2312" w:cs="仿宋_GB2312"/>
          <w:sz w:val="32"/>
          <w:szCs w:val="32"/>
          <w:highlight w:val="none"/>
        </w:rPr>
        <w:t>检验结果或者上传的</w:t>
      </w:r>
      <w:r>
        <w:rPr>
          <w:rFonts w:hint="eastAsia" w:ascii="仿宋_GB2312" w:hAnsi="仿宋_GB2312" w:eastAsia="仿宋_GB2312" w:cs="仿宋_GB2312"/>
          <w:sz w:val="32"/>
          <w:szCs w:val="32"/>
          <w:highlight w:val="none"/>
          <w:lang w:eastAsia="zh-CN"/>
        </w:rPr>
        <w:t>排放</w:t>
      </w:r>
      <w:r>
        <w:rPr>
          <w:rFonts w:hint="eastAsia" w:ascii="仿宋_GB2312" w:hAnsi="仿宋_GB2312" w:eastAsia="仿宋_GB2312" w:cs="仿宋_GB2312"/>
          <w:sz w:val="32"/>
          <w:szCs w:val="32"/>
          <w:highlight w:val="none"/>
        </w:rPr>
        <w:t>检验结果不合格的机动车，公安机关交通管理部门不</w:t>
      </w:r>
      <w:r>
        <w:rPr>
          <w:rFonts w:hint="eastAsia" w:ascii="仿宋_GB2312" w:hAnsi="仿宋_GB2312" w:eastAsia="仿宋_GB2312" w:cs="仿宋_GB2312"/>
          <w:sz w:val="32"/>
          <w:szCs w:val="32"/>
          <w:highlight w:val="none"/>
          <w:lang w:eastAsia="zh-CN"/>
        </w:rPr>
        <w:t>得</w:t>
      </w:r>
      <w:r>
        <w:rPr>
          <w:rFonts w:hint="eastAsia" w:ascii="仿宋_GB2312" w:hAnsi="仿宋_GB2312" w:eastAsia="仿宋_GB2312" w:cs="仿宋_GB2312"/>
          <w:sz w:val="32"/>
          <w:szCs w:val="32"/>
          <w:highlight w:val="none"/>
        </w:rPr>
        <w:t>核发安全技术检验合格标志。</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机动车定期排放检验应当与机动车安全技术检验同步进行。</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三十九</w:t>
      </w:r>
      <w:r>
        <w:rPr>
          <w:rFonts w:hint="eastAsia" w:ascii="黑体" w:hAnsi="黑体" w:eastAsia="黑体" w:cs="黑体"/>
          <w:color w:val="000000"/>
          <w:kern w:val="2"/>
          <w:sz w:val="32"/>
          <w:szCs w:val="32"/>
          <w:highlight w:val="none"/>
          <w:lang w:val="en-US" w:eastAsia="zh-CN"/>
        </w:rPr>
        <w:t>条</w:t>
      </w:r>
      <w:r>
        <w:rPr>
          <w:rFonts w:hint="eastAsia" w:ascii="仿宋_GB2312" w:hAnsi="仿宋_GB2312" w:cs="仿宋_GB2312"/>
          <w:color w:val="000000"/>
          <w:kern w:val="2"/>
          <w:sz w:val="32"/>
          <w:szCs w:val="32"/>
          <w:highlight w:val="none"/>
          <w:lang w:val="en-US" w:eastAsia="zh-CN"/>
        </w:rPr>
        <w:t xml:space="preserve">  </w:t>
      </w: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w:t>
      </w:r>
      <w:r>
        <w:rPr>
          <w:rFonts w:hint="eastAsia" w:ascii="仿宋_GB2312" w:hAnsi="仿宋_GB2312" w:eastAsia="仿宋_GB2312" w:cs="仿宋_GB2312"/>
          <w:i w:val="0"/>
          <w:iCs w:val="0"/>
          <w:sz w:val="32"/>
          <w:szCs w:val="32"/>
          <w:highlight w:val="none"/>
          <w:u w:val="none"/>
        </w:rPr>
        <w:t>主管</w:t>
      </w:r>
      <w:r>
        <w:rPr>
          <w:rFonts w:hint="eastAsia" w:ascii="仿宋_GB2312" w:hAnsi="仿宋_GB2312" w:eastAsia="仿宋_GB2312" w:cs="仿宋_GB2312"/>
          <w:sz w:val="32"/>
          <w:szCs w:val="32"/>
          <w:highlight w:val="none"/>
        </w:rPr>
        <w:t>部门</w:t>
      </w:r>
      <w:r>
        <w:rPr>
          <w:rFonts w:hint="eastAsia" w:ascii="仿宋_GB2312" w:hAnsi="仿宋_GB2312" w:eastAsia="仿宋_GB2312" w:cs="仿宋_GB2312"/>
          <w:sz w:val="32"/>
          <w:szCs w:val="32"/>
          <w:highlight w:val="none"/>
          <w:lang w:eastAsia="zh-CN"/>
        </w:rPr>
        <w:t>和市场监督管理主管部门</w:t>
      </w:r>
      <w:r>
        <w:rPr>
          <w:rFonts w:hint="eastAsia" w:ascii="仿宋_GB2312" w:hAnsi="仿宋_GB2312" w:eastAsia="仿宋_GB2312" w:cs="仿宋_GB2312"/>
          <w:sz w:val="32"/>
          <w:szCs w:val="32"/>
          <w:highlight w:val="none"/>
        </w:rPr>
        <w:t>可以通过现场检查排放检验过程、审查原始检验记录或者报告、组织检验能力比对试验以及数据联网核查等方式对机动车排放检验机构进行监督检查</w:t>
      </w:r>
      <w:r>
        <w:rPr>
          <w:rFonts w:hint="eastAsia" w:ascii="仿宋_GB2312" w:hAnsi="仿宋_GB2312" w:eastAsia="仿宋_GB2312" w:cs="仿宋_GB2312"/>
          <w:sz w:val="32"/>
          <w:szCs w:val="32"/>
          <w:highlight w:val="none"/>
          <w:lang w:eastAsia="zh-CN"/>
        </w:rPr>
        <w:t>。市场监督管理主管部门应当建立</w:t>
      </w:r>
      <w:r>
        <w:rPr>
          <w:rFonts w:hint="eastAsia" w:ascii="仿宋_GB2312" w:hAnsi="仿宋_GB2312" w:eastAsia="仿宋_GB2312" w:cs="仿宋_GB2312"/>
          <w:sz w:val="32"/>
          <w:szCs w:val="32"/>
          <w:highlight w:val="none"/>
        </w:rPr>
        <w:t>机动车排放检验机构</w:t>
      </w:r>
      <w:r>
        <w:rPr>
          <w:rFonts w:hint="eastAsia" w:ascii="仿宋_GB2312" w:hAnsi="仿宋_GB2312" w:eastAsia="仿宋_GB2312" w:cs="仿宋_GB2312"/>
          <w:sz w:val="32"/>
          <w:szCs w:val="32"/>
          <w:highlight w:val="none"/>
          <w:lang w:eastAsia="zh-CN"/>
        </w:rPr>
        <w:t>信用记录，并依法向社会公开</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i w:val="0"/>
          <w:caps w:val="0"/>
          <w:color w:val="333333"/>
          <w:spacing w:val="0"/>
          <w:sz w:val="32"/>
          <w:szCs w:val="32"/>
          <w:highlight w:val="none"/>
          <w:shd w:val="clear" w:color="auto" w:fill="FFFFFF"/>
        </w:rPr>
      </w:pPr>
      <w:r>
        <w:rPr>
          <w:rFonts w:hint="eastAsia" w:ascii="黑体" w:hAnsi="黑体" w:eastAsia="黑体" w:cs="黑体"/>
          <w:sz w:val="32"/>
          <w:szCs w:val="32"/>
          <w:highlight w:val="none"/>
          <w:lang w:val="en-US" w:eastAsia="zh-CN"/>
        </w:rPr>
        <w:t xml:space="preserve">第四十条  </w:t>
      </w:r>
      <w:r>
        <w:rPr>
          <w:rFonts w:hint="eastAsia" w:ascii="仿宋_GB2312" w:hAnsi="仿宋_GB2312" w:eastAsia="仿宋_GB2312" w:cs="仿宋_GB2312"/>
          <w:sz w:val="32"/>
          <w:szCs w:val="32"/>
          <w:highlight w:val="none"/>
        </w:rPr>
        <w:t>省人民政府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w:t>
      </w:r>
      <w:r>
        <w:rPr>
          <w:rFonts w:hint="eastAsia" w:ascii="仿宋_GB2312" w:hAnsi="仿宋_GB2312" w:eastAsia="仿宋_GB2312" w:cs="仿宋_GB2312"/>
          <w:i w:val="0"/>
          <w:iCs w:val="0"/>
          <w:sz w:val="32"/>
          <w:szCs w:val="32"/>
          <w:highlight w:val="none"/>
          <w:u w:val="none"/>
        </w:rPr>
        <w:t>主管</w:t>
      </w:r>
      <w:r>
        <w:rPr>
          <w:rFonts w:hint="eastAsia" w:ascii="仿宋_GB2312" w:hAnsi="仿宋_GB2312" w:eastAsia="仿宋_GB2312" w:cs="仿宋_GB2312"/>
          <w:sz w:val="32"/>
          <w:szCs w:val="32"/>
          <w:highlight w:val="none"/>
        </w:rPr>
        <w:t>部门和</w:t>
      </w:r>
      <w:r>
        <w:rPr>
          <w:rFonts w:hint="eastAsia" w:ascii="仿宋_GB2312" w:hAnsi="仿宋_GB2312" w:eastAsia="仿宋_GB2312" w:cs="仿宋_GB2312"/>
          <w:color w:val="000000"/>
          <w:kern w:val="2"/>
          <w:sz w:val="32"/>
          <w:szCs w:val="32"/>
          <w:highlight w:val="none"/>
          <w:lang w:val="en-US" w:eastAsia="zh-CN" w:bidi="ar-SA"/>
        </w:rPr>
        <w:t>市场监督管理主管</w:t>
      </w:r>
      <w:r>
        <w:rPr>
          <w:rFonts w:hint="eastAsia" w:ascii="仿宋_GB2312" w:hAnsi="仿宋_GB2312" w:eastAsia="仿宋_GB2312" w:cs="仿宋_GB2312"/>
          <w:sz w:val="32"/>
          <w:szCs w:val="32"/>
          <w:highlight w:val="none"/>
        </w:rPr>
        <w:t>部门应当根据国家有关规定，选择适合本省实际的在用车排气污染检测方法和排放限值，报省人民政府批准后公布实施。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第四十一条  </w:t>
      </w:r>
      <w:r>
        <w:rPr>
          <w:rFonts w:hint="eastAsia" w:ascii="仿宋_GB2312" w:hAnsi="仿宋_GB2312" w:eastAsia="仿宋_GB2312" w:cs="仿宋_GB2312"/>
          <w:i w:val="0"/>
          <w:iCs w:val="0"/>
          <w:sz w:val="32"/>
          <w:szCs w:val="32"/>
          <w:highlight w:val="none"/>
          <w:u w:val="none"/>
        </w:rPr>
        <w:t>禁止</w:t>
      </w:r>
      <w:r>
        <w:rPr>
          <w:rFonts w:hint="eastAsia" w:ascii="仿宋_GB2312" w:hAnsi="仿宋_GB2312" w:eastAsia="仿宋_GB2312" w:cs="仿宋_GB2312"/>
          <w:color w:val="auto"/>
          <w:sz w:val="32"/>
          <w:szCs w:val="32"/>
          <w:highlight w:val="none"/>
          <w:lang w:eastAsia="zh-CN"/>
        </w:rPr>
        <w:t>排放检验不合格的机动车</w:t>
      </w:r>
      <w:r>
        <w:rPr>
          <w:rFonts w:hint="eastAsia" w:ascii="仿宋_GB2312" w:hAnsi="仿宋_GB2312" w:eastAsia="仿宋_GB2312" w:cs="仿宋_GB2312"/>
          <w:i w:val="0"/>
          <w:iCs w:val="0"/>
          <w:sz w:val="32"/>
          <w:szCs w:val="32"/>
          <w:highlight w:val="none"/>
          <w:u w:val="none"/>
        </w:rPr>
        <w:t>上</w:t>
      </w:r>
      <w:r>
        <w:rPr>
          <w:rFonts w:hint="eastAsia" w:ascii="仿宋_GB2312" w:hAnsi="仿宋_GB2312" w:eastAsia="仿宋_GB2312" w:cs="仿宋_GB2312"/>
          <w:i w:val="0"/>
          <w:iCs w:val="0"/>
          <w:sz w:val="32"/>
          <w:szCs w:val="32"/>
          <w:highlight w:val="none"/>
          <w:u w:val="none"/>
          <w:lang w:eastAsia="zh-CN"/>
        </w:rPr>
        <w:t>道</w:t>
      </w:r>
      <w:r>
        <w:rPr>
          <w:rFonts w:hint="eastAsia" w:ascii="仿宋_GB2312" w:hAnsi="仿宋_GB2312" w:eastAsia="仿宋_GB2312" w:cs="仿宋_GB2312"/>
          <w:i w:val="0"/>
          <w:iCs w:val="0"/>
          <w:sz w:val="32"/>
          <w:szCs w:val="32"/>
          <w:highlight w:val="none"/>
          <w:u w:val="none"/>
        </w:rPr>
        <w:t>路行驶。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在不影响正常通行的情况下，</w:t>
      </w:r>
      <w:r>
        <w:rPr>
          <w:rFonts w:hint="eastAsia" w:ascii="仿宋_GB2312" w:hAnsi="仿宋_GB2312" w:eastAsia="仿宋_GB2312" w:cs="仿宋_GB2312"/>
          <w:color w:val="auto"/>
          <w:sz w:val="32"/>
          <w:szCs w:val="32"/>
          <w:highlight w:val="none"/>
        </w:rPr>
        <w:t>县级以上人民政府</w:t>
      </w:r>
      <w:r>
        <w:rPr>
          <w:rFonts w:hint="eastAsia" w:ascii="仿宋_GB2312" w:hAnsi="仿宋_GB2312" w:eastAsia="仿宋_GB2312" w:cs="仿宋_GB2312"/>
          <w:color w:val="auto"/>
          <w:sz w:val="32"/>
          <w:szCs w:val="32"/>
          <w:highlight w:val="none"/>
          <w:lang w:eastAsia="zh-CN"/>
        </w:rPr>
        <w:t>生态</w:t>
      </w:r>
      <w:r>
        <w:rPr>
          <w:rFonts w:hint="eastAsia" w:ascii="仿宋_GB2312" w:hAnsi="仿宋_GB2312" w:eastAsia="仿宋_GB2312" w:cs="仿宋_GB2312"/>
          <w:color w:val="auto"/>
          <w:sz w:val="32"/>
          <w:szCs w:val="32"/>
          <w:highlight w:val="none"/>
        </w:rPr>
        <w:t>环境主管部门</w:t>
      </w:r>
      <w:r>
        <w:rPr>
          <w:rFonts w:hint="eastAsia" w:ascii="仿宋_GB2312" w:hAnsi="仿宋_GB2312" w:eastAsia="仿宋_GB2312" w:cs="仿宋_GB2312"/>
          <w:color w:val="000000"/>
          <w:kern w:val="2"/>
          <w:sz w:val="32"/>
          <w:szCs w:val="32"/>
          <w:highlight w:val="none"/>
          <w:lang w:val="en-US" w:eastAsia="zh-CN"/>
        </w:rPr>
        <w:t>及其环境执法机构</w:t>
      </w:r>
      <w:r>
        <w:rPr>
          <w:rFonts w:hint="eastAsia" w:ascii="仿宋_GB2312" w:hAnsi="仿宋_GB2312" w:eastAsia="仿宋_GB2312" w:cs="仿宋_GB2312"/>
          <w:color w:val="auto"/>
          <w:sz w:val="32"/>
          <w:szCs w:val="32"/>
          <w:highlight w:val="none"/>
        </w:rPr>
        <w:t>会同公安机关交通管理部门可以采取现场检查监测、</w:t>
      </w:r>
      <w:r>
        <w:rPr>
          <w:rFonts w:hint="eastAsia" w:ascii="仿宋_GB2312" w:hAnsi="仿宋_GB2312" w:eastAsia="仿宋_GB2312" w:cs="仿宋_GB2312"/>
          <w:sz w:val="32"/>
          <w:szCs w:val="32"/>
          <w:highlight w:val="none"/>
        </w:rPr>
        <w:t>电子监控、摄像拍照、自动监测、遥感监测、远红外摄像等方式，对在道路上行驶的机动车大气污染物排放状况进行监督检查。</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color w:val="auto"/>
          <w:sz w:val="32"/>
          <w:szCs w:val="32"/>
          <w:highlight w:val="none"/>
          <w:lang w:eastAsia="zh-CN"/>
        </w:rPr>
        <w:t>生态</w:t>
      </w:r>
      <w:r>
        <w:rPr>
          <w:rFonts w:hint="eastAsia" w:ascii="仿宋_GB2312" w:hAnsi="仿宋_GB2312" w:eastAsia="仿宋_GB2312" w:cs="仿宋_GB2312"/>
          <w:sz w:val="32"/>
          <w:szCs w:val="32"/>
          <w:highlight w:val="none"/>
        </w:rPr>
        <w:t>环境主管部门可以在机动车集中停放地、维修地对在用机动车的大气污染物排放状况进行监督抽测。</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第四十二条  </w:t>
      </w:r>
      <w:r>
        <w:rPr>
          <w:rFonts w:hint="eastAsia" w:ascii="仿宋_GB2312" w:hAnsi="仿宋_GB2312" w:eastAsia="仿宋_GB2312" w:cs="仿宋_GB2312"/>
          <w:sz w:val="32"/>
          <w:szCs w:val="32"/>
          <w:highlight w:val="none"/>
        </w:rPr>
        <w:t>在用机动车所有</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或者使用</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应当保持</w:t>
      </w:r>
      <w:r>
        <w:rPr>
          <w:rFonts w:hint="eastAsia" w:ascii="仿宋_GB2312" w:hAnsi="仿宋_GB2312" w:eastAsia="仿宋_GB2312" w:cs="仿宋_GB2312"/>
          <w:sz w:val="32"/>
          <w:szCs w:val="32"/>
          <w:highlight w:val="none"/>
          <w:lang w:eastAsia="zh-CN"/>
        </w:rPr>
        <w:t>污染控制</w:t>
      </w:r>
      <w:r>
        <w:rPr>
          <w:rFonts w:hint="eastAsia" w:ascii="仿宋_GB2312" w:hAnsi="仿宋_GB2312" w:eastAsia="仿宋_GB2312" w:cs="仿宋_GB2312"/>
          <w:sz w:val="32"/>
          <w:szCs w:val="32"/>
          <w:highlight w:val="none"/>
        </w:rPr>
        <w:t>装置正常使用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不得擅自拆除、闲置或者更改</w:t>
      </w:r>
      <w:r>
        <w:rPr>
          <w:rFonts w:hint="eastAsia" w:ascii="仿宋_GB2312" w:hAnsi="仿宋_GB2312" w:eastAsia="仿宋_GB2312" w:cs="仿宋_GB2312"/>
          <w:sz w:val="32"/>
          <w:szCs w:val="32"/>
          <w:highlight w:val="none"/>
          <w:lang w:eastAsia="zh-CN"/>
        </w:rPr>
        <w:t>污染</w:t>
      </w:r>
      <w:r>
        <w:rPr>
          <w:rFonts w:hint="eastAsia" w:ascii="仿宋_GB2312" w:hAnsi="仿宋_GB2312" w:eastAsia="仿宋_GB2312" w:cs="仿宋_GB2312"/>
          <w:sz w:val="32"/>
          <w:szCs w:val="32"/>
          <w:highlight w:val="none"/>
        </w:rPr>
        <w:t>控制装置。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车载排放诊断系统报警的，机动车所有</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或者使用</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应当及时</w:t>
      </w:r>
      <w:r>
        <w:rPr>
          <w:rFonts w:hint="eastAsia" w:ascii="仿宋_GB2312" w:hAnsi="仿宋_GB2312" w:eastAsia="仿宋_GB2312" w:cs="仿宋_GB2312"/>
          <w:sz w:val="32"/>
          <w:szCs w:val="32"/>
          <w:highlight w:val="none"/>
          <w:lang w:eastAsia="zh-CN"/>
        </w:rPr>
        <w:t>送检；经检验不合格的，应当及时维</w:t>
      </w:r>
      <w:r>
        <w:rPr>
          <w:rFonts w:hint="eastAsia" w:ascii="仿宋_GB2312" w:hAnsi="仿宋_GB2312" w:eastAsia="仿宋_GB2312" w:cs="仿宋_GB2312"/>
          <w:sz w:val="32"/>
          <w:szCs w:val="32"/>
          <w:highlight w:val="none"/>
        </w:rPr>
        <w:t>修、更换，确保车辆达到排放标准。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需要添加车用尿素等氮氧化物还原剂的在用柴油车，其所有</w:t>
      </w:r>
      <w:r>
        <w:rPr>
          <w:rFonts w:hint="eastAsia" w:ascii="仿宋_GB2312" w:hAnsi="仿宋_GB2312" w:eastAsia="仿宋_GB2312" w:cs="仿宋_GB2312"/>
          <w:sz w:val="32"/>
          <w:szCs w:val="32"/>
          <w:highlight w:val="none"/>
          <w:lang w:eastAsia="zh-CN"/>
        </w:rPr>
        <w:t>人或者</w:t>
      </w:r>
      <w:r>
        <w:rPr>
          <w:rFonts w:hint="eastAsia" w:ascii="仿宋_GB2312" w:hAnsi="仿宋_GB2312" w:eastAsia="仿宋_GB2312" w:cs="仿宋_GB2312"/>
          <w:sz w:val="32"/>
          <w:szCs w:val="32"/>
          <w:highlight w:val="none"/>
        </w:rPr>
        <w:t>使用</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应当按照规范要求添加。</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color="auto"/>
        </w:rPr>
      </w:pPr>
      <w:r>
        <w:rPr>
          <w:rFonts w:hint="eastAsia" w:ascii="黑体" w:hAnsi="黑体" w:eastAsia="黑体" w:cs="黑体"/>
          <w:color w:val="000000"/>
          <w:kern w:val="2"/>
          <w:sz w:val="32"/>
          <w:szCs w:val="32"/>
          <w:highlight w:val="none"/>
          <w:lang w:val="en-US" w:eastAsia="zh-CN"/>
        </w:rPr>
        <w:t xml:space="preserve">第四十三条  </w:t>
      </w:r>
      <w:r>
        <w:rPr>
          <w:rFonts w:hint="eastAsia" w:ascii="仿宋_GB2312" w:hAnsi="仿宋_GB2312" w:eastAsia="仿宋_GB2312" w:cs="仿宋_GB2312"/>
          <w:color w:val="000000"/>
          <w:kern w:val="2"/>
          <w:sz w:val="32"/>
          <w:szCs w:val="32"/>
          <w:highlight w:val="none"/>
          <w:lang w:val="en-US" w:eastAsia="zh-CN"/>
        </w:rPr>
        <w:t>县级以上人民政府</w:t>
      </w:r>
      <w:r>
        <w:rPr>
          <w:rFonts w:hint="eastAsia" w:ascii="仿宋_GB2312" w:hAnsi="仿宋_GB2312" w:eastAsia="仿宋_GB2312" w:cs="仿宋_GB2312"/>
          <w:sz w:val="32"/>
          <w:szCs w:val="32"/>
          <w:highlight w:val="none"/>
        </w:rPr>
        <w:t>交通运输主管部门应当将机动车排放检验纳入机动车维修</w:t>
      </w:r>
      <w:r>
        <w:rPr>
          <w:rFonts w:hint="eastAsia" w:ascii="仿宋_GB2312" w:hAnsi="仿宋_GB2312" w:eastAsia="仿宋_GB2312" w:cs="仿宋_GB2312"/>
          <w:i w:val="0"/>
          <w:iCs w:val="0"/>
          <w:sz w:val="32"/>
          <w:szCs w:val="32"/>
          <w:highlight w:val="none"/>
          <w:u w:val="none" w:color="auto"/>
        </w:rPr>
        <w:t>、车辆营运的监督管理内容。</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机动车维修机构对机动车实施</w:t>
      </w:r>
      <w:r>
        <w:rPr>
          <w:rFonts w:hint="eastAsia" w:ascii="仿宋_GB2312" w:hAnsi="仿宋_GB2312" w:eastAsia="仿宋_GB2312" w:cs="仿宋_GB2312"/>
          <w:i w:val="0"/>
          <w:iCs w:val="0"/>
          <w:sz w:val="32"/>
          <w:szCs w:val="32"/>
          <w:highlight w:val="none"/>
          <w:u w:val="none"/>
        </w:rPr>
        <w:t>与</w:t>
      </w:r>
      <w:r>
        <w:rPr>
          <w:rFonts w:hint="eastAsia" w:ascii="仿宋_GB2312" w:hAnsi="仿宋_GB2312" w:eastAsia="仿宋_GB2312" w:cs="仿宋_GB2312"/>
          <w:sz w:val="32"/>
          <w:szCs w:val="32"/>
          <w:highlight w:val="none"/>
        </w:rPr>
        <w:t>排气有关的维修后，应当进行出厂自检或者委托检测，符合规定排放标准后方可出厂，并保存相关的维修档案。</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w:t>
      </w:r>
      <w:r>
        <w:rPr>
          <w:rFonts w:hint="eastAsia" w:ascii="仿宋_GB2312" w:hAnsi="仿宋_GB2312" w:eastAsia="仿宋_GB2312" w:cs="仿宋_GB2312"/>
          <w:color w:val="000000"/>
          <w:kern w:val="2"/>
          <w:sz w:val="32"/>
          <w:szCs w:val="32"/>
          <w:highlight w:val="none"/>
          <w:lang w:val="en-US" w:eastAsia="zh-CN"/>
        </w:rPr>
        <w:t>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i w:val="0"/>
          <w:iCs w:val="0"/>
          <w:sz w:val="32"/>
          <w:szCs w:val="32"/>
          <w:highlight w:val="none"/>
          <w:u w:val="none"/>
        </w:rPr>
        <w:t>可以</w:t>
      </w:r>
      <w:r>
        <w:rPr>
          <w:rFonts w:hint="eastAsia" w:ascii="仿宋_GB2312" w:hAnsi="仿宋_GB2312" w:eastAsia="仿宋_GB2312" w:cs="仿宋_GB2312"/>
          <w:sz w:val="32"/>
          <w:szCs w:val="32"/>
          <w:highlight w:val="none"/>
        </w:rPr>
        <w:t>对依照前款规定进行维修后待出厂的机动车进行排气污染抽检。</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第四十四条  </w:t>
      </w:r>
      <w:r>
        <w:rPr>
          <w:rFonts w:hint="eastAsia" w:ascii="仿宋_GB2312" w:hAnsi="仿宋_GB2312" w:eastAsia="仿宋_GB2312" w:cs="仿宋_GB2312"/>
          <w:sz w:val="32"/>
          <w:szCs w:val="32"/>
          <w:highlight w:val="none"/>
        </w:rPr>
        <w:t>地级以上市人民政府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环境主管部门、公安机关交通管理部门、交通运输主管部门应当共享机动车相关的监管数据。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楷体_GB2312" w:hAnsi="楷体_GB2312" w:eastAsia="楷体_GB2312" w:cs="楷体_GB2312"/>
          <w:b w:val="0"/>
          <w:bCs w:val="0"/>
          <w:sz w:val="32"/>
          <w:szCs w:val="32"/>
          <w:highlight w:val="none"/>
          <w:lang w:eastAsia="zh-CN"/>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第二节</w:t>
      </w:r>
      <w:r>
        <w:rPr>
          <w:rFonts w:hint="eastAsia" w:ascii="黑体" w:hAnsi="黑体" w:eastAsia="黑体" w:cs="黑体"/>
          <w:b w:val="0"/>
          <w:bCs w:val="0"/>
          <w:sz w:val="32"/>
          <w:szCs w:val="32"/>
          <w:highlight w:val="none"/>
          <w:lang w:val="en-US" w:eastAsia="zh-CN"/>
        </w:rPr>
        <w:t xml:space="preserve">  </w:t>
      </w:r>
      <w:r>
        <w:rPr>
          <w:rFonts w:hint="eastAsia" w:ascii="黑体" w:hAnsi="黑体" w:eastAsia="黑体" w:cs="黑体"/>
          <w:b w:val="0"/>
          <w:bCs w:val="0"/>
          <w:sz w:val="32"/>
          <w:szCs w:val="32"/>
          <w:highlight w:val="none"/>
        </w:rPr>
        <w:t>非道路移动机械</w:t>
      </w:r>
      <w:r>
        <w:rPr>
          <w:rFonts w:hint="eastAsia" w:ascii="黑体" w:hAnsi="黑体" w:eastAsia="黑体" w:cs="黑体"/>
          <w:b w:val="0"/>
          <w:bCs w:val="0"/>
          <w:sz w:val="32"/>
          <w:szCs w:val="32"/>
          <w:highlight w:val="none"/>
          <w:lang w:eastAsia="zh-CN"/>
        </w:rPr>
        <w:t>污染</w:t>
      </w:r>
      <w:r>
        <w:rPr>
          <w:rFonts w:hint="eastAsia" w:ascii="黑体" w:hAnsi="黑体" w:eastAsia="黑体" w:cs="黑体"/>
          <w:b w:val="0"/>
          <w:bCs w:val="0"/>
          <w:sz w:val="32"/>
          <w:szCs w:val="32"/>
          <w:highlight w:val="none"/>
        </w:rPr>
        <w:t>和船舶污染防治</w:t>
      </w: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b w:val="0"/>
          <w:bCs w:val="0"/>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第四十五条  </w:t>
      </w:r>
      <w:r>
        <w:rPr>
          <w:rFonts w:hint="eastAsia" w:ascii="仿宋_GB2312" w:hAnsi="仿宋_GB2312" w:eastAsia="仿宋_GB2312" w:cs="仿宋_GB2312"/>
          <w:sz w:val="32"/>
          <w:szCs w:val="32"/>
          <w:highlight w:val="none"/>
        </w:rPr>
        <w:t>本省销售的非道路移动机械应当符合现行执行的国家非道路移动机械大气污染物排放标准</w:t>
      </w:r>
      <w:r>
        <w:rPr>
          <w:rFonts w:hint="eastAsia" w:ascii="仿宋_GB2312" w:hAnsi="仿宋_GB2312" w:eastAsia="仿宋_GB2312" w:cs="仿宋_GB2312"/>
          <w:sz w:val="32"/>
          <w:szCs w:val="32"/>
          <w:highlight w:val="none"/>
          <w:lang w:eastAsia="zh-CN"/>
        </w:rPr>
        <w:t>中相应阶段排放限值</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在本省使用的非道路移动机械不得超过标准排放大气污染物，不得排放黑烟等可视污染物。</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城市</w:t>
      </w:r>
      <w:r>
        <w:rPr>
          <w:rFonts w:hint="eastAsia" w:ascii="仿宋_GB2312" w:hAnsi="仿宋_GB2312" w:eastAsia="仿宋_GB2312" w:cs="仿宋_GB2312"/>
          <w:sz w:val="32"/>
          <w:szCs w:val="32"/>
          <w:highlight w:val="none"/>
        </w:rPr>
        <w:t>人民政府可以根据</w:t>
      </w:r>
      <w:r>
        <w:rPr>
          <w:rFonts w:hint="eastAsia" w:ascii="仿宋_GB2312" w:hAnsi="仿宋_GB2312" w:eastAsia="仿宋_GB2312" w:cs="仿宋_GB2312"/>
          <w:i w:val="0"/>
          <w:iCs w:val="0"/>
          <w:sz w:val="32"/>
          <w:szCs w:val="32"/>
          <w:highlight w:val="none"/>
          <w:u w:val="none"/>
        </w:rPr>
        <w:t>大气</w:t>
      </w:r>
      <w:r>
        <w:rPr>
          <w:rFonts w:hint="eastAsia" w:ascii="仿宋_GB2312" w:hAnsi="仿宋_GB2312" w:eastAsia="仿宋_GB2312" w:cs="仿宋_GB2312"/>
          <w:sz w:val="32"/>
          <w:szCs w:val="32"/>
          <w:highlight w:val="none"/>
          <w:lang w:val="en-US" w:eastAsia="zh-CN"/>
        </w:rPr>
        <w:t>污染防治需要，</w:t>
      </w:r>
      <w:r>
        <w:rPr>
          <w:rFonts w:hint="eastAsia" w:ascii="仿宋_GB2312" w:hAnsi="仿宋_GB2312" w:eastAsia="仿宋_GB2312" w:cs="仿宋_GB2312"/>
          <w:sz w:val="32"/>
          <w:szCs w:val="32"/>
          <w:highlight w:val="none"/>
        </w:rPr>
        <w:t>划定</w:t>
      </w:r>
      <w:r>
        <w:rPr>
          <w:rFonts w:hint="eastAsia" w:ascii="仿宋_GB2312" w:hAnsi="仿宋_GB2312" w:eastAsia="仿宋_GB2312" w:cs="仿宋_GB2312"/>
          <w:sz w:val="32"/>
          <w:szCs w:val="32"/>
          <w:highlight w:val="none"/>
          <w:lang w:val="en-US" w:eastAsia="zh-CN"/>
        </w:rPr>
        <w:t>并公布</w:t>
      </w:r>
      <w:r>
        <w:rPr>
          <w:rFonts w:hint="eastAsia" w:ascii="仿宋_GB2312" w:hAnsi="仿宋_GB2312" w:eastAsia="仿宋_GB2312" w:cs="仿宋_GB2312"/>
          <w:sz w:val="32"/>
          <w:szCs w:val="32"/>
          <w:highlight w:val="none"/>
        </w:rPr>
        <w:t>禁止使用高排放非道路移动机械区</w:t>
      </w:r>
      <w:r>
        <w:rPr>
          <w:rFonts w:hint="eastAsia" w:ascii="仿宋_GB2312" w:hAnsi="仿宋_GB2312" w:eastAsia="仿宋_GB2312" w:cs="仿宋_GB2312"/>
          <w:sz w:val="32"/>
          <w:szCs w:val="32"/>
          <w:highlight w:val="none"/>
          <w:lang w:val="en-US" w:eastAsia="zh-CN"/>
        </w:rPr>
        <w:t>域</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高排放</w:t>
      </w:r>
      <w:r>
        <w:rPr>
          <w:rFonts w:hint="eastAsia" w:ascii="仿宋_GB2312" w:hAnsi="仿宋_GB2312" w:eastAsia="仿宋_GB2312" w:cs="仿宋_GB2312"/>
          <w:sz w:val="32"/>
          <w:szCs w:val="32"/>
          <w:highlight w:val="none"/>
          <w:lang w:eastAsia="zh-CN"/>
        </w:rPr>
        <w:t>非道路</w:t>
      </w:r>
      <w:r>
        <w:rPr>
          <w:rFonts w:hint="eastAsia" w:ascii="仿宋_GB2312" w:hAnsi="仿宋_GB2312" w:eastAsia="仿宋_GB2312" w:cs="仿宋_GB2312"/>
          <w:sz w:val="32"/>
          <w:szCs w:val="32"/>
          <w:highlight w:val="none"/>
        </w:rPr>
        <w:t>移动机械</w:t>
      </w:r>
      <w:r>
        <w:rPr>
          <w:rFonts w:hint="eastAsia" w:ascii="仿宋_GB2312" w:hAnsi="仿宋_GB2312" w:eastAsia="仿宋_GB2312" w:cs="仿宋_GB2312"/>
          <w:sz w:val="32"/>
          <w:szCs w:val="32"/>
          <w:highlight w:val="none"/>
          <w:lang w:val="en-US" w:eastAsia="zh-CN"/>
        </w:rPr>
        <w:t>的认定标准</w:t>
      </w:r>
      <w:r>
        <w:rPr>
          <w:rFonts w:hint="eastAsia" w:ascii="仿宋_GB2312" w:hAnsi="仿宋_GB2312" w:eastAsia="仿宋_GB2312" w:cs="仿宋_GB2312"/>
          <w:sz w:val="32"/>
          <w:szCs w:val="32"/>
          <w:highlight w:val="none"/>
        </w:rPr>
        <w:t>由省人民政府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sz w:val="32"/>
          <w:szCs w:val="32"/>
          <w:highlight w:val="none"/>
          <w:lang w:val="en-US" w:eastAsia="zh-CN"/>
        </w:rPr>
        <w:t>制定</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2"/>
          <w:sz w:val="32"/>
          <w:szCs w:val="32"/>
          <w:highlight w:val="none"/>
          <w:lang w:val="en-US" w:eastAsia="zh-CN"/>
        </w:rPr>
      </w:pPr>
      <w:r>
        <w:rPr>
          <w:rFonts w:hint="eastAsia" w:ascii="黑体" w:hAnsi="黑体" w:eastAsia="黑体" w:cs="黑体"/>
          <w:color w:val="000000"/>
          <w:kern w:val="2"/>
          <w:sz w:val="32"/>
          <w:szCs w:val="32"/>
          <w:highlight w:val="none"/>
          <w:lang w:val="en-US" w:eastAsia="zh-CN"/>
        </w:rPr>
        <w:t xml:space="preserve">第四十六条  </w:t>
      </w:r>
      <w:r>
        <w:rPr>
          <w:rFonts w:hint="eastAsia" w:ascii="仿宋_GB2312" w:hAnsi="仿宋_GB2312" w:eastAsia="仿宋_GB2312" w:cs="仿宋_GB2312"/>
          <w:color w:val="000000"/>
          <w:kern w:val="2"/>
          <w:sz w:val="32"/>
          <w:szCs w:val="32"/>
          <w:highlight w:val="none"/>
          <w:lang w:val="en-US" w:eastAsia="zh-CN"/>
        </w:rPr>
        <w:t>非道路移动机械所有人或者使用人应当按照规范对在用非道路移动机械进行维护检修</w:t>
      </w:r>
      <w:r>
        <w:rPr>
          <w:rFonts w:hint="eastAsia" w:ascii="仿宋_GB2312" w:hAnsi="仿宋_GB2312" w:eastAsia="仿宋_GB2312" w:cs="仿宋_GB2312"/>
          <w:i w:val="0"/>
          <w:iCs w:val="0"/>
          <w:color w:val="000000"/>
          <w:kern w:val="2"/>
          <w:sz w:val="32"/>
          <w:szCs w:val="32"/>
          <w:highlight w:val="none"/>
          <w:u w:val="none"/>
          <w:lang w:val="en-US" w:eastAsia="zh-CN"/>
        </w:rPr>
        <w:t>。</w:t>
      </w:r>
      <w:r>
        <w:rPr>
          <w:rFonts w:hint="eastAsia" w:ascii="仿宋_GB2312" w:hAnsi="仿宋_GB2312" w:eastAsia="仿宋_GB2312" w:cs="仿宋_GB2312"/>
          <w:color w:val="000000"/>
          <w:kern w:val="2"/>
          <w:sz w:val="32"/>
          <w:szCs w:val="32"/>
          <w:highlight w:val="none"/>
          <w:lang w:val="en-US" w:eastAsia="zh-CN"/>
        </w:rPr>
        <w:t>对超过标准排放大气污染物的，应当维修、加装或者更换符合要求的</w:t>
      </w:r>
      <w:r>
        <w:rPr>
          <w:rFonts w:hint="eastAsia" w:ascii="仿宋_GB2312" w:hAnsi="仿宋_GB2312" w:eastAsia="仿宋_GB2312" w:cs="仿宋_GB2312"/>
          <w:i w:val="0"/>
          <w:iCs w:val="0"/>
          <w:color w:val="000000"/>
          <w:kern w:val="2"/>
          <w:sz w:val="32"/>
          <w:szCs w:val="32"/>
          <w:highlight w:val="none"/>
          <w:u w:val="none"/>
          <w:lang w:val="en-US" w:eastAsia="zh-CN"/>
        </w:rPr>
        <w:t>污染</w:t>
      </w:r>
      <w:r>
        <w:rPr>
          <w:rFonts w:hint="eastAsia" w:ascii="仿宋_GB2312" w:hAnsi="仿宋_GB2312" w:eastAsia="仿宋_GB2312" w:cs="仿宋_GB2312"/>
          <w:color w:val="000000"/>
          <w:kern w:val="2"/>
          <w:sz w:val="32"/>
          <w:szCs w:val="32"/>
          <w:highlight w:val="none"/>
          <w:lang w:val="en-US" w:eastAsia="zh-CN"/>
        </w:rPr>
        <w:t>控制装置，使其达到规定的排放标准。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在用非道路移动机械经维修或者采用</w:t>
      </w:r>
      <w:r>
        <w:rPr>
          <w:rFonts w:hint="eastAsia" w:ascii="仿宋_GB2312" w:hAnsi="仿宋_GB2312" w:eastAsia="仿宋_GB2312" w:cs="仿宋_GB2312"/>
          <w:i w:val="0"/>
          <w:iCs w:val="0"/>
          <w:sz w:val="32"/>
          <w:szCs w:val="32"/>
          <w:highlight w:val="none"/>
          <w:u w:val="none"/>
        </w:rPr>
        <w:t>污染</w:t>
      </w:r>
      <w:r>
        <w:rPr>
          <w:rFonts w:hint="eastAsia" w:ascii="仿宋_GB2312" w:hAnsi="仿宋_GB2312" w:eastAsia="仿宋_GB2312" w:cs="仿宋_GB2312"/>
          <w:sz w:val="32"/>
          <w:szCs w:val="32"/>
          <w:highlight w:val="none"/>
        </w:rPr>
        <w:t>控制技术后，大气污染物排放仍不符合国家排放标准的，不得使用。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四十七</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非道路移动机械所有</w:t>
      </w:r>
      <w:r>
        <w:rPr>
          <w:rFonts w:hint="eastAsia" w:ascii="仿宋_GB2312" w:hAnsi="仿宋_GB2312" w:eastAsia="仿宋_GB2312" w:cs="仿宋_GB2312"/>
          <w:color w:val="000000"/>
          <w:kern w:val="2"/>
          <w:sz w:val="32"/>
          <w:szCs w:val="32"/>
          <w:highlight w:val="none"/>
          <w:lang w:val="en-US" w:eastAsia="zh-CN"/>
        </w:rPr>
        <w:t>人</w:t>
      </w:r>
      <w:r>
        <w:rPr>
          <w:rFonts w:hint="eastAsia" w:ascii="仿宋_GB2312" w:hAnsi="仿宋_GB2312" w:eastAsia="仿宋_GB2312" w:cs="仿宋_GB2312"/>
          <w:sz w:val="32"/>
          <w:szCs w:val="32"/>
          <w:highlight w:val="none"/>
        </w:rPr>
        <w:t>或者使用</w:t>
      </w:r>
      <w:r>
        <w:rPr>
          <w:rFonts w:hint="eastAsia" w:ascii="仿宋_GB2312" w:hAnsi="仿宋_GB2312" w:eastAsia="仿宋_GB2312" w:cs="仿宋_GB2312"/>
          <w:color w:val="000000"/>
          <w:kern w:val="2"/>
          <w:sz w:val="32"/>
          <w:szCs w:val="32"/>
          <w:highlight w:val="none"/>
          <w:lang w:val="en-US" w:eastAsia="zh-CN"/>
        </w:rPr>
        <w:t>人</w:t>
      </w:r>
      <w:r>
        <w:rPr>
          <w:rFonts w:hint="eastAsia" w:ascii="仿宋_GB2312" w:hAnsi="仿宋_GB2312" w:eastAsia="仿宋_GB2312" w:cs="仿宋_GB2312"/>
          <w:sz w:val="32"/>
          <w:szCs w:val="32"/>
          <w:highlight w:val="none"/>
        </w:rPr>
        <w:t>在进场施工时，应当建立非道路移动机械使用台账。</w:t>
      </w:r>
    </w:p>
    <w:p>
      <w:pPr>
        <w:widowControl w:val="0"/>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住房城乡建设、交通运输、农业</w:t>
      </w:r>
      <w:r>
        <w:rPr>
          <w:rFonts w:hint="eastAsia" w:ascii="仿宋_GB2312" w:hAnsi="仿宋_GB2312" w:eastAsia="仿宋_GB2312" w:cs="仿宋_GB2312"/>
          <w:sz w:val="32"/>
          <w:szCs w:val="32"/>
          <w:highlight w:val="none"/>
          <w:lang w:eastAsia="zh-CN"/>
        </w:rPr>
        <w:t>农村</w:t>
      </w:r>
      <w:r>
        <w:rPr>
          <w:rFonts w:hint="eastAsia" w:ascii="仿宋_GB2312" w:hAnsi="仿宋_GB2312" w:eastAsia="仿宋_GB2312" w:cs="仿宋_GB2312"/>
          <w:sz w:val="32"/>
          <w:szCs w:val="32"/>
          <w:highlight w:val="none"/>
        </w:rPr>
        <w:t>、水行政等有关部门</w:t>
      </w:r>
      <w:r>
        <w:rPr>
          <w:rFonts w:hint="eastAsia" w:ascii="仿宋_GB2312" w:hAnsi="仿宋_GB2312" w:eastAsia="仿宋_GB2312" w:cs="仿宋_GB2312"/>
          <w:i w:val="0"/>
          <w:iCs w:val="0"/>
          <w:sz w:val="32"/>
          <w:szCs w:val="32"/>
          <w:highlight w:val="none"/>
          <w:u w:val="none" w:color="auto"/>
        </w:rPr>
        <w:t>应当</w:t>
      </w:r>
      <w:r>
        <w:rPr>
          <w:rFonts w:hint="eastAsia" w:ascii="仿宋_GB2312" w:hAnsi="仿宋_GB2312" w:eastAsia="仿宋_GB2312" w:cs="仿宋_GB2312"/>
          <w:i w:val="0"/>
          <w:iCs w:val="0"/>
          <w:sz w:val="32"/>
          <w:szCs w:val="32"/>
          <w:highlight w:val="none"/>
          <w:u w:val="none"/>
        </w:rPr>
        <w:t>督促</w:t>
      </w:r>
      <w:r>
        <w:rPr>
          <w:rFonts w:hint="eastAsia" w:ascii="仿宋_GB2312" w:hAnsi="仿宋_GB2312" w:eastAsia="仿宋_GB2312" w:cs="仿宋_GB2312"/>
          <w:sz w:val="32"/>
          <w:szCs w:val="32"/>
          <w:highlight w:val="none"/>
        </w:rPr>
        <w:t>建设单位使用符合排放标准的非道路移动机械。</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 xml:space="preserve">    </w:t>
      </w: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四十八</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禁止船舶在内河水域使用焚烧炉或者焚烧船舶垃圾。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禁止载运危险货物船舶在城市市区航道、通航密集区、渡区、船闸、大型桥梁、水下通道等内河水域进行舱室驱气或者熏舱作业。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rPr>
      </w:pPr>
      <w:r>
        <w:rPr>
          <w:rFonts w:hint="eastAsia" w:ascii="仿宋_GB2312" w:hAnsi="仿宋_GB2312" w:eastAsia="仿宋_GB2312" w:cs="仿宋_GB2312"/>
          <w:i w:val="0"/>
          <w:iCs w:val="0"/>
          <w:sz w:val="32"/>
          <w:szCs w:val="32"/>
          <w:highlight w:val="none"/>
          <w:u w:val="none"/>
        </w:rPr>
        <w:t>船舶在海港港区内使用焚烧炉、进行驱气等作业应当按照国家有关规定</w:t>
      </w:r>
      <w:r>
        <w:rPr>
          <w:rFonts w:hint="eastAsia" w:ascii="仿宋_GB2312" w:hAnsi="仿宋_GB2312" w:eastAsia="仿宋_GB2312" w:cs="仿宋_GB2312"/>
          <w:i w:val="0"/>
          <w:iCs w:val="0"/>
          <w:sz w:val="32"/>
          <w:szCs w:val="32"/>
          <w:highlight w:val="none"/>
          <w:u w:val="none"/>
          <w:lang w:eastAsia="zh-CN"/>
        </w:rPr>
        <w:t>向</w:t>
      </w:r>
      <w:r>
        <w:rPr>
          <w:rFonts w:hint="eastAsia" w:ascii="仿宋_GB2312" w:hAnsi="仿宋_GB2312" w:eastAsia="仿宋_GB2312" w:cs="仿宋_GB2312"/>
          <w:i w:val="0"/>
          <w:iCs w:val="0"/>
          <w:sz w:val="32"/>
          <w:szCs w:val="32"/>
          <w:highlight w:val="none"/>
          <w:u w:val="none"/>
          <w:lang w:val="en-US" w:eastAsia="zh-CN"/>
        </w:rPr>
        <w:t>海事管理机构报告</w:t>
      </w:r>
      <w:r>
        <w:rPr>
          <w:rFonts w:hint="eastAsia" w:ascii="仿宋_GB2312" w:hAnsi="仿宋_GB2312" w:eastAsia="仿宋_GB2312" w:cs="仿宋_GB2312"/>
          <w:i w:val="0"/>
          <w:iCs w:val="0"/>
          <w:sz w:val="32"/>
          <w:szCs w:val="32"/>
          <w:highlight w:val="none"/>
          <w:u w:val="none"/>
        </w:rPr>
        <w:t>并如实记录。</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船舶在发现海上大气污染事故或者违反本</w:t>
      </w:r>
      <w:r>
        <w:rPr>
          <w:rFonts w:hint="eastAsia" w:ascii="仿宋_GB2312" w:hAnsi="仿宋_GB2312" w:eastAsia="仿宋_GB2312" w:cs="仿宋_GB2312"/>
          <w:i w:val="0"/>
          <w:iCs w:val="0"/>
          <w:sz w:val="32"/>
          <w:szCs w:val="32"/>
          <w:highlight w:val="none"/>
          <w:u w:val="none"/>
          <w:lang w:val="en-US" w:eastAsia="zh-CN"/>
        </w:rPr>
        <w:t>条例</w:t>
      </w:r>
      <w:r>
        <w:rPr>
          <w:rFonts w:hint="eastAsia" w:ascii="仿宋_GB2312" w:hAnsi="仿宋_GB2312" w:eastAsia="仿宋_GB2312" w:cs="仿宋_GB2312"/>
          <w:sz w:val="32"/>
          <w:szCs w:val="32"/>
          <w:highlight w:val="none"/>
        </w:rPr>
        <w:t>规定的行为时，应当向就近的行使海洋环境监督管理权的部门报告。</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第四十九条  </w:t>
      </w:r>
      <w:r>
        <w:rPr>
          <w:rFonts w:hint="eastAsia" w:ascii="仿宋_GB2312" w:hAnsi="仿宋_GB2312" w:eastAsia="仿宋_GB2312" w:cs="仿宋_GB2312"/>
          <w:color w:val="000000"/>
          <w:kern w:val="2"/>
          <w:sz w:val="32"/>
          <w:szCs w:val="32"/>
          <w:highlight w:val="none"/>
          <w:lang w:val="en-US" w:eastAsia="zh-CN"/>
        </w:rPr>
        <w:t>进入</w:t>
      </w:r>
      <w:r>
        <w:rPr>
          <w:rFonts w:hint="eastAsia" w:ascii="仿宋_GB2312" w:hAnsi="仿宋_GB2312" w:eastAsia="仿宋_GB2312" w:cs="仿宋_GB2312"/>
          <w:sz w:val="32"/>
          <w:szCs w:val="32"/>
          <w:highlight w:val="none"/>
        </w:rPr>
        <w:t>国家划定的船舶大气污染物排放控制区内的船舶，应当按照国家和省</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有关规定使用低硫燃油或者采取使用清洁能源、尾气后处理等与使用低硫燃油等效的替代措施。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海事管理机构应当对进出船舶</w:t>
      </w:r>
      <w:r>
        <w:rPr>
          <w:rFonts w:hint="eastAsia" w:ascii="仿宋_GB2312" w:hAnsi="仿宋_GB2312" w:eastAsia="仿宋_GB2312" w:cs="仿宋_GB2312"/>
          <w:color w:val="000000"/>
          <w:kern w:val="2"/>
          <w:sz w:val="32"/>
          <w:szCs w:val="32"/>
          <w:highlight w:val="none"/>
          <w:lang w:val="en-US" w:eastAsia="zh-CN"/>
        </w:rPr>
        <w:t>大气污染物</w:t>
      </w:r>
      <w:r>
        <w:rPr>
          <w:rFonts w:hint="eastAsia" w:ascii="仿宋_GB2312" w:hAnsi="仿宋_GB2312" w:eastAsia="仿宋_GB2312" w:cs="仿宋_GB2312"/>
          <w:sz w:val="32"/>
          <w:szCs w:val="32"/>
          <w:highlight w:val="none"/>
        </w:rPr>
        <w:t>排放控制区的船舶燃油使用情况进行监督管理。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iCs/>
          <w:sz w:val="32"/>
          <w:szCs w:val="32"/>
          <w:highlight w:val="none"/>
          <w:u w:val="none"/>
          <w:lang w:eastAsia="zh-CN"/>
        </w:rPr>
      </w:pPr>
      <w:r>
        <w:rPr>
          <w:rFonts w:hint="eastAsia" w:ascii="黑体" w:hAnsi="黑体" w:eastAsia="黑体" w:cs="黑体"/>
          <w:color w:val="000000"/>
          <w:kern w:val="2"/>
          <w:sz w:val="32"/>
          <w:szCs w:val="32"/>
          <w:highlight w:val="none"/>
          <w:lang w:val="en-US" w:eastAsia="zh-CN"/>
        </w:rPr>
        <w:t xml:space="preserve">第五十条  </w:t>
      </w:r>
      <w:r>
        <w:rPr>
          <w:rFonts w:hint="eastAsia" w:ascii="仿宋_GB2312" w:hAnsi="仿宋_GB2312" w:eastAsia="仿宋_GB2312" w:cs="仿宋_GB2312"/>
          <w:sz w:val="32"/>
          <w:szCs w:val="32"/>
          <w:highlight w:val="none"/>
        </w:rPr>
        <w:t>省、地级以上市人民政府</w:t>
      </w:r>
      <w:r>
        <w:rPr>
          <w:rFonts w:hint="eastAsia" w:ascii="仿宋_GB2312" w:hAnsi="仿宋_GB2312" w:eastAsia="仿宋_GB2312" w:cs="仿宋_GB2312"/>
          <w:i w:val="0"/>
          <w:iCs w:val="0"/>
          <w:sz w:val="32"/>
          <w:szCs w:val="32"/>
          <w:highlight w:val="none"/>
          <w:u w:val="none"/>
        </w:rPr>
        <w:t>发展改革</w:t>
      </w:r>
      <w:r>
        <w:rPr>
          <w:rFonts w:hint="eastAsia" w:ascii="仿宋_GB2312" w:hAnsi="仿宋_GB2312" w:eastAsia="仿宋_GB2312" w:cs="仿宋_GB2312"/>
          <w:sz w:val="32"/>
          <w:szCs w:val="32"/>
          <w:highlight w:val="none"/>
        </w:rPr>
        <w:t>主管部门应当将岸基供电设施建设纳入能源发展规划</w:t>
      </w:r>
      <w:r>
        <w:rPr>
          <w:rFonts w:hint="eastAsia" w:ascii="仿宋_GB2312" w:hAnsi="仿宋_GB2312" w:eastAsia="仿宋_GB2312" w:cs="仿宋_GB2312"/>
          <w:i/>
          <w:iCs/>
          <w:sz w:val="32"/>
          <w:szCs w:val="32"/>
          <w:highlight w:val="none"/>
          <w:u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发展改革、工业和信息化、生态环境和</w:t>
      </w:r>
      <w:r>
        <w:rPr>
          <w:rFonts w:hint="eastAsia" w:ascii="仿宋_GB2312" w:hAnsi="仿宋_GB2312" w:eastAsia="仿宋_GB2312" w:cs="仿宋_GB2312"/>
          <w:sz w:val="32"/>
          <w:szCs w:val="32"/>
          <w:highlight w:val="none"/>
        </w:rPr>
        <w:t>交通运输</w:t>
      </w:r>
      <w:r>
        <w:rPr>
          <w:rFonts w:hint="eastAsia" w:ascii="仿宋_GB2312" w:hAnsi="仿宋_GB2312" w:eastAsia="仿宋_GB2312" w:cs="仿宋_GB2312"/>
          <w:sz w:val="32"/>
          <w:szCs w:val="32"/>
          <w:highlight w:val="none"/>
          <w:lang w:eastAsia="zh-CN"/>
        </w:rPr>
        <w:t>等</w:t>
      </w:r>
      <w:r>
        <w:rPr>
          <w:rFonts w:hint="eastAsia" w:ascii="仿宋_GB2312" w:hAnsi="仿宋_GB2312" w:eastAsia="仿宋_GB2312" w:cs="仿宋_GB2312"/>
          <w:sz w:val="32"/>
          <w:szCs w:val="32"/>
          <w:highlight w:val="none"/>
        </w:rPr>
        <w:t>主管部门</w:t>
      </w:r>
      <w:r>
        <w:rPr>
          <w:rFonts w:hint="eastAsia" w:ascii="仿宋_GB2312" w:hAnsi="仿宋_GB2312" w:eastAsia="仿宋_GB2312" w:cs="仿宋_GB2312"/>
          <w:sz w:val="32"/>
          <w:szCs w:val="32"/>
          <w:highlight w:val="none"/>
          <w:lang w:val="en-US" w:eastAsia="zh-CN"/>
        </w:rPr>
        <w:t>应当按照职责</w:t>
      </w:r>
      <w:r>
        <w:rPr>
          <w:rFonts w:hint="eastAsia" w:ascii="仿宋_GB2312" w:hAnsi="仿宋_GB2312" w:eastAsia="仿宋_GB2312" w:cs="仿宋_GB2312"/>
          <w:sz w:val="32"/>
          <w:szCs w:val="32"/>
          <w:highlight w:val="none"/>
        </w:rPr>
        <w:t>推进岸</w:t>
      </w:r>
      <w:r>
        <w:rPr>
          <w:rFonts w:hint="eastAsia" w:ascii="仿宋_GB2312" w:hAnsi="仿宋_GB2312" w:eastAsia="仿宋_GB2312" w:cs="仿宋_GB2312"/>
          <w:sz w:val="32"/>
          <w:szCs w:val="32"/>
          <w:highlight w:val="none"/>
          <w:lang w:eastAsia="zh-CN"/>
        </w:rPr>
        <w:t>基供</w:t>
      </w:r>
      <w:r>
        <w:rPr>
          <w:rFonts w:hint="eastAsia" w:ascii="仿宋_GB2312" w:hAnsi="仿宋_GB2312" w:eastAsia="仿宋_GB2312" w:cs="仿宋_GB2312"/>
          <w:sz w:val="32"/>
          <w:szCs w:val="32"/>
          <w:highlight w:val="none"/>
        </w:rPr>
        <w:t>电系统的改造使用以及低硫燃油供应设施的建设和改造。</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现有码头应当逐步实施岸基供电设施改造。新建码头应当规划、设计和建设岸基供电设施。船舶靠泊内河港口</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沿海港口船舶靠港</w:t>
      </w:r>
      <w:r>
        <w:rPr>
          <w:rFonts w:hint="eastAsia" w:ascii="仿宋_GB2312" w:hAnsi="仿宋_GB2312" w:eastAsia="仿宋_GB2312" w:cs="仿宋_GB2312"/>
          <w:sz w:val="32"/>
          <w:szCs w:val="32"/>
          <w:highlight w:val="none"/>
          <w:lang w:eastAsia="zh-CN"/>
        </w:rPr>
        <w:t>应当</w:t>
      </w:r>
      <w:r>
        <w:rPr>
          <w:rFonts w:hint="eastAsia" w:ascii="仿宋_GB2312" w:hAnsi="仿宋_GB2312" w:eastAsia="仿宋_GB2312" w:cs="仿宋_GB2312"/>
          <w:sz w:val="32"/>
          <w:szCs w:val="32"/>
          <w:highlight w:val="none"/>
        </w:rPr>
        <w:t>优先使用岸</w:t>
      </w:r>
      <w:r>
        <w:rPr>
          <w:rFonts w:hint="eastAsia" w:ascii="仿宋_GB2312" w:hAnsi="仿宋_GB2312" w:eastAsia="仿宋_GB2312" w:cs="仿宋_GB2312"/>
          <w:sz w:val="32"/>
          <w:szCs w:val="32"/>
          <w:highlight w:val="none"/>
          <w:lang w:eastAsia="zh-CN"/>
        </w:rPr>
        <w:t>基供</w:t>
      </w:r>
      <w:r>
        <w:rPr>
          <w:rFonts w:hint="eastAsia" w:ascii="仿宋_GB2312" w:hAnsi="仿宋_GB2312" w:eastAsia="仿宋_GB2312" w:cs="仿宋_GB2312"/>
          <w:sz w:val="32"/>
          <w:szCs w:val="32"/>
          <w:highlight w:val="none"/>
        </w:rPr>
        <w:t>电。</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第六章  扬尘污染和其他污染防治</w:t>
      </w:r>
    </w:p>
    <w:p>
      <w:pPr>
        <w:widowControl w:val="0"/>
        <w:wordWrap/>
        <w:adjustRightInd/>
        <w:snapToGrid w:val="0"/>
        <w:spacing w:beforeAutospacing="0" w:afterAutospacing="0" w:line="560" w:lineRule="exact"/>
        <w:ind w:left="0" w:leftChars="0" w:right="0"/>
        <w:jc w:val="both"/>
        <w:textAlignment w:val="auto"/>
        <w:outlineLvl w:val="9"/>
        <w:rPr>
          <w:rFonts w:hint="eastAsia" w:ascii="黑体" w:hAnsi="黑体" w:eastAsia="黑体" w:cs="黑体"/>
          <w:sz w:val="32"/>
          <w:szCs w:val="32"/>
          <w:highlight w:val="none"/>
        </w:rPr>
      </w:pPr>
    </w:p>
    <w:p>
      <w:pPr>
        <w:widowControl w:val="0"/>
        <w:wordWrap/>
        <w:adjustRightInd/>
        <w:snapToGrid w:val="0"/>
        <w:spacing w:beforeAutospacing="0" w:afterAutospacing="0" w:line="560" w:lineRule="exact"/>
        <w:ind w:left="0" w:leftChars="0" w:right="0" w:firstLine="640" w:firstLineChars="200"/>
        <w:jc w:val="center"/>
        <w:textAlignment w:val="auto"/>
        <w:outlineLvl w:val="9"/>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32"/>
          <w:szCs w:val="32"/>
          <w:highlight w:val="none"/>
        </w:rPr>
        <w:t>第一节  扬尘污染防治</w:t>
      </w:r>
    </w:p>
    <w:p>
      <w:pPr>
        <w:widowControl w:val="0"/>
        <w:wordWrap/>
        <w:adjustRightInd/>
        <w:snapToGrid w:val="0"/>
        <w:spacing w:beforeAutospacing="0" w:afterAutospacing="0" w:line="560" w:lineRule="exact"/>
        <w:ind w:left="0" w:leftChars="0" w:right="0" w:firstLine="643" w:firstLineChars="200"/>
        <w:jc w:val="both"/>
        <w:textAlignment w:val="auto"/>
        <w:outlineLvl w:val="9"/>
        <w:rPr>
          <w:rFonts w:hint="eastAsia" w:ascii="仿宋_GB2312" w:hAnsi="仿宋_GB2312" w:eastAsia="仿宋_GB2312" w:cs="仿宋_GB2312"/>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第五十一条  </w:t>
      </w:r>
      <w:r>
        <w:rPr>
          <w:rFonts w:hint="eastAsia" w:ascii="仿宋_GB2312" w:hAnsi="仿宋_GB2312" w:eastAsia="仿宋_GB2312" w:cs="仿宋_GB2312"/>
          <w:sz w:val="32"/>
          <w:szCs w:val="32"/>
          <w:highlight w:val="none"/>
        </w:rPr>
        <w:t>省人民政府</w:t>
      </w:r>
      <w:r>
        <w:rPr>
          <w:rFonts w:hint="eastAsia" w:ascii="仿宋_GB2312" w:hAnsi="仿宋_GB2312" w:eastAsia="仿宋_GB2312" w:cs="仿宋_GB2312"/>
          <w:sz w:val="32"/>
          <w:szCs w:val="32"/>
          <w:highlight w:val="none"/>
          <w:lang w:eastAsia="zh-CN"/>
        </w:rPr>
        <w:t>生态环境、住房城乡建设、城市管理、市政环卫、园林绿化、</w:t>
      </w:r>
      <w:r>
        <w:rPr>
          <w:rFonts w:hint="eastAsia" w:ascii="仿宋_GB2312" w:hAnsi="仿宋_GB2312" w:eastAsia="仿宋_GB2312" w:cs="仿宋_GB2312"/>
          <w:sz w:val="32"/>
          <w:szCs w:val="32"/>
          <w:highlight w:val="none"/>
          <w:lang w:val="en-US" w:eastAsia="zh-CN"/>
        </w:rPr>
        <w:t>自然</w:t>
      </w:r>
      <w:r>
        <w:rPr>
          <w:rFonts w:hint="eastAsia" w:ascii="仿宋_GB2312" w:hAnsi="仿宋_GB2312" w:eastAsia="仿宋_GB2312" w:cs="仿宋_GB2312"/>
          <w:sz w:val="32"/>
          <w:szCs w:val="32"/>
          <w:highlight w:val="none"/>
          <w:lang w:eastAsia="zh-CN"/>
        </w:rPr>
        <w:t>资源、交通运输、水行政等主管</w:t>
      </w:r>
      <w:r>
        <w:rPr>
          <w:rFonts w:hint="eastAsia" w:ascii="仿宋_GB2312" w:hAnsi="仿宋_GB2312" w:eastAsia="仿宋_GB2312" w:cs="仿宋_GB2312"/>
          <w:sz w:val="32"/>
          <w:szCs w:val="32"/>
          <w:highlight w:val="none"/>
        </w:rPr>
        <w:t>部门应当按照本条例规定的职责分工制定</w:t>
      </w:r>
      <w:r>
        <w:rPr>
          <w:rFonts w:hint="eastAsia" w:ascii="仿宋_GB2312" w:hAnsi="仿宋_GB2312" w:eastAsia="仿宋_GB2312" w:cs="仿宋_GB2312"/>
          <w:sz w:val="32"/>
          <w:szCs w:val="32"/>
          <w:highlight w:val="none"/>
          <w:lang w:eastAsia="zh-CN"/>
        </w:rPr>
        <w:t>完善</w:t>
      </w:r>
      <w:r>
        <w:rPr>
          <w:rFonts w:hint="eastAsia" w:ascii="仿宋_GB2312" w:hAnsi="仿宋_GB2312" w:eastAsia="仿宋_GB2312" w:cs="仿宋_GB2312"/>
          <w:sz w:val="32"/>
          <w:szCs w:val="32"/>
          <w:highlight w:val="none"/>
        </w:rPr>
        <w:t>扬尘污染防治技术</w:t>
      </w:r>
      <w:r>
        <w:rPr>
          <w:rFonts w:hint="eastAsia" w:ascii="仿宋_GB2312" w:hAnsi="仿宋_GB2312" w:eastAsia="仿宋_GB2312" w:cs="仿宋_GB2312"/>
          <w:i w:val="0"/>
          <w:iCs w:val="0"/>
          <w:sz w:val="32"/>
          <w:szCs w:val="32"/>
          <w:highlight w:val="none"/>
          <w:u w:val="none" w:color="auto"/>
        </w:rPr>
        <w:t>要求</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地级以上市人民政府有关部门应当</w:t>
      </w:r>
      <w:r>
        <w:rPr>
          <w:rFonts w:hint="eastAsia" w:ascii="仿宋_GB2312" w:hAnsi="仿宋_GB2312" w:eastAsia="仿宋_GB2312" w:cs="仿宋_GB2312"/>
          <w:i w:val="0"/>
          <w:iCs w:val="0"/>
          <w:sz w:val="32"/>
          <w:szCs w:val="32"/>
          <w:highlight w:val="none"/>
          <w:u w:val="none" w:color="auto"/>
          <w:lang w:eastAsia="zh-CN"/>
        </w:rPr>
        <w:t>建立完善</w:t>
      </w:r>
      <w:r>
        <w:rPr>
          <w:rFonts w:hint="eastAsia" w:ascii="仿宋_GB2312" w:hAnsi="仿宋_GB2312" w:eastAsia="仿宋_GB2312" w:cs="仿宋_GB2312"/>
          <w:sz w:val="32"/>
          <w:szCs w:val="32"/>
          <w:highlight w:val="none"/>
        </w:rPr>
        <w:t>扬尘污染防治信息共享</w:t>
      </w:r>
      <w:r>
        <w:rPr>
          <w:rFonts w:hint="eastAsia" w:ascii="仿宋_GB2312" w:hAnsi="仿宋_GB2312" w:eastAsia="仿宋_GB2312" w:cs="仿宋_GB2312"/>
          <w:sz w:val="32"/>
          <w:szCs w:val="32"/>
          <w:highlight w:val="none"/>
          <w:lang w:eastAsia="zh-CN"/>
        </w:rPr>
        <w:t>机制</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第五十二条  </w:t>
      </w:r>
      <w:r>
        <w:rPr>
          <w:rFonts w:hint="eastAsia" w:ascii="仿宋_GB2312" w:hAnsi="仿宋_GB2312" w:eastAsia="仿宋_GB2312" w:cs="仿宋_GB2312"/>
          <w:sz w:val="32"/>
          <w:szCs w:val="32"/>
          <w:highlight w:val="none"/>
        </w:rPr>
        <w:t>建设单位应当履行下列职责：</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iCs/>
          <w:sz w:val="32"/>
          <w:szCs w:val="32"/>
          <w:highlight w:val="none"/>
          <w:u w:val="single"/>
          <w:lang w:eastAsia="zh-CN"/>
        </w:rPr>
      </w:pPr>
      <w:r>
        <w:rPr>
          <w:rFonts w:hint="eastAsia" w:ascii="仿宋_GB2312" w:hAnsi="仿宋_GB2312" w:eastAsia="仿宋_GB2312" w:cs="仿宋_GB2312"/>
          <w:sz w:val="32"/>
          <w:szCs w:val="32"/>
          <w:highlight w:val="none"/>
        </w:rPr>
        <w:t>（一）将扬尘污染防治费用列入工程造价，实行单列支付。在招标文件中要求投标人制定施工现场扬尘污染防治措施。在施工承包合同中明确施工单位的扬尘污染防治责任</w:t>
      </w:r>
      <w:r>
        <w:rPr>
          <w:rFonts w:hint="eastAsia" w:ascii="仿宋_GB2312" w:hAnsi="仿宋_GB2312" w:eastAsia="仿宋_GB2312" w:cs="仿宋_GB2312"/>
          <w:sz w:val="32"/>
          <w:szCs w:val="32"/>
          <w:highlight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（二）将扬尘污染防治内容纳入工程监理合同</w:t>
      </w:r>
      <w:r>
        <w:rPr>
          <w:rFonts w:hint="eastAsia" w:ascii="仿宋_GB2312" w:hAnsi="仿宋_GB2312" w:eastAsia="仿宋_GB2312" w:cs="仿宋_GB2312"/>
          <w:sz w:val="32"/>
          <w:szCs w:val="32"/>
          <w:highlight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（三）监督施工单位按照合同落实扬尘污染防治措施，监督监理单位按照合同落实扬尘污染防治监理责任。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第五十三条  </w:t>
      </w:r>
      <w:r>
        <w:rPr>
          <w:rFonts w:hint="eastAsia" w:ascii="仿宋_GB2312" w:hAnsi="仿宋_GB2312" w:eastAsia="仿宋_GB2312" w:cs="仿宋_GB2312"/>
          <w:sz w:val="32"/>
          <w:szCs w:val="32"/>
          <w:highlight w:val="none"/>
        </w:rPr>
        <w:t>施工单位应当制定具体的施工扬尘污染防治实施方案，建立扬尘污染防治工作台账，落实扬尘污染防治措施。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扬尘污染防治费用应当专款专用，不得挪用。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第五十四条  </w:t>
      </w:r>
      <w:r>
        <w:rPr>
          <w:rFonts w:hint="eastAsia" w:ascii="仿宋_GB2312" w:hAnsi="仿宋_GB2312" w:eastAsia="仿宋_GB2312" w:cs="仿宋_GB2312"/>
          <w:sz w:val="32"/>
          <w:szCs w:val="32"/>
          <w:highlight w:val="none"/>
        </w:rPr>
        <w:t>监理单位应当做好扬尘污染防治监理工作；对未按照扬尘污染防治措施施工的，应当要求施工单位立即改正，并及时报告建设单位。</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第五十五条  </w:t>
      </w:r>
      <w:r>
        <w:rPr>
          <w:rFonts w:hint="eastAsia" w:ascii="仿宋_GB2312" w:hAnsi="仿宋_GB2312" w:eastAsia="仿宋_GB2312" w:cs="仿宋_GB2312"/>
          <w:sz w:val="32"/>
          <w:szCs w:val="32"/>
          <w:highlight w:val="none"/>
        </w:rPr>
        <w:t>城市建成区建设项目的施工现场出入口应当安装监控车辆出场冲洗情况及车辆车牌号码视频监控设备；建筑面积在五万平方米以上</w:t>
      </w:r>
      <w:r>
        <w:rPr>
          <w:rFonts w:hint="eastAsia" w:ascii="仿宋_GB2312" w:hAnsi="仿宋_GB2312" w:eastAsia="仿宋_GB2312" w:cs="仿宋_GB2312"/>
          <w:i w:val="0"/>
          <w:iCs w:val="0"/>
          <w:sz w:val="32"/>
          <w:szCs w:val="32"/>
          <w:highlight w:val="none"/>
          <w:u w:val="none"/>
        </w:rPr>
        <w:t>的，还</w:t>
      </w:r>
      <w:r>
        <w:rPr>
          <w:rFonts w:hint="eastAsia" w:ascii="仿宋_GB2312" w:hAnsi="仿宋_GB2312" w:eastAsia="仿宋_GB2312" w:cs="仿宋_GB2312"/>
          <w:sz w:val="32"/>
          <w:szCs w:val="32"/>
          <w:highlight w:val="none"/>
        </w:rPr>
        <w:t>应当安装颗粒物在线监测系统。</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在县级以上人民政府划定的</w:t>
      </w:r>
      <w:r>
        <w:rPr>
          <w:rFonts w:hint="eastAsia" w:ascii="仿宋_GB2312" w:hAnsi="仿宋_GB2312" w:eastAsia="仿宋_GB2312" w:cs="仿宋_GB2312"/>
          <w:sz w:val="32"/>
          <w:szCs w:val="32"/>
          <w:highlight w:val="none"/>
        </w:rPr>
        <w:t>禁止搅拌混凝土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搅拌砂浆</w:t>
      </w:r>
      <w:r>
        <w:rPr>
          <w:rFonts w:hint="eastAsia" w:ascii="仿宋_GB2312" w:hAnsi="仿宋_GB2312" w:eastAsia="仿宋_GB2312" w:cs="仿宋_GB2312"/>
          <w:sz w:val="32"/>
          <w:szCs w:val="32"/>
          <w:highlight w:val="none"/>
          <w:lang w:eastAsia="zh-CN"/>
        </w:rPr>
        <w:t>范围内的建设工程项目</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不得现场搅拌混凝土、现场搅拌砂浆，</w:t>
      </w:r>
      <w:r>
        <w:rPr>
          <w:rFonts w:hint="eastAsia" w:ascii="仿宋_GB2312" w:hAnsi="仿宋_GB2312" w:eastAsia="仿宋_GB2312" w:cs="仿宋_GB2312"/>
          <w:sz w:val="32"/>
          <w:szCs w:val="32"/>
          <w:highlight w:val="none"/>
        </w:rPr>
        <w:t>散装预拌干粉砂浆加水搅拌除外；施工现场铺贴各类瓷砖、石板材等装饰块件</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禁止采用干式方法进行切割。</w:t>
      </w:r>
    </w:p>
    <w:p>
      <w:pPr>
        <w:widowControl w:val="0"/>
        <w:wordWrap/>
        <w:adjustRightInd/>
        <w:snapToGrid w:val="0"/>
        <w:spacing w:line="560" w:lineRule="exact"/>
        <w:ind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b w:val="0"/>
          <w:bCs w:val="0"/>
          <w:sz w:val="32"/>
          <w:szCs w:val="32"/>
          <w:highlight w:val="none"/>
          <w:lang w:val="en-US" w:eastAsia="zh-CN"/>
        </w:rPr>
        <w:t xml:space="preserve">第五十六条  </w:t>
      </w:r>
      <w:r>
        <w:rPr>
          <w:rFonts w:hint="eastAsia" w:ascii="仿宋_GB2312" w:hAnsi="仿宋_GB2312" w:eastAsia="仿宋_GB2312" w:cs="仿宋_GB2312"/>
          <w:sz w:val="32"/>
          <w:szCs w:val="32"/>
          <w:highlight w:val="none"/>
        </w:rPr>
        <w:t>道路保洁应当采用低尘作业道路机械化清扫、市政道路机械化高压冲洗、洒水</w:t>
      </w:r>
      <w:r>
        <w:rPr>
          <w:rFonts w:hint="eastAsia" w:ascii="仿宋_GB2312" w:hAnsi="仿宋_GB2312" w:eastAsia="仿宋_GB2312" w:cs="仿宋_GB2312"/>
          <w:sz w:val="32"/>
          <w:szCs w:val="32"/>
          <w:highlight w:val="none"/>
          <w:lang w:eastAsia="zh-CN"/>
        </w:rPr>
        <w:t>、喷雾</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i w:val="0"/>
          <w:iCs w:val="0"/>
          <w:sz w:val="32"/>
          <w:szCs w:val="32"/>
          <w:highlight w:val="none"/>
          <w:u w:val="none"/>
        </w:rPr>
        <w:t>措施</w:t>
      </w:r>
      <w:r>
        <w:rPr>
          <w:rFonts w:hint="eastAsia" w:ascii="仿宋_GB2312" w:hAnsi="仿宋_GB2312" w:eastAsia="仿宋_GB2312" w:cs="仿宋_GB2312"/>
          <w:i w:val="0"/>
          <w:iCs w:val="0"/>
          <w:sz w:val="32"/>
          <w:szCs w:val="32"/>
          <w:highlight w:val="none"/>
          <w:u w:val="none"/>
          <w:lang w:eastAsia="zh-CN"/>
        </w:rPr>
        <w:t>，</w:t>
      </w:r>
      <w:r>
        <w:rPr>
          <w:rFonts w:hint="eastAsia" w:ascii="仿宋_GB2312" w:hAnsi="仿宋_GB2312" w:eastAsia="仿宋_GB2312" w:cs="仿宋_GB2312"/>
          <w:color w:val="000000"/>
          <w:kern w:val="2"/>
          <w:sz w:val="32"/>
          <w:szCs w:val="32"/>
          <w:highlight w:val="none"/>
          <w:lang w:val="en-US" w:eastAsia="zh-CN"/>
        </w:rPr>
        <w:t>并根据道路扬尘控制实际情况，合理安排作业时间，适时增加作业频次，提高作业质量，</w:t>
      </w:r>
      <w:r>
        <w:rPr>
          <w:rFonts w:hint="eastAsia" w:ascii="仿宋_GB2312" w:hAnsi="仿宋_GB2312" w:eastAsia="仿宋_GB2312" w:cs="仿宋_GB2312"/>
          <w:i w:val="0"/>
          <w:iCs w:val="0"/>
          <w:sz w:val="32"/>
          <w:szCs w:val="32"/>
          <w:highlight w:val="none"/>
          <w:u w:val="none"/>
        </w:rPr>
        <w:t>降低道路扬尘污染</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2"/>
          <w:sz w:val="32"/>
          <w:szCs w:val="32"/>
          <w:highlight w:val="none"/>
          <w:lang w:val="en-US" w:eastAsia="zh-CN"/>
        </w:rPr>
        <w:t xml:space="preserve">    </w:t>
      </w:r>
      <w:r>
        <w:rPr>
          <w:rFonts w:hint="eastAsia" w:ascii="黑体" w:hAnsi="黑体" w:eastAsia="黑体" w:cs="黑体"/>
          <w:b w:val="0"/>
          <w:bCs w:val="0"/>
          <w:sz w:val="32"/>
          <w:szCs w:val="32"/>
          <w:highlight w:val="none"/>
          <w:lang w:val="en-US" w:eastAsia="zh-CN"/>
        </w:rPr>
        <w:t xml:space="preserve">第五十七条  </w:t>
      </w:r>
      <w:r>
        <w:rPr>
          <w:rFonts w:hint="eastAsia" w:ascii="仿宋_GB2312" w:hAnsi="仿宋_GB2312" w:eastAsia="仿宋_GB2312" w:cs="仿宋_GB2312"/>
          <w:sz w:val="32"/>
          <w:szCs w:val="32"/>
          <w:highlight w:val="none"/>
        </w:rPr>
        <w:t>运输</w:t>
      </w:r>
      <w:r>
        <w:rPr>
          <w:rFonts w:hint="eastAsia" w:ascii="仿宋_GB2312" w:hAnsi="仿宋_GB2312" w:eastAsia="仿宋_GB2312" w:cs="仿宋_GB2312"/>
          <w:sz w:val="32"/>
          <w:szCs w:val="32"/>
          <w:highlight w:val="none"/>
          <w:lang w:eastAsia="zh-CN"/>
        </w:rPr>
        <w:t>煤炭、</w:t>
      </w:r>
      <w:r>
        <w:rPr>
          <w:rFonts w:hint="eastAsia" w:ascii="仿宋_GB2312" w:hAnsi="仿宋_GB2312" w:eastAsia="仿宋_GB2312" w:cs="仿宋_GB2312"/>
          <w:sz w:val="32"/>
          <w:szCs w:val="32"/>
          <w:highlight w:val="none"/>
        </w:rPr>
        <w:t>垃圾、</w:t>
      </w:r>
      <w:r>
        <w:rPr>
          <w:rFonts w:hint="eastAsia" w:ascii="仿宋_GB2312" w:hAnsi="仿宋_GB2312" w:eastAsia="仿宋_GB2312" w:cs="仿宋_GB2312"/>
          <w:sz w:val="32"/>
          <w:szCs w:val="32"/>
          <w:highlight w:val="none"/>
          <w:lang w:eastAsia="zh-CN"/>
        </w:rPr>
        <w:t>渣土、土方</w:t>
      </w:r>
      <w:r>
        <w:rPr>
          <w:rFonts w:hint="eastAsia" w:ascii="仿宋_GB2312" w:hAnsi="仿宋_GB2312" w:eastAsia="仿宋_GB2312" w:cs="仿宋_GB2312"/>
          <w:sz w:val="32"/>
          <w:szCs w:val="32"/>
          <w:highlight w:val="none"/>
        </w:rPr>
        <w:t>、砂石和灰浆等散装</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流体物料的车辆应当</w:t>
      </w:r>
      <w:r>
        <w:rPr>
          <w:rFonts w:hint="eastAsia" w:ascii="仿宋_GB2312" w:hAnsi="仿宋_GB2312" w:eastAsia="仿宋_GB2312" w:cs="仿宋_GB2312"/>
          <w:sz w:val="32"/>
          <w:szCs w:val="32"/>
          <w:highlight w:val="none"/>
          <w:lang w:eastAsia="zh-CN"/>
        </w:rPr>
        <w:t>密闭</w:t>
      </w:r>
      <w:r>
        <w:rPr>
          <w:rFonts w:hint="eastAsia" w:ascii="仿宋_GB2312" w:hAnsi="仿宋_GB2312" w:eastAsia="仿宋_GB2312" w:cs="仿宋_GB2312"/>
          <w:sz w:val="32"/>
          <w:szCs w:val="32"/>
          <w:highlight w:val="none"/>
        </w:rPr>
        <w:t>运输，配备卫星定位装置，并按照规定的时间、路线行驶。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color w:val="auto"/>
          <w:sz w:val="32"/>
          <w:szCs w:val="32"/>
          <w:highlight w:val="none"/>
          <w:u w:val="none"/>
        </w:rPr>
      </w:pPr>
      <w:r>
        <w:rPr>
          <w:rFonts w:hint="eastAsia" w:ascii="仿宋_GB2312" w:hAnsi="仿宋_GB2312" w:eastAsia="仿宋_GB2312" w:cs="仿宋_GB2312"/>
          <w:i w:val="0"/>
          <w:iCs w:val="0"/>
          <w:color w:val="auto"/>
          <w:sz w:val="32"/>
          <w:szCs w:val="32"/>
          <w:highlight w:val="none"/>
          <w:u w:val="none"/>
        </w:rPr>
        <w:t>对未实现密闭运输或者未配备卫星定位装置的车辆，县级以上人民政府相关主管部门不</w:t>
      </w:r>
      <w:r>
        <w:rPr>
          <w:rFonts w:hint="eastAsia" w:ascii="仿宋_GB2312" w:hAnsi="仿宋_GB2312" w:eastAsia="仿宋_GB2312" w:cs="仿宋_GB2312"/>
          <w:sz w:val="32"/>
          <w:szCs w:val="32"/>
          <w:highlight w:val="none"/>
          <w:lang w:eastAsia="zh-CN"/>
        </w:rPr>
        <w:t>予</w:t>
      </w:r>
      <w:r>
        <w:rPr>
          <w:rFonts w:hint="eastAsia" w:ascii="仿宋_GB2312" w:hAnsi="仿宋_GB2312" w:eastAsia="仿宋_GB2312" w:cs="仿宋_GB2312"/>
          <w:i w:val="0"/>
          <w:iCs w:val="0"/>
          <w:color w:val="auto"/>
          <w:sz w:val="32"/>
          <w:szCs w:val="32"/>
          <w:highlight w:val="none"/>
          <w:u w:val="none"/>
        </w:rPr>
        <w:t>运输</w:t>
      </w:r>
      <w:r>
        <w:rPr>
          <w:rFonts w:hint="eastAsia" w:ascii="仿宋_GB2312" w:hAnsi="仿宋_GB2312" w:eastAsia="仿宋_GB2312" w:cs="仿宋_GB2312"/>
          <w:sz w:val="32"/>
          <w:szCs w:val="32"/>
          <w:highlight w:val="none"/>
          <w:lang w:eastAsia="zh-CN"/>
        </w:rPr>
        <w:t>及</w:t>
      </w:r>
      <w:r>
        <w:rPr>
          <w:rFonts w:hint="eastAsia" w:ascii="仿宋_GB2312" w:hAnsi="仿宋_GB2312" w:eastAsia="仿宋_GB2312" w:cs="仿宋_GB2312"/>
          <w:i w:val="0"/>
          <w:iCs w:val="0"/>
          <w:color w:val="auto"/>
          <w:sz w:val="32"/>
          <w:szCs w:val="32"/>
          <w:highlight w:val="none"/>
          <w:u w:val="none"/>
        </w:rPr>
        <w:t>处置核准。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第五十八条  </w:t>
      </w:r>
      <w:r>
        <w:rPr>
          <w:rFonts w:hint="eastAsia" w:ascii="仿宋_GB2312" w:hAnsi="仿宋_GB2312" w:eastAsia="仿宋_GB2312" w:cs="仿宋_GB2312"/>
          <w:sz w:val="32"/>
          <w:szCs w:val="32"/>
          <w:highlight w:val="none"/>
        </w:rPr>
        <w:t>禁止生产、销售、使用含石棉物质</w:t>
      </w:r>
      <w:r>
        <w:rPr>
          <w:rFonts w:hint="eastAsia" w:ascii="仿宋_GB2312" w:hAnsi="仿宋_GB2312" w:eastAsia="仿宋_GB2312" w:cs="仿宋_GB2312"/>
          <w:i w:val="0"/>
          <w:iCs w:val="0"/>
          <w:sz w:val="32"/>
          <w:szCs w:val="32"/>
          <w:highlight w:val="none"/>
          <w:u w:val="none"/>
          <w:lang w:eastAsia="zh-CN"/>
        </w:rPr>
        <w:t>的</w:t>
      </w:r>
      <w:r>
        <w:rPr>
          <w:rFonts w:hint="eastAsia" w:ascii="仿宋_GB2312" w:hAnsi="仿宋_GB2312" w:eastAsia="仿宋_GB2312" w:cs="仿宋_GB2312"/>
          <w:sz w:val="32"/>
          <w:szCs w:val="32"/>
          <w:highlight w:val="none"/>
        </w:rPr>
        <w:t>建筑材料。</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对</w:t>
      </w:r>
      <w:r>
        <w:rPr>
          <w:rFonts w:hint="eastAsia" w:ascii="仿宋_GB2312" w:hAnsi="仿宋_GB2312" w:eastAsia="仿宋_GB2312" w:cs="仿宋_GB2312"/>
          <w:sz w:val="32"/>
          <w:szCs w:val="32"/>
          <w:highlight w:val="none"/>
          <w:lang w:eastAsia="zh-CN"/>
        </w:rPr>
        <w:t>已</w:t>
      </w:r>
      <w:r>
        <w:rPr>
          <w:rFonts w:hint="eastAsia" w:ascii="仿宋_GB2312" w:hAnsi="仿宋_GB2312" w:eastAsia="仿宋_GB2312" w:cs="仿宋_GB2312"/>
          <w:sz w:val="32"/>
          <w:szCs w:val="32"/>
          <w:highlight w:val="none"/>
        </w:rPr>
        <w:t>使用石棉及含石棉物质的建筑物进行保养、翻新、拆卸</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，应当按照国家</w:t>
      </w:r>
      <w:r>
        <w:rPr>
          <w:rFonts w:hint="eastAsia" w:ascii="仿宋_GB2312" w:hAnsi="仿宋_GB2312" w:eastAsia="仿宋_GB2312" w:cs="仿宋_GB2312"/>
          <w:i w:val="0"/>
          <w:iCs w:val="0"/>
          <w:sz w:val="32"/>
          <w:szCs w:val="32"/>
          <w:highlight w:val="none"/>
          <w:u w:val="none"/>
          <w:lang w:eastAsia="zh-CN"/>
        </w:rPr>
        <w:t>和</w:t>
      </w:r>
      <w:r>
        <w:rPr>
          <w:rFonts w:hint="eastAsia" w:ascii="仿宋_GB2312" w:hAnsi="仿宋_GB2312" w:eastAsia="仿宋_GB2312" w:cs="仿宋_GB2312"/>
          <w:sz w:val="32"/>
          <w:szCs w:val="32"/>
          <w:highlight w:val="none"/>
        </w:rPr>
        <w:t>省的</w:t>
      </w:r>
      <w:r>
        <w:rPr>
          <w:rFonts w:hint="eastAsia" w:ascii="仿宋_GB2312" w:hAnsi="仿宋_GB2312" w:eastAsia="仿宋_GB2312" w:cs="仿宋_GB2312"/>
          <w:i w:val="0"/>
          <w:iCs w:val="0"/>
          <w:sz w:val="32"/>
          <w:szCs w:val="32"/>
          <w:highlight w:val="none"/>
          <w:u w:val="none"/>
          <w:lang w:eastAsia="zh-CN"/>
        </w:rPr>
        <w:t>有关规定</w:t>
      </w:r>
      <w:r>
        <w:rPr>
          <w:rFonts w:hint="eastAsia" w:ascii="仿宋_GB2312" w:hAnsi="仿宋_GB2312" w:eastAsia="仿宋_GB2312" w:cs="仿宋_GB2312"/>
          <w:sz w:val="32"/>
          <w:szCs w:val="32"/>
          <w:highlight w:val="none"/>
        </w:rPr>
        <w:t>，在建筑物拆除或者整修前拆除石棉及含石棉物质。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第五十九条  </w:t>
      </w:r>
      <w:r>
        <w:rPr>
          <w:rFonts w:hint="eastAsia" w:ascii="仿宋_GB2312" w:hAnsi="仿宋_GB2312" w:eastAsia="仿宋_GB2312" w:cs="仿宋_GB2312"/>
          <w:sz w:val="32"/>
          <w:szCs w:val="32"/>
          <w:highlight w:val="none"/>
        </w:rPr>
        <w:t>干散货码头应当采取干雾抑尘、喷淋除尘、防风抑尘</w:t>
      </w:r>
      <w:r>
        <w:rPr>
          <w:rFonts w:hint="eastAsia" w:ascii="仿宋_GB2312" w:hAnsi="仿宋_GB2312" w:eastAsia="仿宋_GB2312" w:cs="仿宋_GB2312"/>
          <w:sz w:val="32"/>
          <w:szCs w:val="32"/>
          <w:highlight w:val="none"/>
          <w:lang w:eastAsia="zh-CN"/>
        </w:rPr>
        <w:t>网</w:t>
      </w:r>
      <w:r>
        <w:rPr>
          <w:rFonts w:hint="eastAsia" w:ascii="仿宋_GB2312" w:hAnsi="仿宋_GB2312" w:eastAsia="仿宋_GB2312" w:cs="仿宋_GB2312"/>
          <w:sz w:val="32"/>
          <w:szCs w:val="32"/>
          <w:highlight w:val="none"/>
        </w:rPr>
        <w:t>或者密闭运输系统等措施降低扬尘污染。</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highlight w:val="none"/>
        </w:rPr>
      </w:pPr>
    </w:p>
    <w:p>
      <w:pPr>
        <w:widowControl w:val="0"/>
        <w:wordWrap/>
        <w:adjustRightInd/>
        <w:snapToGrid w:val="0"/>
        <w:spacing w:beforeAutospacing="0" w:afterAutospacing="0" w:line="560" w:lineRule="exact"/>
        <w:ind w:left="0" w:leftChars="0" w:right="0" w:firstLine="640" w:firstLineChars="200"/>
        <w:jc w:val="center"/>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第二节  餐饮污染及其他污染防治</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第六十条  </w:t>
      </w:r>
      <w:r>
        <w:rPr>
          <w:rFonts w:hint="eastAsia" w:ascii="仿宋_GB2312" w:hAnsi="仿宋_GB2312" w:eastAsia="仿宋_GB2312" w:cs="仿宋_GB2312"/>
          <w:sz w:val="32"/>
          <w:szCs w:val="32"/>
          <w:highlight w:val="none"/>
        </w:rPr>
        <w:t>排放油烟的餐饮</w:t>
      </w:r>
      <w:r>
        <w:rPr>
          <w:rFonts w:hint="eastAsia" w:ascii="仿宋_GB2312" w:hAnsi="仿宋_GB2312" w:eastAsia="仿宋_GB2312" w:cs="仿宋_GB2312"/>
          <w:i w:val="0"/>
          <w:iCs w:val="0"/>
          <w:sz w:val="32"/>
          <w:szCs w:val="32"/>
          <w:highlight w:val="none"/>
          <w:u w:val="none" w:color="auto"/>
        </w:rPr>
        <w:t>场所</w:t>
      </w:r>
      <w:r>
        <w:rPr>
          <w:rFonts w:hint="eastAsia" w:ascii="仿宋_GB2312" w:hAnsi="仿宋_GB2312" w:eastAsia="仿宋_GB2312" w:cs="仿宋_GB2312"/>
          <w:sz w:val="32"/>
          <w:szCs w:val="32"/>
          <w:highlight w:val="none"/>
        </w:rPr>
        <w:t>应当安装油烟净化设施并保持正常使用，或者采取其他油烟净化措施，</w:t>
      </w:r>
      <w:r>
        <w:rPr>
          <w:rFonts w:hint="eastAsia" w:ascii="仿宋_GB2312" w:hAnsi="仿宋_GB2312" w:eastAsia="仿宋_GB2312" w:cs="仿宋_GB2312"/>
          <w:sz w:val="32"/>
          <w:szCs w:val="32"/>
          <w:highlight w:val="none"/>
          <w:lang w:eastAsia="zh-CN"/>
        </w:rPr>
        <w:t>使油烟达标</w:t>
      </w:r>
      <w:r>
        <w:rPr>
          <w:rFonts w:hint="eastAsia" w:ascii="仿宋_GB2312" w:hAnsi="仿宋_GB2312" w:eastAsia="仿宋_GB2312" w:cs="仿宋_GB2312"/>
          <w:sz w:val="32"/>
          <w:szCs w:val="32"/>
          <w:highlight w:val="none"/>
        </w:rPr>
        <w:t>排放；产生异味的餐饮场所还应当安装异味处理设施；大中型餐饮场所</w:t>
      </w:r>
      <w:r>
        <w:rPr>
          <w:rFonts w:hint="eastAsia" w:ascii="仿宋_GB2312" w:hAnsi="仿宋_GB2312" w:eastAsia="仿宋_GB2312" w:cs="仿宋_GB2312"/>
          <w:i w:val="0"/>
          <w:iCs w:val="0"/>
          <w:sz w:val="32"/>
          <w:szCs w:val="32"/>
          <w:highlight w:val="none"/>
          <w:u w:val="none" w:color="auto"/>
        </w:rPr>
        <w:t>还</w:t>
      </w:r>
      <w:r>
        <w:rPr>
          <w:rFonts w:hint="eastAsia" w:ascii="仿宋_GB2312" w:hAnsi="仿宋_GB2312" w:eastAsia="仿宋_GB2312" w:cs="仿宋_GB2312"/>
          <w:sz w:val="32"/>
          <w:szCs w:val="32"/>
          <w:highlight w:val="none"/>
        </w:rPr>
        <w:t>应当安装在线监控监测设备。</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仿宋_GB2312" w:hAnsi="仿宋_GB2312" w:eastAsia="仿宋_GB2312" w:cs="仿宋_GB2312"/>
          <w:sz w:val="32"/>
          <w:szCs w:val="32"/>
          <w:highlight w:val="none"/>
        </w:rPr>
        <w:t>排放油烟的餐饮服务经营者至少每季度对油烟净化和异味处理</w:t>
      </w:r>
      <w:r>
        <w:rPr>
          <w:rFonts w:hint="eastAsia" w:ascii="仿宋_GB2312" w:hAnsi="仿宋_GB2312" w:eastAsia="仿宋_GB2312" w:cs="仿宋_GB2312"/>
          <w:sz w:val="32"/>
          <w:szCs w:val="32"/>
          <w:highlight w:val="none"/>
          <w:lang w:eastAsia="zh-CN"/>
        </w:rPr>
        <w:t>设施</w:t>
      </w:r>
      <w:r>
        <w:rPr>
          <w:rFonts w:hint="eastAsia" w:ascii="仿宋_GB2312" w:hAnsi="仿宋_GB2312" w:eastAsia="仿宋_GB2312" w:cs="仿宋_GB2312"/>
          <w:sz w:val="32"/>
          <w:szCs w:val="32"/>
          <w:highlight w:val="none"/>
        </w:rPr>
        <w:t>进行</w:t>
      </w:r>
      <w:r>
        <w:rPr>
          <w:rFonts w:hint="eastAsia" w:ascii="仿宋_GB2312" w:hAnsi="仿宋_GB2312" w:eastAsia="仿宋_GB2312" w:cs="仿宋_GB2312"/>
          <w:sz w:val="32"/>
          <w:szCs w:val="32"/>
          <w:highlight w:val="none"/>
          <w:lang w:eastAsia="zh-CN"/>
        </w:rPr>
        <w:t>一次</w:t>
      </w:r>
      <w:r>
        <w:rPr>
          <w:rFonts w:hint="eastAsia" w:ascii="仿宋_GB2312" w:hAnsi="仿宋_GB2312" w:eastAsia="仿宋_GB2312" w:cs="仿宋_GB2312"/>
          <w:sz w:val="32"/>
          <w:szCs w:val="32"/>
          <w:highlight w:val="none"/>
        </w:rPr>
        <w:t>清洗维护并记录。记录材料保存期限不少于一年。</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六十一</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新建商住综合楼</w:t>
      </w:r>
      <w:r>
        <w:rPr>
          <w:rFonts w:hint="eastAsia" w:ascii="仿宋_GB2312" w:hAnsi="仿宋_GB2312" w:eastAsia="仿宋_GB2312" w:cs="仿宋_GB2312"/>
          <w:sz w:val="32"/>
          <w:szCs w:val="32"/>
          <w:highlight w:val="none"/>
          <w:lang w:eastAsia="zh-CN"/>
        </w:rPr>
        <w:t>、居民住宅楼以及</w:t>
      </w:r>
      <w:r>
        <w:rPr>
          <w:rFonts w:hint="eastAsia" w:ascii="仿宋_GB2312" w:hAnsi="仿宋_GB2312" w:eastAsia="仿宋_GB2312" w:cs="仿宋_GB2312"/>
          <w:sz w:val="32"/>
          <w:szCs w:val="32"/>
          <w:highlight w:val="none"/>
        </w:rPr>
        <w:t>用于餐饮服务的建筑物应当配套设立专用烟道，通过专用烟道排放油烟。</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已建居民住宅楼未配套设立专用烟道的，鼓励居民家庭安装油烟净化</w:t>
      </w:r>
      <w:r>
        <w:rPr>
          <w:rFonts w:hint="eastAsia" w:ascii="仿宋_GB2312" w:hAnsi="仿宋_GB2312" w:eastAsia="仿宋_GB2312" w:cs="仿宋_GB2312"/>
          <w:sz w:val="32"/>
          <w:szCs w:val="32"/>
          <w:highlight w:val="none"/>
          <w:lang w:eastAsia="zh-CN"/>
        </w:rPr>
        <w:t>设施</w:t>
      </w:r>
      <w:r>
        <w:rPr>
          <w:rFonts w:hint="eastAsia" w:ascii="仿宋_GB2312" w:hAnsi="仿宋_GB2312" w:eastAsia="仿宋_GB2312" w:cs="仿宋_GB2312"/>
          <w:sz w:val="32"/>
          <w:szCs w:val="32"/>
          <w:highlight w:val="none"/>
        </w:rPr>
        <w:t>或者采取其他油烟净化措施，减少油烟排放。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已</w:t>
      </w:r>
      <w:r>
        <w:rPr>
          <w:rFonts w:hint="eastAsia" w:ascii="仿宋_GB2312" w:hAnsi="仿宋_GB2312" w:eastAsia="仿宋_GB2312" w:cs="仿宋_GB2312"/>
          <w:i w:val="0"/>
          <w:iCs w:val="0"/>
          <w:sz w:val="32"/>
          <w:szCs w:val="32"/>
          <w:highlight w:val="none"/>
          <w:u w:val="none" w:color="auto"/>
          <w:lang w:eastAsia="zh-CN"/>
        </w:rPr>
        <w:t>设立</w:t>
      </w:r>
      <w:r>
        <w:rPr>
          <w:rFonts w:hint="eastAsia" w:ascii="仿宋_GB2312" w:hAnsi="仿宋_GB2312" w:eastAsia="仿宋_GB2312" w:cs="仿宋_GB2312"/>
          <w:sz w:val="32"/>
          <w:szCs w:val="32"/>
          <w:highlight w:val="none"/>
        </w:rPr>
        <w:t>餐饮场所的商住综合楼和用于餐饮服务的建筑物未配套设立专用烟道的，应当加装专用烟道；无法加装专用烟道</w:t>
      </w:r>
      <w:r>
        <w:rPr>
          <w:rFonts w:hint="eastAsia" w:ascii="仿宋_GB2312" w:hAnsi="仿宋_GB2312" w:eastAsia="仿宋_GB2312" w:cs="仿宋_GB2312"/>
          <w:sz w:val="32"/>
          <w:szCs w:val="32"/>
          <w:highlight w:val="none"/>
          <w:lang w:eastAsia="zh-CN"/>
        </w:rPr>
        <w:t>或者采取其他油烟净化措施，使油烟达标排放</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eastAsia="zh-CN"/>
        </w:rPr>
        <w:t>县级以上人民政府确定的监督管理部门应当责令</w:t>
      </w:r>
      <w:r>
        <w:rPr>
          <w:rFonts w:hint="eastAsia" w:ascii="仿宋_GB2312" w:hAnsi="仿宋_GB2312" w:eastAsia="仿宋_GB2312" w:cs="仿宋_GB2312"/>
          <w:sz w:val="32"/>
          <w:szCs w:val="32"/>
          <w:highlight w:val="none"/>
        </w:rPr>
        <w:t>餐饮服务场所限期搬迁。地级以上市人民政府</w:t>
      </w:r>
      <w:r>
        <w:rPr>
          <w:rFonts w:hint="eastAsia" w:ascii="仿宋_GB2312" w:hAnsi="仿宋_GB2312" w:eastAsia="仿宋_GB2312" w:cs="仿宋_GB2312"/>
          <w:i w:val="0"/>
          <w:iCs w:val="0"/>
          <w:sz w:val="32"/>
          <w:szCs w:val="32"/>
          <w:highlight w:val="none"/>
          <w:u w:val="none"/>
          <w:lang w:eastAsia="zh-CN"/>
        </w:rPr>
        <w:t>住房城乡</w:t>
      </w:r>
      <w:r>
        <w:rPr>
          <w:rFonts w:hint="eastAsia" w:ascii="仿宋_GB2312" w:hAnsi="仿宋_GB2312" w:eastAsia="仿宋_GB2312" w:cs="仿宋_GB2312"/>
          <w:sz w:val="32"/>
          <w:szCs w:val="32"/>
          <w:highlight w:val="none"/>
        </w:rPr>
        <w:t>建设</w:t>
      </w:r>
      <w:r>
        <w:rPr>
          <w:rFonts w:hint="eastAsia" w:ascii="仿宋_GB2312" w:hAnsi="仿宋_GB2312" w:eastAsia="仿宋_GB2312" w:cs="仿宋_GB2312"/>
          <w:sz w:val="32"/>
          <w:szCs w:val="32"/>
          <w:highlight w:val="none"/>
          <w:lang w:eastAsia="zh-CN"/>
        </w:rPr>
        <w:t>主管</w:t>
      </w:r>
      <w:r>
        <w:rPr>
          <w:rFonts w:hint="eastAsia" w:ascii="仿宋_GB2312" w:hAnsi="仿宋_GB2312" w:eastAsia="仿宋_GB2312" w:cs="仿宋_GB2312"/>
          <w:sz w:val="32"/>
          <w:szCs w:val="32"/>
          <w:highlight w:val="none"/>
        </w:rPr>
        <w:t>部门应当制定加装专用烟道的具体标准、程序。</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专用烟道油烟排放口设置高度及与周围居民住宅楼等建筑物距离控制应当符合要求。</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严禁封堵、改变专用烟道和向城市地下排水管道排放油烟。</w:t>
      </w:r>
    </w:p>
    <w:p>
      <w:pPr>
        <w:widowControl w:val="0"/>
        <w:shd w:val="clear" w:color="auto" w:fill="FFFFFF"/>
        <w:wordWrap/>
        <w:adjustRightInd/>
        <w:spacing w:afterAutospacing="0" w:line="560" w:lineRule="exact"/>
        <w:ind w:firstLine="640" w:firstLineChars="200"/>
        <w:jc w:val="left"/>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第六十二条  </w:t>
      </w:r>
      <w:r>
        <w:rPr>
          <w:rFonts w:hint="eastAsia" w:ascii="仿宋_GB2312" w:hAnsi="仿宋_GB2312" w:eastAsia="仿宋_GB2312" w:cs="仿宋_GB2312"/>
          <w:color w:val="000000"/>
          <w:kern w:val="2"/>
          <w:sz w:val="32"/>
          <w:szCs w:val="32"/>
          <w:highlight w:val="none"/>
          <w:lang w:val="en-US" w:eastAsia="zh-CN"/>
        </w:rPr>
        <w:t>从事畜禽养殖、屠宰生产经营活动的单位和个人，应当及时对</w:t>
      </w:r>
      <w:r>
        <w:rPr>
          <w:rFonts w:hint="eastAsia" w:ascii="仿宋_GB2312" w:hAnsi="仿宋_GB2312" w:eastAsia="仿宋_GB2312" w:cs="仿宋_GB2312"/>
          <w:sz w:val="32"/>
          <w:szCs w:val="32"/>
          <w:highlight w:val="none"/>
        </w:rPr>
        <w:t>畜禽养殖场、养殖小区、屠宰场</w:t>
      </w:r>
      <w:r>
        <w:rPr>
          <w:rFonts w:hint="eastAsia" w:ascii="仿宋_GB2312" w:hAnsi="仿宋_GB2312" w:eastAsia="仿宋_GB2312" w:cs="仿宋_GB2312"/>
          <w:i w:val="0"/>
          <w:iCs w:val="0"/>
          <w:sz w:val="32"/>
          <w:szCs w:val="32"/>
          <w:highlight w:val="none"/>
          <w:u w:val="none" w:color="auto"/>
          <w:lang w:eastAsia="zh-CN"/>
        </w:rPr>
        <w:t>产生的</w:t>
      </w:r>
      <w:r>
        <w:rPr>
          <w:rFonts w:hint="eastAsia" w:ascii="仿宋_GB2312" w:hAnsi="仿宋_GB2312" w:eastAsia="仿宋_GB2312" w:cs="仿宋_GB2312"/>
          <w:i w:val="0"/>
          <w:iCs w:val="0"/>
          <w:sz w:val="32"/>
          <w:szCs w:val="32"/>
          <w:highlight w:val="none"/>
          <w:u w:val="none" w:color="auto"/>
        </w:rPr>
        <w:t>污水、畜禽粪便等</w:t>
      </w:r>
      <w:r>
        <w:rPr>
          <w:rFonts w:hint="eastAsia" w:ascii="仿宋_GB2312" w:hAnsi="仿宋_GB2312" w:eastAsia="仿宋_GB2312" w:cs="仿宋_GB2312"/>
          <w:sz w:val="32"/>
          <w:szCs w:val="32"/>
          <w:highlight w:val="none"/>
        </w:rPr>
        <w:t>进行收集、贮存、清运和无害化处理，防止</w:t>
      </w:r>
      <w:r>
        <w:rPr>
          <w:rFonts w:hint="eastAsia" w:ascii="仿宋_GB2312" w:hAnsi="仿宋_GB2312" w:eastAsia="仿宋_GB2312" w:cs="仿宋_GB2312"/>
          <w:i w:val="0"/>
          <w:iCs w:val="0"/>
          <w:sz w:val="32"/>
          <w:szCs w:val="32"/>
          <w:highlight w:val="none"/>
          <w:u w:val="none" w:color="auto"/>
        </w:rPr>
        <w:t>排放</w:t>
      </w:r>
      <w:r>
        <w:rPr>
          <w:rFonts w:hint="eastAsia" w:ascii="仿宋_GB2312" w:hAnsi="仿宋_GB2312" w:eastAsia="仿宋_GB2312" w:cs="仿宋_GB2312"/>
          <w:sz w:val="32"/>
          <w:szCs w:val="32"/>
          <w:highlight w:val="none"/>
        </w:rPr>
        <w:t>恶臭</w:t>
      </w:r>
      <w:r>
        <w:rPr>
          <w:rFonts w:hint="eastAsia" w:ascii="仿宋_GB2312" w:hAnsi="仿宋_GB2312" w:eastAsia="仿宋_GB2312" w:cs="仿宋_GB2312"/>
          <w:i w:val="0"/>
          <w:iCs w:val="0"/>
          <w:sz w:val="32"/>
          <w:szCs w:val="32"/>
          <w:highlight w:val="none"/>
          <w:u w:val="none" w:color="auto"/>
        </w:rPr>
        <w:t>气体</w:t>
      </w:r>
      <w:r>
        <w:rPr>
          <w:rFonts w:hint="eastAsia" w:ascii="仿宋_GB2312" w:hAnsi="仿宋_GB2312" w:eastAsia="仿宋_GB2312" w:cs="仿宋_GB2312"/>
          <w:sz w:val="32"/>
          <w:szCs w:val="32"/>
          <w:highlight w:val="none"/>
        </w:rPr>
        <w:t>。</w:t>
      </w:r>
    </w:p>
    <w:p>
      <w:pPr>
        <w:widowControl w:val="0"/>
        <w:shd w:val="clear" w:color="auto" w:fill="FFFFFF"/>
        <w:wordWrap/>
        <w:adjustRightInd/>
        <w:spacing w:afterAutospacing="0" w:line="560" w:lineRule="exact"/>
        <w:ind w:left="0" w:firstLine="739" w:firstLineChars="231"/>
        <w:jc w:val="left"/>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黑体" w:hAnsi="黑体" w:eastAsia="黑体" w:cs="黑体"/>
          <w:color w:val="000000"/>
          <w:kern w:val="2"/>
          <w:sz w:val="32"/>
          <w:szCs w:val="32"/>
          <w:highlight w:val="none"/>
          <w:lang w:val="en-US" w:eastAsia="zh-CN"/>
        </w:rPr>
        <w:t xml:space="preserve">第六十三条  </w:t>
      </w:r>
      <w:r>
        <w:rPr>
          <w:rFonts w:hint="eastAsia" w:ascii="仿宋_GB2312" w:hAnsi="仿宋_GB2312" w:eastAsia="仿宋_GB2312" w:cs="仿宋_GB2312"/>
          <w:kern w:val="2"/>
          <w:sz w:val="32"/>
          <w:szCs w:val="32"/>
          <w:highlight w:val="none"/>
          <w:lang w:val="en-US" w:eastAsia="zh-CN" w:bidi="ar-SA"/>
        </w:rPr>
        <w:t>地级以上市应当制定餐饮服务业的油烟、露天焚烧生物质、垃圾等产生烟尘和有毒有害气体的污染防治管理办法。</w:t>
      </w:r>
    </w:p>
    <w:p>
      <w:pPr>
        <w:widowControl w:val="0"/>
        <w:shd w:val="clear" w:color="auto" w:fill="FFFFFF"/>
        <w:wordWrap/>
        <w:adjustRightInd/>
        <w:spacing w:afterAutospacing="0" w:line="560" w:lineRule="exact"/>
        <w:ind w:left="0" w:firstLine="739" w:firstLineChars="231"/>
        <w:jc w:val="left"/>
        <w:textAlignment w:val="auto"/>
        <w:outlineLvl w:val="9"/>
        <w:rPr>
          <w:rFonts w:hint="eastAsia" w:ascii="仿宋_GB2312" w:hAnsi="仿宋_GB2312" w:eastAsia="仿宋_GB2312" w:cs="仿宋_GB2312"/>
          <w:kern w:val="2"/>
          <w:sz w:val="32"/>
          <w:szCs w:val="32"/>
          <w:highlight w:val="none"/>
          <w:lang w:val="en-US" w:eastAsia="zh-CN" w:bidi="ar-SA"/>
        </w:rPr>
      </w:pPr>
    </w:p>
    <w:p>
      <w:pPr>
        <w:widowControl w:val="0"/>
        <w:shd w:val="clear" w:color="auto" w:fill="FFFFFF"/>
        <w:wordWrap/>
        <w:adjustRightInd/>
        <w:spacing w:afterAutospacing="0" w:line="560" w:lineRule="exact"/>
        <w:ind w:left="0" w:firstLine="739" w:firstLineChars="231"/>
        <w:jc w:val="left"/>
        <w:textAlignment w:val="auto"/>
        <w:outlineLvl w:val="9"/>
        <w:rPr>
          <w:rFonts w:hint="eastAsia" w:ascii="黑体" w:hAnsi="黑体" w:eastAsia="黑体" w:cs="黑体"/>
          <w:color w:val="000000"/>
          <w:kern w:val="2"/>
          <w:sz w:val="32"/>
          <w:szCs w:val="32"/>
          <w:highlight w:val="none"/>
          <w:lang w:val="en-US" w:eastAsia="zh-CN"/>
        </w:rPr>
      </w:pPr>
      <w:r>
        <w:rPr>
          <w:rFonts w:hint="eastAsia" w:ascii="黑体" w:hAnsi="黑体" w:eastAsia="黑体" w:cs="黑体"/>
          <w:color w:val="000000"/>
          <w:kern w:val="2"/>
          <w:sz w:val="32"/>
          <w:szCs w:val="32"/>
          <w:highlight w:val="none"/>
          <w:lang w:val="en-US" w:eastAsia="zh-CN"/>
        </w:rPr>
        <w:t>第七章  重污染天气应对和重点区域大气污染联合防治</w:t>
      </w:r>
    </w:p>
    <w:p>
      <w:pPr>
        <w:widowControl w:val="0"/>
        <w:numPr>
          <w:ilvl w:val="0"/>
          <w:numId w:val="0"/>
        </w:numPr>
        <w:wordWrap/>
        <w:adjustRightInd/>
        <w:snapToGrid w:val="0"/>
        <w:spacing w:beforeAutospacing="0" w:afterAutospacing="0" w:line="560" w:lineRule="exact"/>
        <w:ind w:right="0"/>
        <w:jc w:val="both"/>
        <w:textAlignment w:val="auto"/>
        <w:outlineLvl w:val="9"/>
        <w:rPr>
          <w:rFonts w:hint="eastAsia" w:ascii="仿宋_GB2312" w:hAnsi="仿宋_GB2312" w:eastAsia="仿宋_GB2312" w:cs="仿宋_GB2312"/>
          <w:sz w:val="32"/>
          <w:szCs w:val="32"/>
          <w:highlight w:val="none"/>
        </w:rPr>
      </w:pP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第六十四条  </w:t>
      </w:r>
      <w:r>
        <w:rPr>
          <w:rFonts w:hint="eastAsia" w:ascii="仿宋_GB2312" w:hAnsi="仿宋_GB2312" w:eastAsia="仿宋_GB2312" w:cs="仿宋_GB2312"/>
          <w:sz w:val="32"/>
          <w:szCs w:val="32"/>
          <w:highlight w:val="none"/>
          <w:lang w:eastAsia="zh-CN"/>
        </w:rPr>
        <w:t>省和</w:t>
      </w:r>
      <w:r>
        <w:rPr>
          <w:rFonts w:hint="eastAsia" w:ascii="仿宋_GB2312" w:hAnsi="仿宋_GB2312" w:eastAsia="仿宋_GB2312" w:cs="仿宋_GB2312"/>
          <w:sz w:val="32"/>
          <w:szCs w:val="32"/>
          <w:highlight w:val="none"/>
          <w:lang w:val="en-US" w:eastAsia="zh-CN"/>
        </w:rPr>
        <w:t>地级以上市</w:t>
      </w:r>
      <w:r>
        <w:rPr>
          <w:rFonts w:hint="eastAsia" w:ascii="仿宋_GB2312" w:hAnsi="仿宋_GB2312" w:eastAsia="仿宋_GB2312" w:cs="仿宋_GB2312"/>
          <w:sz w:val="32"/>
          <w:szCs w:val="32"/>
          <w:highlight w:val="none"/>
        </w:rPr>
        <w:t>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sz w:val="32"/>
          <w:szCs w:val="32"/>
          <w:highlight w:val="none"/>
          <w:lang w:eastAsia="zh-CN"/>
        </w:rPr>
        <w:t>应当会同</w:t>
      </w:r>
      <w:r>
        <w:rPr>
          <w:rFonts w:hint="eastAsia" w:ascii="仿宋_GB2312" w:hAnsi="仿宋_GB2312" w:eastAsia="仿宋_GB2312" w:cs="仿宋_GB2312"/>
          <w:sz w:val="32"/>
          <w:szCs w:val="32"/>
          <w:highlight w:val="none"/>
        </w:rPr>
        <w:t>气象</w:t>
      </w:r>
      <w:r>
        <w:rPr>
          <w:rFonts w:hint="eastAsia" w:ascii="仿宋_GB2312" w:hAnsi="仿宋_GB2312" w:eastAsia="仿宋_GB2312" w:cs="仿宋_GB2312"/>
          <w:sz w:val="32"/>
          <w:szCs w:val="32"/>
          <w:highlight w:val="none"/>
          <w:lang w:eastAsia="zh-CN"/>
        </w:rPr>
        <w:t>等有关部门</w:t>
      </w:r>
      <w:r>
        <w:rPr>
          <w:rFonts w:hint="eastAsia" w:ascii="仿宋_GB2312" w:hAnsi="仿宋_GB2312" w:eastAsia="仿宋_GB2312" w:cs="仿宋_GB2312"/>
          <w:sz w:val="32"/>
          <w:szCs w:val="32"/>
          <w:highlight w:val="none"/>
        </w:rPr>
        <w:t>建立重污染天气</w:t>
      </w:r>
      <w:r>
        <w:rPr>
          <w:rFonts w:hint="eastAsia" w:ascii="仿宋_GB2312" w:hAnsi="仿宋_GB2312" w:eastAsia="仿宋_GB2312" w:cs="仿宋_GB2312"/>
          <w:sz w:val="32"/>
          <w:szCs w:val="32"/>
          <w:highlight w:val="none"/>
          <w:lang w:eastAsia="zh-CN"/>
        </w:rPr>
        <w:t>监测</w:t>
      </w:r>
      <w:r>
        <w:rPr>
          <w:rFonts w:hint="eastAsia" w:ascii="仿宋_GB2312" w:hAnsi="仿宋_GB2312" w:eastAsia="仿宋_GB2312" w:cs="仿宋_GB2312"/>
          <w:sz w:val="32"/>
          <w:szCs w:val="32"/>
          <w:highlight w:val="none"/>
        </w:rPr>
        <w:t>预警</w:t>
      </w:r>
      <w:r>
        <w:rPr>
          <w:rFonts w:hint="eastAsia" w:ascii="仿宋_GB2312" w:hAnsi="仿宋_GB2312" w:eastAsia="仿宋_GB2312" w:cs="仿宋_GB2312"/>
          <w:sz w:val="32"/>
          <w:szCs w:val="32"/>
          <w:highlight w:val="none"/>
          <w:lang w:val="en-US" w:eastAsia="zh-CN"/>
        </w:rPr>
        <w:t>机制</w:t>
      </w:r>
      <w:r>
        <w:rPr>
          <w:rFonts w:hint="eastAsia" w:ascii="仿宋_GB2312" w:hAnsi="仿宋_GB2312" w:eastAsia="仿宋_GB2312" w:cs="仿宋_GB2312"/>
          <w:sz w:val="32"/>
          <w:szCs w:val="32"/>
          <w:highlight w:val="none"/>
        </w:rPr>
        <w:t>，对大气环境质量和重污染天气进行</w:t>
      </w:r>
      <w:r>
        <w:rPr>
          <w:rFonts w:hint="eastAsia" w:ascii="仿宋_GB2312" w:hAnsi="仿宋_GB2312" w:eastAsia="仿宋_GB2312" w:cs="仿宋_GB2312"/>
          <w:sz w:val="32"/>
          <w:szCs w:val="32"/>
          <w:highlight w:val="none"/>
          <w:lang w:eastAsia="zh-CN"/>
        </w:rPr>
        <w:t>监测和</w:t>
      </w:r>
      <w:r>
        <w:rPr>
          <w:rFonts w:hint="eastAsia" w:ascii="仿宋_GB2312" w:hAnsi="仿宋_GB2312" w:eastAsia="仿宋_GB2312" w:cs="仿宋_GB2312"/>
          <w:sz w:val="32"/>
          <w:szCs w:val="32"/>
          <w:highlight w:val="none"/>
        </w:rPr>
        <w:t>预报。</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省人民政府、地级以上市人民政府和可能发生重污染天气的县级人民政府应当制定重污染天气应急预案，建立排污单位管控清单，采取相应应急减排措施。重污染天气应急预案应当向上一级人民政府生态环境主管部门备案，并向社会公布。制定重污染天气应急预案应当充分听取社会各方面意见。</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color w:val="auto"/>
          <w:sz w:val="32"/>
          <w:szCs w:val="32"/>
          <w:highlight w:val="none"/>
          <w:u w:val="none" w:color="auto"/>
        </w:rPr>
      </w:pPr>
      <w:r>
        <w:rPr>
          <w:rFonts w:hint="eastAsia" w:ascii="黑体" w:hAnsi="黑体" w:eastAsia="黑体" w:cs="黑体"/>
          <w:color w:val="000000"/>
          <w:kern w:val="2"/>
          <w:sz w:val="32"/>
          <w:szCs w:val="32"/>
          <w:highlight w:val="none"/>
          <w:lang w:val="en-US" w:eastAsia="zh-CN"/>
        </w:rPr>
        <w:t xml:space="preserve">第六十五条  </w:t>
      </w:r>
      <w:r>
        <w:rPr>
          <w:rFonts w:hint="eastAsia" w:ascii="仿宋_GB2312" w:hAnsi="仿宋_GB2312" w:eastAsia="仿宋_GB2312" w:cs="仿宋_GB2312"/>
          <w:sz w:val="32"/>
          <w:szCs w:val="32"/>
          <w:highlight w:val="none"/>
        </w:rPr>
        <w:t>县级以上人民政府应当根据重污染天气预警等级，及时启动应急预案，根据应急需要</w:t>
      </w:r>
      <w:r>
        <w:rPr>
          <w:rFonts w:hint="eastAsia" w:ascii="仿宋_GB2312" w:hAnsi="仿宋_GB2312" w:eastAsia="仿宋_GB2312" w:cs="仿宋_GB2312"/>
          <w:sz w:val="32"/>
          <w:szCs w:val="32"/>
          <w:highlight w:val="none"/>
          <w:lang w:eastAsia="zh-CN"/>
        </w:rPr>
        <w:t>采取相应响应措施：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（一）</w:t>
      </w:r>
      <w:r>
        <w:rPr>
          <w:rFonts w:hint="eastAsia" w:ascii="仿宋_GB2312" w:hAnsi="仿宋_GB2312" w:eastAsia="仿宋_GB2312" w:cs="仿宋_GB2312"/>
          <w:sz w:val="32"/>
          <w:szCs w:val="32"/>
          <w:highlight w:val="none"/>
        </w:rPr>
        <w:t>责令有关企业停产或者限产；</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限制部分机动车行驶</w:t>
      </w:r>
      <w:r>
        <w:rPr>
          <w:rFonts w:hint="eastAsia" w:ascii="仿宋_GB2312" w:hAnsi="仿宋_GB2312" w:eastAsia="仿宋_GB2312" w:cs="仿宋_GB2312"/>
          <w:sz w:val="32"/>
          <w:szCs w:val="32"/>
          <w:highlight w:val="none"/>
          <w:lang w:eastAsia="zh-CN"/>
        </w:rPr>
        <w:t>、限制非道路移动机械使用</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停止工地土石方作业和建筑物拆除施工</w:t>
      </w:r>
      <w:r>
        <w:rPr>
          <w:rFonts w:hint="eastAsia" w:ascii="仿宋_GB2312" w:hAnsi="仿宋_GB2312" w:eastAsia="仿宋_GB2312" w:cs="仿宋_GB2312"/>
          <w:sz w:val="32"/>
          <w:szCs w:val="32"/>
          <w:highlight w:val="none"/>
          <w:lang w:eastAsia="zh-CN"/>
        </w:rPr>
        <w:t>，以及</w:t>
      </w:r>
      <w:r>
        <w:rPr>
          <w:rFonts w:hint="eastAsia" w:ascii="仿宋_GB2312" w:hAnsi="仿宋_GB2312" w:eastAsia="仿宋_GB2312" w:cs="仿宋_GB2312"/>
          <w:sz w:val="32"/>
          <w:szCs w:val="32"/>
          <w:highlight w:val="none"/>
        </w:rPr>
        <w:t>停止或者限制其他产生扬尘的施工作业；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禁止燃放烟花爆竹</w:t>
      </w:r>
      <w:r>
        <w:rPr>
          <w:rFonts w:hint="eastAsia" w:ascii="仿宋_GB2312" w:hAnsi="仿宋_GB2312" w:eastAsia="仿宋_GB2312" w:cs="仿宋_GB2312"/>
          <w:sz w:val="32"/>
          <w:szCs w:val="32"/>
          <w:highlight w:val="none"/>
          <w:lang w:eastAsia="zh-CN"/>
        </w:rPr>
        <w:t>、禁止生物质、垃圾露天焚烧</w:t>
      </w:r>
      <w:r>
        <w:rPr>
          <w:rFonts w:hint="eastAsia" w:ascii="仿宋_GB2312" w:hAnsi="仿宋_GB2312" w:eastAsia="仿宋_GB2312" w:cs="仿宋_GB2312"/>
          <w:sz w:val="32"/>
          <w:szCs w:val="32"/>
          <w:highlight w:val="none"/>
        </w:rPr>
        <w:t>和露天烧烤；</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停止学校和幼儿园组织的户外活动或者教学活动；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（六）</w:t>
      </w:r>
      <w:r>
        <w:rPr>
          <w:rFonts w:hint="eastAsia" w:ascii="仿宋_GB2312" w:hAnsi="仿宋_GB2312" w:eastAsia="仿宋_GB2312" w:cs="仿宋_GB2312"/>
          <w:sz w:val="32"/>
          <w:szCs w:val="32"/>
          <w:highlight w:val="none"/>
        </w:rPr>
        <w:t>增加洒水频次；</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组织开展人工影响天气作业；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（八）县</w:t>
      </w:r>
      <w:r>
        <w:rPr>
          <w:rFonts w:hint="eastAsia" w:ascii="仿宋_GB2312" w:hAnsi="仿宋_GB2312" w:eastAsia="仿宋_GB2312" w:cs="仿宋_GB2312"/>
          <w:sz w:val="32"/>
          <w:szCs w:val="32"/>
          <w:highlight w:val="none"/>
        </w:rPr>
        <w:t>级以上人民政府规定的其他应急响应措施。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企业事业单位</w:t>
      </w:r>
      <w:r>
        <w:rPr>
          <w:rFonts w:hint="eastAsia" w:ascii="仿宋_GB2312" w:hAnsi="仿宋_GB2312" w:eastAsia="仿宋_GB2312" w:cs="仿宋_GB2312"/>
          <w:sz w:val="32"/>
          <w:szCs w:val="32"/>
          <w:highlight w:val="none"/>
          <w:lang w:eastAsia="zh-CN"/>
        </w:rPr>
        <w:t>和其他生产经营者</w:t>
      </w:r>
      <w:r>
        <w:rPr>
          <w:rFonts w:hint="eastAsia" w:ascii="仿宋_GB2312" w:hAnsi="仿宋_GB2312" w:eastAsia="仿宋_GB2312" w:cs="仿宋_GB2312"/>
          <w:sz w:val="32"/>
          <w:szCs w:val="32"/>
          <w:highlight w:val="none"/>
        </w:rPr>
        <w:t>、公民应当配合县级以上人民政府及其有关部门采取的重污染天气应急响应措施。</w:t>
      </w: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rPr>
        <w:t>第</w:t>
      </w:r>
      <w:r>
        <w:rPr>
          <w:rFonts w:hint="eastAsia" w:ascii="黑体" w:hAnsi="黑体" w:eastAsia="黑体" w:cs="黑体"/>
          <w:sz w:val="32"/>
          <w:szCs w:val="32"/>
          <w:highlight w:val="none"/>
          <w:lang w:eastAsia="zh-CN"/>
        </w:rPr>
        <w:t>六十六</w:t>
      </w:r>
      <w:r>
        <w:rPr>
          <w:rFonts w:hint="eastAsia" w:ascii="黑体" w:hAnsi="黑体" w:eastAsia="黑体" w:cs="黑体"/>
          <w:b w:val="0"/>
          <w:bCs w:val="0"/>
          <w:sz w:val="32"/>
          <w:szCs w:val="32"/>
          <w:highlight w:val="none"/>
        </w:rPr>
        <w:t>条</w:t>
      </w:r>
      <w:r>
        <w:rPr>
          <w:rFonts w:hint="eastAsia" w:ascii="黑体" w:hAnsi="黑体" w:eastAsia="黑体" w:cs="黑体"/>
          <w:b w:val="0"/>
          <w:bCs w:val="0"/>
          <w:sz w:val="32"/>
          <w:szCs w:val="32"/>
          <w:highlight w:val="none"/>
          <w:lang w:val="en-US" w:eastAsia="zh-CN"/>
        </w:rPr>
        <w:t xml:space="preserve">  </w:t>
      </w:r>
      <w:r>
        <w:rPr>
          <w:rFonts w:hint="eastAsia" w:ascii="仿宋_GB2312" w:hAnsi="仿宋_GB2312" w:eastAsia="仿宋_GB2312" w:cs="仿宋_GB2312"/>
          <w:sz w:val="32"/>
          <w:szCs w:val="32"/>
          <w:highlight w:val="none"/>
        </w:rPr>
        <w:t>省人民政府应当与周边地区建立大气污染防治协调合作机制，定期协商区域内大气污染防治重大事项。</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第六十七条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省人民政府应当根据主体功能区划、区域大气环境质量状况和大气污染传输扩散规律，划定本省大气污染防治重点区域，</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建立区域大气污染防治联防联控监督协作机制，统筹协调区域内的大气污染防治工作。</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重点区域内地级以上市人民政府应当加强沟通协调，共享大气环境质量信息，协商解决跨界大气污染纠纷，</w:t>
      </w:r>
      <w:r>
        <w:rPr>
          <w:rFonts w:hint="eastAsia" w:ascii="仿宋_GB2312" w:hAnsi="仿宋_GB2312" w:eastAsia="仿宋_GB2312" w:cs="仿宋_GB2312"/>
          <w:sz w:val="32"/>
          <w:szCs w:val="32"/>
          <w:highlight w:val="none"/>
          <w:lang w:eastAsia="zh-CN"/>
        </w:rPr>
        <w:t>依法</w:t>
      </w:r>
      <w:r>
        <w:rPr>
          <w:rFonts w:hint="eastAsia" w:ascii="仿宋_GB2312" w:hAnsi="仿宋_GB2312" w:eastAsia="仿宋_GB2312" w:cs="仿宋_GB2312"/>
          <w:sz w:val="32"/>
          <w:szCs w:val="32"/>
          <w:highlight w:val="none"/>
        </w:rPr>
        <w:t>开展联合执法行动，查处区域内大气污染违法行为，共同做好区域内大气污染防治工作。</w:t>
      </w:r>
    </w:p>
    <w:p>
      <w:pPr>
        <w:widowControl w:val="0"/>
        <w:wordWrap/>
        <w:adjustRightInd/>
        <w:spacing w:line="560" w:lineRule="exact"/>
        <w:ind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b w:val="0"/>
          <w:bCs w:val="0"/>
          <w:sz w:val="32"/>
          <w:szCs w:val="32"/>
          <w:highlight w:val="none"/>
        </w:rPr>
        <w:t>第</w:t>
      </w:r>
      <w:r>
        <w:rPr>
          <w:rFonts w:hint="eastAsia" w:ascii="黑体" w:hAnsi="黑体" w:eastAsia="黑体" w:cs="黑体"/>
          <w:b w:val="0"/>
          <w:bCs w:val="0"/>
          <w:sz w:val="32"/>
          <w:szCs w:val="32"/>
          <w:highlight w:val="none"/>
          <w:lang w:eastAsia="zh-CN"/>
        </w:rPr>
        <w:t>六十八</w:t>
      </w:r>
      <w:r>
        <w:rPr>
          <w:rFonts w:hint="eastAsia" w:ascii="黑体" w:hAnsi="黑体" w:eastAsia="黑体" w:cs="黑体"/>
          <w:b w:val="0"/>
          <w:bCs w:val="0"/>
          <w:sz w:val="32"/>
          <w:szCs w:val="32"/>
          <w:highlight w:val="none"/>
        </w:rPr>
        <w:t>条</w:t>
      </w:r>
      <w:r>
        <w:rPr>
          <w:rFonts w:hint="eastAsia" w:ascii="黑体" w:hAnsi="黑体" w:eastAsia="黑体" w:cs="黑体"/>
          <w:b w:val="0"/>
          <w:bCs w:val="0"/>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编制可能对本省大气污染防治重点区域的大气环境造成严重污染的有关工业园区、产业园区、开发区、区域产业和发展等规划，应当依法进行环境影响评价。规划编制机关应当与重点区域内有关地级以上市人民政府或者有关部门会商。</w:t>
      </w:r>
    </w:p>
    <w:p>
      <w:pPr>
        <w:widowControl w:val="0"/>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地级以上市建设可能对相邻行政区域大气环境质量产生重大影响的项目，应当及时通报有关信息，进行会商。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会商意见及其采纳情况作为环境影响评价文件审查或者审批的重要依据。</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第八章  法律责任</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六十九</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十六</w:t>
      </w:r>
      <w:r>
        <w:rPr>
          <w:rFonts w:hint="eastAsia" w:ascii="仿宋_GB2312" w:hAnsi="仿宋_GB2312" w:eastAsia="仿宋_GB2312" w:cs="仿宋_GB2312"/>
          <w:sz w:val="32"/>
          <w:szCs w:val="32"/>
          <w:highlight w:val="none"/>
        </w:rPr>
        <w:t>条第</w:t>
      </w:r>
      <w:r>
        <w:rPr>
          <w:rFonts w:hint="eastAsia" w:ascii="仿宋_GB2312" w:hAnsi="仿宋_GB2312" w:eastAsia="仿宋_GB2312" w:cs="仿宋_GB2312"/>
          <w:b w:val="0"/>
          <w:bCs w:val="0"/>
          <w:sz w:val="32"/>
          <w:szCs w:val="32"/>
          <w:highlight w:val="none"/>
          <w:lang w:eastAsia="zh-CN"/>
        </w:rPr>
        <w:t>一</w:t>
      </w:r>
      <w:r>
        <w:rPr>
          <w:rFonts w:hint="eastAsia" w:ascii="仿宋_GB2312" w:hAnsi="仿宋_GB2312" w:eastAsia="仿宋_GB2312" w:cs="仿宋_GB2312"/>
          <w:sz w:val="32"/>
          <w:szCs w:val="32"/>
          <w:highlight w:val="none"/>
        </w:rPr>
        <w:t>款规定，新建、扩建列入名录的高污染工业项目</w:t>
      </w:r>
      <w:r>
        <w:rPr>
          <w:rFonts w:hint="eastAsia" w:ascii="仿宋_GB2312" w:hAnsi="仿宋_GB2312" w:eastAsia="仿宋_GB2312" w:cs="仿宋_GB2312"/>
          <w:i/>
          <w:iCs/>
          <w:sz w:val="32"/>
          <w:szCs w:val="32"/>
          <w:highlight w:val="none"/>
          <w:u w:val="none"/>
          <w:lang w:eastAsia="zh-CN"/>
        </w:rPr>
        <w:t>、</w:t>
      </w:r>
      <w:r>
        <w:rPr>
          <w:rFonts w:hint="eastAsia" w:ascii="仿宋_GB2312" w:hAnsi="仿宋_GB2312" w:eastAsia="仿宋_GB2312" w:cs="仿宋_GB2312"/>
          <w:sz w:val="32"/>
          <w:szCs w:val="32"/>
          <w:highlight w:val="none"/>
        </w:rPr>
        <w:t>使用列入淘汰名录的高污染工艺设备</w:t>
      </w:r>
      <w:r>
        <w:rPr>
          <w:rFonts w:hint="eastAsia" w:ascii="仿宋_GB2312" w:hAnsi="仿宋_GB2312" w:eastAsia="仿宋_GB2312" w:cs="仿宋_GB2312"/>
          <w:i w:val="0"/>
          <w:iCs w:val="0"/>
          <w:sz w:val="32"/>
          <w:szCs w:val="32"/>
          <w:highlight w:val="none"/>
          <w:u w:val="none"/>
          <w:lang w:eastAsia="zh-CN"/>
        </w:rPr>
        <w:t>、或者</w:t>
      </w:r>
      <w:r>
        <w:rPr>
          <w:rFonts w:hint="eastAsia" w:ascii="仿宋_GB2312" w:hAnsi="仿宋_GB2312" w:eastAsia="仿宋_GB2312" w:cs="仿宋_GB2312"/>
          <w:sz w:val="32"/>
          <w:szCs w:val="32"/>
          <w:highlight w:val="none"/>
        </w:rPr>
        <w:t>将淘汰的高污染工艺设备转让给他人使用的，由县级以上人民政府</w:t>
      </w:r>
      <w:r>
        <w:rPr>
          <w:rFonts w:hint="eastAsia" w:ascii="仿宋_GB2312" w:hAnsi="仿宋_GB2312" w:eastAsia="仿宋_GB2312" w:cs="仿宋_GB2312"/>
          <w:sz w:val="32"/>
          <w:szCs w:val="32"/>
          <w:highlight w:val="none"/>
          <w:lang w:eastAsia="zh-CN"/>
        </w:rPr>
        <w:t>发展改革主管部门、工业</w:t>
      </w:r>
      <w:r>
        <w:rPr>
          <w:rFonts w:hint="eastAsia" w:ascii="仿宋_GB2312" w:hAnsi="仿宋_GB2312" w:eastAsia="仿宋_GB2312" w:cs="仿宋_GB2312"/>
          <w:sz w:val="32"/>
          <w:szCs w:val="32"/>
          <w:highlight w:val="none"/>
        </w:rPr>
        <w:t>和信息化主管部门</w:t>
      </w:r>
      <w:r>
        <w:rPr>
          <w:rFonts w:hint="eastAsia" w:ascii="仿宋_GB2312" w:hAnsi="仿宋_GB2312" w:eastAsia="仿宋_GB2312" w:cs="仿宋_GB2312"/>
          <w:sz w:val="32"/>
          <w:szCs w:val="32"/>
          <w:highlight w:val="none"/>
          <w:lang w:eastAsia="zh-CN"/>
        </w:rPr>
        <w:t>依照职权分工</w:t>
      </w:r>
      <w:r>
        <w:rPr>
          <w:rFonts w:hint="eastAsia" w:ascii="仿宋_GB2312" w:hAnsi="仿宋_GB2312" w:eastAsia="仿宋_GB2312" w:cs="仿宋_GB2312"/>
          <w:sz w:val="32"/>
          <w:szCs w:val="32"/>
          <w:highlight w:val="none"/>
        </w:rPr>
        <w:t>责令改正，没收违法所得，并处货值金额一倍以上三倍以下的罚款；拒不改正的，报经有批准权的人民政府批准，责令停业、关闭。</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第七十条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十九</w:t>
      </w:r>
      <w:r>
        <w:rPr>
          <w:rFonts w:hint="eastAsia" w:ascii="仿宋_GB2312" w:hAnsi="仿宋_GB2312" w:eastAsia="仿宋_GB2312" w:cs="仿宋_GB2312"/>
          <w:sz w:val="32"/>
          <w:szCs w:val="32"/>
          <w:highlight w:val="none"/>
        </w:rPr>
        <w:t>条规定，</w:t>
      </w:r>
      <w:r>
        <w:rPr>
          <w:rFonts w:hint="eastAsia" w:ascii="仿宋_GB2312" w:hAnsi="仿宋_GB2312" w:eastAsia="仿宋_GB2312" w:cs="仿宋_GB2312"/>
          <w:sz w:val="32"/>
          <w:szCs w:val="32"/>
          <w:highlight w:val="none"/>
          <w:lang w:eastAsia="zh-CN"/>
        </w:rPr>
        <w:t>重点大气污染物排放浓度</w:t>
      </w:r>
      <w:r>
        <w:rPr>
          <w:rFonts w:hint="eastAsia" w:ascii="仿宋_GB2312" w:hAnsi="仿宋_GB2312" w:eastAsia="仿宋_GB2312" w:cs="仿宋_GB2312"/>
          <w:sz w:val="32"/>
          <w:szCs w:val="32"/>
          <w:highlight w:val="none"/>
        </w:rPr>
        <w:t>未按照要求达到超低排放</w:t>
      </w:r>
      <w:r>
        <w:rPr>
          <w:rFonts w:hint="eastAsia" w:ascii="仿宋_GB2312" w:hAnsi="仿宋_GB2312" w:eastAsia="仿宋_GB2312" w:cs="仿宋_GB2312"/>
          <w:sz w:val="32"/>
          <w:szCs w:val="32"/>
          <w:highlight w:val="none"/>
          <w:lang w:eastAsia="zh-CN"/>
        </w:rPr>
        <w:t>要求</w:t>
      </w:r>
      <w:r>
        <w:rPr>
          <w:rFonts w:hint="eastAsia" w:ascii="仿宋_GB2312" w:hAnsi="仿宋_GB2312" w:eastAsia="仿宋_GB2312" w:cs="仿宋_GB2312"/>
          <w:sz w:val="32"/>
          <w:szCs w:val="32"/>
          <w:highlight w:val="none"/>
        </w:rPr>
        <w:t>的，由县级以上人民政府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环境主管部门责令改正或者限制生产、停产整治，并处十万元以上一百万元以下的罚款；情节严重的，报经有批准权的人民政府批准，责令停业。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第七十一条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w:t>
      </w:r>
      <w:r>
        <w:rPr>
          <w:rFonts w:hint="eastAsia" w:ascii="仿宋_GB2312" w:hAnsi="仿宋_GB2312" w:eastAsia="仿宋_GB2312" w:cs="仿宋_GB2312"/>
          <w:sz w:val="32"/>
          <w:szCs w:val="32"/>
          <w:highlight w:val="none"/>
        </w:rPr>
        <w:t>条第二款规定</w:t>
      </w:r>
      <w:r>
        <w:rPr>
          <w:rFonts w:hint="eastAsia" w:ascii="黑体" w:hAnsi="黑体" w:eastAsia="黑体" w:cs="黑体"/>
          <w:sz w:val="32"/>
          <w:szCs w:val="32"/>
          <w:highlight w:val="none"/>
          <w:lang w:eastAsia="zh-CN"/>
        </w:rPr>
        <w:t>，</w:t>
      </w:r>
      <w:r>
        <w:rPr>
          <w:rFonts w:hint="eastAsia" w:ascii="仿宋_GB2312" w:hAnsi="仿宋_GB2312" w:eastAsia="仿宋_GB2312" w:cs="仿宋_GB2312"/>
          <w:b w:val="0"/>
          <w:bCs w:val="0"/>
          <w:sz w:val="32"/>
          <w:szCs w:val="32"/>
          <w:highlight w:val="none"/>
          <w:lang w:eastAsia="zh-CN"/>
        </w:rPr>
        <w:t>在集中供热管网覆盖范围内，</w:t>
      </w:r>
      <w:r>
        <w:rPr>
          <w:rFonts w:hint="eastAsia" w:ascii="仿宋_GB2312" w:hAnsi="仿宋_GB2312" w:eastAsia="仿宋_GB2312" w:cs="仿宋_GB2312"/>
          <w:sz w:val="32"/>
          <w:szCs w:val="32"/>
          <w:highlight w:val="none"/>
        </w:rPr>
        <w:t>新建、扩建燃用煤炭、重油、渣油、生物质等</w:t>
      </w:r>
      <w:r>
        <w:rPr>
          <w:rFonts w:hint="eastAsia" w:ascii="仿宋_GB2312" w:hAnsi="仿宋_GB2312" w:eastAsia="仿宋_GB2312" w:cs="仿宋_GB2312"/>
          <w:i w:val="0"/>
          <w:iCs w:val="0"/>
          <w:sz w:val="32"/>
          <w:szCs w:val="32"/>
          <w:highlight w:val="none"/>
          <w:u w:val="none"/>
          <w:lang w:eastAsia="zh-CN"/>
        </w:rPr>
        <w:t>分散供热锅炉</w:t>
      </w:r>
      <w:r>
        <w:rPr>
          <w:rFonts w:hint="eastAsia" w:ascii="仿宋_GB2312" w:hAnsi="仿宋_GB2312" w:eastAsia="仿宋_GB2312" w:cs="仿宋_GB2312"/>
          <w:sz w:val="32"/>
          <w:szCs w:val="32"/>
          <w:highlight w:val="none"/>
        </w:rPr>
        <w:t>，或者未按照规定拆除已建成的不能达标排放的供热</w:t>
      </w:r>
      <w:r>
        <w:rPr>
          <w:rFonts w:hint="eastAsia" w:ascii="仿宋_GB2312" w:hAnsi="仿宋_GB2312" w:eastAsia="仿宋_GB2312" w:cs="仿宋_GB2312"/>
          <w:i w:val="0"/>
          <w:iCs w:val="0"/>
          <w:sz w:val="32"/>
          <w:szCs w:val="32"/>
          <w:highlight w:val="none"/>
          <w:u w:val="none"/>
          <w:lang w:eastAsia="zh-CN"/>
        </w:rPr>
        <w:t>锅炉</w:t>
      </w:r>
      <w:r>
        <w:rPr>
          <w:rFonts w:hint="eastAsia" w:ascii="仿宋_GB2312" w:hAnsi="仿宋_GB2312" w:eastAsia="仿宋_GB2312" w:cs="仿宋_GB2312"/>
          <w:sz w:val="32"/>
          <w:szCs w:val="32"/>
          <w:highlight w:val="none"/>
        </w:rPr>
        <w:t>的，由县级以上人民政府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b w:val="0"/>
          <w:bCs w:val="0"/>
          <w:sz w:val="32"/>
          <w:szCs w:val="32"/>
          <w:highlight w:val="none"/>
          <w:lang w:val="en-US" w:eastAsia="zh-CN"/>
        </w:rPr>
        <w:t>组织拆除供热锅炉</w:t>
      </w:r>
      <w:r>
        <w:rPr>
          <w:rFonts w:hint="eastAsia" w:ascii="仿宋_GB2312" w:hAnsi="仿宋_GB2312" w:eastAsia="仿宋_GB2312" w:cs="仿宋_GB2312"/>
          <w:sz w:val="32"/>
          <w:szCs w:val="32"/>
          <w:highlight w:val="none"/>
        </w:rPr>
        <w:t>，并处十万元以上二十万元以下的罚款。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第七十二条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二十一</w:t>
      </w:r>
      <w:r>
        <w:rPr>
          <w:rFonts w:hint="eastAsia" w:ascii="仿宋_GB2312" w:hAnsi="仿宋_GB2312" w:eastAsia="仿宋_GB2312" w:cs="仿宋_GB2312"/>
          <w:sz w:val="32"/>
          <w:szCs w:val="32"/>
          <w:highlight w:val="none"/>
        </w:rPr>
        <w:t>条规定，安装国家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省明令淘汰、强制报废、禁止制造和使用的锅炉等燃烧设备</w:t>
      </w:r>
      <w:r>
        <w:rPr>
          <w:rFonts w:hint="eastAsia" w:ascii="仿宋_GB2312" w:hAnsi="仿宋_GB2312" w:eastAsia="仿宋_GB2312" w:cs="仿宋_GB2312"/>
          <w:sz w:val="32"/>
          <w:szCs w:val="32"/>
          <w:highlight w:val="none"/>
          <w:lang w:eastAsia="zh-CN"/>
        </w:rPr>
        <w:t>，或者安装地级以上市人民政府限制使用的高污染锅炉、炉窑</w:t>
      </w:r>
      <w:r>
        <w:rPr>
          <w:rFonts w:hint="eastAsia" w:ascii="仿宋_GB2312" w:hAnsi="仿宋_GB2312" w:eastAsia="仿宋_GB2312" w:cs="仿宋_GB2312"/>
          <w:sz w:val="32"/>
          <w:szCs w:val="32"/>
          <w:highlight w:val="none"/>
        </w:rPr>
        <w:t>的，由县级以上人民政府</w:t>
      </w:r>
      <w:r>
        <w:rPr>
          <w:rFonts w:hint="eastAsia" w:ascii="仿宋_GB2312" w:hAnsi="仿宋_GB2312" w:eastAsia="仿宋_GB2312" w:cs="仿宋_GB2312"/>
          <w:sz w:val="32"/>
          <w:szCs w:val="32"/>
          <w:highlight w:val="none"/>
          <w:lang w:eastAsia="zh-CN"/>
        </w:rPr>
        <w:t>市场</w:t>
      </w:r>
      <w:r>
        <w:rPr>
          <w:rFonts w:hint="eastAsia" w:ascii="仿宋_GB2312" w:hAnsi="仿宋_GB2312" w:eastAsia="仿宋_GB2312" w:cs="仿宋_GB2312"/>
          <w:sz w:val="32"/>
          <w:szCs w:val="32"/>
          <w:highlight w:val="none"/>
        </w:rPr>
        <w:t>监督</w:t>
      </w:r>
      <w:r>
        <w:rPr>
          <w:rFonts w:hint="eastAsia" w:ascii="仿宋_GB2312" w:hAnsi="仿宋_GB2312" w:eastAsia="仿宋_GB2312" w:cs="仿宋_GB2312"/>
          <w:sz w:val="32"/>
          <w:szCs w:val="32"/>
          <w:highlight w:val="none"/>
          <w:lang w:eastAsia="zh-CN"/>
        </w:rPr>
        <w:t>管理</w:t>
      </w:r>
      <w:r>
        <w:rPr>
          <w:rFonts w:hint="eastAsia" w:ascii="仿宋_GB2312" w:hAnsi="仿宋_GB2312" w:eastAsia="仿宋_GB2312" w:cs="仿宋_GB2312"/>
          <w:sz w:val="32"/>
          <w:szCs w:val="32"/>
          <w:highlight w:val="none"/>
        </w:rPr>
        <w:t>主管部门、</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环境主管部门责令改正，没收违法所得，并处二万元以上二十万元以下的罚款。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lang w:eastAsia="zh-CN"/>
        </w:rPr>
      </w:pPr>
      <w:r>
        <w:rPr>
          <w:rFonts w:hint="eastAsia" w:ascii="黑体" w:hAnsi="黑体" w:eastAsia="黑体" w:cs="黑体"/>
          <w:sz w:val="32"/>
          <w:szCs w:val="32"/>
          <w:highlight w:val="none"/>
          <w:lang w:eastAsia="zh-CN"/>
        </w:rPr>
        <w:t>第七十三条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i w:val="0"/>
          <w:iCs w:val="0"/>
          <w:sz w:val="32"/>
          <w:szCs w:val="32"/>
          <w:highlight w:val="none"/>
          <w:u w:val="none"/>
          <w:lang w:eastAsia="zh-CN"/>
        </w:rPr>
        <w:t>违反本条例第二十二条第一款规定，安装、使用非专用生物质锅炉或者安装、使用可以燃用煤及其制品的双燃料或者多燃料生物质锅炉的，由县级以上人民政府市场监督管理主管部门、生态环境主管部门责令改正，没收违法所得，并处二万元以上二十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lang w:eastAsia="zh-CN"/>
        </w:rPr>
      </w:pPr>
      <w:r>
        <w:rPr>
          <w:rFonts w:hint="eastAsia" w:ascii="仿宋_GB2312" w:hAnsi="仿宋_GB2312" w:eastAsia="仿宋_GB2312" w:cs="仿宋_GB2312"/>
          <w:i w:val="0"/>
          <w:iCs w:val="0"/>
          <w:sz w:val="32"/>
          <w:szCs w:val="32"/>
          <w:highlight w:val="none"/>
          <w:u w:val="none"/>
          <w:lang w:eastAsia="zh-CN"/>
        </w:rPr>
        <w:t>违反本条例第二十二条第二款规定，使用未经过加工的木本植物或者草本植物为燃料，或者在生物质燃料中掺杂添加燃烧后产生有毒有害烟尘和恶臭气体的其他物质的，由县级以上人民政府市场监督管理主管部门责令改正，处一万元以上二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lang w:eastAsia="zh-CN"/>
        </w:rPr>
      </w:pPr>
      <w:r>
        <w:rPr>
          <w:rFonts w:hint="eastAsia" w:ascii="仿宋_GB2312" w:hAnsi="仿宋_GB2312" w:eastAsia="仿宋_GB2312" w:cs="仿宋_GB2312"/>
          <w:i w:val="0"/>
          <w:iCs w:val="0"/>
          <w:sz w:val="32"/>
          <w:szCs w:val="32"/>
          <w:highlight w:val="none"/>
          <w:u w:val="none"/>
          <w:lang w:eastAsia="zh-CN"/>
        </w:rPr>
        <w:t>违反本条例第二十二条第二款规定，生物质锅炉未配备高效除尘设施，未按照</w:t>
      </w:r>
      <w:r>
        <w:rPr>
          <w:rFonts w:hint="eastAsia" w:ascii="仿宋_GB2312" w:hAnsi="仿宋_GB2312" w:eastAsia="仿宋_GB2312" w:cs="仿宋_GB2312"/>
          <w:i w:val="0"/>
          <w:iCs w:val="0"/>
          <w:sz w:val="32"/>
          <w:szCs w:val="32"/>
          <w:highlight w:val="none"/>
          <w:u w:val="none"/>
          <w:lang w:val="en-US" w:eastAsia="zh-CN"/>
        </w:rPr>
        <w:t>国家和省的有关</w:t>
      </w:r>
      <w:r>
        <w:rPr>
          <w:rFonts w:hint="eastAsia" w:ascii="仿宋_GB2312" w:hAnsi="仿宋_GB2312" w:eastAsia="仿宋_GB2312" w:cs="仿宋_GB2312"/>
          <w:i w:val="0"/>
          <w:iCs w:val="0"/>
          <w:sz w:val="32"/>
          <w:szCs w:val="32"/>
          <w:highlight w:val="none"/>
          <w:u w:val="none"/>
          <w:lang w:eastAsia="zh-CN"/>
        </w:rPr>
        <w:t>规定安装自动监控或者监测设备的，由县级以上人民政府生态环境主管部门责令改正，处二万元以上二十万元以下的罚款；拒不改正的，责令停产整治。</w:t>
      </w:r>
    </w:p>
    <w:p>
      <w:pPr>
        <w:widowControl w:val="0"/>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第七十四条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二十四</w:t>
      </w:r>
      <w:r>
        <w:rPr>
          <w:rFonts w:hint="eastAsia" w:ascii="仿宋_GB2312" w:hAnsi="仿宋_GB2312" w:eastAsia="仿宋_GB2312" w:cs="仿宋_GB2312"/>
          <w:sz w:val="32"/>
          <w:szCs w:val="32"/>
          <w:highlight w:val="none"/>
        </w:rPr>
        <w:t>条第二款规定，在本省生产、销售超过挥发性有机物</w:t>
      </w:r>
      <w:r>
        <w:rPr>
          <w:rFonts w:hint="eastAsia" w:ascii="仿宋_GB2312" w:hAnsi="仿宋_GB2312" w:eastAsia="仿宋_GB2312" w:cs="仿宋_GB2312"/>
          <w:sz w:val="32"/>
          <w:szCs w:val="32"/>
          <w:highlight w:val="none"/>
          <w:lang w:eastAsia="zh-CN"/>
        </w:rPr>
        <w:t>含量</w:t>
      </w:r>
      <w:r>
        <w:rPr>
          <w:rFonts w:hint="eastAsia" w:ascii="仿宋_GB2312" w:hAnsi="仿宋_GB2312" w:eastAsia="仿宋_GB2312" w:cs="仿宋_GB2312"/>
          <w:sz w:val="32"/>
          <w:szCs w:val="32"/>
          <w:highlight w:val="none"/>
        </w:rPr>
        <w:t>限值标准的原材料和产品的，由县级以上人民政府</w:t>
      </w:r>
      <w:r>
        <w:rPr>
          <w:rFonts w:hint="eastAsia" w:ascii="仿宋_GB2312" w:hAnsi="仿宋_GB2312" w:eastAsia="仿宋_GB2312" w:cs="仿宋_GB2312"/>
          <w:sz w:val="32"/>
          <w:szCs w:val="32"/>
          <w:highlight w:val="none"/>
          <w:lang w:eastAsia="zh-CN"/>
        </w:rPr>
        <w:t>市场</w:t>
      </w:r>
      <w:r>
        <w:rPr>
          <w:rFonts w:hint="eastAsia" w:ascii="仿宋_GB2312" w:hAnsi="仿宋_GB2312" w:eastAsia="仿宋_GB2312" w:cs="仿宋_GB2312"/>
          <w:sz w:val="32"/>
          <w:szCs w:val="32"/>
          <w:highlight w:val="none"/>
        </w:rPr>
        <w:t>监督</w:t>
      </w:r>
      <w:r>
        <w:rPr>
          <w:rFonts w:hint="eastAsia" w:ascii="仿宋_GB2312" w:hAnsi="仿宋_GB2312" w:eastAsia="仿宋_GB2312" w:cs="仿宋_GB2312"/>
          <w:sz w:val="32"/>
          <w:szCs w:val="32"/>
          <w:highlight w:val="none"/>
          <w:lang w:eastAsia="zh-CN"/>
        </w:rPr>
        <w:t>管理</w:t>
      </w:r>
      <w:r>
        <w:rPr>
          <w:rFonts w:hint="eastAsia" w:ascii="仿宋_GB2312" w:hAnsi="仿宋_GB2312" w:eastAsia="仿宋_GB2312" w:cs="仿宋_GB2312"/>
          <w:i w:val="0"/>
          <w:iCs w:val="0"/>
          <w:sz w:val="32"/>
          <w:szCs w:val="32"/>
          <w:highlight w:val="none"/>
          <w:u w:val="none"/>
        </w:rPr>
        <w:t>主管部门</w:t>
      </w:r>
      <w:r>
        <w:rPr>
          <w:rFonts w:hint="eastAsia" w:ascii="仿宋_GB2312" w:hAnsi="仿宋_GB2312" w:eastAsia="仿宋_GB2312" w:cs="仿宋_GB2312"/>
          <w:sz w:val="32"/>
          <w:szCs w:val="32"/>
          <w:highlight w:val="none"/>
        </w:rPr>
        <w:t>责令改正，没收原材料、产品和违法所得，并处货值金额一倍以上三倍以下的罚款。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二十四</w:t>
      </w:r>
      <w:r>
        <w:rPr>
          <w:rFonts w:hint="eastAsia" w:ascii="仿宋_GB2312" w:hAnsi="仿宋_GB2312" w:eastAsia="仿宋_GB2312" w:cs="仿宋_GB2312"/>
          <w:sz w:val="32"/>
          <w:szCs w:val="32"/>
          <w:highlight w:val="none"/>
        </w:rPr>
        <w:t>条第二款规定，未在</w:t>
      </w:r>
      <w:r>
        <w:rPr>
          <w:rFonts w:hint="eastAsia" w:ascii="仿宋_GB2312" w:hAnsi="仿宋_GB2312" w:eastAsia="仿宋_GB2312" w:cs="仿宋_GB2312"/>
          <w:sz w:val="32"/>
          <w:szCs w:val="32"/>
          <w:highlight w:val="none"/>
          <w:lang w:eastAsia="zh-CN"/>
        </w:rPr>
        <w:t>高挥发性有机物含量产品的</w:t>
      </w:r>
      <w:r>
        <w:rPr>
          <w:rFonts w:hint="eastAsia" w:ascii="仿宋_GB2312" w:hAnsi="仿宋_GB2312" w:eastAsia="仿宋_GB2312" w:cs="仿宋_GB2312"/>
          <w:sz w:val="32"/>
          <w:szCs w:val="32"/>
          <w:highlight w:val="none"/>
        </w:rPr>
        <w:t>包装或者说明中标注挥发性有机物含量的，由县级以上人民政府</w:t>
      </w:r>
      <w:r>
        <w:rPr>
          <w:rFonts w:hint="eastAsia" w:ascii="仿宋_GB2312" w:hAnsi="仿宋_GB2312" w:eastAsia="仿宋_GB2312" w:cs="仿宋_GB2312"/>
          <w:i w:val="0"/>
          <w:iCs w:val="0"/>
          <w:sz w:val="32"/>
          <w:szCs w:val="32"/>
          <w:highlight w:val="none"/>
          <w:u w:val="none"/>
          <w:lang w:eastAsia="zh-CN"/>
        </w:rPr>
        <w:t>市场</w:t>
      </w:r>
      <w:r>
        <w:rPr>
          <w:rFonts w:hint="eastAsia" w:ascii="仿宋_GB2312" w:hAnsi="仿宋_GB2312" w:eastAsia="仿宋_GB2312" w:cs="仿宋_GB2312"/>
          <w:sz w:val="32"/>
          <w:szCs w:val="32"/>
          <w:highlight w:val="none"/>
        </w:rPr>
        <w:t>监督主管部门责令改正。</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第七十</w:t>
      </w:r>
      <w:r>
        <w:rPr>
          <w:rFonts w:hint="eastAsia" w:ascii="黑体" w:hAnsi="黑体" w:eastAsia="黑体" w:cs="黑体"/>
          <w:sz w:val="32"/>
          <w:szCs w:val="32"/>
          <w:highlight w:val="none"/>
          <w:lang w:eastAsia="zh-CN"/>
        </w:rPr>
        <w:t>五</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二十五</w:t>
      </w:r>
      <w:r>
        <w:rPr>
          <w:rFonts w:hint="eastAsia" w:ascii="仿宋_GB2312" w:hAnsi="仿宋_GB2312" w:eastAsia="仿宋_GB2312" w:cs="仿宋_GB2312"/>
          <w:sz w:val="32"/>
          <w:szCs w:val="32"/>
          <w:highlight w:val="none"/>
        </w:rPr>
        <w:t>条第二款规定，</w:t>
      </w:r>
      <w:r>
        <w:rPr>
          <w:rFonts w:hint="eastAsia" w:ascii="仿宋_GB2312" w:hAnsi="仿宋_GB2312" w:eastAsia="仿宋_GB2312" w:cs="仿宋_GB2312"/>
          <w:sz w:val="32"/>
          <w:szCs w:val="32"/>
          <w:highlight w:val="none"/>
          <w:lang w:eastAsia="zh-CN"/>
        </w:rPr>
        <w:t>企业事业单位和其他生产经营者未按照</w:t>
      </w:r>
      <w:r>
        <w:rPr>
          <w:rFonts w:hint="eastAsia" w:ascii="仿宋_GB2312" w:hAnsi="仿宋_GB2312" w:eastAsia="仿宋_GB2312" w:cs="仿宋_GB2312"/>
          <w:sz w:val="32"/>
          <w:szCs w:val="32"/>
          <w:highlight w:val="none"/>
        </w:rPr>
        <w:t>挥发性有机物排放标准、技术规范</w:t>
      </w:r>
      <w:r>
        <w:rPr>
          <w:rFonts w:hint="eastAsia" w:ascii="仿宋_GB2312" w:hAnsi="仿宋_GB2312" w:eastAsia="仿宋_GB2312" w:cs="仿宋_GB2312"/>
          <w:sz w:val="32"/>
          <w:szCs w:val="32"/>
          <w:highlight w:val="none"/>
          <w:lang w:eastAsia="zh-CN"/>
        </w:rPr>
        <w:t>规定，</w:t>
      </w:r>
      <w:r>
        <w:rPr>
          <w:rFonts w:hint="eastAsia" w:ascii="仿宋_GB2312" w:hAnsi="仿宋_GB2312" w:eastAsia="仿宋_GB2312" w:cs="仿宋_GB2312"/>
          <w:sz w:val="32"/>
          <w:szCs w:val="32"/>
          <w:highlight w:val="none"/>
        </w:rPr>
        <w:t>制定操作规</w:t>
      </w:r>
      <w:r>
        <w:rPr>
          <w:rFonts w:hint="eastAsia" w:ascii="仿宋_GB2312" w:hAnsi="仿宋_GB2312" w:eastAsia="仿宋_GB2312" w:cs="仿宋_GB2312"/>
          <w:i w:val="0"/>
          <w:iCs w:val="0"/>
          <w:sz w:val="32"/>
          <w:szCs w:val="32"/>
          <w:highlight w:val="none"/>
          <w:u w:val="none"/>
        </w:rPr>
        <w:t>程的</w:t>
      </w:r>
      <w:r>
        <w:rPr>
          <w:rFonts w:hint="eastAsia" w:ascii="仿宋_GB2312" w:hAnsi="仿宋_GB2312" w:eastAsia="仿宋_GB2312" w:cs="仿宋_GB2312"/>
          <w:sz w:val="32"/>
          <w:szCs w:val="32"/>
          <w:highlight w:val="none"/>
        </w:rPr>
        <w:t>，由县级以上人民政府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环境主管部门责令改正，处五千元以上五万元以下的罚款。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违反本条例第二十五条第二款规定，企业事业单位和其他生产经营者未按照挥发性有机物排放标准、技术规范规定，组织生产管理的，由县级以上人民政府生态环境主管部门责令改正，处二万元以上二十万元以下的罚款；拒不改正的，责令停产停业</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iCs/>
          <w:sz w:val="32"/>
          <w:szCs w:val="32"/>
          <w:highlight w:val="none"/>
          <w:u w:val="single"/>
        </w:rPr>
      </w:pPr>
      <w:r>
        <w:rPr>
          <w:rFonts w:hint="eastAsia" w:ascii="黑体" w:hAnsi="黑体" w:eastAsia="黑体" w:cs="黑体"/>
          <w:i w:val="0"/>
          <w:iCs w:val="0"/>
          <w:sz w:val="32"/>
          <w:szCs w:val="32"/>
          <w:highlight w:val="none"/>
          <w:u w:val="none"/>
        </w:rPr>
        <w:t>第</w:t>
      </w:r>
      <w:r>
        <w:rPr>
          <w:rFonts w:hint="eastAsia" w:ascii="黑体" w:hAnsi="黑体" w:eastAsia="黑体" w:cs="黑体"/>
          <w:i w:val="0"/>
          <w:iCs w:val="0"/>
          <w:sz w:val="32"/>
          <w:szCs w:val="32"/>
          <w:highlight w:val="none"/>
          <w:u w:val="none"/>
          <w:lang w:eastAsia="zh-CN"/>
        </w:rPr>
        <w:t>七十六</w:t>
      </w:r>
      <w:r>
        <w:rPr>
          <w:rFonts w:hint="eastAsia" w:ascii="黑体" w:hAnsi="黑体" w:eastAsia="黑体" w:cs="黑体"/>
          <w:i w:val="0"/>
          <w:iCs w:val="0"/>
          <w:sz w:val="32"/>
          <w:szCs w:val="32"/>
          <w:highlight w:val="none"/>
          <w:u w:val="none"/>
        </w:rPr>
        <w:t>条</w:t>
      </w:r>
      <w:r>
        <w:rPr>
          <w:rFonts w:hint="eastAsia" w:ascii="黑体" w:hAnsi="黑体" w:eastAsia="黑体" w:cs="黑体"/>
          <w:i w:val="0"/>
          <w:iCs w:val="0"/>
          <w:sz w:val="32"/>
          <w:szCs w:val="32"/>
          <w:highlight w:val="none"/>
          <w:u w:val="none"/>
          <w:lang w:val="en-US" w:eastAsia="zh-CN"/>
        </w:rPr>
        <w:t xml:space="preserve">  </w:t>
      </w:r>
      <w:r>
        <w:rPr>
          <w:rFonts w:hint="eastAsia" w:ascii="仿宋_GB2312" w:hAnsi="仿宋_GB2312" w:eastAsia="仿宋_GB2312" w:cs="仿宋_GB2312"/>
          <w:i w:val="0"/>
          <w:iCs w:val="0"/>
          <w:sz w:val="32"/>
          <w:szCs w:val="32"/>
          <w:highlight w:val="none"/>
          <w:u w:val="none"/>
        </w:rPr>
        <w:t>违反本条例第</w:t>
      </w:r>
      <w:r>
        <w:rPr>
          <w:rFonts w:hint="eastAsia" w:ascii="仿宋_GB2312" w:hAnsi="仿宋_GB2312" w:eastAsia="仿宋_GB2312" w:cs="仿宋_GB2312"/>
          <w:i w:val="0"/>
          <w:iCs w:val="0"/>
          <w:sz w:val="32"/>
          <w:szCs w:val="32"/>
          <w:highlight w:val="none"/>
          <w:u w:val="none"/>
          <w:lang w:eastAsia="zh-CN"/>
        </w:rPr>
        <w:t>二十七</w:t>
      </w:r>
      <w:r>
        <w:rPr>
          <w:rFonts w:hint="eastAsia" w:ascii="仿宋_GB2312" w:hAnsi="仿宋_GB2312" w:eastAsia="仿宋_GB2312" w:cs="仿宋_GB2312"/>
          <w:i w:val="0"/>
          <w:iCs w:val="0"/>
          <w:sz w:val="32"/>
          <w:szCs w:val="32"/>
          <w:highlight w:val="none"/>
          <w:u w:val="none"/>
        </w:rPr>
        <w:t>条</w:t>
      </w:r>
      <w:r>
        <w:rPr>
          <w:rFonts w:hint="eastAsia" w:ascii="仿宋_GB2312" w:hAnsi="仿宋_GB2312" w:eastAsia="仿宋_GB2312" w:cs="仿宋_GB2312"/>
          <w:i w:val="0"/>
          <w:iCs w:val="0"/>
          <w:sz w:val="32"/>
          <w:szCs w:val="32"/>
          <w:highlight w:val="none"/>
          <w:u w:val="none"/>
          <w:lang w:eastAsia="zh-CN"/>
        </w:rPr>
        <w:t>第二款</w:t>
      </w:r>
      <w:r>
        <w:rPr>
          <w:rFonts w:hint="eastAsia" w:ascii="仿宋_GB2312" w:hAnsi="仿宋_GB2312" w:eastAsia="仿宋_GB2312" w:cs="仿宋_GB2312"/>
          <w:i w:val="0"/>
          <w:iCs w:val="0"/>
          <w:sz w:val="32"/>
          <w:szCs w:val="32"/>
          <w:highlight w:val="none"/>
          <w:u w:val="none"/>
        </w:rPr>
        <w:t>规定，</w:t>
      </w:r>
      <w:r>
        <w:rPr>
          <w:rFonts w:hint="eastAsia" w:ascii="仿宋_GB2312" w:hAnsi="仿宋_GB2312" w:eastAsia="仿宋_GB2312" w:cs="仿宋_GB2312"/>
          <w:i w:val="0"/>
          <w:iCs w:val="0"/>
          <w:sz w:val="32"/>
          <w:szCs w:val="32"/>
          <w:highlight w:val="none"/>
          <w:u w:val="none"/>
          <w:lang w:eastAsia="zh-CN"/>
        </w:rPr>
        <w:t>除工业涂装企业以外的其他产生挥发性有机物的工业企业未按照国家和省的有关规定</w:t>
      </w:r>
      <w:r>
        <w:rPr>
          <w:rFonts w:hint="eastAsia" w:ascii="仿宋_GB2312" w:hAnsi="仿宋_GB2312" w:eastAsia="仿宋_GB2312" w:cs="仿宋_GB2312"/>
          <w:i w:val="0"/>
          <w:iCs w:val="0"/>
          <w:sz w:val="32"/>
          <w:szCs w:val="32"/>
          <w:highlight w:val="none"/>
          <w:u w:val="none"/>
        </w:rPr>
        <w:t>建立、保存台账的，由县级以上人民政府</w:t>
      </w:r>
      <w:r>
        <w:rPr>
          <w:rFonts w:hint="eastAsia" w:ascii="仿宋_GB2312" w:hAnsi="仿宋_GB2312" w:eastAsia="仿宋_GB2312" w:cs="仿宋_GB2312"/>
          <w:i w:val="0"/>
          <w:iCs w:val="0"/>
          <w:sz w:val="32"/>
          <w:szCs w:val="32"/>
          <w:highlight w:val="none"/>
          <w:u w:val="none"/>
          <w:lang w:eastAsia="zh-CN"/>
        </w:rPr>
        <w:t>生态</w:t>
      </w:r>
      <w:r>
        <w:rPr>
          <w:rFonts w:hint="eastAsia" w:ascii="仿宋_GB2312" w:hAnsi="仿宋_GB2312" w:eastAsia="仿宋_GB2312" w:cs="仿宋_GB2312"/>
          <w:i w:val="0"/>
          <w:iCs w:val="0"/>
          <w:sz w:val="32"/>
          <w:szCs w:val="32"/>
          <w:highlight w:val="none"/>
          <w:u w:val="none"/>
        </w:rPr>
        <w:t>环境主管部门责令改正，处二万元以上二十万元以下的罚款；拒不改正的，责令停产整治。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val="en-US" w:eastAsia="zh-CN"/>
        </w:rPr>
        <w:t>七十七</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val="en-US" w:eastAsia="zh-CN"/>
        </w:rPr>
        <w:t>二十八第一款</w:t>
      </w:r>
      <w:r>
        <w:rPr>
          <w:rFonts w:hint="eastAsia" w:ascii="仿宋_GB2312" w:hAnsi="仿宋_GB2312" w:eastAsia="仿宋_GB2312" w:cs="仿宋_GB2312"/>
          <w:sz w:val="32"/>
          <w:szCs w:val="32"/>
          <w:highlight w:val="none"/>
        </w:rPr>
        <w:t>规定</w:t>
      </w:r>
      <w:r>
        <w:rPr>
          <w:rFonts w:hint="eastAsia" w:ascii="仿宋_GB2312" w:hAnsi="仿宋_GB2312" w:eastAsia="仿宋_GB2312" w:cs="仿宋_GB2312"/>
          <w:sz w:val="32"/>
          <w:szCs w:val="32"/>
          <w:highlight w:val="none"/>
          <w:lang w:val="en-US" w:eastAsia="zh-CN"/>
        </w:rPr>
        <w:t>，石油、化工、有机医药及其他生产和使用有机溶剂的企业未根据国</w:t>
      </w:r>
      <w:r>
        <w:rPr>
          <w:rFonts w:hint="eastAsia" w:ascii="仿宋_GB2312" w:hAnsi="仿宋_GB2312" w:eastAsia="仿宋_GB2312" w:cs="仿宋_GB2312"/>
          <w:sz w:val="32"/>
          <w:szCs w:val="32"/>
          <w:highlight w:val="none"/>
        </w:rPr>
        <w:t>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省的标准、技术规范建立泄漏检测与修复制度</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对管道、设备进行日常维护、维修</w:t>
      </w:r>
      <w:r>
        <w:rPr>
          <w:rFonts w:hint="eastAsia" w:ascii="仿宋_GB2312" w:hAnsi="仿宋_GB2312" w:eastAsia="仿宋_GB2312" w:cs="仿宋_GB2312"/>
          <w:sz w:val="32"/>
          <w:szCs w:val="32"/>
          <w:highlight w:val="none"/>
          <w:lang w:val="en-US" w:eastAsia="zh-CN"/>
        </w:rPr>
        <w:t>，减少物料泄漏或者对泄漏的物料未及时收集处理</w:t>
      </w:r>
      <w:r>
        <w:rPr>
          <w:rFonts w:hint="eastAsia" w:ascii="仿宋_GB2312" w:hAnsi="仿宋_GB2312" w:eastAsia="仿宋_GB2312" w:cs="仿宋_GB2312"/>
          <w:sz w:val="32"/>
          <w:szCs w:val="32"/>
          <w:highlight w:val="none"/>
        </w:rPr>
        <w:t>的，由县级以上人民政府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环境主管部门责令改正，处二万元以上二十万元以下的罚款；拒不改正的，责令停产整治。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i w:val="0"/>
          <w:iCs w:val="0"/>
          <w:sz w:val="32"/>
          <w:szCs w:val="32"/>
          <w:highlight w:val="none"/>
          <w:u w:val="none"/>
          <w:lang w:eastAsia="zh-CN"/>
        </w:rPr>
        <w:t>七十八</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机动车排放检验机构违反本条例第</w:t>
      </w:r>
      <w:r>
        <w:rPr>
          <w:rFonts w:hint="eastAsia" w:ascii="仿宋_GB2312" w:hAnsi="仿宋_GB2312" w:eastAsia="仿宋_GB2312" w:cs="仿宋_GB2312"/>
          <w:sz w:val="32"/>
          <w:szCs w:val="32"/>
          <w:highlight w:val="none"/>
          <w:lang w:eastAsia="zh-CN"/>
        </w:rPr>
        <w:t>三十八</w:t>
      </w:r>
      <w:r>
        <w:rPr>
          <w:rFonts w:hint="eastAsia" w:ascii="仿宋_GB2312" w:hAnsi="仿宋_GB2312" w:eastAsia="仿宋_GB2312" w:cs="仿宋_GB2312"/>
          <w:sz w:val="32"/>
          <w:szCs w:val="32"/>
          <w:highlight w:val="none"/>
        </w:rPr>
        <w:t>条第</w:t>
      </w:r>
      <w:r>
        <w:rPr>
          <w:rFonts w:hint="eastAsia" w:ascii="仿宋_GB2312" w:hAnsi="仿宋_GB2312" w:eastAsia="仿宋_GB2312" w:cs="仿宋_GB2312"/>
          <w:i w:val="0"/>
          <w:iCs w:val="0"/>
          <w:sz w:val="32"/>
          <w:szCs w:val="32"/>
          <w:highlight w:val="none"/>
          <w:u w:val="none"/>
        </w:rPr>
        <w:t>六</w:t>
      </w:r>
      <w:r>
        <w:rPr>
          <w:rFonts w:hint="eastAsia" w:ascii="仿宋_GB2312" w:hAnsi="仿宋_GB2312" w:eastAsia="仿宋_GB2312" w:cs="仿宋_GB2312"/>
          <w:sz w:val="32"/>
          <w:szCs w:val="32"/>
          <w:highlight w:val="none"/>
        </w:rPr>
        <w:t>项、第</w:t>
      </w:r>
      <w:r>
        <w:rPr>
          <w:rFonts w:hint="eastAsia" w:ascii="仿宋_GB2312" w:hAnsi="仿宋_GB2312" w:eastAsia="仿宋_GB2312" w:cs="仿宋_GB2312"/>
          <w:i w:val="0"/>
          <w:iCs w:val="0"/>
          <w:sz w:val="32"/>
          <w:szCs w:val="32"/>
          <w:highlight w:val="none"/>
          <w:u w:val="none"/>
        </w:rPr>
        <w:t>七</w:t>
      </w:r>
      <w:r>
        <w:rPr>
          <w:rFonts w:hint="eastAsia" w:ascii="仿宋_GB2312" w:hAnsi="仿宋_GB2312" w:eastAsia="仿宋_GB2312" w:cs="仿宋_GB2312"/>
          <w:sz w:val="32"/>
          <w:szCs w:val="32"/>
          <w:highlight w:val="none"/>
        </w:rPr>
        <w:t>项</w:t>
      </w:r>
      <w:r>
        <w:rPr>
          <w:rFonts w:hint="eastAsia" w:ascii="仿宋_GB2312" w:hAnsi="仿宋_GB2312" w:eastAsia="仿宋_GB2312" w:cs="仿宋_GB2312"/>
          <w:i w:val="0"/>
          <w:iCs w:val="0"/>
          <w:sz w:val="32"/>
          <w:szCs w:val="32"/>
          <w:highlight w:val="none"/>
          <w:u w:val="none"/>
        </w:rPr>
        <w:t>、第八项</w:t>
      </w:r>
      <w:r>
        <w:rPr>
          <w:rFonts w:hint="eastAsia" w:ascii="仿宋_GB2312" w:hAnsi="仿宋_GB2312" w:eastAsia="仿宋_GB2312" w:cs="仿宋_GB2312"/>
          <w:sz w:val="32"/>
          <w:szCs w:val="32"/>
          <w:highlight w:val="none"/>
        </w:rPr>
        <w:t>规定</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环境主管部门责令其停止违法行为，限期改正，</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处一万元以上五万元以下</w:t>
      </w:r>
      <w:r>
        <w:rPr>
          <w:rFonts w:hint="eastAsia" w:ascii="仿宋_GB2312" w:hAnsi="仿宋_GB2312" w:eastAsia="仿宋_GB2312" w:cs="仿宋_GB2312"/>
          <w:i w:val="0"/>
          <w:iCs w:val="0"/>
          <w:sz w:val="32"/>
          <w:szCs w:val="32"/>
          <w:highlight w:val="none"/>
          <w:u w:val="none"/>
        </w:rPr>
        <w:t>的</w:t>
      </w:r>
      <w:r>
        <w:rPr>
          <w:rFonts w:hint="eastAsia" w:ascii="仿宋_GB2312" w:hAnsi="仿宋_GB2312" w:eastAsia="仿宋_GB2312" w:cs="仿宋_GB2312"/>
          <w:sz w:val="32"/>
          <w:szCs w:val="32"/>
          <w:highlight w:val="none"/>
        </w:rPr>
        <w:t>罚款。</w:t>
      </w:r>
    </w:p>
    <w:p>
      <w:pPr>
        <w:widowControl w:val="0"/>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i w:val="0"/>
          <w:iCs w:val="0"/>
          <w:sz w:val="32"/>
          <w:szCs w:val="32"/>
          <w:highlight w:val="none"/>
          <w:u w:val="none"/>
          <w:lang w:eastAsia="zh-CN"/>
        </w:rPr>
        <w:t>七十九</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i w:val="0"/>
          <w:iCs w:val="0"/>
          <w:sz w:val="32"/>
          <w:szCs w:val="32"/>
          <w:highlight w:val="none"/>
          <w:u w:val="none"/>
          <w:lang w:eastAsia="zh-CN"/>
        </w:rPr>
        <w:t>四十一</w:t>
      </w:r>
      <w:r>
        <w:rPr>
          <w:rFonts w:hint="eastAsia" w:ascii="仿宋_GB2312" w:hAnsi="仿宋_GB2312" w:eastAsia="仿宋_GB2312" w:cs="仿宋_GB2312"/>
          <w:sz w:val="32"/>
          <w:szCs w:val="32"/>
          <w:highlight w:val="none"/>
        </w:rPr>
        <w:t>条第</w:t>
      </w:r>
      <w:r>
        <w:rPr>
          <w:rFonts w:hint="eastAsia" w:ascii="仿宋_GB2312" w:hAnsi="仿宋_GB2312" w:eastAsia="仿宋_GB2312" w:cs="仿宋_GB2312"/>
          <w:i w:val="0"/>
          <w:iCs w:val="0"/>
          <w:sz w:val="32"/>
          <w:szCs w:val="32"/>
          <w:highlight w:val="none"/>
          <w:u w:val="none"/>
          <w:lang w:eastAsia="zh-CN"/>
        </w:rPr>
        <w:t>一</w:t>
      </w:r>
      <w:r>
        <w:rPr>
          <w:rFonts w:hint="eastAsia" w:ascii="仿宋_GB2312" w:hAnsi="仿宋_GB2312" w:eastAsia="仿宋_GB2312" w:cs="仿宋_GB2312"/>
          <w:sz w:val="32"/>
          <w:szCs w:val="32"/>
          <w:highlight w:val="none"/>
        </w:rPr>
        <w:t>款规定，机动车驾驶人驾驶排放检验不合格的机动车上</w:t>
      </w:r>
      <w:r>
        <w:rPr>
          <w:rFonts w:hint="eastAsia" w:ascii="仿宋_GB2312" w:hAnsi="仿宋_GB2312" w:eastAsia="仿宋_GB2312" w:cs="仿宋_GB2312"/>
          <w:i w:val="0"/>
          <w:iCs w:val="0"/>
          <w:sz w:val="32"/>
          <w:szCs w:val="32"/>
          <w:highlight w:val="none"/>
          <w:u w:val="none"/>
        </w:rPr>
        <w:t>道</w:t>
      </w:r>
      <w:r>
        <w:rPr>
          <w:rFonts w:hint="eastAsia" w:ascii="仿宋_GB2312" w:hAnsi="仿宋_GB2312" w:eastAsia="仿宋_GB2312" w:cs="仿宋_GB2312"/>
          <w:sz w:val="32"/>
          <w:szCs w:val="32"/>
          <w:highlight w:val="none"/>
        </w:rPr>
        <w:t>路行驶的，由县级以上人民政府公安机关交通管理部门处二百元罚款。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sz w:val="32"/>
          <w:szCs w:val="32"/>
          <w:highlight w:val="none"/>
          <w:lang w:eastAsia="zh-CN"/>
        </w:rPr>
        <w:t>第八十条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违反本条例第四十二条第三款规定，在用柴油车所有人或者使用人未按照规范要求添加车用尿素等氮氧化物还原剂的，由县级以上人民政府生态环境主管部门责令改正，</w:t>
      </w:r>
      <w:r>
        <w:rPr>
          <w:rFonts w:hint="eastAsia" w:ascii="仿宋_GB2312" w:hAnsi="仿宋_GB2312" w:cs="仿宋_GB2312"/>
          <w:sz w:val="32"/>
          <w:szCs w:val="32"/>
          <w:highlight w:val="none"/>
          <w:lang w:eastAsia="zh-CN"/>
        </w:rPr>
        <w:t>并</w:t>
      </w:r>
      <w:r>
        <w:rPr>
          <w:rFonts w:hint="eastAsia" w:ascii="仿宋_GB2312" w:hAnsi="仿宋_GB2312" w:eastAsia="仿宋_GB2312" w:cs="仿宋_GB2312"/>
          <w:sz w:val="32"/>
          <w:szCs w:val="32"/>
          <w:highlight w:val="none"/>
          <w:lang w:eastAsia="zh-CN"/>
        </w:rPr>
        <w:t>处五</w:t>
      </w:r>
      <w:r>
        <w:rPr>
          <w:rFonts w:hint="eastAsia" w:ascii="仿宋_GB2312" w:hAnsi="仿宋_GB2312" w:cs="仿宋_GB2312"/>
          <w:sz w:val="32"/>
          <w:szCs w:val="32"/>
          <w:highlight w:val="none"/>
          <w:lang w:eastAsia="zh-CN"/>
        </w:rPr>
        <w:t>百</w:t>
      </w:r>
      <w:r>
        <w:rPr>
          <w:rFonts w:hint="eastAsia" w:ascii="仿宋_GB2312" w:hAnsi="仿宋_GB2312" w:eastAsia="仿宋_GB2312" w:cs="仿宋_GB2312"/>
          <w:sz w:val="32"/>
          <w:szCs w:val="32"/>
          <w:highlight w:val="none"/>
          <w:lang w:eastAsia="zh-CN"/>
        </w:rPr>
        <w:t>元</w:t>
      </w:r>
      <w:r>
        <w:rPr>
          <w:rFonts w:hint="eastAsia" w:ascii="仿宋_GB2312" w:hAnsi="仿宋_GB2312" w:cs="仿宋_GB2312"/>
          <w:sz w:val="32"/>
          <w:szCs w:val="32"/>
          <w:highlight w:val="none"/>
          <w:lang w:eastAsia="zh-CN"/>
        </w:rPr>
        <w:t>以上一千元以下的</w:t>
      </w:r>
      <w:r>
        <w:rPr>
          <w:rFonts w:hint="eastAsia" w:ascii="仿宋_GB2312" w:hAnsi="仿宋_GB2312" w:eastAsia="仿宋_GB2312" w:cs="仿宋_GB2312"/>
          <w:sz w:val="32"/>
          <w:szCs w:val="32"/>
          <w:highlight w:val="none"/>
          <w:lang w:eastAsia="zh-CN"/>
        </w:rPr>
        <w:t>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八十一</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四十五</w:t>
      </w:r>
      <w:r>
        <w:rPr>
          <w:rFonts w:hint="eastAsia" w:ascii="仿宋_GB2312" w:hAnsi="仿宋_GB2312" w:eastAsia="仿宋_GB2312" w:cs="仿宋_GB2312"/>
          <w:sz w:val="32"/>
          <w:szCs w:val="32"/>
          <w:highlight w:val="none"/>
        </w:rPr>
        <w:t>条第三款规定，</w:t>
      </w:r>
      <w:r>
        <w:rPr>
          <w:rFonts w:hint="eastAsia" w:ascii="仿宋_GB2312" w:hAnsi="仿宋_GB2312" w:eastAsia="仿宋_GB2312" w:cs="仿宋_GB2312"/>
          <w:sz w:val="32"/>
          <w:szCs w:val="32"/>
          <w:highlight w:val="none"/>
          <w:lang w:eastAsia="zh-CN"/>
        </w:rPr>
        <w:t>在禁止使用</w:t>
      </w:r>
      <w:r>
        <w:rPr>
          <w:rFonts w:hint="eastAsia" w:ascii="仿宋_GB2312" w:hAnsi="仿宋_GB2312" w:eastAsia="仿宋_GB2312" w:cs="仿宋_GB2312"/>
          <w:sz w:val="32"/>
          <w:szCs w:val="32"/>
          <w:highlight w:val="none"/>
        </w:rPr>
        <w:t>高排放非道路移动机械区</w:t>
      </w:r>
      <w:r>
        <w:rPr>
          <w:rFonts w:hint="eastAsia" w:ascii="仿宋_GB2312" w:hAnsi="仿宋_GB2312" w:eastAsia="仿宋_GB2312" w:cs="仿宋_GB2312"/>
          <w:sz w:val="32"/>
          <w:szCs w:val="32"/>
          <w:highlight w:val="none"/>
          <w:lang w:eastAsia="zh-CN"/>
        </w:rPr>
        <w:t>域</w:t>
      </w:r>
      <w:r>
        <w:rPr>
          <w:rFonts w:hint="eastAsia" w:ascii="仿宋_GB2312" w:hAnsi="仿宋_GB2312" w:eastAsia="仿宋_GB2312" w:cs="仿宋_GB2312"/>
          <w:sz w:val="32"/>
          <w:szCs w:val="32"/>
          <w:highlight w:val="none"/>
        </w:rPr>
        <w:t>使用高排放非道路移动机械的，由县级以上人民政府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环境等主管部门</w:t>
      </w:r>
      <w:r>
        <w:rPr>
          <w:rFonts w:hint="eastAsia" w:ascii="仿宋_GB2312" w:hAnsi="仿宋_GB2312" w:eastAsia="仿宋_GB2312" w:cs="仿宋_GB2312"/>
          <w:i w:val="0"/>
          <w:iCs w:val="0"/>
          <w:sz w:val="32"/>
          <w:szCs w:val="32"/>
          <w:highlight w:val="none"/>
          <w:u w:val="none"/>
        </w:rPr>
        <w:t>按照职责</w:t>
      </w:r>
      <w:r>
        <w:rPr>
          <w:rFonts w:hint="eastAsia" w:ascii="仿宋_GB2312" w:hAnsi="仿宋_GB2312" w:eastAsia="仿宋_GB2312" w:cs="仿宋_GB2312"/>
          <w:sz w:val="32"/>
          <w:szCs w:val="32"/>
          <w:highlight w:val="none"/>
        </w:rPr>
        <w:t>责令改正，处</w:t>
      </w:r>
      <w:r>
        <w:rPr>
          <w:rFonts w:hint="eastAsia" w:ascii="仿宋_GB2312" w:hAnsi="仿宋_GB2312" w:eastAsia="仿宋_GB2312" w:cs="仿宋_GB2312"/>
          <w:sz w:val="32"/>
          <w:szCs w:val="32"/>
          <w:highlight w:val="none"/>
          <w:lang w:eastAsia="zh-CN"/>
        </w:rPr>
        <w:t>两万</w:t>
      </w:r>
      <w:r>
        <w:rPr>
          <w:rFonts w:hint="eastAsia" w:ascii="仿宋_GB2312" w:hAnsi="仿宋_GB2312" w:eastAsia="仿宋_GB2312" w:cs="仿宋_GB2312"/>
          <w:sz w:val="32"/>
          <w:szCs w:val="32"/>
          <w:highlight w:val="none"/>
        </w:rPr>
        <w:t>元的罚款；情节严重的，责令停工整治。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第八十二条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五十三</w:t>
      </w:r>
      <w:r>
        <w:rPr>
          <w:rFonts w:hint="eastAsia" w:ascii="仿宋_GB2312" w:hAnsi="仿宋_GB2312" w:eastAsia="仿宋_GB2312" w:cs="仿宋_GB2312"/>
          <w:sz w:val="32"/>
          <w:szCs w:val="32"/>
          <w:highlight w:val="none"/>
        </w:rPr>
        <w:t>条</w:t>
      </w:r>
      <w:r>
        <w:rPr>
          <w:rFonts w:hint="eastAsia" w:ascii="仿宋_GB2312" w:hAnsi="仿宋_GB2312" w:eastAsia="仿宋_GB2312" w:cs="仿宋_GB2312"/>
          <w:sz w:val="32"/>
          <w:szCs w:val="32"/>
          <w:highlight w:val="none"/>
          <w:lang w:eastAsia="zh-CN"/>
        </w:rPr>
        <w:t>第一款</w:t>
      </w:r>
      <w:r>
        <w:rPr>
          <w:rFonts w:hint="eastAsia" w:ascii="仿宋_GB2312" w:hAnsi="仿宋_GB2312" w:eastAsia="仿宋_GB2312" w:cs="仿宋_GB2312"/>
          <w:sz w:val="32"/>
          <w:szCs w:val="32"/>
          <w:highlight w:val="none"/>
        </w:rPr>
        <w:t>规定，</w:t>
      </w:r>
      <w:r>
        <w:rPr>
          <w:rFonts w:hint="eastAsia" w:ascii="仿宋_GB2312" w:hAnsi="仿宋_GB2312" w:eastAsia="仿宋_GB2312" w:cs="仿宋_GB2312"/>
          <w:sz w:val="32"/>
          <w:szCs w:val="32"/>
          <w:highlight w:val="none"/>
          <w:lang w:eastAsia="zh-CN"/>
        </w:rPr>
        <w:t>施工单位</w:t>
      </w:r>
      <w:r>
        <w:rPr>
          <w:rFonts w:hint="eastAsia" w:ascii="仿宋_GB2312" w:hAnsi="仿宋_GB2312" w:eastAsia="仿宋_GB2312" w:cs="仿宋_GB2312"/>
          <w:sz w:val="32"/>
          <w:szCs w:val="32"/>
          <w:highlight w:val="none"/>
        </w:rPr>
        <w:t>未建立扬尘污染防治工作台账的，由县级以上人民政府住房城乡建设等主管部门按照职责责令改正，处五千元以上二万元以下的罚款；拒不改正的，责令停工整治。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八十三</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施工单位违反本条例第五十</w:t>
      </w: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条、第</w:t>
      </w:r>
      <w:r>
        <w:rPr>
          <w:rFonts w:hint="eastAsia" w:ascii="仿宋_GB2312" w:hAnsi="仿宋_GB2312" w:eastAsia="仿宋_GB2312" w:cs="仿宋_GB2312"/>
          <w:sz w:val="32"/>
          <w:szCs w:val="32"/>
          <w:highlight w:val="none"/>
          <w:lang w:eastAsia="zh-CN"/>
        </w:rPr>
        <w:t>五十八</w:t>
      </w:r>
      <w:r>
        <w:rPr>
          <w:rFonts w:hint="eastAsia" w:ascii="仿宋_GB2312" w:hAnsi="仿宋_GB2312" w:eastAsia="仿宋_GB2312" w:cs="仿宋_GB2312"/>
          <w:sz w:val="32"/>
          <w:szCs w:val="32"/>
          <w:highlight w:val="none"/>
        </w:rPr>
        <w:t>条规定，</w:t>
      </w:r>
      <w:r>
        <w:rPr>
          <w:rFonts w:hint="eastAsia" w:ascii="仿宋_GB2312" w:hAnsi="仿宋_GB2312" w:eastAsia="仿宋_GB2312" w:cs="仿宋_GB2312"/>
          <w:sz w:val="32"/>
          <w:szCs w:val="32"/>
          <w:highlight w:val="none"/>
          <w:lang w:eastAsia="zh-CN"/>
        </w:rPr>
        <w:t>未</w:t>
      </w:r>
      <w:r>
        <w:rPr>
          <w:rFonts w:hint="eastAsia" w:ascii="仿宋_GB2312" w:hAnsi="仿宋_GB2312" w:eastAsia="仿宋_GB2312" w:cs="仿宋_GB2312"/>
          <w:sz w:val="32"/>
          <w:szCs w:val="32"/>
          <w:highlight w:val="none"/>
        </w:rPr>
        <w:t>安装视频监控设备</w:t>
      </w:r>
      <w:r>
        <w:rPr>
          <w:rFonts w:hint="eastAsia" w:ascii="仿宋_GB2312" w:hAnsi="仿宋_GB2312" w:eastAsia="仿宋_GB2312" w:cs="仿宋_GB2312"/>
          <w:sz w:val="32"/>
          <w:szCs w:val="32"/>
          <w:highlight w:val="none"/>
          <w:lang w:eastAsia="zh-CN"/>
        </w:rPr>
        <w:t>、颗粒物在线监测系统，在</w:t>
      </w:r>
      <w:r>
        <w:rPr>
          <w:rFonts w:hint="eastAsia" w:ascii="仿宋_GB2312" w:hAnsi="仿宋_GB2312" w:eastAsia="仿宋_GB2312" w:cs="仿宋_GB2312"/>
          <w:sz w:val="32"/>
          <w:szCs w:val="32"/>
          <w:highlight w:val="none"/>
        </w:rPr>
        <w:t>禁止搅拌混凝土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搅拌砂浆</w:t>
      </w:r>
      <w:r>
        <w:rPr>
          <w:rFonts w:hint="eastAsia" w:ascii="仿宋_GB2312" w:hAnsi="仿宋_GB2312" w:eastAsia="仿宋_GB2312" w:cs="仿宋_GB2312"/>
          <w:sz w:val="32"/>
          <w:szCs w:val="32"/>
          <w:highlight w:val="none"/>
          <w:lang w:eastAsia="zh-CN"/>
        </w:rPr>
        <w:t>范围内现场搅拌混凝土、现场搅拌砂浆，在施工现场铺贴各类瓷砖、石板材等装饰块件采用干式方法进行切割</w:t>
      </w:r>
      <w:r>
        <w:rPr>
          <w:rFonts w:hint="eastAsia" w:ascii="仿宋_GB2312" w:hAnsi="仿宋_GB2312" w:eastAsia="仿宋_GB2312" w:cs="仿宋_GB2312"/>
          <w:sz w:val="32"/>
          <w:szCs w:val="32"/>
          <w:highlight w:val="none"/>
        </w:rPr>
        <w:t>，使用含石棉物质作为建筑材料</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rPr>
        <w:t>在建筑物拆除或者整修前</w:t>
      </w:r>
      <w:r>
        <w:rPr>
          <w:rFonts w:hint="eastAsia" w:ascii="仿宋_GB2312" w:hAnsi="仿宋_GB2312" w:eastAsia="仿宋_GB2312" w:cs="仿宋_GB2312"/>
          <w:sz w:val="32"/>
          <w:szCs w:val="32"/>
          <w:highlight w:val="none"/>
          <w:lang w:eastAsia="zh-CN"/>
        </w:rPr>
        <w:t>未按照国家和省的有关规定</w:t>
      </w:r>
      <w:r>
        <w:rPr>
          <w:rFonts w:hint="eastAsia" w:ascii="仿宋_GB2312" w:hAnsi="仿宋_GB2312" w:eastAsia="仿宋_GB2312" w:cs="仿宋_GB2312"/>
          <w:sz w:val="32"/>
          <w:szCs w:val="32"/>
          <w:highlight w:val="none"/>
        </w:rPr>
        <w:t>拆除石棉及含石棉物质的，由县级以上人民政府住房城乡建设等</w:t>
      </w:r>
      <w:r>
        <w:rPr>
          <w:rFonts w:hint="eastAsia" w:ascii="仿宋_GB2312" w:hAnsi="仿宋_GB2312" w:eastAsia="仿宋_GB2312" w:cs="仿宋_GB2312"/>
          <w:sz w:val="32"/>
          <w:szCs w:val="32"/>
          <w:highlight w:val="none"/>
          <w:lang w:eastAsia="zh-CN"/>
        </w:rPr>
        <w:t>主管</w:t>
      </w:r>
      <w:r>
        <w:rPr>
          <w:rFonts w:hint="eastAsia" w:ascii="仿宋_GB2312" w:hAnsi="仿宋_GB2312" w:eastAsia="仿宋_GB2312" w:cs="仿宋_GB2312"/>
          <w:sz w:val="32"/>
          <w:szCs w:val="32"/>
          <w:highlight w:val="none"/>
        </w:rPr>
        <w:t>部门</w:t>
      </w:r>
      <w:r>
        <w:rPr>
          <w:rFonts w:hint="eastAsia" w:ascii="仿宋_GB2312" w:hAnsi="仿宋_GB2312" w:eastAsia="仿宋_GB2312" w:cs="仿宋_GB2312"/>
          <w:i w:val="0"/>
          <w:iCs w:val="0"/>
          <w:sz w:val="32"/>
          <w:szCs w:val="32"/>
          <w:highlight w:val="none"/>
          <w:u w:val="none"/>
        </w:rPr>
        <w:t>按照职责</w:t>
      </w:r>
      <w:r>
        <w:rPr>
          <w:rFonts w:hint="eastAsia" w:ascii="仿宋_GB2312" w:hAnsi="仿宋_GB2312" w:eastAsia="仿宋_GB2312" w:cs="仿宋_GB2312"/>
          <w:sz w:val="32"/>
          <w:szCs w:val="32"/>
          <w:highlight w:val="none"/>
        </w:rPr>
        <w:t>责令改正，处五万元以上十万元以下的罚款；拒不改正的，责令停工整治。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第八十</w:t>
      </w:r>
      <w:r>
        <w:rPr>
          <w:rFonts w:hint="eastAsia" w:ascii="黑体" w:hAnsi="黑体" w:eastAsia="黑体" w:cs="黑体"/>
          <w:sz w:val="32"/>
          <w:szCs w:val="32"/>
          <w:highlight w:val="none"/>
          <w:lang w:eastAsia="zh-CN"/>
        </w:rPr>
        <w:t>四</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违反本条例第五十</w:t>
      </w: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条第一款规定，</w:t>
      </w:r>
      <w:r>
        <w:rPr>
          <w:rFonts w:hint="eastAsia" w:ascii="仿宋_GB2312" w:hAnsi="仿宋_GB2312" w:eastAsia="仿宋_GB2312" w:cs="仿宋_GB2312"/>
          <w:sz w:val="32"/>
          <w:szCs w:val="32"/>
          <w:highlight w:val="none"/>
          <w:lang w:eastAsia="zh-CN"/>
        </w:rPr>
        <w:t>运输煤炭、垃圾、渣土、土方、砂石和灰浆等散装、流体物料的车辆</w:t>
      </w:r>
      <w:r>
        <w:rPr>
          <w:rFonts w:hint="eastAsia" w:ascii="仿宋_GB2312" w:hAnsi="仿宋_GB2312" w:eastAsia="仿宋_GB2312" w:cs="仿宋_GB2312"/>
          <w:sz w:val="32"/>
          <w:szCs w:val="32"/>
          <w:highlight w:val="none"/>
        </w:rPr>
        <w:t>未采取密闭运输</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未配备卫星定位装置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i w:val="0"/>
          <w:iCs w:val="0"/>
          <w:sz w:val="32"/>
          <w:szCs w:val="32"/>
          <w:highlight w:val="none"/>
          <w:u w:val="none"/>
        </w:rPr>
        <w:t>或者</w:t>
      </w:r>
      <w:r>
        <w:rPr>
          <w:rFonts w:hint="eastAsia" w:ascii="仿宋_GB2312" w:hAnsi="仿宋_GB2312" w:eastAsia="仿宋_GB2312" w:cs="仿宋_GB2312"/>
          <w:sz w:val="32"/>
          <w:szCs w:val="32"/>
          <w:highlight w:val="none"/>
        </w:rPr>
        <w:t>未按照规定的时间、路线要求行驶的，由县级以上人民政府确定的监督管理部门责令改正，处五千元以上二万元以下的罚款；拒不改正的，车辆不得上道路行驶。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黑体" w:hAnsi="黑体" w:eastAsia="黑体" w:cs="黑体"/>
          <w:b w:val="0"/>
          <w:bCs w:val="0"/>
          <w:sz w:val="32"/>
          <w:szCs w:val="32"/>
          <w:highlight w:val="none"/>
        </w:rPr>
        <w:t>第八十</w:t>
      </w:r>
      <w:r>
        <w:rPr>
          <w:rFonts w:hint="eastAsia" w:ascii="黑体" w:hAnsi="黑体" w:eastAsia="黑体" w:cs="黑体"/>
          <w:b w:val="0"/>
          <w:bCs w:val="0"/>
          <w:sz w:val="32"/>
          <w:szCs w:val="32"/>
          <w:highlight w:val="none"/>
          <w:lang w:eastAsia="zh-CN"/>
        </w:rPr>
        <w:t>五</w:t>
      </w:r>
      <w:r>
        <w:rPr>
          <w:rFonts w:hint="eastAsia" w:ascii="黑体" w:hAnsi="黑体" w:eastAsia="黑体" w:cs="黑体"/>
          <w:b w:val="0"/>
          <w:bCs w:val="0"/>
          <w:sz w:val="32"/>
          <w:szCs w:val="32"/>
          <w:highlight w:val="none"/>
        </w:rPr>
        <w:t>条</w:t>
      </w:r>
      <w:r>
        <w:rPr>
          <w:rFonts w:hint="eastAsia" w:ascii="黑体" w:hAnsi="黑体" w:eastAsia="黑体" w:cs="黑体"/>
          <w:b w:val="0"/>
          <w:bCs w:val="0"/>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b w:val="0"/>
          <w:bCs w:val="0"/>
          <w:sz w:val="32"/>
          <w:szCs w:val="32"/>
          <w:highlight w:val="none"/>
          <w:lang w:eastAsia="zh-CN"/>
        </w:rPr>
        <w:t>六十一</w:t>
      </w:r>
      <w:r>
        <w:rPr>
          <w:rFonts w:hint="eastAsia" w:ascii="仿宋_GB2312" w:hAnsi="仿宋_GB2312" w:eastAsia="仿宋_GB2312" w:cs="仿宋_GB2312"/>
          <w:sz w:val="32"/>
          <w:szCs w:val="32"/>
          <w:highlight w:val="none"/>
        </w:rPr>
        <w:t>条第四款规定，封堵、改变专用烟道</w:t>
      </w:r>
      <w:r>
        <w:rPr>
          <w:rFonts w:hint="eastAsia" w:ascii="仿宋_GB2312" w:hAnsi="仿宋_GB2312" w:eastAsia="仿宋_GB2312" w:cs="仿宋_GB2312"/>
          <w:i w:val="0"/>
          <w:iCs w:val="0"/>
          <w:sz w:val="32"/>
          <w:szCs w:val="32"/>
          <w:highlight w:val="none"/>
          <w:u w:val="none"/>
        </w:rPr>
        <w:t>或者</w:t>
      </w:r>
      <w:r>
        <w:rPr>
          <w:rFonts w:hint="eastAsia" w:ascii="仿宋_GB2312" w:hAnsi="仿宋_GB2312" w:eastAsia="仿宋_GB2312" w:cs="仿宋_GB2312"/>
          <w:sz w:val="32"/>
          <w:szCs w:val="32"/>
          <w:highlight w:val="none"/>
        </w:rPr>
        <w:t>向城市地下排水管道排</w:t>
      </w:r>
      <w:r>
        <w:rPr>
          <w:rFonts w:hint="eastAsia" w:ascii="仿宋_GB2312" w:hAnsi="仿宋_GB2312" w:eastAsia="仿宋_GB2312" w:cs="仿宋_GB2312"/>
          <w:sz w:val="32"/>
          <w:szCs w:val="32"/>
          <w:highlight w:val="none"/>
          <w:lang w:eastAsia="zh-CN"/>
        </w:rPr>
        <w:t>放油烟</w:t>
      </w:r>
      <w:r>
        <w:rPr>
          <w:rFonts w:hint="eastAsia" w:ascii="仿宋_GB2312" w:hAnsi="仿宋_GB2312" w:eastAsia="仿宋_GB2312" w:cs="仿宋_GB2312"/>
          <w:sz w:val="32"/>
          <w:szCs w:val="32"/>
          <w:highlight w:val="none"/>
        </w:rPr>
        <w:t>的，由县级以上人民政府确定的监督管理部门责令限期改正；逾期不改正的，处五千元以上二万元以下的罚款。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p>
    <w:p>
      <w:pPr>
        <w:widowControl w:val="0"/>
        <w:numPr>
          <w:ilvl w:val="0"/>
          <w:numId w:val="0"/>
        </w:numPr>
        <w:tabs>
          <w:tab w:val="left" w:pos="0"/>
        </w:tabs>
        <w:wordWrap/>
        <w:adjustRightInd/>
        <w:snapToGrid w:val="0"/>
        <w:spacing w:beforeAutospacing="0" w:afterAutospacing="0" w:line="560" w:lineRule="exact"/>
        <w:ind w:leftChars="0" w:right="0"/>
        <w:jc w:val="center"/>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eastAsia="zh-CN"/>
        </w:rPr>
        <w:t>第九章</w:t>
      </w:r>
      <w:r>
        <w:rPr>
          <w:rFonts w:hint="eastAsia" w:ascii="黑体" w:hAnsi="黑体" w:eastAsia="黑体" w:cs="黑体"/>
          <w:b w:val="0"/>
          <w:bCs w:val="0"/>
          <w:sz w:val="32"/>
          <w:szCs w:val="32"/>
          <w:highlight w:val="none"/>
          <w:lang w:val="en-US" w:eastAsia="zh-CN"/>
        </w:rPr>
        <w:t xml:space="preserve">  </w:t>
      </w:r>
      <w:r>
        <w:rPr>
          <w:rFonts w:hint="eastAsia" w:ascii="黑体" w:hAnsi="黑体" w:eastAsia="黑体" w:cs="黑体"/>
          <w:b w:val="0"/>
          <w:bCs w:val="0"/>
          <w:sz w:val="32"/>
          <w:szCs w:val="32"/>
          <w:highlight w:val="none"/>
        </w:rPr>
        <w:t>附则</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eastAsia="zh-CN"/>
        </w:rPr>
        <w:t>第八十六条</w:t>
      </w:r>
      <w:r>
        <w:rPr>
          <w:rFonts w:hint="eastAsia" w:ascii="黑体" w:hAnsi="黑体" w:eastAsia="黑体" w:cs="黑体"/>
          <w:b w:val="0"/>
          <w:bCs w:val="0"/>
          <w:sz w:val="32"/>
          <w:szCs w:val="32"/>
          <w:highlight w:val="none"/>
          <w:lang w:val="en-US" w:eastAsia="zh-CN"/>
        </w:rPr>
        <w:t xml:space="preserve">  </w:t>
      </w:r>
      <w:r>
        <w:rPr>
          <w:rFonts w:hint="eastAsia" w:ascii="仿宋_GB2312" w:hAnsi="仿宋_GB2312" w:eastAsia="仿宋_GB2312" w:cs="仿宋_GB2312"/>
          <w:sz w:val="32"/>
          <w:szCs w:val="32"/>
          <w:highlight w:val="none"/>
        </w:rPr>
        <w:t>本条例所称移动源，是指由内燃机为驱动或者牵引的机动车、非道路移动机械、船舶。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本条例所称新车，是指新生产尚未办理注册登记的汽车。</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本条例所称在用车，是指已经登记注册并取得号牌的汽车。</w:t>
      </w:r>
    </w:p>
    <w:p>
      <w:pPr>
        <w:widowControl w:val="0"/>
        <w:wordWrap/>
        <w:adjustRightInd/>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宋体" w:hAnsi="宋体" w:eastAsia="黑体" w:cs="Times New Roman"/>
          <w:kern w:val="0"/>
          <w:sz w:val="24"/>
          <w:szCs w:val="32"/>
          <w:lang w:val="en-US" w:eastAsia="zh-CN"/>
        </w:rPr>
      </w:pPr>
      <w:r>
        <w:rPr>
          <w:rFonts w:hint="eastAsia" w:ascii="黑体" w:hAnsi="黑体" w:eastAsia="黑体" w:cs="黑体"/>
          <w:b w:val="0"/>
          <w:bCs w:val="0"/>
          <w:kern w:val="2"/>
          <w:sz w:val="32"/>
          <w:szCs w:val="32"/>
          <w:highlight w:val="none"/>
          <w:lang w:val="en-US" w:eastAsia="zh-CN" w:bidi="ar-SA"/>
        </w:rPr>
        <w:t xml:space="preserve">第八十七条  </w:t>
      </w:r>
      <w:r>
        <w:rPr>
          <w:rFonts w:hint="eastAsia" w:ascii="仿宋_GB2312" w:hAnsi="仿宋_GB2312" w:eastAsia="仿宋_GB2312" w:cs="仿宋_GB2312"/>
          <w:kern w:val="0"/>
          <w:sz w:val="32"/>
          <w:szCs w:val="32"/>
          <w:highlight w:val="none"/>
          <w:lang w:val="en-US" w:eastAsia="zh-CN"/>
        </w:rPr>
        <w:t>本条例自</w:t>
      </w:r>
      <w:r>
        <w:rPr>
          <w:rFonts w:hint="eastAsia" w:ascii="宋体" w:hAnsi="宋体" w:eastAsia="宋体" w:cs="宋体"/>
          <w:kern w:val="2"/>
          <w:sz w:val="32"/>
          <w:szCs w:val="32"/>
          <w:highlight w:val="none"/>
          <w:lang w:val="en-US" w:eastAsia="zh-CN" w:bidi="ar-SA"/>
        </w:rPr>
        <w:t>2019</w:t>
      </w:r>
      <w:r>
        <w:rPr>
          <w:rFonts w:hint="eastAsia" w:ascii="仿宋_GB2312" w:hAnsi="仿宋_GB2312" w:eastAsia="仿宋_GB2312" w:cs="仿宋_GB2312"/>
          <w:kern w:val="2"/>
          <w:sz w:val="32"/>
          <w:szCs w:val="32"/>
          <w:highlight w:val="none"/>
          <w:lang w:val="en-US" w:eastAsia="zh-CN" w:bidi="ar-SA"/>
        </w:rPr>
        <w:t>年</w:t>
      </w:r>
      <w:r>
        <w:rPr>
          <w:rFonts w:hint="eastAsia" w:ascii="宋体" w:hAnsi="宋体" w:eastAsia="宋体" w:cs="宋体"/>
          <w:kern w:val="2"/>
          <w:sz w:val="32"/>
          <w:szCs w:val="32"/>
          <w:highlight w:val="none"/>
          <w:lang w:val="en-US" w:eastAsia="zh-CN" w:bidi="ar-SA"/>
        </w:rPr>
        <w:t>3</w:t>
      </w:r>
      <w:r>
        <w:rPr>
          <w:rFonts w:hint="eastAsia" w:ascii="仿宋_GB2312" w:hAnsi="仿宋_GB2312" w:eastAsia="仿宋_GB2312" w:cs="仿宋_GB2312"/>
          <w:kern w:val="2"/>
          <w:sz w:val="32"/>
          <w:szCs w:val="32"/>
          <w:highlight w:val="none"/>
          <w:lang w:val="en-US" w:eastAsia="zh-CN" w:bidi="ar-SA"/>
        </w:rPr>
        <w:t>月</w:t>
      </w:r>
      <w:r>
        <w:rPr>
          <w:rFonts w:hint="eastAsia" w:ascii="宋体" w:hAnsi="宋体" w:eastAsia="宋体" w:cs="宋体"/>
          <w:kern w:val="2"/>
          <w:sz w:val="32"/>
          <w:szCs w:val="32"/>
          <w:highlight w:val="none"/>
          <w:lang w:val="en-US" w:eastAsia="zh-CN" w:bidi="ar-SA"/>
        </w:rPr>
        <w:t>1</w:t>
      </w:r>
      <w:r>
        <w:rPr>
          <w:rFonts w:hint="eastAsia" w:ascii="仿宋_GB2312" w:hAnsi="仿宋_GB2312" w:eastAsia="仿宋_GB2312" w:cs="仿宋_GB2312"/>
          <w:kern w:val="2"/>
          <w:sz w:val="32"/>
          <w:szCs w:val="32"/>
          <w:highlight w:val="none"/>
          <w:lang w:val="en-US" w:eastAsia="zh-CN" w:bidi="ar-SA"/>
        </w:rPr>
        <w:t>日</w:t>
      </w:r>
      <w:r>
        <w:rPr>
          <w:rFonts w:hint="eastAsia" w:ascii="仿宋_GB2312" w:hAnsi="仿宋_GB2312" w:eastAsia="仿宋_GB2312" w:cs="仿宋_GB2312"/>
          <w:kern w:val="0"/>
          <w:sz w:val="32"/>
          <w:szCs w:val="32"/>
          <w:highlight w:val="none"/>
          <w:lang w:val="en-US" w:eastAsia="zh-CN"/>
        </w:rPr>
        <w:t>起施行。</w:t>
      </w:r>
    </w:p>
    <w:p>
      <w:pPr>
        <w:widowControl w:val="0"/>
        <w:ind w:firstLine="640" w:firstLineChars="200"/>
        <w:jc w:val="both"/>
        <w:rPr>
          <w:rFonts w:hint="eastAsia" w:ascii="Calibri" w:hAnsi="Calibri" w:eastAsia="宋体" w:cs="Times New Roman"/>
          <w:kern w:val="2"/>
          <w:sz w:val="32"/>
          <w:szCs w:val="24"/>
          <w:lang w:val="en-US" w:eastAsia="zh-CN" w:bidi="ar-SA"/>
        </w:rPr>
      </w:pPr>
    </w:p>
    <w:p>
      <w:pPr>
        <w:widowControl w:val="0"/>
        <w:ind w:firstLine="640" w:firstLineChars="200"/>
        <w:jc w:val="both"/>
        <w:rPr>
          <w:rFonts w:hint="eastAsia" w:ascii="Calibri" w:hAnsi="Calibri" w:eastAsia="宋体" w:cs="Times New Roman"/>
          <w:kern w:val="2"/>
          <w:sz w:val="32"/>
          <w:szCs w:val="24"/>
          <w:lang w:val="en-US" w:eastAsia="zh-CN" w:bidi="ar-SA"/>
        </w:rPr>
      </w:pPr>
    </w:p>
    <w:p>
      <w:pPr>
        <w:widowControl w:val="0"/>
        <w:ind w:firstLine="640" w:firstLineChars="200"/>
        <w:jc w:val="both"/>
        <w:rPr>
          <w:rFonts w:hint="eastAsia" w:ascii="Calibri" w:hAnsi="Calibri" w:eastAsia="宋体" w:cs="Times New Roman"/>
          <w:kern w:val="2"/>
          <w:sz w:val="32"/>
          <w:szCs w:val="24"/>
          <w:lang w:val="en-US" w:eastAsia="zh-CN" w:bidi="ar-SA"/>
        </w:rPr>
      </w:pPr>
    </w:p>
    <w:p>
      <w:pPr>
        <w:widowControl w:val="0"/>
        <w:wordWrap/>
        <w:adjustRightInd/>
        <w:snapToGrid/>
        <w:spacing w:before="238" w:beforeLines="40" w:line="580" w:lineRule="exact"/>
        <w:ind w:left="0" w:leftChars="0" w:right="0" w:firstLine="0" w:firstLineChars="0"/>
        <w:jc w:val="both"/>
        <w:textAlignment w:val="auto"/>
        <w:outlineLvl w:val="9"/>
        <w:rPr>
          <w:rFonts w:hint="eastAsia" w:ascii="宋体" w:hAnsi="宋体" w:eastAsia="仿宋_GB2312" w:cs="Times New Roman"/>
          <w:color w:val="000000"/>
          <w:szCs w:val="32"/>
          <w:lang w:eastAsia="zh-CN"/>
        </w:rPr>
      </w:pPr>
    </w:p>
    <w:p>
      <w:pPr>
        <w:rPr>
          <w:rFonts w:ascii="Times New Roman" w:hAnsi="Times New Roman" w:cs="Times New Roman"/>
        </w:rPr>
      </w:pP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49" w:name="_Toc17061"/>
      <w:r>
        <w:rPr>
          <w:rFonts w:hint="eastAsia" w:ascii="宋体" w:hAnsi="宋体" w:eastAsia="宋体" w:cs="宋体"/>
          <w:color w:val="000000"/>
          <w:sz w:val="44"/>
          <w:szCs w:val="44"/>
        </w:rPr>
        <w:t>广东省</w:t>
      </w:r>
      <w:r>
        <w:rPr>
          <w:rFonts w:hint="eastAsia" w:ascii="宋体" w:hAnsi="宋体" w:eastAsia="宋体" w:cs="宋体"/>
          <w:color w:val="000000"/>
          <w:sz w:val="44"/>
          <w:szCs w:val="44"/>
          <w:lang w:eastAsia="zh-CN"/>
        </w:rPr>
        <w:t>固体废物污染环境防治</w:t>
      </w:r>
      <w:r>
        <w:rPr>
          <w:rFonts w:hint="eastAsia" w:ascii="宋体" w:hAnsi="宋体" w:eastAsia="宋体" w:cs="宋体"/>
          <w:color w:val="000000"/>
          <w:sz w:val="44"/>
          <w:szCs w:val="44"/>
        </w:rPr>
        <w:t>条例</w:t>
      </w:r>
      <w:bookmarkEnd w:id="449"/>
    </w:p>
    <w:p>
      <w:pPr>
        <w:widowControl w:val="0"/>
        <w:wordWrap/>
        <w:overflowPunct w:val="0"/>
        <w:adjustRightInd/>
        <w:snapToGrid/>
        <w:spacing w:beforeAutospacing="0" w:afterAutospacing="0" w:line="560" w:lineRule="exact"/>
        <w:ind w:right="0" w:firstLine="631"/>
        <w:jc w:val="both"/>
        <w:textAlignment w:val="auto"/>
        <w:rPr>
          <w:rFonts w:hint="eastAsia" w:ascii="宋体" w:hAnsi="宋体" w:eastAsia="楷体_GB2312"/>
          <w:kern w:val="2"/>
          <w:sz w:val="32"/>
          <w:szCs w:val="32"/>
          <w:lang w:val="en-US" w:eastAsia="zh-CN" w:bidi="ar-SA"/>
        </w:rPr>
      </w:pP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（2004年1月14日广东省第十届人民代表大会常务委员会第八次会议通过　根据2012年1月9日广东省第十一届人民代表大会常务委员会第三十一次会议《</w:t>
      </w:r>
      <w:r>
        <w:rPr>
          <w:rFonts w:hint="eastAsia" w:ascii="宋体" w:hAnsi="宋体" w:eastAsia="楷体_GB2312"/>
          <w:kern w:val="2"/>
          <w:sz w:val="32"/>
          <w:szCs w:val="32"/>
          <w:lang w:val="en-US" w:eastAsia="zh-CN" w:bidi="ar-SA"/>
        </w:rPr>
        <w:fldChar w:fldCharType="begin"/>
      </w:r>
      <w:r>
        <w:rPr>
          <w:rFonts w:hint="eastAsia" w:ascii="宋体" w:hAnsi="宋体" w:eastAsia="楷体_GB2312"/>
          <w:kern w:val="2"/>
          <w:sz w:val="32"/>
          <w:szCs w:val="32"/>
          <w:lang w:val="en-US" w:eastAsia="zh-CN" w:bidi="ar-SA"/>
        </w:rPr>
        <w:instrText xml:space="preserve"> HYPERLINK "http://172.17.252.5/FullText/fulltext_form.aspx?db=lar&amp;gid=17424780&amp;ix=0&amp;w=H4sIAAAAAAAEAABDAbz+AAEAAAD/////AQAAAAAAAAAMAgAAADxDbGlWNSwgVmVyc2lvbj0xLjAuMC4wLCBDdWx0dXJlPW5ldXRyYWwsIFB1YmxpY0tleVRva2VuPW51bGwFAQAAACtDbGlWNS5Db21tb25DbGFzcy5TZXJpYWxQYXJhbStTZWFyY2hfU3RydWN0BgAAAAhEYXRhYmFzZQVXaGVyZQRTb3J0B0tleXdvcmQHSXNHcm91cAlJc1N1bW1hcnkBAQEBAAABAQIAAAAGAwAAAANsYXIGBAAAAEHmlYjlipvnuqfliKs9WE0wNyUgYW5kICAo5rOV6KeE5qCH6aKYPScl5bm/5Lic55yB5Zu65L2T5bqf54mpJScpIAYFAAAADS3lj5HluIPml6XmnJ8GBgAAABXlub/kuJznnIHlm7rkvZPlup/niakAAAsBAAD//javascript:SLC(17341358,0)" </w:instrText>
      </w:r>
      <w:r>
        <w:rPr>
          <w:rFonts w:hint="eastAsia" w:ascii="宋体" w:hAnsi="宋体" w:eastAsia="楷体_GB2312"/>
          <w:kern w:val="2"/>
          <w:sz w:val="32"/>
          <w:szCs w:val="32"/>
          <w:lang w:val="en-US" w:eastAsia="zh-CN" w:bidi="ar-SA"/>
        </w:rPr>
        <w:fldChar w:fldCharType="separate"/>
      </w:r>
      <w:r>
        <w:rPr>
          <w:rFonts w:hint="eastAsia" w:ascii="宋体" w:hAnsi="宋体" w:eastAsia="楷体_GB2312"/>
          <w:kern w:val="2"/>
          <w:sz w:val="32"/>
          <w:szCs w:val="32"/>
          <w:lang w:val="en-US" w:eastAsia="zh-CN" w:bidi="ar-SA"/>
        </w:rPr>
        <w:t>广东省人民代表大会常务委员会关于修改〈广东省固体废物污染环境防治条例〉等七项法规中有关行政强制条款的决定</w:t>
      </w:r>
      <w:r>
        <w:rPr>
          <w:rFonts w:hint="eastAsia" w:ascii="宋体" w:hAnsi="宋体" w:eastAsia="楷体_GB2312"/>
          <w:kern w:val="2"/>
          <w:sz w:val="32"/>
          <w:szCs w:val="32"/>
          <w:lang w:val="en-US" w:eastAsia="zh-CN" w:bidi="ar-SA"/>
        </w:rPr>
        <w:fldChar w:fldCharType="end"/>
      </w:r>
      <w:r>
        <w:rPr>
          <w:rFonts w:hint="eastAsia" w:ascii="宋体" w:hAnsi="宋体" w:eastAsia="楷体_GB2312"/>
          <w:kern w:val="2"/>
          <w:sz w:val="32"/>
          <w:szCs w:val="32"/>
          <w:lang w:val="en-US" w:eastAsia="zh-CN" w:bidi="ar-SA"/>
        </w:rPr>
        <w:t>》第一次修正　根据2012年7月26日广东省第十一届人民代表大会常务委员会第三十五次会议《广东省人民代表大会常务委员会关于修改〈广东省民营科技企业管理条例〉等二十三项法规的决定》第二次修正  2018年11月29日广东省第十三届人民代表大会常务委员会第七次会议修订）</w:t>
      </w: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kern w:val="2"/>
          <w:sz w:val="32"/>
          <w:szCs w:val="32"/>
          <w:lang w:val="en-US" w:eastAsia="zh-CN" w:bidi="ar-SA"/>
        </w:rPr>
      </w:pPr>
    </w:p>
    <w:p>
      <w:pPr>
        <w:widowControl w:val="0"/>
        <w:wordWrap/>
        <w:overflowPunct w:val="0"/>
        <w:adjustRightInd/>
        <w:snapToGrid/>
        <w:spacing w:beforeAutospacing="0" w:afterAutospacing="0" w:line="560" w:lineRule="exact"/>
        <w:ind w:left="0" w:leftChars="0" w:right="0" w:firstLine="0" w:firstLineChars="0"/>
        <w:jc w:val="center"/>
        <w:textAlignment w:val="auto"/>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目    录</w:t>
      </w:r>
    </w:p>
    <w:p>
      <w:pPr>
        <w:widowControl w:val="0"/>
        <w:wordWrap/>
        <w:overflowPunct w:val="0"/>
        <w:adjustRightInd/>
        <w:snapToGrid/>
        <w:spacing w:beforeAutospacing="0" w:afterAutospacing="0" w:line="560" w:lineRule="exact"/>
        <w:ind w:right="0" w:firstLine="3520" w:firstLineChars="1100"/>
        <w:jc w:val="both"/>
        <w:textAlignment w:val="auto"/>
        <w:rPr>
          <w:rFonts w:hint="eastAsia" w:ascii="宋体" w:hAnsi="宋体" w:eastAsia="楷体_GB2312"/>
          <w:kern w:val="2"/>
          <w:sz w:val="32"/>
          <w:szCs w:val="32"/>
          <w:lang w:val="en-US" w:eastAsia="zh-CN" w:bidi="ar-SA"/>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第一章  总则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第二章  固体废物污染环境防治的监督管理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第三章  固体废物污染环境的防治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第四章  危险废物污染环境防治的特别规定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第五章  法律责任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第六章  附则</w:t>
      </w:r>
    </w:p>
    <w:p>
      <w:pPr>
        <w:widowControl w:val="0"/>
        <w:wordWrap/>
        <w:overflowPunct w:val="0"/>
        <w:adjustRightInd/>
        <w:snapToGrid/>
        <w:spacing w:beforeAutospacing="0" w:afterAutospacing="0" w:line="560" w:lineRule="exact"/>
        <w:ind w:right="0"/>
        <w:jc w:val="both"/>
        <w:textAlignment w:val="auto"/>
        <w:rPr>
          <w:rFonts w:hint="eastAsia" w:ascii="宋体" w:hAnsi="宋体" w:eastAsia="楷体_GB2312"/>
          <w:kern w:val="2"/>
          <w:sz w:val="32"/>
          <w:szCs w:val="32"/>
          <w:lang w:val="en-US" w:eastAsia="zh-CN" w:bidi="ar-SA"/>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r>
        <w:rPr>
          <w:rFonts w:hint="eastAsia" w:ascii="宋体" w:hAnsi="宋体" w:eastAsia="黑体" w:cs="黑体"/>
          <w:spacing w:val="0"/>
          <w:w w:val="100"/>
          <w:sz w:val="32"/>
          <w:szCs w:val="32"/>
        </w:rPr>
        <w:t>第一章  总则</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0" w:name="_Toc16053"/>
      <w:r>
        <w:rPr>
          <w:rFonts w:hint="eastAsia" w:ascii="宋体" w:hAnsi="宋体" w:eastAsia="黑体" w:cs="黑体"/>
          <w:spacing w:val="0"/>
          <w:w w:val="100"/>
          <w:sz w:val="32"/>
          <w:szCs w:val="32"/>
        </w:rPr>
        <w:t>第一条</w:t>
      </w:r>
      <w:bookmarkEnd w:id="450"/>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rPr>
        <w:t xml:space="preserve"> 为了防治固体废物污染环境，保障公众健康，推进生态文明建设，促进经济社会可持续发展，根据《中华人民共和国环境保护法》《中华人民共和国固体废物污染环境防治法》等法律</w:t>
      </w:r>
      <w:r>
        <w:rPr>
          <w:rFonts w:hint="eastAsia" w:ascii="宋体" w:hAnsi="宋体" w:cs="仿宋_GB2312"/>
          <w:spacing w:val="0"/>
          <w:w w:val="100"/>
          <w:sz w:val="32"/>
          <w:szCs w:val="32"/>
          <w:lang w:eastAsia="zh-CN"/>
        </w:rPr>
        <w:t>、</w:t>
      </w:r>
      <w:r>
        <w:rPr>
          <w:rFonts w:hint="eastAsia" w:ascii="宋体" w:hAnsi="宋体" w:eastAsia="仿宋_GB2312" w:cs="仿宋_GB2312"/>
          <w:spacing w:val="0"/>
          <w:w w:val="100"/>
          <w:sz w:val="32"/>
          <w:szCs w:val="32"/>
        </w:rPr>
        <w:t>法规，结合本省实际，制定本条例。</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1" w:name="_Toc11547"/>
      <w:r>
        <w:rPr>
          <w:rFonts w:hint="eastAsia" w:ascii="宋体" w:hAnsi="宋体" w:eastAsia="黑体" w:cs="黑体"/>
          <w:spacing w:val="0"/>
          <w:w w:val="100"/>
          <w:sz w:val="32"/>
          <w:szCs w:val="32"/>
        </w:rPr>
        <w:t>第二条</w:t>
      </w:r>
      <w:bookmarkEnd w:id="451"/>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rPr>
        <w:t xml:space="preserve"> 本条例适用于本省行政区域内固体废物污染环境的防治及其监督管理。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固体废物污染海洋环境的防治和放射性固体废物污染环境的防治不适用本条例。</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2" w:name="_Toc3958"/>
      <w:r>
        <w:rPr>
          <w:rFonts w:hint="eastAsia" w:ascii="宋体" w:hAnsi="宋体" w:eastAsia="黑体" w:cs="黑体"/>
          <w:spacing w:val="0"/>
          <w:w w:val="100"/>
          <w:sz w:val="32"/>
          <w:szCs w:val="32"/>
        </w:rPr>
        <w:t>第三条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rPr>
        <w:t xml:space="preserve"> 固体废物污染环境的防治</w:t>
      </w:r>
      <w:r>
        <w:rPr>
          <w:rFonts w:hint="eastAsia" w:ascii="宋体" w:hAnsi="宋体" w:eastAsia="仿宋_GB2312" w:cs="仿宋_GB2312"/>
          <w:spacing w:val="0"/>
          <w:w w:val="100"/>
          <w:sz w:val="32"/>
          <w:szCs w:val="32"/>
          <w:lang w:eastAsia="zh-CN"/>
        </w:rPr>
        <w:t>，</w:t>
      </w:r>
      <w:r>
        <w:rPr>
          <w:rFonts w:hint="eastAsia" w:ascii="宋体" w:hAnsi="宋体" w:eastAsia="仿宋_GB2312" w:cs="仿宋_GB2312"/>
          <w:spacing w:val="0"/>
          <w:w w:val="100"/>
          <w:sz w:val="32"/>
          <w:szCs w:val="32"/>
        </w:rPr>
        <w:t>坚持</w:t>
      </w:r>
      <w:r>
        <w:rPr>
          <w:rFonts w:hint="eastAsia" w:ascii="宋体" w:hAnsi="宋体" w:eastAsia="仿宋_GB2312" w:cs="仿宋_GB2312"/>
          <w:spacing w:val="0"/>
          <w:w w:val="100"/>
          <w:sz w:val="32"/>
          <w:szCs w:val="32"/>
          <w:lang w:eastAsia="zh-CN"/>
        </w:rPr>
        <w:t>保护优先，实行</w:t>
      </w:r>
      <w:r>
        <w:rPr>
          <w:rFonts w:hint="eastAsia" w:ascii="宋体" w:hAnsi="宋体" w:eastAsia="仿宋_GB2312" w:cs="仿宋_GB2312"/>
          <w:spacing w:val="0"/>
          <w:w w:val="100"/>
          <w:sz w:val="32"/>
          <w:szCs w:val="32"/>
        </w:rPr>
        <w:t>减量化、资源化、无害化的原则，减少固体废物的产生量和危害性</w:t>
      </w:r>
      <w:r>
        <w:rPr>
          <w:rFonts w:hint="eastAsia" w:ascii="宋体" w:hAnsi="宋体" w:eastAsia="仿宋_GB2312" w:cs="仿宋_GB2312"/>
          <w:i w:val="0"/>
          <w:iCs w:val="0"/>
          <w:spacing w:val="0"/>
          <w:w w:val="100"/>
          <w:sz w:val="32"/>
          <w:szCs w:val="32"/>
          <w:u w:val="none"/>
          <w:lang w:eastAsia="zh-CN"/>
        </w:rPr>
        <w:t>、</w:t>
      </w:r>
      <w:r>
        <w:rPr>
          <w:rFonts w:hint="eastAsia" w:ascii="宋体" w:hAnsi="宋体" w:eastAsia="仿宋_GB2312" w:cs="仿宋_GB2312"/>
          <w:spacing w:val="0"/>
          <w:w w:val="100"/>
          <w:sz w:val="32"/>
          <w:szCs w:val="32"/>
        </w:rPr>
        <w:t>充分合理利用固体废物和无害化处置固体废物，促进清洁生产和循环经济发展。</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bookmarkStart w:id="453" w:name="_Toc15409"/>
      <w:r>
        <w:rPr>
          <w:rFonts w:hint="eastAsia" w:ascii="宋体" w:hAnsi="宋体" w:eastAsia="黑体" w:cs="黑体"/>
          <w:spacing w:val="0"/>
          <w:w w:val="100"/>
          <w:sz w:val="32"/>
          <w:szCs w:val="32"/>
          <w:lang w:eastAsia="zh-CN"/>
        </w:rPr>
        <w:t>第四条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县级以上人民政府应当将固体废物污染环境防治工作纳入国民经济和社会发展规划。</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仿宋_GB2312" w:cs="仿宋_GB2312"/>
          <w:spacing w:val="0"/>
          <w:w w:val="100"/>
          <w:sz w:val="32"/>
          <w:szCs w:val="32"/>
          <w:lang w:eastAsia="zh-CN"/>
        </w:rPr>
        <w:t>县级以上人民政府生态环境主管部门应当会同有关部门，依法编制本行政区域的固体废物污染防治专项规划或者将固体废物污染防治规划纳入本行政区域的环境保护规划。</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仿宋_GB2312" w:cs="仿宋_GB2312"/>
          <w:spacing w:val="0"/>
          <w:w w:val="100"/>
          <w:sz w:val="32"/>
          <w:szCs w:val="32"/>
          <w:lang w:eastAsia="zh-CN"/>
        </w:rPr>
        <w:t>固体废物污染防治规划应当与区域环境保护规划、土地利用总体规划、城市总体规划等相协调。</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五</w:t>
      </w:r>
      <w:r>
        <w:rPr>
          <w:rFonts w:hint="eastAsia" w:ascii="宋体" w:hAnsi="宋体" w:eastAsia="黑体" w:cs="黑体"/>
          <w:spacing w:val="0"/>
          <w:w w:val="100"/>
          <w:sz w:val="32"/>
          <w:szCs w:val="32"/>
        </w:rPr>
        <w:t>条</w:t>
      </w:r>
      <w:bookmarkEnd w:id="453"/>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w:t>
      </w:r>
      <w:r>
        <w:rPr>
          <w:rFonts w:hint="eastAsia" w:ascii="宋体" w:hAnsi="宋体" w:eastAsia="仿宋_GB2312" w:cs="仿宋_GB2312"/>
          <w:spacing w:val="0"/>
          <w:w w:val="100"/>
          <w:sz w:val="32"/>
          <w:szCs w:val="32"/>
        </w:rPr>
        <w:t>收集、贮存、运输、利用、处置固体废物的企业事业单位和其他生产经营者，应当采取措施，防止或者减少固体废物污染环境，并</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i w:val="0"/>
          <w:iCs w:val="0"/>
          <w:spacing w:val="0"/>
          <w:w w:val="100"/>
          <w:sz w:val="32"/>
          <w:szCs w:val="32"/>
          <w:u w:val="none"/>
        </w:rPr>
        <w:t>承担固体废物污染环境防治</w:t>
      </w:r>
      <w:r>
        <w:rPr>
          <w:rFonts w:hint="eastAsia" w:ascii="宋体" w:hAnsi="宋体" w:eastAsia="仿宋_GB2312" w:cs="仿宋_GB2312"/>
          <w:spacing w:val="0"/>
          <w:w w:val="100"/>
          <w:sz w:val="32"/>
          <w:szCs w:val="32"/>
        </w:rPr>
        <w:t>责任。</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六</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县</w:t>
      </w:r>
      <w:r>
        <w:rPr>
          <w:rFonts w:hint="eastAsia" w:ascii="宋体" w:hAnsi="宋体" w:eastAsia="仿宋_GB2312" w:cs="仿宋_GB2312"/>
          <w:spacing w:val="0"/>
          <w:w w:val="100"/>
          <w:sz w:val="32"/>
          <w:szCs w:val="32"/>
        </w:rPr>
        <w:t>级以上人民政府应当统筹协调固体废物污染环境防治工作，并对固体废物污染环境防治给予必要的财政</w:t>
      </w:r>
      <w:r>
        <w:rPr>
          <w:rFonts w:hint="eastAsia" w:ascii="宋体" w:hAnsi="宋体" w:eastAsia="仿宋_GB2312" w:cs="仿宋_GB2312"/>
          <w:i w:val="0"/>
          <w:iCs w:val="0"/>
          <w:spacing w:val="0"/>
          <w:w w:val="100"/>
          <w:sz w:val="32"/>
          <w:szCs w:val="32"/>
          <w:u w:val="none"/>
        </w:rPr>
        <w:t>支持</w:t>
      </w:r>
      <w:r>
        <w:rPr>
          <w:rFonts w:hint="eastAsia" w:ascii="宋体" w:hAnsi="宋体" w:eastAsia="仿宋_GB2312" w:cs="仿宋_GB2312"/>
          <w:spacing w:val="0"/>
          <w:w w:val="100"/>
          <w:sz w:val="32"/>
          <w:szCs w:val="32"/>
        </w:rPr>
        <w:t>，对固体废物突发环境事件安排应急处置资金。</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乡镇人民政府、街道办事处</w:t>
      </w:r>
      <w:r>
        <w:rPr>
          <w:rFonts w:hint="eastAsia" w:ascii="宋体" w:hAnsi="宋体" w:eastAsia="仿宋_GB2312" w:cs="仿宋_GB2312"/>
          <w:kern w:val="0"/>
          <w:sz w:val="32"/>
          <w:szCs w:val="32"/>
        </w:rPr>
        <w:t>和基层群众性自治组织</w:t>
      </w:r>
      <w:r>
        <w:rPr>
          <w:rFonts w:hint="eastAsia" w:ascii="宋体" w:hAnsi="宋体" w:eastAsia="仿宋_GB2312" w:cs="仿宋_GB2312"/>
          <w:spacing w:val="0"/>
          <w:w w:val="100"/>
          <w:sz w:val="32"/>
          <w:szCs w:val="32"/>
        </w:rPr>
        <w:t>应当协助做好本</w:t>
      </w:r>
      <w:r>
        <w:rPr>
          <w:rFonts w:hint="eastAsia" w:ascii="宋体" w:hAnsi="宋体" w:eastAsia="仿宋_GB2312" w:cs="仿宋_GB2312"/>
          <w:kern w:val="0"/>
          <w:sz w:val="32"/>
          <w:szCs w:val="32"/>
          <w:lang w:eastAsia="zh-CN"/>
        </w:rPr>
        <w:t>区域</w:t>
      </w:r>
      <w:r>
        <w:rPr>
          <w:rFonts w:hint="eastAsia" w:ascii="宋体" w:hAnsi="宋体" w:eastAsia="仿宋_GB2312" w:cs="仿宋_GB2312"/>
          <w:spacing w:val="0"/>
          <w:w w:val="100"/>
          <w:sz w:val="32"/>
          <w:szCs w:val="32"/>
        </w:rPr>
        <w:t>的固体废物污染环境防治工作。</w:t>
      </w:r>
      <w:bookmarkStart w:id="454" w:name="_Toc7157"/>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七</w:t>
      </w:r>
      <w:r>
        <w:rPr>
          <w:rFonts w:hint="eastAsia" w:ascii="宋体" w:hAnsi="宋体" w:eastAsia="黑体" w:cs="黑体"/>
          <w:spacing w:val="0"/>
          <w:w w:val="100"/>
          <w:sz w:val="32"/>
          <w:szCs w:val="32"/>
        </w:rPr>
        <w:t>条</w:t>
      </w:r>
      <w:bookmarkEnd w:id="454"/>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w:t>
      </w:r>
      <w:r>
        <w:rPr>
          <w:rFonts w:hint="eastAsia" w:ascii="宋体" w:hAnsi="宋体" w:eastAsia="仿宋_GB2312" w:cs="仿宋_GB2312"/>
          <w:spacing w:val="0"/>
          <w:w w:val="100"/>
          <w:sz w:val="32"/>
          <w:szCs w:val="32"/>
        </w:rPr>
        <w:t>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主管部门对本行政区域内固体废物污染环境的防治工作实施统一监督管理。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县</w:t>
      </w:r>
      <w:r>
        <w:rPr>
          <w:rFonts w:hint="eastAsia" w:ascii="宋体" w:hAnsi="宋体" w:eastAsia="仿宋_GB2312" w:cs="仿宋_GB2312"/>
          <w:spacing w:val="0"/>
          <w:w w:val="100"/>
          <w:sz w:val="32"/>
          <w:szCs w:val="32"/>
          <w:lang w:eastAsia="zh-CN"/>
        </w:rPr>
        <w:t>级</w:t>
      </w:r>
      <w:r>
        <w:rPr>
          <w:rFonts w:hint="eastAsia" w:ascii="宋体" w:hAnsi="宋体" w:eastAsia="仿宋_GB2312" w:cs="仿宋_GB2312"/>
          <w:spacing w:val="0"/>
          <w:w w:val="100"/>
          <w:sz w:val="32"/>
          <w:szCs w:val="32"/>
        </w:rPr>
        <w:t>以上人民政府发展改革、</w:t>
      </w:r>
      <w:r>
        <w:rPr>
          <w:rFonts w:hint="eastAsia" w:ascii="宋体" w:hAnsi="宋体" w:eastAsia="仿宋_GB2312" w:cs="仿宋_GB2312"/>
          <w:spacing w:val="0"/>
          <w:w w:val="100"/>
          <w:sz w:val="32"/>
          <w:szCs w:val="32"/>
          <w:lang w:eastAsia="zh-CN"/>
        </w:rPr>
        <w:t>工业</w:t>
      </w:r>
      <w:r>
        <w:rPr>
          <w:rFonts w:hint="eastAsia" w:ascii="宋体" w:hAnsi="宋体" w:eastAsia="仿宋_GB2312" w:cs="仿宋_GB2312"/>
          <w:spacing w:val="0"/>
          <w:w w:val="100"/>
          <w:sz w:val="32"/>
          <w:szCs w:val="32"/>
        </w:rPr>
        <w:t>和信息化、公安、</w:t>
      </w:r>
      <w:r>
        <w:rPr>
          <w:rFonts w:hint="eastAsia" w:ascii="宋体" w:hAnsi="宋体" w:eastAsia="仿宋_GB2312" w:cs="仿宋_GB2312"/>
          <w:spacing w:val="0"/>
          <w:w w:val="100"/>
          <w:sz w:val="32"/>
          <w:szCs w:val="32"/>
          <w:lang w:eastAsia="zh-CN"/>
        </w:rPr>
        <w:t>自然</w:t>
      </w:r>
      <w:r>
        <w:rPr>
          <w:rFonts w:hint="eastAsia" w:ascii="宋体" w:hAnsi="宋体" w:eastAsia="仿宋_GB2312" w:cs="仿宋_GB2312"/>
          <w:spacing w:val="0"/>
          <w:w w:val="100"/>
          <w:sz w:val="32"/>
          <w:szCs w:val="32"/>
        </w:rPr>
        <w:t>资源、城市管理、</w:t>
      </w:r>
      <w:r>
        <w:rPr>
          <w:rFonts w:hint="eastAsia" w:ascii="宋体" w:hAnsi="宋体" w:eastAsia="仿宋_GB2312" w:cs="仿宋_GB2312"/>
          <w:spacing w:val="0"/>
          <w:w w:val="100"/>
          <w:sz w:val="32"/>
          <w:szCs w:val="32"/>
          <w:lang w:eastAsia="zh-CN"/>
        </w:rPr>
        <w:t>住房城乡建设、</w:t>
      </w:r>
      <w:r>
        <w:rPr>
          <w:rFonts w:hint="eastAsia" w:ascii="宋体" w:hAnsi="宋体" w:eastAsia="仿宋_GB2312" w:cs="仿宋_GB2312"/>
          <w:spacing w:val="0"/>
          <w:w w:val="100"/>
          <w:sz w:val="32"/>
          <w:szCs w:val="32"/>
        </w:rPr>
        <w:t>交通运输、农业</w:t>
      </w:r>
      <w:r>
        <w:rPr>
          <w:rFonts w:hint="eastAsia" w:ascii="宋体" w:hAnsi="宋体" w:eastAsia="仿宋_GB2312" w:cs="仿宋_GB2312"/>
          <w:spacing w:val="0"/>
          <w:w w:val="100"/>
          <w:sz w:val="32"/>
          <w:szCs w:val="32"/>
          <w:lang w:eastAsia="zh-CN"/>
        </w:rPr>
        <w:t>农村</w:t>
      </w:r>
      <w:r>
        <w:rPr>
          <w:rFonts w:hint="eastAsia" w:ascii="宋体" w:hAnsi="宋体" w:eastAsia="仿宋_GB2312" w:cs="仿宋_GB2312"/>
          <w:spacing w:val="0"/>
          <w:w w:val="100"/>
          <w:sz w:val="32"/>
          <w:szCs w:val="32"/>
        </w:rPr>
        <w:t>、商务、卫生</w:t>
      </w:r>
      <w:r>
        <w:rPr>
          <w:rFonts w:hint="eastAsia" w:ascii="宋体" w:hAnsi="宋体" w:eastAsia="仿宋_GB2312" w:cs="仿宋_GB2312"/>
          <w:spacing w:val="0"/>
          <w:w w:val="100"/>
          <w:sz w:val="32"/>
          <w:szCs w:val="32"/>
          <w:lang w:eastAsia="zh-CN"/>
        </w:rPr>
        <w:t>健康</w:t>
      </w:r>
      <w:r>
        <w:rPr>
          <w:rFonts w:hint="eastAsia" w:ascii="宋体" w:hAnsi="宋体" w:eastAsia="仿宋_GB2312" w:cs="仿宋_GB2312"/>
          <w:spacing w:val="0"/>
          <w:w w:val="100"/>
          <w:sz w:val="32"/>
          <w:szCs w:val="32"/>
        </w:rPr>
        <w:t>等主管部门在各自职责范围内负责固体废物污染环境防治的监督管理工作。</w:t>
      </w:r>
      <w:bookmarkEnd w:id="452"/>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w:t>
      </w:r>
      <w:r>
        <w:rPr>
          <w:rFonts w:hint="eastAsia" w:ascii="宋体" w:hAnsi="宋体" w:eastAsia="仿宋_GB2312" w:cs="仿宋_GB2312"/>
          <w:spacing w:val="0"/>
          <w:w w:val="100"/>
          <w:sz w:val="32"/>
          <w:szCs w:val="32"/>
        </w:rPr>
        <w:t>以上人民政</w:t>
      </w:r>
      <w:r>
        <w:rPr>
          <w:rFonts w:hint="eastAsia" w:ascii="宋体" w:hAnsi="宋体" w:eastAsia="仿宋_GB2312" w:cs="仿宋_GB2312"/>
          <w:i w:val="0"/>
          <w:iCs w:val="0"/>
          <w:spacing w:val="0"/>
          <w:w w:val="100"/>
          <w:sz w:val="32"/>
          <w:szCs w:val="32"/>
          <w:u w:val="none"/>
        </w:rPr>
        <w:t>府</w:t>
      </w:r>
      <w:r>
        <w:rPr>
          <w:rFonts w:hint="eastAsia" w:ascii="宋体" w:hAnsi="宋体" w:eastAsia="仿宋_GB2312" w:cs="仿宋_GB2312"/>
          <w:i w:val="0"/>
          <w:iCs w:val="0"/>
          <w:spacing w:val="0"/>
          <w:w w:val="100"/>
          <w:sz w:val="32"/>
          <w:szCs w:val="32"/>
          <w:u w:val="none"/>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w:t>
      </w:r>
      <w:r>
        <w:rPr>
          <w:rFonts w:hint="eastAsia" w:ascii="宋体" w:hAnsi="宋体" w:eastAsia="仿宋_GB2312" w:cs="仿宋_GB2312"/>
          <w:spacing w:val="0"/>
          <w:w w:val="100"/>
          <w:sz w:val="32"/>
          <w:szCs w:val="32"/>
          <w:lang w:eastAsia="zh-CN"/>
        </w:rPr>
        <w:t>和其他有关部门应当建立固体废物污染环境群众监督举报制度，对举报的问题及时调查处理，并将处理结果告知举报人；对举报属实，为查处固体废物污染环境重大违法行为提供主要线索或者证据的举报人，按照有关规定予以奖励。</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楷体_GB2312" w:cs="仿宋_GB2312"/>
          <w:bCs/>
          <w:sz w:val="32"/>
          <w:szCs w:val="32"/>
          <w:lang w:eastAsia="zh-CN"/>
        </w:rPr>
      </w:pPr>
      <w:r>
        <w:rPr>
          <w:rFonts w:hint="eastAsia" w:ascii="宋体" w:hAnsi="宋体" w:eastAsia="仿宋_GB2312" w:cs="仿宋_GB2312"/>
          <w:spacing w:val="0"/>
          <w:w w:val="100"/>
          <w:sz w:val="32"/>
          <w:szCs w:val="32"/>
          <w:lang w:eastAsia="zh-CN"/>
        </w:rPr>
        <w:t>新闻媒体应当加强防治固体废物污染环境的公益宣传和舆论监督。</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楷体_GB2312" w:cs="仿宋_GB2312"/>
          <w:bCs/>
          <w:sz w:val="32"/>
          <w:szCs w:val="32"/>
          <w:lang w:eastAsia="zh-CN"/>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bookmarkStart w:id="455" w:name="_Toc4947"/>
      <w:r>
        <w:rPr>
          <w:rFonts w:hint="eastAsia" w:ascii="宋体" w:hAnsi="宋体" w:eastAsia="黑体" w:cs="黑体"/>
          <w:spacing w:val="0"/>
          <w:w w:val="100"/>
          <w:sz w:val="32"/>
          <w:szCs w:val="32"/>
        </w:rPr>
        <w:t>第二章  固体废物污染环境防治的监督管理</w:t>
      </w:r>
      <w:bookmarkEnd w:id="455"/>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6" w:name="_Toc25936"/>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九</w:t>
      </w:r>
      <w:r>
        <w:rPr>
          <w:rFonts w:hint="eastAsia" w:ascii="宋体" w:hAnsi="宋体" w:eastAsia="黑体" w:cs="黑体"/>
          <w:spacing w:val="0"/>
          <w:w w:val="100"/>
          <w:sz w:val="32"/>
          <w:szCs w:val="32"/>
        </w:rPr>
        <w:t>条</w:t>
      </w:r>
      <w:bookmarkEnd w:id="456"/>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县级以上人民政府应当将固体废物污染环境防治目标完成情况纳入对本级人</w:t>
      </w:r>
      <w:r>
        <w:rPr>
          <w:rFonts w:hint="eastAsia" w:ascii="宋体" w:hAnsi="宋体" w:eastAsia="仿宋_GB2312" w:cs="仿宋_GB2312"/>
          <w:spacing w:val="0"/>
          <w:w w:val="100"/>
          <w:sz w:val="32"/>
          <w:szCs w:val="32"/>
        </w:rPr>
        <w:t>民政府负有环境保护监督管理职责的部门及其负责人和下级人民政府及其负责人的考核内容，作为对其考核评价的重要依据。考核结果应当向社会公开。</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7" w:name="_Toc12965"/>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w:t>
      </w:r>
      <w:r>
        <w:rPr>
          <w:rFonts w:hint="eastAsia" w:ascii="宋体" w:hAnsi="宋体" w:eastAsia="黑体" w:cs="黑体"/>
          <w:spacing w:val="0"/>
          <w:w w:val="100"/>
          <w:sz w:val="32"/>
          <w:szCs w:val="32"/>
        </w:rPr>
        <w:t>条</w:t>
      </w:r>
      <w:bookmarkEnd w:id="457"/>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主管部门应当会同公安、住房城乡建设、交通运输、农业</w:t>
      </w:r>
      <w:r>
        <w:rPr>
          <w:rFonts w:hint="eastAsia" w:ascii="宋体" w:hAnsi="宋体" w:eastAsia="仿宋_GB2312" w:cs="仿宋_GB2312"/>
          <w:spacing w:val="0"/>
          <w:w w:val="100"/>
          <w:sz w:val="32"/>
          <w:szCs w:val="32"/>
          <w:lang w:eastAsia="zh-CN"/>
        </w:rPr>
        <w:t>农村</w:t>
      </w:r>
      <w:r>
        <w:rPr>
          <w:rFonts w:hint="eastAsia" w:ascii="宋体" w:hAnsi="宋体" w:eastAsia="仿宋_GB2312" w:cs="仿宋_GB2312"/>
          <w:spacing w:val="0"/>
          <w:w w:val="100"/>
          <w:sz w:val="32"/>
          <w:szCs w:val="32"/>
        </w:rPr>
        <w:t>、商务等主管部门建立全省固体废物环境信息化管理平台，纳入省数字政府建设，加强信息共享</w:t>
      </w:r>
      <w:r>
        <w:rPr>
          <w:rFonts w:hint="eastAsia" w:ascii="宋体" w:hAnsi="宋体" w:eastAsia="仿宋_GB2312" w:cs="仿宋_GB2312"/>
          <w:spacing w:val="0"/>
          <w:w w:val="100"/>
          <w:sz w:val="32"/>
          <w:szCs w:val="32"/>
          <w:lang w:eastAsia="zh-CN"/>
        </w:rPr>
        <w:t>和协作</w:t>
      </w:r>
      <w:r>
        <w:rPr>
          <w:rFonts w:hint="eastAsia" w:ascii="宋体" w:hAnsi="宋体" w:eastAsia="仿宋_GB2312" w:cs="仿宋_GB2312"/>
          <w:spacing w:val="0"/>
          <w:w w:val="100"/>
          <w:sz w:val="32"/>
          <w:szCs w:val="32"/>
        </w:rPr>
        <w:t>，提高固体废物环境管理</w:t>
      </w:r>
      <w:r>
        <w:rPr>
          <w:rFonts w:hint="eastAsia" w:ascii="宋体" w:hAnsi="宋体" w:eastAsia="仿宋_GB2312" w:cs="仿宋_GB2312"/>
          <w:spacing w:val="0"/>
          <w:w w:val="100"/>
          <w:sz w:val="32"/>
          <w:szCs w:val="32"/>
          <w:lang w:eastAsia="zh-CN"/>
        </w:rPr>
        <w:t>信息化水平</w:t>
      </w:r>
      <w:r>
        <w:rPr>
          <w:rFonts w:hint="eastAsia" w:ascii="宋体" w:hAnsi="宋体" w:eastAsia="仿宋_GB2312" w:cs="仿宋_GB2312"/>
          <w:spacing w:val="0"/>
          <w:w w:val="100"/>
          <w:sz w:val="32"/>
          <w:szCs w:val="32"/>
        </w:rPr>
        <w:t>。</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8" w:name="_Toc850"/>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十一</w:t>
      </w:r>
      <w:r>
        <w:rPr>
          <w:rFonts w:hint="eastAsia" w:ascii="宋体" w:hAnsi="宋体" w:eastAsia="黑体" w:cs="黑体"/>
          <w:spacing w:val="0"/>
          <w:w w:val="100"/>
          <w:sz w:val="32"/>
          <w:szCs w:val="32"/>
        </w:rPr>
        <w:t>条</w:t>
      </w:r>
      <w:bookmarkEnd w:id="458"/>
      <w:bookmarkStart w:id="459" w:name="_Toc6904"/>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w:t>
      </w:r>
      <w:r>
        <w:rPr>
          <w:rFonts w:hint="eastAsia" w:ascii="宋体" w:hAnsi="宋体" w:eastAsia="仿宋_GB2312" w:cs="仿宋_GB2312"/>
          <w:spacing w:val="0"/>
          <w:w w:val="100"/>
          <w:sz w:val="32"/>
          <w:szCs w:val="32"/>
        </w:rPr>
        <w:t>固体废物的重点企业事业单位和其他生产经营者应当</w:t>
      </w:r>
      <w:r>
        <w:rPr>
          <w:rFonts w:hint="eastAsia" w:ascii="宋体" w:hAnsi="宋体" w:eastAsia="仿宋_GB2312" w:cs="仿宋_GB2312"/>
          <w:spacing w:val="0"/>
          <w:w w:val="100"/>
          <w:sz w:val="32"/>
          <w:szCs w:val="32"/>
          <w:lang w:eastAsia="zh-CN"/>
        </w:rPr>
        <w:t>定期</w:t>
      </w:r>
      <w:r>
        <w:rPr>
          <w:rFonts w:hint="eastAsia" w:ascii="宋体" w:hAnsi="宋体" w:eastAsia="仿宋_GB2312" w:cs="仿宋_GB2312"/>
          <w:spacing w:val="0"/>
          <w:w w:val="100"/>
          <w:sz w:val="32"/>
          <w:szCs w:val="32"/>
        </w:rPr>
        <w:t>如实向社会公开其产生的固体废物种类、数量、流向、贮存、利用、处置情况</w:t>
      </w:r>
      <w:r>
        <w:rPr>
          <w:rFonts w:hint="eastAsia" w:ascii="宋体" w:hAnsi="宋体" w:eastAsia="仿宋_GB2312" w:cs="仿宋_GB2312"/>
          <w:spacing w:val="0"/>
          <w:w w:val="100"/>
          <w:sz w:val="32"/>
          <w:szCs w:val="32"/>
          <w:lang w:eastAsia="zh-CN"/>
        </w:rPr>
        <w:t>以</w:t>
      </w:r>
      <w:r>
        <w:rPr>
          <w:rFonts w:hint="eastAsia" w:ascii="宋体" w:hAnsi="宋体" w:eastAsia="仿宋_GB2312" w:cs="仿宋_GB2312"/>
          <w:spacing w:val="0"/>
          <w:w w:val="100"/>
          <w:sz w:val="32"/>
          <w:szCs w:val="32"/>
        </w:rPr>
        <w:t>及固体废物污染防治设施的建设和运行情况等信息。</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鼓励和支持其他产生固体废物的企业事业单位和其他生产经营者自愿向社会公开其产生的固体废物种类、数量、流向、贮存、利用、处置情况</w:t>
      </w:r>
      <w:r>
        <w:rPr>
          <w:rFonts w:hint="eastAsia" w:ascii="宋体" w:hAnsi="宋体" w:eastAsia="仿宋_GB2312" w:cs="仿宋_GB2312"/>
          <w:spacing w:val="0"/>
          <w:w w:val="100"/>
          <w:sz w:val="32"/>
          <w:szCs w:val="32"/>
          <w:lang w:eastAsia="zh-CN"/>
        </w:rPr>
        <w:t>以</w:t>
      </w:r>
      <w:r>
        <w:rPr>
          <w:rFonts w:hint="eastAsia" w:ascii="宋体" w:hAnsi="宋体" w:eastAsia="仿宋_GB2312" w:cs="仿宋_GB2312"/>
          <w:spacing w:val="0"/>
          <w:w w:val="100"/>
          <w:sz w:val="32"/>
          <w:szCs w:val="32"/>
        </w:rPr>
        <w:t>及固体废物污染防治设施的建设和运行情况等信息。</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产生固体废物的重点企业事业单位和其他生产经营者名录由省人民政府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主管部门定期</w:t>
      </w:r>
      <w:r>
        <w:rPr>
          <w:rFonts w:hint="eastAsia" w:ascii="宋体" w:hAnsi="宋体" w:eastAsia="仿宋_GB2312" w:cs="仿宋_GB2312"/>
          <w:spacing w:val="0"/>
          <w:w w:val="100"/>
          <w:sz w:val="32"/>
          <w:szCs w:val="32"/>
          <w:lang w:eastAsia="zh-CN"/>
        </w:rPr>
        <w:t>通过政府网站、报刊、电视、广播等便于公众知晓的方式</w:t>
      </w:r>
      <w:r>
        <w:rPr>
          <w:rFonts w:hint="eastAsia" w:ascii="宋体" w:hAnsi="宋体" w:eastAsia="仿宋_GB2312" w:cs="仿宋_GB2312"/>
          <w:spacing w:val="0"/>
          <w:w w:val="100"/>
          <w:sz w:val="32"/>
          <w:szCs w:val="32"/>
        </w:rPr>
        <w:t>公布。</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bookmarkStart w:id="460" w:name="_Toc22549"/>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十二</w:t>
      </w:r>
      <w:r>
        <w:rPr>
          <w:rFonts w:hint="eastAsia" w:ascii="宋体" w:hAnsi="宋体" w:eastAsia="黑体" w:cs="黑体"/>
          <w:spacing w:val="0"/>
          <w:w w:val="100"/>
          <w:sz w:val="32"/>
          <w:szCs w:val="32"/>
        </w:rPr>
        <w:t>条</w:t>
      </w:r>
      <w:bookmarkEnd w:id="460"/>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建设</w:t>
      </w:r>
      <w:r>
        <w:rPr>
          <w:rFonts w:hint="eastAsia" w:ascii="宋体" w:hAnsi="宋体" w:eastAsia="仿宋_GB2312" w:cs="仿宋_GB2312"/>
          <w:spacing w:val="0"/>
          <w:w w:val="100"/>
          <w:sz w:val="32"/>
          <w:szCs w:val="32"/>
        </w:rPr>
        <w:t>产生固体废物的项目以及建设贮存、利用、处置固体废物的项目，应当依法进行环境影响评价</w:t>
      </w:r>
      <w:r>
        <w:rPr>
          <w:rFonts w:hint="eastAsia" w:ascii="宋体" w:hAnsi="宋体" w:eastAsia="仿宋_GB2312" w:cs="仿宋_GB2312"/>
          <w:spacing w:val="0"/>
          <w:w w:val="100"/>
          <w:sz w:val="32"/>
          <w:szCs w:val="32"/>
          <w:lang w:eastAsia="zh-CN"/>
        </w:rPr>
        <w:t>。</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产生危险废物的建设项目，其环境影响评价文件应当包括与危险废物管理相关的工程分析、环境影响分析、污染防治措施技术经济论证、环境风险评价、环境管理要求等内容。</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十三</w:t>
      </w:r>
      <w:r>
        <w:rPr>
          <w:rFonts w:hint="eastAsia" w:ascii="宋体" w:hAnsi="宋体" w:eastAsia="黑体" w:cs="黑体"/>
          <w:spacing w:val="0"/>
          <w:w w:val="100"/>
          <w:sz w:val="32"/>
          <w:szCs w:val="32"/>
        </w:rPr>
        <w:t>条</w:t>
      </w:r>
      <w:bookmarkEnd w:id="459"/>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建设项目中固体废物污染防治设施应当与主体工程同时设计、同时施工、同时投入使用。固体废物污染防治设施应当符合经批准的环境影响评价文件要求，不得擅自拆除或者闲置。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1" w:name="_Toc4029"/>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十四</w:t>
      </w:r>
      <w:r>
        <w:rPr>
          <w:rFonts w:hint="eastAsia" w:ascii="宋体" w:hAnsi="宋体" w:eastAsia="黑体" w:cs="黑体"/>
          <w:spacing w:val="0"/>
          <w:w w:val="100"/>
          <w:sz w:val="32"/>
          <w:szCs w:val="32"/>
        </w:rPr>
        <w:t>条</w:t>
      </w:r>
      <w:bookmarkEnd w:id="461"/>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产生工</w:t>
      </w:r>
      <w:r>
        <w:rPr>
          <w:rFonts w:hint="eastAsia" w:ascii="宋体" w:hAnsi="宋体" w:eastAsia="仿宋_GB2312" w:cs="仿宋_GB2312"/>
          <w:spacing w:val="0"/>
          <w:w w:val="100"/>
          <w:sz w:val="32"/>
          <w:szCs w:val="32"/>
        </w:rPr>
        <w:t>业固体废物的企业事业单位和其他生产经营者，应当</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spacing w:val="0"/>
          <w:w w:val="100"/>
          <w:sz w:val="32"/>
          <w:szCs w:val="32"/>
        </w:rPr>
        <w:t>将工业固体废物</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种类、数量、流向、贮存、利用、处置等有关情况，向所在地县级以上人民政府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主管部门申报登记。</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申报登记信息发生重大改变的，产生工业固体废物的企业事业单位和其他生产经营者应当自改变之日起十五</w:t>
      </w:r>
      <w:r>
        <w:rPr>
          <w:rFonts w:hint="eastAsia" w:ascii="宋体" w:hAnsi="宋体" w:eastAsia="仿宋_GB2312" w:cs="仿宋_GB2312"/>
          <w:spacing w:val="0"/>
          <w:w w:val="100"/>
          <w:sz w:val="32"/>
          <w:szCs w:val="32"/>
          <w:lang w:eastAsia="zh-CN"/>
        </w:rPr>
        <w:t>个工作日</w:t>
      </w:r>
      <w:r>
        <w:rPr>
          <w:rFonts w:hint="eastAsia" w:ascii="宋体" w:hAnsi="宋体" w:eastAsia="仿宋_GB2312" w:cs="仿宋_GB2312"/>
          <w:spacing w:val="0"/>
          <w:w w:val="100"/>
          <w:sz w:val="32"/>
          <w:szCs w:val="32"/>
        </w:rPr>
        <w:t>内向所在地县级以上人民政府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spacing w:val="0"/>
          <w:w w:val="100"/>
          <w:sz w:val="32"/>
          <w:szCs w:val="32"/>
        </w:rPr>
        <w:t>环境保护主管部门办理变更申报手续；因不可控制因素发生紧急重大改变的，应当立即向所在地县级以上人民政府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主管部门报告。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2" w:name="_Toc15437"/>
      <w:bookmarkStart w:id="463" w:name="_Toc25570"/>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十五</w:t>
      </w:r>
      <w:r>
        <w:rPr>
          <w:rFonts w:hint="eastAsia" w:ascii="宋体" w:hAnsi="宋体" w:eastAsia="黑体" w:cs="黑体"/>
          <w:spacing w:val="0"/>
          <w:w w:val="100"/>
          <w:sz w:val="32"/>
          <w:szCs w:val="32"/>
        </w:rPr>
        <w:t>条</w:t>
      </w:r>
      <w:bookmarkEnd w:id="462"/>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w:t>
      </w:r>
      <w:r>
        <w:rPr>
          <w:rFonts w:hint="eastAsia" w:ascii="宋体" w:hAnsi="宋体" w:eastAsia="仿宋_GB2312" w:cs="仿宋_GB2312"/>
          <w:spacing w:val="0"/>
          <w:w w:val="100"/>
          <w:sz w:val="32"/>
          <w:szCs w:val="32"/>
        </w:rPr>
        <w:t>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主管部门应当加强固体废物突发环境事件应急管理能力建设，开展突发环境事件应急演练</w:t>
      </w:r>
      <w:r>
        <w:rPr>
          <w:rFonts w:hint="eastAsia" w:ascii="宋体" w:hAnsi="宋体" w:eastAsia="仿宋_GB2312" w:cs="仿宋_GB2312"/>
          <w:spacing w:val="0"/>
          <w:w w:val="100"/>
          <w:sz w:val="32"/>
          <w:szCs w:val="32"/>
          <w:lang w:eastAsia="zh-CN"/>
        </w:rPr>
        <w:t>，</w:t>
      </w:r>
      <w:r>
        <w:rPr>
          <w:rFonts w:hint="eastAsia" w:ascii="宋体" w:hAnsi="宋体" w:eastAsia="仿宋_GB2312" w:cs="仿宋_GB2312"/>
          <w:spacing w:val="0"/>
          <w:w w:val="100"/>
          <w:sz w:val="32"/>
          <w:szCs w:val="32"/>
        </w:rPr>
        <w:t>做好突发环境事件应急处置工作。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主管部门应当将固体废物突发环境事件纳入突发环境事件专项应急预案，报本级人民政府和上级</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主管部门备案。</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十六</w:t>
      </w:r>
      <w:r>
        <w:rPr>
          <w:rFonts w:hint="eastAsia" w:ascii="宋体" w:hAnsi="宋体" w:eastAsia="黑体" w:cs="黑体"/>
          <w:spacing w:val="0"/>
          <w:w w:val="100"/>
          <w:sz w:val="32"/>
          <w:szCs w:val="32"/>
        </w:rPr>
        <w:t>条</w:t>
      </w:r>
      <w:bookmarkEnd w:id="463"/>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产生、收集、贮存、运输、利用、处置危险废物的企业事业单位和其他生产经营者应当将危险废物污染环境防治纳入突发环境事件防范措施和应急预案，报所在地县级以上人民政府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主管部门备案，并定期进行应急演练。</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发生危险废物突发环境事件，产生污染的企业事业单位和其他生产经营者应当立即启动突发环境事件应急预案，采取切断或者控制污染源以及其他防止危害扩大的必要措施，及时通报可能受到危害的单位和居民，并向事发地</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主管部门和有关部门报告，接受调查处理。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4" w:name="_Toc3211"/>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十七</w:t>
      </w:r>
      <w:r>
        <w:rPr>
          <w:rFonts w:hint="eastAsia" w:ascii="宋体" w:hAnsi="宋体" w:eastAsia="黑体" w:cs="黑体"/>
          <w:spacing w:val="0"/>
          <w:w w:val="100"/>
          <w:sz w:val="32"/>
          <w:szCs w:val="32"/>
        </w:rPr>
        <w:t>条</w:t>
      </w:r>
      <w:bookmarkEnd w:id="464"/>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鼓励和支持保险企业开展与固体废物污染环境防治相关的责任保险工作。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产生、收集、贮存、运输、利用、处置固体废物的企业事业单位和其他生产经营者</w:t>
      </w:r>
      <w:r>
        <w:rPr>
          <w:rFonts w:hint="eastAsia" w:ascii="宋体" w:hAnsi="宋体" w:cs="仿宋_GB2312"/>
          <w:spacing w:val="0"/>
          <w:w w:val="100"/>
          <w:sz w:val="32"/>
          <w:szCs w:val="32"/>
          <w:lang w:eastAsia="zh-CN"/>
        </w:rPr>
        <w:t>应当</w:t>
      </w:r>
      <w:r>
        <w:rPr>
          <w:rFonts w:hint="eastAsia" w:ascii="宋体" w:hAnsi="宋体" w:eastAsia="仿宋_GB2312" w:cs="仿宋_GB2312"/>
          <w:spacing w:val="0"/>
          <w:w w:val="100"/>
          <w:sz w:val="32"/>
          <w:szCs w:val="32"/>
        </w:rPr>
        <w:t>按照国家和省有关规定投保环境污染责任保险。</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r>
        <w:rPr>
          <w:rFonts w:hint="eastAsia" w:ascii="宋体" w:hAnsi="宋体" w:eastAsia="黑体" w:cs="黑体"/>
          <w:spacing w:val="0"/>
          <w:w w:val="100"/>
          <w:sz w:val="32"/>
          <w:szCs w:val="32"/>
        </w:rPr>
        <w:t>第三章</w:t>
      </w:r>
      <w:r>
        <w:rPr>
          <w:rFonts w:hint="eastAsia" w:ascii="宋体" w:hAnsi="宋体" w:eastAsia="黑体" w:cs="黑体"/>
          <w:spacing w:val="0"/>
          <w:w w:val="100"/>
          <w:sz w:val="32"/>
          <w:szCs w:val="32"/>
          <w:lang w:val="en-US" w:eastAsia="zh-CN"/>
        </w:rPr>
        <w:t xml:space="preserve"> </w:t>
      </w:r>
      <w:r>
        <w:rPr>
          <w:rFonts w:hint="eastAsia" w:ascii="宋体" w:hAnsi="宋体" w:eastAsia="黑体" w:cs="黑体"/>
          <w:spacing w:val="0"/>
          <w:w w:val="100"/>
          <w:sz w:val="32"/>
          <w:szCs w:val="32"/>
        </w:rPr>
        <w:t xml:space="preserve"> 固体废物污染环境的防治</w:t>
      </w:r>
    </w:p>
    <w:p>
      <w:pPr>
        <w:widowControl w:val="0"/>
        <w:wordWrap/>
        <w:overflowPunct w:val="0"/>
        <w:adjustRightInd w:val="0"/>
        <w:snapToGrid w:val="0"/>
        <w:spacing w:beforeAutospacing="0" w:afterAutospacing="0" w:line="560" w:lineRule="exact"/>
        <w:ind w:left="640" w:leftChars="200" w:right="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十八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w:t>
      </w:r>
      <w:r>
        <w:rPr>
          <w:rFonts w:hint="eastAsia" w:ascii="宋体" w:hAnsi="宋体" w:eastAsia="仿宋_GB2312" w:cs="仿宋_GB2312"/>
          <w:spacing w:val="0"/>
          <w:w w:val="100"/>
          <w:sz w:val="32"/>
          <w:szCs w:val="32"/>
        </w:rPr>
        <w:t>级以上人民政府应当统一规划固体废物处置设施，优化固体废物处置设施的区域布局，并将固体废物处置设施的建设用地、建设计划纳入土地利用年度计划、城乡规划年度实施计划。</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十九</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省人</w:t>
      </w:r>
      <w:r>
        <w:rPr>
          <w:rFonts w:hint="eastAsia" w:ascii="宋体" w:hAnsi="宋体" w:eastAsia="仿宋_GB2312" w:cs="仿宋_GB2312"/>
          <w:spacing w:val="0"/>
          <w:w w:val="100"/>
          <w:sz w:val="32"/>
          <w:szCs w:val="32"/>
        </w:rPr>
        <w:t>民政府应当统筹推进固体废物处置设施建设</w:t>
      </w:r>
      <w:r>
        <w:rPr>
          <w:rFonts w:hint="eastAsia" w:ascii="宋体" w:hAnsi="宋体" w:eastAsia="仿宋_GB2312" w:cs="仿宋_GB2312"/>
          <w:i w:val="0"/>
          <w:iCs w:val="0"/>
          <w:spacing w:val="0"/>
          <w:w w:val="100"/>
          <w:sz w:val="32"/>
          <w:szCs w:val="32"/>
        </w:rPr>
        <w:t>。</w:t>
      </w:r>
      <w:r>
        <w:rPr>
          <w:rFonts w:hint="eastAsia" w:ascii="宋体" w:hAnsi="宋体" w:eastAsia="仿宋_GB2312" w:cs="仿宋_GB2312"/>
          <w:spacing w:val="0"/>
          <w:w w:val="100"/>
          <w:sz w:val="32"/>
          <w:szCs w:val="32"/>
        </w:rPr>
        <w:t>省</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spacing w:val="0"/>
          <w:w w:val="100"/>
          <w:sz w:val="32"/>
          <w:szCs w:val="32"/>
        </w:rPr>
        <w:t>环境主管部门负责督促危险废物、一般工业固体废物</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处置设施</w:t>
      </w:r>
      <w:r>
        <w:rPr>
          <w:rFonts w:hint="eastAsia" w:ascii="宋体" w:hAnsi="宋体" w:eastAsia="仿宋_GB2312" w:cs="仿宋_GB2312"/>
          <w:spacing w:val="0"/>
          <w:w w:val="100"/>
          <w:sz w:val="32"/>
          <w:szCs w:val="32"/>
          <w:lang w:eastAsia="zh-CN"/>
        </w:rPr>
        <w:t>建设</w:t>
      </w:r>
      <w:r>
        <w:rPr>
          <w:rFonts w:hint="eastAsia" w:ascii="宋体" w:hAnsi="宋体" w:eastAsia="仿宋_GB2312" w:cs="仿宋_GB2312"/>
          <w:spacing w:val="0"/>
          <w:w w:val="100"/>
          <w:sz w:val="32"/>
          <w:szCs w:val="32"/>
        </w:rPr>
        <w:t>；省住房城乡建设主管部门负责督促生活垃圾、建筑垃圾、</w:t>
      </w:r>
      <w:r>
        <w:rPr>
          <w:rFonts w:hint="eastAsia" w:ascii="宋体" w:hAnsi="宋体" w:eastAsia="仿宋_GB2312" w:cs="仿宋_GB2312"/>
          <w:spacing w:val="0"/>
          <w:w w:val="100"/>
          <w:sz w:val="32"/>
          <w:szCs w:val="32"/>
          <w:lang w:eastAsia="zh-CN"/>
        </w:rPr>
        <w:t>生活污水处理厂</w:t>
      </w:r>
      <w:r>
        <w:rPr>
          <w:rFonts w:hint="eastAsia" w:ascii="宋体" w:hAnsi="宋体" w:eastAsia="仿宋_GB2312" w:cs="仿宋_GB2312"/>
          <w:spacing w:val="0"/>
          <w:w w:val="100"/>
          <w:sz w:val="32"/>
          <w:szCs w:val="32"/>
        </w:rPr>
        <w:t>污泥</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处置设施</w:t>
      </w:r>
      <w:r>
        <w:rPr>
          <w:rFonts w:hint="eastAsia" w:ascii="宋体" w:hAnsi="宋体" w:eastAsia="仿宋_GB2312" w:cs="仿宋_GB2312"/>
          <w:spacing w:val="0"/>
          <w:w w:val="100"/>
          <w:sz w:val="32"/>
          <w:szCs w:val="32"/>
          <w:lang w:eastAsia="zh-CN"/>
        </w:rPr>
        <w:t>建设</w:t>
      </w:r>
      <w:r>
        <w:rPr>
          <w:rFonts w:hint="eastAsia" w:ascii="宋体" w:hAnsi="宋体" w:eastAsia="仿宋_GB2312" w:cs="仿宋_GB2312"/>
          <w:spacing w:val="0"/>
          <w:w w:val="100"/>
          <w:sz w:val="32"/>
          <w:szCs w:val="32"/>
        </w:rPr>
        <w:t>；省农业</w:t>
      </w:r>
      <w:r>
        <w:rPr>
          <w:rFonts w:hint="eastAsia" w:ascii="宋体" w:hAnsi="宋体" w:eastAsia="仿宋_GB2312" w:cs="仿宋_GB2312"/>
          <w:spacing w:val="0"/>
          <w:w w:val="100"/>
          <w:sz w:val="32"/>
          <w:szCs w:val="32"/>
          <w:lang w:eastAsia="zh-CN"/>
        </w:rPr>
        <w:t>农村</w:t>
      </w:r>
      <w:r>
        <w:rPr>
          <w:rFonts w:hint="eastAsia" w:ascii="宋体" w:hAnsi="宋体" w:eastAsia="仿宋_GB2312" w:cs="仿宋_GB2312"/>
          <w:spacing w:val="0"/>
          <w:w w:val="100"/>
          <w:sz w:val="32"/>
          <w:szCs w:val="32"/>
        </w:rPr>
        <w:t>主管部门负责督</w:t>
      </w:r>
      <w:r>
        <w:rPr>
          <w:rFonts w:hint="eastAsia" w:ascii="宋体" w:hAnsi="宋体" w:eastAsia="仿宋_GB2312" w:cs="仿宋_GB2312"/>
          <w:spacing w:val="0"/>
          <w:w w:val="100"/>
          <w:sz w:val="32"/>
          <w:szCs w:val="32"/>
          <w:lang w:eastAsia="zh-CN"/>
        </w:rPr>
        <w:t>促农业废弃物</w:t>
      </w:r>
      <w:r>
        <w:rPr>
          <w:rFonts w:hint="eastAsia" w:ascii="宋体" w:hAnsi="宋体" w:cs="仿宋_GB2312"/>
          <w:spacing w:val="0"/>
          <w:w w:val="100"/>
          <w:sz w:val="32"/>
          <w:szCs w:val="32"/>
          <w:lang w:eastAsia="zh-CN"/>
        </w:rPr>
        <w:t>的</w:t>
      </w:r>
      <w:r>
        <w:rPr>
          <w:rFonts w:hint="eastAsia" w:ascii="宋体" w:hAnsi="宋体" w:eastAsia="仿宋_GB2312" w:cs="仿宋_GB2312"/>
          <w:spacing w:val="0"/>
          <w:w w:val="100"/>
          <w:sz w:val="32"/>
          <w:szCs w:val="32"/>
          <w:lang w:eastAsia="zh-CN"/>
        </w:rPr>
        <w:t>处置设施建设。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lang w:eastAsia="zh-CN"/>
        </w:rPr>
        <w:t>地级以上市及县级人民政府应当落实固体废物基础设施建设规划，解决设施建设的</w:t>
      </w:r>
      <w:r>
        <w:rPr>
          <w:rFonts w:hint="eastAsia" w:ascii="宋体" w:hAnsi="宋体" w:eastAsia="仿宋_GB2312" w:cs="仿宋_GB2312"/>
          <w:spacing w:val="0"/>
          <w:w w:val="100"/>
          <w:sz w:val="32"/>
          <w:szCs w:val="32"/>
        </w:rPr>
        <w:t>立项、用地、资金等问题。</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auto"/>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二十</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鼓励社</w:t>
      </w:r>
      <w:r>
        <w:rPr>
          <w:rFonts w:hint="eastAsia" w:ascii="宋体" w:hAnsi="宋体" w:eastAsia="仿宋_GB2312" w:cs="仿宋_GB2312"/>
          <w:spacing w:val="0"/>
          <w:w w:val="100"/>
          <w:sz w:val="32"/>
          <w:szCs w:val="32"/>
        </w:rPr>
        <w:t>会</w:t>
      </w:r>
      <w:r>
        <w:rPr>
          <w:rFonts w:hint="eastAsia" w:ascii="宋体" w:hAnsi="宋体" w:eastAsia="仿宋_GB2312" w:cs="仿宋_GB2312"/>
          <w:color w:val="auto"/>
          <w:spacing w:val="0"/>
          <w:w w:val="100"/>
          <w:sz w:val="32"/>
          <w:szCs w:val="32"/>
          <w:lang w:eastAsia="zh-CN"/>
        </w:rPr>
        <w:t>力量</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color w:val="auto"/>
          <w:spacing w:val="0"/>
          <w:w w:val="100"/>
          <w:sz w:val="32"/>
          <w:szCs w:val="32"/>
        </w:rPr>
        <w:t>投资、建设和运营固体废物处置设施。</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color w:val="auto"/>
          <w:spacing w:val="0"/>
          <w:w w:val="100"/>
          <w:sz w:val="32"/>
          <w:szCs w:val="32"/>
        </w:rPr>
        <w:t>鼓励</w:t>
      </w:r>
      <w:r>
        <w:rPr>
          <w:rFonts w:hint="eastAsia" w:ascii="宋体" w:hAnsi="宋体" w:eastAsia="仿宋_GB2312" w:cs="仿宋_GB2312"/>
          <w:spacing w:val="0"/>
          <w:w w:val="100"/>
          <w:sz w:val="32"/>
          <w:szCs w:val="32"/>
          <w:lang w:eastAsia="zh-CN"/>
        </w:rPr>
        <w:t>和</w:t>
      </w:r>
      <w:r>
        <w:rPr>
          <w:rFonts w:hint="eastAsia" w:ascii="宋体" w:hAnsi="宋体" w:eastAsia="仿宋_GB2312" w:cs="仿宋_GB2312"/>
          <w:color w:val="auto"/>
          <w:spacing w:val="0"/>
          <w:w w:val="100"/>
          <w:sz w:val="32"/>
          <w:szCs w:val="32"/>
        </w:rPr>
        <w:t>支持固体废物污染防治科学技术研究</w:t>
      </w:r>
      <w:r>
        <w:rPr>
          <w:rFonts w:hint="eastAsia" w:ascii="宋体" w:hAnsi="宋体" w:eastAsia="仿宋_GB2312" w:cs="仿宋_GB2312"/>
          <w:color w:val="auto"/>
          <w:spacing w:val="0"/>
          <w:w w:val="100"/>
          <w:sz w:val="32"/>
          <w:szCs w:val="32"/>
          <w:lang w:eastAsia="zh-CN"/>
        </w:rPr>
        <w:t>开发</w:t>
      </w:r>
      <w:r>
        <w:rPr>
          <w:rFonts w:hint="eastAsia" w:ascii="宋体" w:hAnsi="宋体" w:eastAsia="仿宋_GB2312" w:cs="仿宋_GB2312"/>
          <w:color w:val="auto"/>
          <w:spacing w:val="0"/>
          <w:w w:val="100"/>
          <w:sz w:val="32"/>
          <w:szCs w:val="32"/>
        </w:rPr>
        <w:t>，推广应用先进适用的技术、工艺、设备和材料，促进固体废物综合利用和无害化处置，提高固体废物利用处置能力。</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二十一</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建设</w:t>
      </w:r>
      <w:r>
        <w:rPr>
          <w:rFonts w:hint="eastAsia" w:ascii="宋体" w:hAnsi="宋体" w:cs="仿宋_GB2312"/>
          <w:spacing w:val="0"/>
          <w:w w:val="100"/>
          <w:sz w:val="32"/>
          <w:szCs w:val="32"/>
          <w:lang w:eastAsia="zh-CN"/>
        </w:rPr>
        <w:t>工业</w:t>
      </w:r>
      <w:r>
        <w:rPr>
          <w:rFonts w:hint="eastAsia" w:ascii="宋体" w:hAnsi="宋体" w:eastAsia="仿宋_GB2312" w:cs="仿宋_GB2312"/>
          <w:spacing w:val="0"/>
          <w:w w:val="100"/>
          <w:sz w:val="32"/>
          <w:szCs w:val="32"/>
        </w:rPr>
        <w:t>固体废物集中贮存、处置以及生活垃圾卫生填埋、焚烧等设施、场所，应当遵守国家和省相关环境保护标准，其选址不得位于自然保护区、风景名胜区、饮用水</w:t>
      </w:r>
      <w:r>
        <w:rPr>
          <w:rFonts w:hint="eastAsia" w:ascii="宋体" w:hAnsi="宋体" w:eastAsia="仿宋_GB2312" w:cs="仿宋_GB2312"/>
          <w:spacing w:val="0"/>
          <w:w w:val="100"/>
          <w:sz w:val="32"/>
          <w:szCs w:val="32"/>
          <w:lang w:eastAsia="zh-CN"/>
        </w:rPr>
        <w:t>水</w:t>
      </w:r>
      <w:r>
        <w:rPr>
          <w:rFonts w:hint="eastAsia" w:ascii="宋体" w:hAnsi="宋体" w:eastAsia="仿宋_GB2312" w:cs="仿宋_GB2312"/>
          <w:spacing w:val="0"/>
          <w:w w:val="100"/>
          <w:sz w:val="32"/>
          <w:szCs w:val="32"/>
        </w:rPr>
        <w:t>源保护区、基本农田保护区和其他需要特别保护的区域，与学校、医院、集中居住区等环境敏感目标应当保持防护距离。</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防护距离应当符合经批准的环境影响评价文件要求。已建固体废物集中收集、贮存、利用、处置设施的防护距离内，不得新建学校、医院、集中居住区等环境敏感目标。</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二十二</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城乡生活垃圾的清扫、分类、收集、运输、处置等活动按照国家和省相关规定管理。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地级以上市人民政府应当根据国家和省相关规定以及本地实际情况，制定本行政区域城乡生活垃圾分类具体办法，实施城乡居民分类投放</w:t>
      </w:r>
      <w:r>
        <w:rPr>
          <w:rFonts w:hint="eastAsia" w:ascii="宋体" w:hAnsi="宋体" w:eastAsia="仿宋_GB2312" w:cs="仿宋_GB2312"/>
          <w:spacing w:val="0"/>
          <w:w w:val="100"/>
          <w:sz w:val="32"/>
          <w:szCs w:val="32"/>
          <w:lang w:eastAsia="zh-CN"/>
        </w:rPr>
        <w:t>生活</w:t>
      </w:r>
      <w:r>
        <w:rPr>
          <w:rFonts w:hint="eastAsia" w:ascii="宋体" w:hAnsi="宋体" w:eastAsia="仿宋_GB2312" w:cs="仿宋_GB2312"/>
          <w:spacing w:val="0"/>
          <w:w w:val="100"/>
          <w:sz w:val="32"/>
          <w:szCs w:val="32"/>
        </w:rPr>
        <w:t>垃圾。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收集运输生活垃圾的单位应当将已分类收集的有害垃圾交由具有经营许可证的专业企业处理。</w:t>
      </w:r>
      <w:r>
        <w:rPr>
          <w:rFonts w:hint="eastAsia" w:ascii="宋体" w:hAnsi="宋体" w:eastAsia="仿宋_GB2312" w:cs="仿宋_GB2312"/>
          <w:spacing w:val="0"/>
          <w:w w:val="100"/>
          <w:sz w:val="32"/>
          <w:szCs w:val="32"/>
          <w:lang w:eastAsia="zh-CN"/>
        </w:rPr>
        <w:t>地级以上</w:t>
      </w:r>
      <w:r>
        <w:rPr>
          <w:rFonts w:hint="eastAsia" w:ascii="宋体" w:hAnsi="宋体" w:eastAsia="仿宋_GB2312" w:cs="仿宋_GB2312"/>
          <w:spacing w:val="0"/>
          <w:w w:val="100"/>
          <w:sz w:val="32"/>
          <w:szCs w:val="32"/>
        </w:rPr>
        <w:t>市</w:t>
      </w:r>
      <w:r>
        <w:rPr>
          <w:rFonts w:hint="eastAsia" w:ascii="宋体" w:hAnsi="宋体" w:eastAsia="仿宋_GB2312" w:cs="仿宋_GB2312"/>
          <w:spacing w:val="0"/>
          <w:w w:val="100"/>
          <w:sz w:val="32"/>
          <w:szCs w:val="32"/>
          <w:lang w:eastAsia="zh-CN"/>
        </w:rPr>
        <w:t>及</w:t>
      </w:r>
      <w:r>
        <w:rPr>
          <w:rFonts w:hint="eastAsia" w:ascii="宋体" w:hAnsi="宋体" w:eastAsia="仿宋_GB2312" w:cs="仿宋_GB2312"/>
          <w:spacing w:val="0"/>
          <w:w w:val="100"/>
          <w:sz w:val="32"/>
          <w:szCs w:val="32"/>
        </w:rPr>
        <w:t>县</w:t>
      </w:r>
      <w:r>
        <w:rPr>
          <w:rFonts w:hint="eastAsia" w:ascii="宋体" w:hAnsi="宋体" w:eastAsia="仿宋_GB2312" w:cs="仿宋_GB2312"/>
          <w:spacing w:val="0"/>
          <w:w w:val="100"/>
          <w:sz w:val="32"/>
          <w:szCs w:val="32"/>
          <w:lang w:eastAsia="zh-CN"/>
        </w:rPr>
        <w:t>级</w:t>
      </w:r>
      <w:r>
        <w:rPr>
          <w:rFonts w:hint="eastAsia" w:ascii="宋体" w:hAnsi="宋体" w:eastAsia="仿宋_GB2312" w:cs="仿宋_GB2312"/>
          <w:spacing w:val="0"/>
          <w:w w:val="100"/>
          <w:sz w:val="32"/>
          <w:szCs w:val="32"/>
        </w:rPr>
        <w:t>人民政府环境卫生主管部门和</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主管部门应当加强监督管理。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5" w:name="_Toc13871"/>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二十三</w:t>
      </w:r>
      <w:r>
        <w:rPr>
          <w:rFonts w:hint="eastAsia" w:ascii="宋体" w:hAnsi="宋体" w:eastAsia="黑体" w:cs="黑体"/>
          <w:spacing w:val="0"/>
          <w:w w:val="100"/>
          <w:sz w:val="32"/>
          <w:szCs w:val="32"/>
        </w:rPr>
        <w:t>条</w:t>
      </w:r>
      <w:bookmarkEnd w:id="465"/>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产生固体废</w:t>
      </w:r>
      <w:r>
        <w:rPr>
          <w:rFonts w:hint="eastAsia" w:ascii="宋体" w:hAnsi="宋体" w:eastAsia="仿宋_GB2312" w:cs="仿宋_GB2312"/>
          <w:spacing w:val="0"/>
          <w:w w:val="100"/>
          <w:sz w:val="32"/>
          <w:szCs w:val="32"/>
        </w:rPr>
        <w:t>物的企业事业单位和其他生产经营者应当按照有关法律、法规、污染控制标准和技术规范</w:t>
      </w:r>
      <w:r>
        <w:rPr>
          <w:rFonts w:hint="eastAsia" w:ascii="宋体" w:hAnsi="宋体" w:eastAsia="仿宋_GB2312" w:cs="仿宋_GB2312"/>
          <w:spacing w:val="0"/>
          <w:w w:val="100"/>
          <w:sz w:val="32"/>
          <w:szCs w:val="32"/>
          <w:lang w:eastAsia="zh-CN"/>
        </w:rPr>
        <w:t>等</w:t>
      </w:r>
      <w:r>
        <w:rPr>
          <w:rFonts w:hint="eastAsia" w:ascii="宋体" w:hAnsi="宋体" w:eastAsia="仿宋_GB2312" w:cs="仿宋_GB2312"/>
          <w:spacing w:val="0"/>
          <w:w w:val="100"/>
          <w:sz w:val="32"/>
          <w:szCs w:val="32"/>
        </w:rPr>
        <w:t>对固体废物</w:t>
      </w:r>
      <w:r>
        <w:rPr>
          <w:rFonts w:hint="eastAsia" w:ascii="宋体" w:hAnsi="宋体" w:eastAsia="仿宋_GB2312" w:cs="仿宋_GB2312"/>
          <w:spacing w:val="0"/>
          <w:w w:val="100"/>
          <w:sz w:val="32"/>
          <w:szCs w:val="32"/>
          <w:lang w:eastAsia="zh-CN"/>
        </w:rPr>
        <w:t>进行</w:t>
      </w:r>
      <w:r>
        <w:rPr>
          <w:rFonts w:hint="eastAsia" w:ascii="宋体" w:hAnsi="宋体" w:eastAsia="仿宋_GB2312" w:cs="仿宋_GB2312"/>
          <w:spacing w:val="0"/>
          <w:w w:val="100"/>
          <w:sz w:val="32"/>
          <w:szCs w:val="32"/>
        </w:rPr>
        <w:t>分类、贮存、利用或者处置；不能自行利用或者处置的，应当</w:t>
      </w:r>
      <w:r>
        <w:rPr>
          <w:rFonts w:hint="eastAsia" w:ascii="宋体" w:hAnsi="宋体" w:eastAsia="仿宋_GB2312" w:cs="仿宋_GB2312"/>
          <w:spacing w:val="0"/>
          <w:w w:val="100"/>
          <w:sz w:val="32"/>
          <w:szCs w:val="32"/>
          <w:lang w:eastAsia="zh-CN"/>
        </w:rPr>
        <w:t>交由</w:t>
      </w:r>
      <w:r>
        <w:rPr>
          <w:rFonts w:hint="eastAsia" w:ascii="宋体" w:hAnsi="宋体" w:eastAsia="仿宋_GB2312" w:cs="仿宋_GB2312"/>
          <w:spacing w:val="0"/>
          <w:w w:val="100"/>
          <w:sz w:val="32"/>
          <w:szCs w:val="32"/>
        </w:rPr>
        <w:t>符合环境保护要求的企业利用或者处置。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二十四</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县级以上</w:t>
      </w:r>
      <w:r>
        <w:rPr>
          <w:rFonts w:hint="eastAsia" w:ascii="宋体" w:hAnsi="宋体" w:eastAsia="仿宋_GB2312" w:cs="仿宋_GB2312"/>
          <w:spacing w:val="0"/>
          <w:w w:val="100"/>
          <w:sz w:val="32"/>
          <w:szCs w:val="32"/>
        </w:rPr>
        <w:t>人民政府城镇排水与污水处理主管部门（以下</w:t>
      </w:r>
      <w:r>
        <w:rPr>
          <w:rFonts w:hint="eastAsia" w:ascii="宋体" w:hAnsi="宋体" w:cs="仿宋_GB2312"/>
          <w:spacing w:val="0"/>
          <w:w w:val="100"/>
          <w:sz w:val="32"/>
          <w:szCs w:val="32"/>
          <w:lang w:eastAsia="zh-CN"/>
        </w:rPr>
        <w:t>简</w:t>
      </w:r>
      <w:r>
        <w:rPr>
          <w:rFonts w:hint="eastAsia" w:ascii="宋体" w:hAnsi="宋体" w:eastAsia="仿宋_GB2312" w:cs="仿宋_GB2312"/>
          <w:spacing w:val="0"/>
          <w:w w:val="100"/>
          <w:sz w:val="32"/>
          <w:szCs w:val="32"/>
        </w:rPr>
        <w:t>称城镇排水主管部门）负责本行政区域内城镇污水处理设施维护运营单位污泥利用或者处置的监督管理，并将污泥利用处置设施的建设规模、布局、建设用地以及保障措施等纳入本行政区域的城镇排水与污水处理规划。</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城镇污水处理设施维护运营单位应当按照国家和省有关规定对其产生的污泥进行利用</w:t>
      </w:r>
      <w:r>
        <w:rPr>
          <w:rFonts w:hint="eastAsia" w:ascii="宋体" w:hAnsi="宋体" w:cs="仿宋_GB2312"/>
          <w:spacing w:val="0"/>
          <w:w w:val="100"/>
          <w:sz w:val="32"/>
          <w:szCs w:val="32"/>
          <w:lang w:eastAsia="zh-CN"/>
        </w:rPr>
        <w:t>或者</w:t>
      </w:r>
      <w:r>
        <w:rPr>
          <w:rFonts w:hint="eastAsia" w:ascii="宋体" w:hAnsi="宋体" w:eastAsia="仿宋_GB2312" w:cs="仿宋_GB2312"/>
          <w:spacing w:val="0"/>
          <w:w w:val="100"/>
          <w:sz w:val="32"/>
          <w:szCs w:val="32"/>
        </w:rPr>
        <w:t>处置；不</w:t>
      </w:r>
      <w:r>
        <w:rPr>
          <w:rFonts w:hint="eastAsia" w:ascii="宋体" w:hAnsi="宋体" w:eastAsia="仿宋_GB2312" w:cs="仿宋_GB2312"/>
          <w:spacing w:val="0"/>
          <w:w w:val="100"/>
          <w:sz w:val="32"/>
          <w:szCs w:val="32"/>
          <w:lang w:eastAsia="zh-CN"/>
        </w:rPr>
        <w:t>能</w:t>
      </w:r>
      <w:r>
        <w:rPr>
          <w:rFonts w:hint="eastAsia" w:ascii="宋体" w:hAnsi="宋体" w:eastAsia="仿宋_GB2312" w:cs="仿宋_GB2312"/>
          <w:spacing w:val="0"/>
          <w:w w:val="100"/>
          <w:sz w:val="32"/>
          <w:szCs w:val="32"/>
        </w:rPr>
        <w:t>自行利用或者处置的，应当委托具备相应能力的企业事业单位</w:t>
      </w:r>
      <w:r>
        <w:rPr>
          <w:rFonts w:hint="eastAsia" w:ascii="宋体" w:hAnsi="宋体" w:cs="仿宋_GB2312"/>
          <w:spacing w:val="0"/>
          <w:w w:val="100"/>
          <w:sz w:val="32"/>
          <w:szCs w:val="32"/>
          <w:lang w:eastAsia="zh-CN"/>
        </w:rPr>
        <w:t>或者</w:t>
      </w:r>
      <w:r>
        <w:rPr>
          <w:rFonts w:hint="eastAsia" w:ascii="宋体" w:hAnsi="宋体" w:eastAsia="仿宋_GB2312" w:cs="仿宋_GB2312"/>
          <w:spacing w:val="0"/>
          <w:w w:val="100"/>
          <w:sz w:val="32"/>
          <w:szCs w:val="32"/>
        </w:rPr>
        <w:t>其他生产经营者进行利用或者处置。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二十五</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城</w:t>
      </w:r>
      <w:r>
        <w:rPr>
          <w:rFonts w:hint="eastAsia" w:ascii="宋体" w:hAnsi="宋体" w:eastAsia="仿宋_GB2312" w:cs="仿宋_GB2312"/>
          <w:spacing w:val="0"/>
          <w:w w:val="100"/>
          <w:sz w:val="32"/>
          <w:szCs w:val="32"/>
        </w:rPr>
        <w:t>镇污水处理设施维护运营单位</w:t>
      </w:r>
      <w:r>
        <w:rPr>
          <w:rFonts w:hint="eastAsia" w:ascii="宋体" w:hAnsi="宋体" w:cs="仿宋_GB2312"/>
          <w:spacing w:val="0"/>
          <w:w w:val="100"/>
          <w:sz w:val="32"/>
          <w:szCs w:val="32"/>
          <w:lang w:eastAsia="zh-CN"/>
        </w:rPr>
        <w:t>或者</w:t>
      </w:r>
      <w:r>
        <w:rPr>
          <w:rFonts w:hint="eastAsia" w:ascii="宋体" w:hAnsi="宋体" w:eastAsia="仿宋_GB2312" w:cs="仿宋_GB2312"/>
          <w:spacing w:val="0"/>
          <w:w w:val="100"/>
          <w:sz w:val="32"/>
          <w:szCs w:val="32"/>
        </w:rPr>
        <w:t>污泥处理处置单位应当建立污泥管理台账，对产生的污泥以及利用或者处置后的污泥去向、用途、用量等进行跟踪、记录，并向县级以上人民政府城镇排水主管部门、</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主管部门报告。</w:t>
      </w:r>
      <w:bookmarkStart w:id="466" w:name="_Toc18221"/>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二十六</w:t>
      </w:r>
      <w:r>
        <w:rPr>
          <w:rFonts w:hint="eastAsia" w:ascii="宋体" w:hAnsi="宋体" w:eastAsia="黑体" w:cs="黑体"/>
          <w:spacing w:val="0"/>
          <w:w w:val="100"/>
          <w:sz w:val="32"/>
          <w:szCs w:val="32"/>
        </w:rPr>
        <w:t>条</w:t>
      </w:r>
      <w:bookmarkEnd w:id="466"/>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城镇</w:t>
      </w:r>
      <w:r>
        <w:rPr>
          <w:rFonts w:hint="eastAsia" w:ascii="宋体" w:hAnsi="宋体" w:eastAsia="仿宋_GB2312" w:cs="仿宋_GB2312"/>
          <w:spacing w:val="0"/>
          <w:w w:val="100"/>
          <w:sz w:val="32"/>
          <w:szCs w:val="32"/>
        </w:rPr>
        <w:t>污水处理设施维护运营单位</w:t>
      </w:r>
      <w:r>
        <w:rPr>
          <w:rFonts w:hint="eastAsia" w:ascii="宋体" w:hAnsi="宋体" w:eastAsia="仿宋_GB2312" w:cs="仿宋_GB2312"/>
          <w:spacing w:val="0"/>
          <w:w w:val="100"/>
          <w:sz w:val="32"/>
          <w:szCs w:val="32"/>
          <w:lang w:eastAsia="zh-CN"/>
        </w:rPr>
        <w:t>和</w:t>
      </w:r>
      <w:r>
        <w:rPr>
          <w:rFonts w:hint="eastAsia" w:ascii="宋体" w:hAnsi="宋体" w:eastAsia="仿宋_GB2312" w:cs="仿宋_GB2312"/>
          <w:spacing w:val="0"/>
          <w:w w:val="100"/>
          <w:sz w:val="32"/>
          <w:szCs w:val="32"/>
        </w:rPr>
        <w:t>污泥处理处置单位应当执行污泥转移联单制度，将转移联单报县级以上人民政府城镇排水主管部门和</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主管部门备案。</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转移污泥的运输者应当采取措施，防止扬散、流失、渗漏或者造成其他环境污染，不得在运输过程中丢弃、倾倒、遗撒污泥。</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val="en-US" w:eastAsia="zh-CN"/>
        </w:rPr>
        <w:t>二十七</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w:t>
      </w:r>
      <w:r>
        <w:rPr>
          <w:rFonts w:hint="eastAsia" w:ascii="宋体" w:hAnsi="宋体" w:eastAsia="仿宋_GB2312" w:cs="仿宋_GB2312"/>
          <w:spacing w:val="0"/>
          <w:w w:val="100"/>
          <w:sz w:val="32"/>
          <w:szCs w:val="32"/>
        </w:rPr>
        <w:t>政府应当</w:t>
      </w:r>
      <w:r>
        <w:rPr>
          <w:rFonts w:hint="eastAsia" w:ascii="宋体" w:hAnsi="宋体" w:eastAsia="仿宋_GB2312" w:cs="仿宋_GB2312"/>
          <w:spacing w:val="0"/>
          <w:w w:val="100"/>
          <w:sz w:val="32"/>
          <w:szCs w:val="32"/>
          <w:lang w:eastAsia="zh-CN"/>
        </w:rPr>
        <w:t>根据本地实际情况，结合城乡生活垃圾分类，</w:t>
      </w:r>
      <w:r>
        <w:rPr>
          <w:rFonts w:hint="eastAsia" w:ascii="宋体" w:hAnsi="宋体" w:eastAsia="仿宋_GB2312" w:cs="仿宋_GB2312"/>
          <w:spacing w:val="0"/>
          <w:w w:val="100"/>
          <w:sz w:val="32"/>
          <w:szCs w:val="32"/>
        </w:rPr>
        <w:t>建立</w:t>
      </w:r>
      <w:r>
        <w:rPr>
          <w:rFonts w:hint="eastAsia" w:ascii="宋体" w:hAnsi="宋体" w:eastAsia="仿宋_GB2312" w:cs="仿宋_GB2312"/>
          <w:spacing w:val="0"/>
          <w:w w:val="100"/>
          <w:sz w:val="32"/>
          <w:szCs w:val="32"/>
          <w:lang w:eastAsia="zh-CN"/>
        </w:rPr>
        <w:t>布局合理、交售方便、收购有序的废弃电器电子产品回收网络。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仿宋_GB2312" w:cs="仿宋_GB2312"/>
          <w:spacing w:val="0"/>
          <w:w w:val="100"/>
          <w:sz w:val="32"/>
          <w:szCs w:val="32"/>
          <w:lang w:eastAsia="zh-CN"/>
        </w:rPr>
        <w:t>鼓励电器电子产品生产者自行或者委托销售者、维修机构、售后服务机构、再生资源回收经营者回收废弃电器电子产品。</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i w:val="0"/>
          <w:iCs w:val="0"/>
          <w:spacing w:val="0"/>
          <w:w w:val="100"/>
          <w:sz w:val="32"/>
          <w:szCs w:val="32"/>
          <w:u w:val="none"/>
          <w:lang w:eastAsia="zh-CN"/>
        </w:rPr>
        <w:t>第二十八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主管部门应当对废弃电器电子产品拆解、利用和处置中的污染防治实施监督管理。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废弃电器电子产品处理企业资格由地级以上市人民政府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主管部门依法审批。未取得资格的，不得从事废弃电器电子产品拆解、利用、处置经营活动。</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从事废弃电器电子产品拆解、利用、处置经营活动的企业事业单位和其他经营者应当按照国家有关规定和技术规范要求，对废弃电器电子产品进行拆解、利用和处置，防止污染环境。</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7" w:name="_Toc28358"/>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二十九</w:t>
      </w:r>
      <w:r>
        <w:rPr>
          <w:rFonts w:hint="eastAsia" w:ascii="宋体" w:hAnsi="宋体" w:eastAsia="黑体" w:cs="黑体"/>
          <w:spacing w:val="0"/>
          <w:w w:val="100"/>
          <w:sz w:val="32"/>
          <w:szCs w:val="32"/>
        </w:rPr>
        <w:t>条</w:t>
      </w:r>
      <w:bookmarkEnd w:id="467"/>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省人民政府商务主管部门应当将报废机动车回收拆解活动中产生的固</w:t>
      </w:r>
      <w:r>
        <w:rPr>
          <w:rFonts w:hint="eastAsia" w:ascii="宋体" w:hAnsi="宋体" w:eastAsia="仿宋_GB2312" w:cs="仿宋_GB2312"/>
          <w:spacing w:val="0"/>
          <w:w w:val="100"/>
          <w:sz w:val="32"/>
          <w:szCs w:val="32"/>
        </w:rPr>
        <w:t>体废物</w:t>
      </w:r>
      <w:r>
        <w:rPr>
          <w:rFonts w:hint="eastAsia" w:ascii="宋体" w:hAnsi="宋体" w:cs="仿宋_GB2312"/>
          <w:spacing w:val="0"/>
          <w:w w:val="100"/>
          <w:sz w:val="32"/>
          <w:szCs w:val="32"/>
          <w:lang w:eastAsia="zh-CN"/>
        </w:rPr>
        <w:t>的</w:t>
      </w:r>
      <w:r>
        <w:rPr>
          <w:rFonts w:hint="eastAsia" w:ascii="宋体" w:hAnsi="宋体" w:eastAsia="仿宋_GB2312" w:cs="仿宋_GB2312"/>
          <w:spacing w:val="0"/>
          <w:w w:val="100"/>
          <w:sz w:val="32"/>
          <w:szCs w:val="32"/>
        </w:rPr>
        <w:t>污染防治措施及其实施情况纳入报废机动车回收拆解企业的资格许可</w:t>
      </w:r>
      <w:r>
        <w:rPr>
          <w:rFonts w:hint="eastAsia" w:ascii="宋体" w:hAnsi="宋体" w:eastAsia="仿宋_GB2312" w:cs="仿宋_GB2312"/>
          <w:spacing w:val="0"/>
          <w:w w:val="100"/>
          <w:sz w:val="32"/>
          <w:szCs w:val="32"/>
          <w:lang w:eastAsia="zh-CN"/>
        </w:rPr>
        <w:t>和</w:t>
      </w:r>
      <w:r>
        <w:rPr>
          <w:rFonts w:hint="eastAsia" w:ascii="宋体" w:hAnsi="宋体" w:eastAsia="仿宋_GB2312" w:cs="仿宋_GB2312"/>
          <w:spacing w:val="0"/>
          <w:w w:val="100"/>
          <w:sz w:val="32"/>
          <w:szCs w:val="32"/>
        </w:rPr>
        <w:t>检查中。</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报废机动车回收拆解企业应当建设符合国家相关要求的存储场地、拆解场地以及拆解设备，对回收拆解活动产生的固体废物应当分类收集、贮存，对产生的危险废物应当交由</w:t>
      </w:r>
      <w:r>
        <w:rPr>
          <w:rFonts w:hint="eastAsia" w:ascii="宋体" w:hAnsi="宋体" w:eastAsia="仿宋_GB2312" w:cs="仿宋_GB2312"/>
          <w:spacing w:val="0"/>
          <w:w w:val="100"/>
          <w:sz w:val="32"/>
          <w:szCs w:val="32"/>
          <w:lang w:eastAsia="zh-CN"/>
        </w:rPr>
        <w:t>具</w:t>
      </w:r>
      <w:r>
        <w:rPr>
          <w:rFonts w:hint="eastAsia" w:ascii="宋体" w:hAnsi="宋体" w:eastAsia="仿宋_GB2312" w:cs="仿宋_GB2312"/>
          <w:spacing w:val="0"/>
          <w:w w:val="100"/>
          <w:sz w:val="32"/>
          <w:szCs w:val="32"/>
        </w:rPr>
        <w:t>有</w:t>
      </w:r>
      <w:r>
        <w:rPr>
          <w:rFonts w:hint="eastAsia" w:ascii="宋体" w:hAnsi="宋体" w:eastAsia="仿宋_GB2312" w:cs="仿宋_GB2312"/>
          <w:spacing w:val="0"/>
          <w:w w:val="100"/>
          <w:sz w:val="32"/>
          <w:szCs w:val="32"/>
          <w:lang w:eastAsia="zh-CN"/>
        </w:rPr>
        <w:t>相应</w:t>
      </w:r>
      <w:r>
        <w:rPr>
          <w:rFonts w:hint="eastAsia" w:ascii="宋体" w:hAnsi="宋体" w:eastAsia="仿宋_GB2312" w:cs="仿宋_GB2312"/>
          <w:spacing w:val="0"/>
          <w:w w:val="100"/>
          <w:sz w:val="32"/>
          <w:szCs w:val="32"/>
        </w:rPr>
        <w:t>资质的单位利用或者处置。</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三十</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转移</w:t>
      </w:r>
      <w:r>
        <w:rPr>
          <w:rFonts w:hint="eastAsia" w:ascii="宋体" w:hAnsi="宋体" w:eastAsia="仿宋_GB2312" w:cs="仿宋_GB2312"/>
          <w:spacing w:val="0"/>
          <w:w w:val="100"/>
          <w:sz w:val="32"/>
          <w:szCs w:val="32"/>
        </w:rPr>
        <w:t>固体废物出本省行政区域贮存、处置的，应当向省人民政府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主管部门提出申请。省人民政府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主管部门应当商经接受地的省</w:t>
      </w:r>
      <w:r>
        <w:rPr>
          <w:rFonts w:hint="eastAsia" w:ascii="宋体" w:hAnsi="宋体" w:eastAsia="仿宋_GB2312" w:cs="仿宋_GB2312"/>
          <w:kern w:val="0"/>
          <w:sz w:val="32"/>
          <w:szCs w:val="32"/>
          <w:lang w:eastAsia="zh-CN"/>
        </w:rPr>
        <w:t>、自治区、直辖市</w:t>
      </w:r>
      <w:r>
        <w:rPr>
          <w:rFonts w:hint="eastAsia" w:ascii="宋体" w:hAnsi="宋体" w:eastAsia="仿宋_GB2312" w:cs="仿宋_GB2312"/>
          <w:spacing w:val="0"/>
          <w:w w:val="100"/>
          <w:sz w:val="32"/>
          <w:szCs w:val="32"/>
        </w:rPr>
        <w:t>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主管部门同意后，方可批准转移该固体废物出本省行政区域。未经批准的，不得转移。</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三十一</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乡镇</w:t>
      </w:r>
      <w:r>
        <w:rPr>
          <w:rFonts w:hint="eastAsia" w:ascii="宋体" w:hAnsi="宋体" w:eastAsia="仿宋_GB2312" w:cs="仿宋_GB2312"/>
          <w:spacing w:val="0"/>
          <w:w w:val="100"/>
          <w:sz w:val="32"/>
          <w:szCs w:val="32"/>
        </w:rPr>
        <w:t>人民政府、街道办事处应当加强本辖区</w:t>
      </w:r>
      <w:r>
        <w:rPr>
          <w:rFonts w:hint="eastAsia" w:ascii="宋体" w:hAnsi="宋体" w:eastAsia="仿宋_GB2312" w:cs="仿宋_GB2312"/>
          <w:spacing w:val="0"/>
          <w:w w:val="100"/>
          <w:sz w:val="32"/>
          <w:szCs w:val="32"/>
          <w:lang w:eastAsia="zh-CN"/>
        </w:rPr>
        <w:t>固体废物污染环境防治的</w:t>
      </w:r>
      <w:r>
        <w:rPr>
          <w:rFonts w:hint="eastAsia" w:ascii="宋体" w:hAnsi="宋体" w:eastAsia="仿宋_GB2312" w:cs="仿宋_GB2312"/>
          <w:spacing w:val="0"/>
          <w:w w:val="100"/>
          <w:sz w:val="32"/>
          <w:szCs w:val="32"/>
        </w:rPr>
        <w:t>日常巡查和隐患排查。</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lang w:eastAsia="zh-CN"/>
        </w:rPr>
        <w:t>乡镇</w:t>
      </w:r>
      <w:r>
        <w:rPr>
          <w:rFonts w:hint="eastAsia" w:ascii="宋体" w:hAnsi="宋体" w:eastAsia="仿宋_GB2312" w:cs="仿宋_GB2312"/>
          <w:spacing w:val="0"/>
          <w:w w:val="100"/>
          <w:sz w:val="32"/>
          <w:szCs w:val="32"/>
        </w:rPr>
        <w:t>人民政府、街道办事处和基层群众性自治组织发现擅自倾倒、违法转移、非法处置固体废物的行为</w:t>
      </w:r>
      <w:r>
        <w:rPr>
          <w:rFonts w:hint="eastAsia" w:ascii="宋体" w:hAnsi="宋体" w:eastAsia="仿宋_GB2312" w:cs="仿宋_GB2312"/>
          <w:spacing w:val="0"/>
          <w:w w:val="100"/>
          <w:sz w:val="32"/>
          <w:szCs w:val="32"/>
          <w:lang w:eastAsia="zh-CN"/>
        </w:rPr>
        <w:t>，应当</w:t>
      </w:r>
      <w:r>
        <w:rPr>
          <w:rFonts w:hint="eastAsia" w:ascii="宋体" w:hAnsi="宋体" w:eastAsia="仿宋_GB2312" w:cs="仿宋_GB2312"/>
          <w:spacing w:val="0"/>
          <w:w w:val="100"/>
          <w:sz w:val="32"/>
          <w:szCs w:val="32"/>
        </w:rPr>
        <w:t>及时向上级人民政府和有关部门报告，并配合查处固体废物污染环境违法行为。</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三十二</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禁止下列污染环境的行为：</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lang w:eastAsia="zh-CN"/>
        </w:rPr>
        <w:t>（一）露天焚烧生活垃圾、沥青</w:t>
      </w:r>
      <w:r>
        <w:rPr>
          <w:rFonts w:hint="eastAsia" w:ascii="宋体" w:hAnsi="宋体" w:eastAsia="仿宋_GB2312" w:cs="仿宋_GB2312"/>
          <w:spacing w:val="0"/>
          <w:w w:val="100"/>
          <w:sz w:val="32"/>
          <w:szCs w:val="32"/>
        </w:rPr>
        <w:t>、油毡、橡胶、轮胎、塑料、皮革、电线电缆、电子废物以及其他产生有毒有害烟尘和恶臭气体的物质；</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（二）使用未经</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主管部门批准的设施焚烧处理固体废物；</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（三）使用不符合国家和地方相关技术规范的场所堆放、贮存、处置固体废物；</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（四）未按相关规定填埋或者在江河、湖泊、运河、渠道、水库及其最高水位线以下的滩地和岸坡等法律、法规规定禁止倾倒、堆放废弃物的地点倾倒、堆放固体废物；</w:t>
      </w:r>
    </w:p>
    <w:p>
      <w:pPr>
        <w:widowControl w:val="0"/>
        <w:wordWrap/>
        <w:overflowPunct w:val="0"/>
        <w:adjustRightInd w:val="0"/>
        <w:snapToGrid w:val="0"/>
        <w:spacing w:beforeAutospacing="0" w:afterAutospacing="0" w:line="560" w:lineRule="exact"/>
        <w:ind w:left="659" w:leftChars="206" w:right="0" w:firstLine="0" w:firstLineChars="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（五）将危险废物混入生活垃圾，国家规定豁免管理的除外；（</w:t>
      </w:r>
      <w:r>
        <w:rPr>
          <w:rFonts w:hint="eastAsia" w:ascii="宋体" w:hAnsi="宋体" w:eastAsia="仿宋_GB2312" w:cs="仿宋_GB2312"/>
          <w:spacing w:val="0"/>
          <w:w w:val="100"/>
          <w:sz w:val="32"/>
          <w:szCs w:val="32"/>
          <w:lang w:eastAsia="zh-CN"/>
        </w:rPr>
        <w:t>六</w:t>
      </w:r>
      <w:r>
        <w:rPr>
          <w:rFonts w:hint="eastAsia" w:ascii="宋体" w:hAnsi="宋体" w:eastAsia="仿宋_GB2312" w:cs="仿宋_GB2312"/>
          <w:spacing w:val="0"/>
          <w:w w:val="100"/>
          <w:sz w:val="32"/>
          <w:szCs w:val="32"/>
        </w:rPr>
        <w:t>）</w:t>
      </w:r>
      <w:r>
        <w:rPr>
          <w:rFonts w:hint="eastAsia" w:ascii="宋体" w:hAnsi="宋体" w:eastAsia="仿宋_GB2312" w:cs="仿宋_GB2312"/>
          <w:spacing w:val="0"/>
          <w:w w:val="100"/>
          <w:sz w:val="32"/>
          <w:szCs w:val="32"/>
          <w:lang w:eastAsia="zh-CN"/>
        </w:rPr>
        <w:t>法律、法规规定禁止的其他行为</w:t>
      </w:r>
      <w:r>
        <w:rPr>
          <w:rFonts w:hint="eastAsia" w:ascii="宋体" w:hAnsi="宋体" w:eastAsia="仿宋_GB2312" w:cs="仿宋_GB2312"/>
          <w:spacing w:val="0"/>
          <w:w w:val="100"/>
          <w:sz w:val="32"/>
          <w:szCs w:val="32"/>
        </w:rPr>
        <w:t>。</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bookmarkStart w:id="468" w:name="_Toc18013"/>
      <w:r>
        <w:rPr>
          <w:rFonts w:hint="eastAsia" w:ascii="宋体" w:hAnsi="宋体" w:eastAsia="黑体" w:cs="黑体"/>
          <w:spacing w:val="0"/>
          <w:w w:val="100"/>
          <w:sz w:val="32"/>
          <w:szCs w:val="32"/>
        </w:rPr>
        <w:t>第四章  危险废物污染环境防治的特别规定</w:t>
      </w:r>
      <w:bookmarkEnd w:id="468"/>
    </w:p>
    <w:p>
      <w:pPr>
        <w:widowControl w:val="0"/>
        <w:wordWrap/>
        <w:overflowPunct w:val="0"/>
        <w:adjustRightInd w:val="0"/>
        <w:snapToGrid w:val="0"/>
        <w:spacing w:beforeAutospacing="0" w:afterAutospacing="0" w:line="560" w:lineRule="exact"/>
        <w:ind w:right="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9" w:name="_Toc10150"/>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三十三</w:t>
      </w:r>
      <w:r>
        <w:rPr>
          <w:rFonts w:hint="eastAsia" w:ascii="宋体" w:hAnsi="宋体" w:eastAsia="黑体" w:cs="黑体"/>
          <w:spacing w:val="0"/>
          <w:w w:val="100"/>
          <w:sz w:val="32"/>
          <w:szCs w:val="32"/>
        </w:rPr>
        <w:t>条</w:t>
      </w:r>
      <w:bookmarkEnd w:id="469"/>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从事危险废物收集、贮存、利用、处置的企业事业单位和其他生产经营者（以下</w:t>
      </w:r>
      <w:r>
        <w:rPr>
          <w:rFonts w:hint="eastAsia" w:ascii="宋体" w:hAnsi="宋体" w:eastAsia="仿宋_GB2312" w:cs="仿宋_GB2312"/>
          <w:spacing w:val="0"/>
          <w:w w:val="100"/>
          <w:sz w:val="32"/>
          <w:szCs w:val="32"/>
        </w:rPr>
        <w:t>简称危险废物经营单位），应当取得危险废物经营许可证。危险废物经营单位应当按照危险废物经营许可证规定从事危险废物的经营活动。</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主管部门可以委托地级以上市</w:t>
      </w:r>
      <w:r>
        <w:rPr>
          <w:rFonts w:hint="eastAsia" w:ascii="宋体" w:hAnsi="宋体" w:eastAsia="仿宋_GB2312" w:cs="仿宋_GB2312"/>
          <w:spacing w:val="0"/>
          <w:w w:val="100"/>
          <w:sz w:val="32"/>
          <w:szCs w:val="32"/>
          <w:lang w:eastAsia="zh-CN"/>
        </w:rPr>
        <w:t>人民政府生态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主管部门核发危险废物经营许可证。</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禁止无危险废物经营许可证或者不按照经营许可规定从事危险废物收集、贮存、利用、处置</w:t>
      </w:r>
      <w:r>
        <w:rPr>
          <w:rFonts w:hint="eastAsia" w:ascii="宋体" w:hAnsi="宋体" w:eastAsia="仿宋_GB2312" w:cs="仿宋_GB2312"/>
          <w:spacing w:val="0"/>
          <w:w w:val="100"/>
          <w:sz w:val="32"/>
          <w:szCs w:val="32"/>
          <w:lang w:eastAsia="zh-CN"/>
        </w:rPr>
        <w:t>等</w:t>
      </w:r>
      <w:r>
        <w:rPr>
          <w:rFonts w:hint="eastAsia" w:ascii="宋体" w:hAnsi="宋体" w:eastAsia="仿宋_GB2312" w:cs="仿宋_GB2312"/>
          <w:spacing w:val="0"/>
          <w:w w:val="100"/>
          <w:sz w:val="32"/>
          <w:szCs w:val="32"/>
        </w:rPr>
        <w:t>经营活动。</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70" w:name="_Toc12701"/>
      <w:r>
        <w:rPr>
          <w:rFonts w:hint="eastAsia" w:ascii="宋体" w:hAnsi="宋体" w:eastAsia="仿宋_GB2312" w:cs="仿宋_GB2312"/>
          <w:spacing w:val="0"/>
          <w:w w:val="100"/>
          <w:sz w:val="32"/>
          <w:szCs w:val="32"/>
        </w:rPr>
        <w:t>禁止伪造、变造、出借、出租、违规转让危险废物经营许可证。</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三十四</w:t>
      </w:r>
      <w:r>
        <w:rPr>
          <w:rFonts w:hint="eastAsia" w:ascii="宋体" w:hAnsi="宋体" w:eastAsia="黑体" w:cs="黑体"/>
          <w:spacing w:val="0"/>
          <w:w w:val="100"/>
          <w:sz w:val="32"/>
          <w:szCs w:val="32"/>
        </w:rPr>
        <w:t>条</w:t>
      </w:r>
      <w:bookmarkEnd w:id="470"/>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产生危险废物的企业事业单位和其他生产经营者（以下简称危险废物产生单位）以及危险废物经营单位应当按照规定在固体废物环境信息化管</w:t>
      </w:r>
      <w:r>
        <w:rPr>
          <w:rFonts w:hint="eastAsia" w:ascii="宋体" w:hAnsi="宋体" w:eastAsia="仿宋_GB2312" w:cs="仿宋_GB2312"/>
          <w:spacing w:val="0"/>
          <w:w w:val="100"/>
          <w:sz w:val="32"/>
          <w:szCs w:val="32"/>
        </w:rPr>
        <w:t>理平台申报登记。</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申报登记信息发生重大改变的，企业事业单位和其他生产经营者</w:t>
      </w:r>
      <w:r>
        <w:rPr>
          <w:rFonts w:hint="eastAsia" w:ascii="宋体" w:hAnsi="宋体" w:eastAsia="仿宋_GB2312" w:cs="仿宋_GB2312"/>
          <w:spacing w:val="0"/>
          <w:w w:val="100"/>
          <w:sz w:val="32"/>
          <w:szCs w:val="32"/>
          <w:lang w:eastAsia="zh-CN"/>
        </w:rPr>
        <w:t>应当</w:t>
      </w:r>
      <w:r>
        <w:rPr>
          <w:rFonts w:hint="eastAsia" w:ascii="宋体" w:hAnsi="宋体" w:eastAsia="仿宋_GB2312" w:cs="仿宋_GB2312"/>
          <w:spacing w:val="0"/>
          <w:w w:val="100"/>
          <w:sz w:val="32"/>
          <w:szCs w:val="32"/>
        </w:rPr>
        <w:t>自改变之日起十五</w:t>
      </w:r>
      <w:r>
        <w:rPr>
          <w:rFonts w:hint="eastAsia" w:ascii="宋体" w:hAnsi="宋体" w:eastAsia="仿宋_GB2312" w:cs="仿宋_GB2312"/>
          <w:spacing w:val="0"/>
          <w:w w:val="100"/>
          <w:sz w:val="32"/>
          <w:szCs w:val="32"/>
          <w:lang w:eastAsia="zh-CN"/>
        </w:rPr>
        <w:t>个工作日</w:t>
      </w:r>
      <w:r>
        <w:rPr>
          <w:rFonts w:hint="eastAsia" w:ascii="宋体" w:hAnsi="宋体" w:eastAsia="仿宋_GB2312" w:cs="仿宋_GB2312"/>
          <w:spacing w:val="0"/>
          <w:w w:val="100"/>
          <w:sz w:val="32"/>
          <w:szCs w:val="32"/>
        </w:rPr>
        <w:t>内在固体废物环境信息化管理平台办理变更；因不可控制因素发生紧急重大改变的，应当立即向所在地县级以上人民政府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主管部门报告。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三十五</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危险废物产生单位应当按照规定制定危险废物管理计划，建立危险</w:t>
      </w:r>
      <w:r>
        <w:rPr>
          <w:rFonts w:hint="eastAsia" w:ascii="宋体" w:hAnsi="宋体" w:eastAsia="仿宋_GB2312" w:cs="仿宋_GB2312"/>
          <w:spacing w:val="0"/>
          <w:w w:val="100"/>
          <w:sz w:val="32"/>
          <w:szCs w:val="32"/>
        </w:rPr>
        <w:t>废物台账，如实记载产生的危险废物种类、数量、流向、贮存、利用、处置等信息。危险废物台账应当保存十年以上。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三十六</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危险废物</w:t>
      </w:r>
      <w:r>
        <w:rPr>
          <w:rFonts w:hint="eastAsia" w:ascii="宋体" w:hAnsi="宋体" w:eastAsia="仿宋_GB2312" w:cs="仿宋_GB2312"/>
          <w:spacing w:val="0"/>
          <w:w w:val="100"/>
          <w:sz w:val="32"/>
          <w:szCs w:val="32"/>
        </w:rPr>
        <w:t>经营单位应当建立危险废物经营情况档案，</w:t>
      </w:r>
      <w:r>
        <w:rPr>
          <w:rFonts w:hint="eastAsia" w:ascii="宋体" w:hAnsi="宋体" w:eastAsia="仿宋_GB2312" w:cs="仿宋_GB2312"/>
          <w:spacing w:val="0"/>
          <w:w w:val="100"/>
          <w:sz w:val="32"/>
          <w:szCs w:val="32"/>
          <w:lang w:eastAsia="zh-CN"/>
        </w:rPr>
        <w:t>详细记录</w:t>
      </w:r>
      <w:r>
        <w:rPr>
          <w:rFonts w:hint="eastAsia" w:ascii="宋体" w:hAnsi="宋体" w:eastAsia="仿宋_GB2312" w:cs="仿宋_GB2312"/>
          <w:spacing w:val="0"/>
          <w:w w:val="100"/>
          <w:sz w:val="32"/>
          <w:szCs w:val="32"/>
        </w:rPr>
        <w:t>收集、贮存、利用、处置危险废物的种类、来源、去向、成分和有无发生突发环境事件等事项。危险废物经营情况档案应当保存十年以上。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以填埋方式处置危险废物的危险废物经营单位，应当永久保存危险废物经营情况档案，并在填埋场地建立危险废物填埋的永久识别标志，所在地县级以上人民政府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主管部门应当定期对危险废物填埋场地进行监测。</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以填埋方式处置危险废物的危险废物经营单位终止经营活动的，应当将危险废物经营情况档案移交所在地县级以上人民政府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主管部门存档。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val="en-US" w:eastAsia="zh-CN"/>
        </w:rPr>
        <w:t>三十七</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重点危</w:t>
      </w:r>
      <w:r>
        <w:rPr>
          <w:rFonts w:hint="eastAsia" w:ascii="宋体" w:hAnsi="宋体" w:eastAsia="仿宋_GB2312" w:cs="仿宋_GB2312"/>
          <w:sz w:val="32"/>
          <w:szCs w:val="32"/>
        </w:rPr>
        <w:t>险废物集中处置设施、场所的退役费用应当</w:t>
      </w:r>
      <w:r>
        <w:rPr>
          <w:rFonts w:hint="eastAsia" w:ascii="宋体" w:hAnsi="宋体" w:eastAsia="仿宋_GB2312" w:cs="仿宋_GB2312"/>
          <w:sz w:val="32"/>
          <w:szCs w:val="32"/>
          <w:lang w:eastAsia="zh-CN"/>
        </w:rPr>
        <w:t>依法</w:t>
      </w:r>
      <w:r>
        <w:rPr>
          <w:rFonts w:hint="eastAsia" w:ascii="宋体" w:hAnsi="宋体" w:eastAsia="仿宋_GB2312" w:cs="仿宋_GB2312"/>
          <w:sz w:val="32"/>
          <w:szCs w:val="32"/>
        </w:rPr>
        <w:t>预提，列入投资概算或者经营成本。退役费用应当用于设施和场所退役后的维护和监测等工作，不得挪作他用。</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危险废物的收集、贮存、转移、利用、处置实行集中就近原则。</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三十九</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省人民政府生态环境主管部门应当会同省人</w:t>
      </w:r>
      <w:r>
        <w:rPr>
          <w:rFonts w:hint="eastAsia" w:ascii="宋体" w:hAnsi="宋体" w:eastAsia="仿宋_GB2312" w:cs="仿宋_GB2312"/>
          <w:spacing w:val="0"/>
          <w:w w:val="100"/>
          <w:sz w:val="32"/>
          <w:szCs w:val="32"/>
        </w:rPr>
        <w:t>民政府交通运输主管部门建立危险废物运输管理会商制度，</w:t>
      </w:r>
      <w:r>
        <w:rPr>
          <w:rFonts w:hint="eastAsia" w:ascii="宋体" w:hAnsi="宋体" w:eastAsia="仿宋_GB2312" w:cs="仿宋_GB2312"/>
          <w:spacing w:val="0"/>
          <w:w w:val="100"/>
          <w:sz w:val="32"/>
          <w:szCs w:val="32"/>
          <w:lang w:eastAsia="zh-CN"/>
        </w:rPr>
        <w:t>加强</w:t>
      </w:r>
      <w:r>
        <w:rPr>
          <w:rFonts w:hint="eastAsia" w:ascii="宋体" w:hAnsi="宋体" w:eastAsia="仿宋_GB2312" w:cs="仿宋_GB2312"/>
          <w:spacing w:val="0"/>
          <w:w w:val="100"/>
          <w:sz w:val="32"/>
          <w:szCs w:val="32"/>
        </w:rPr>
        <w:t>危险废物</w:t>
      </w:r>
      <w:r>
        <w:rPr>
          <w:rFonts w:hint="eastAsia" w:ascii="宋体" w:hAnsi="宋体" w:eastAsia="仿宋_GB2312" w:cs="仿宋_GB2312"/>
          <w:spacing w:val="0"/>
          <w:w w:val="100"/>
          <w:sz w:val="32"/>
          <w:szCs w:val="32"/>
          <w:lang w:eastAsia="zh-CN"/>
        </w:rPr>
        <w:t>管理名录</w:t>
      </w:r>
      <w:r>
        <w:rPr>
          <w:rFonts w:hint="eastAsia" w:ascii="宋体" w:hAnsi="宋体" w:eastAsia="仿宋_GB2312" w:cs="仿宋_GB2312"/>
          <w:spacing w:val="0"/>
          <w:w w:val="100"/>
          <w:sz w:val="32"/>
          <w:szCs w:val="32"/>
        </w:rPr>
        <w:t>与危险货物运输品名</w:t>
      </w:r>
      <w:r>
        <w:rPr>
          <w:rFonts w:hint="eastAsia" w:ascii="宋体" w:hAnsi="宋体" w:eastAsia="仿宋_GB2312" w:cs="仿宋_GB2312"/>
          <w:spacing w:val="0"/>
          <w:w w:val="100"/>
          <w:sz w:val="32"/>
          <w:szCs w:val="32"/>
          <w:lang w:eastAsia="zh-CN"/>
        </w:rPr>
        <w:t>的对接管理</w:t>
      </w:r>
      <w:r>
        <w:rPr>
          <w:rFonts w:hint="eastAsia" w:ascii="宋体" w:hAnsi="宋体" w:eastAsia="仿宋_GB2312" w:cs="仿宋_GB2312"/>
          <w:spacing w:val="0"/>
          <w:w w:val="100"/>
          <w:sz w:val="32"/>
          <w:szCs w:val="32"/>
        </w:rPr>
        <w:t>，协同推进本省危险废物运输</w:t>
      </w:r>
      <w:r>
        <w:rPr>
          <w:rFonts w:hint="eastAsia" w:ascii="宋体" w:hAnsi="宋体" w:eastAsia="仿宋_GB2312" w:cs="仿宋_GB2312"/>
          <w:spacing w:val="0"/>
          <w:w w:val="100"/>
          <w:sz w:val="32"/>
          <w:szCs w:val="32"/>
          <w:lang w:eastAsia="zh-CN"/>
        </w:rPr>
        <w:t>管理</w:t>
      </w:r>
      <w:r>
        <w:rPr>
          <w:rFonts w:hint="eastAsia" w:ascii="宋体" w:hAnsi="宋体" w:eastAsia="仿宋_GB2312" w:cs="仿宋_GB2312"/>
          <w:spacing w:val="0"/>
          <w:w w:val="100"/>
          <w:sz w:val="32"/>
          <w:szCs w:val="32"/>
        </w:rPr>
        <w:t>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县级以上人民政府交通运输主管部门</w:t>
      </w:r>
      <w:r>
        <w:rPr>
          <w:rFonts w:hint="eastAsia" w:ascii="宋体" w:hAnsi="宋体" w:eastAsia="仿宋_GB2312" w:cs="仿宋_GB2312"/>
          <w:spacing w:val="0"/>
          <w:w w:val="100"/>
          <w:sz w:val="32"/>
          <w:szCs w:val="32"/>
          <w:lang w:eastAsia="zh-CN"/>
        </w:rPr>
        <w:t>在职责范围内</w:t>
      </w:r>
      <w:r>
        <w:rPr>
          <w:rFonts w:hint="eastAsia" w:ascii="宋体" w:hAnsi="宋体" w:eastAsia="仿宋_GB2312" w:cs="仿宋_GB2312"/>
          <w:spacing w:val="0"/>
          <w:w w:val="100"/>
          <w:sz w:val="32"/>
          <w:szCs w:val="32"/>
        </w:rPr>
        <w:t>负责道路危险废物运输管理工作，建立电子监管系统对危险废物运输企业、车辆、从业人员</w:t>
      </w:r>
      <w:r>
        <w:rPr>
          <w:rFonts w:hint="eastAsia" w:ascii="宋体" w:hAnsi="宋体" w:cs="仿宋_GB2312"/>
          <w:spacing w:val="0"/>
          <w:w w:val="100"/>
          <w:sz w:val="32"/>
          <w:szCs w:val="32"/>
          <w:lang w:eastAsia="zh-CN"/>
        </w:rPr>
        <w:t>等</w:t>
      </w:r>
      <w:r>
        <w:rPr>
          <w:rFonts w:hint="eastAsia" w:ascii="宋体" w:hAnsi="宋体" w:eastAsia="仿宋_GB2312" w:cs="仿宋_GB2312"/>
          <w:spacing w:val="0"/>
          <w:w w:val="100"/>
          <w:sz w:val="32"/>
          <w:szCs w:val="32"/>
        </w:rPr>
        <w:t>进行重点督查。</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危险废物产生单位和经营单位应当将危险废物交由有资质</w:t>
      </w:r>
      <w:r>
        <w:rPr>
          <w:rFonts w:hint="eastAsia" w:ascii="宋体" w:hAnsi="宋体" w:eastAsia="仿宋_GB2312" w:cs="仿宋_GB2312"/>
          <w:sz w:val="32"/>
          <w:szCs w:val="32"/>
          <w:lang w:eastAsia="zh-CN"/>
        </w:rPr>
        <w:t>从事</w:t>
      </w:r>
      <w:r>
        <w:rPr>
          <w:rFonts w:hint="eastAsia" w:ascii="宋体" w:hAnsi="宋体" w:eastAsia="仿宋_GB2312" w:cs="仿宋_GB2312"/>
          <w:spacing w:val="0"/>
          <w:w w:val="100"/>
          <w:sz w:val="32"/>
          <w:szCs w:val="32"/>
        </w:rPr>
        <w:t>危险废物运输的企业事业单位和其他生产经营者（以下简称危险废物运输单位）运输。危险废物运输单位应当</w:t>
      </w:r>
      <w:r>
        <w:rPr>
          <w:rFonts w:hint="eastAsia" w:ascii="宋体" w:hAnsi="宋体" w:eastAsia="仿宋_GB2312" w:cs="仿宋_GB2312"/>
          <w:sz w:val="32"/>
          <w:szCs w:val="32"/>
          <w:lang w:eastAsia="zh-CN"/>
        </w:rPr>
        <w:t>按</w:t>
      </w:r>
      <w:r>
        <w:rPr>
          <w:rFonts w:hint="eastAsia" w:ascii="宋体" w:hAnsi="宋体" w:eastAsia="仿宋_GB2312" w:cs="仿宋_GB2312"/>
          <w:spacing w:val="0"/>
          <w:w w:val="100"/>
          <w:sz w:val="32"/>
          <w:szCs w:val="32"/>
        </w:rPr>
        <w:t>照有关法律、法规的规定取得道路危险货物运输许可，并使用专用车辆运输危险废物，采取措施防止危险废物脱落、扬撒以及燃烧、爆炸、泄漏等可能造成的环境污染，不得在运输过程中丢弃、倾倒、遗撒危险废物。</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严格控制本省行政区域以外的危险废物转移至本省行政区域内焚烧或填埋</w:t>
      </w:r>
      <w:r>
        <w:rPr>
          <w:rFonts w:hint="eastAsia" w:ascii="宋体" w:hAnsi="宋体" w:eastAsia="仿宋_GB2312" w:cs="仿宋_GB2312"/>
          <w:spacing w:val="0"/>
          <w:w w:val="100"/>
          <w:sz w:val="32"/>
          <w:szCs w:val="32"/>
        </w:rPr>
        <w:t>处置。禁止易燃易爆、剧毒、传染性的危险废物转入本省行政区域内。</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主管部门应当根据国家和省相关规定，对转移至本省行政区域内的危险废物种类和利用处置方式等进行审查。</w:t>
      </w:r>
    </w:p>
    <w:p>
      <w:pPr>
        <w:widowControl w:val="0"/>
        <w:wordWrap/>
        <w:overflowPunct w:val="0"/>
        <w:adjustRightInd w:val="0"/>
        <w:snapToGrid w:val="0"/>
        <w:spacing w:beforeAutospacing="0" w:afterAutospacing="0" w:line="560" w:lineRule="exact"/>
        <w:ind w:right="0" w:firstLine="640" w:firstLineChars="200"/>
        <w:jc w:val="left"/>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四十一</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危险废物产生单位、运输单位、接受单位应当依法执行危险废物转移</w:t>
      </w:r>
      <w:r>
        <w:rPr>
          <w:rFonts w:hint="eastAsia" w:ascii="宋体" w:hAnsi="宋体" w:eastAsia="仿宋_GB2312" w:cs="仿宋_GB2312"/>
          <w:spacing w:val="0"/>
          <w:w w:val="100"/>
          <w:sz w:val="32"/>
          <w:szCs w:val="32"/>
        </w:rPr>
        <w:t>联单制度，如实填写和核对转移联单。实际转移危险废物的种类、重量或者数量、时间等信息与转移联单记载不符的，危险废物运输单位、接受单位不得运输或者接受。</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危险废物产生单位应当在固体废物环境信息化管理平台填写电子联单。不具备条件填写电子联单的，可以按照国家和省相关规定填写纸质联单。</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四十二</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鼓励和</w:t>
      </w:r>
      <w:r>
        <w:rPr>
          <w:rFonts w:hint="eastAsia" w:ascii="宋体" w:hAnsi="宋体" w:eastAsia="仿宋_GB2312" w:cs="仿宋_GB2312"/>
          <w:spacing w:val="0"/>
          <w:w w:val="100"/>
          <w:sz w:val="32"/>
          <w:szCs w:val="32"/>
        </w:rPr>
        <w:t>支持持有危险废物经营许可证的单位建设区域性危险废物收集、贮存设施，</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spacing w:val="0"/>
          <w:w w:val="100"/>
          <w:sz w:val="32"/>
          <w:szCs w:val="32"/>
        </w:rPr>
        <w:t xml:space="preserve">收集、贮存机动车维修和报废机动车回收拆解行业危险废物、废铅酸蓄电池、废含汞荧光灯管等。 </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鼓励和支持在工业园区内</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spacing w:val="0"/>
          <w:w w:val="100"/>
          <w:sz w:val="32"/>
          <w:szCs w:val="32"/>
        </w:rPr>
        <w:t>建设危险废物贮存设施，为工业园区内企业事业单位和其他生产经营者提供危险废物收集、贮存服务。</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四十三</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县级以上人民政府应当落实环境保护规划要求，组织建设危险废物焚</w:t>
      </w:r>
      <w:r>
        <w:rPr>
          <w:rFonts w:hint="eastAsia" w:ascii="宋体" w:hAnsi="宋体" w:eastAsia="仿宋_GB2312" w:cs="仿宋_GB2312"/>
          <w:spacing w:val="0"/>
          <w:w w:val="100"/>
          <w:sz w:val="32"/>
          <w:szCs w:val="32"/>
        </w:rPr>
        <w:t>烧和填埋处置设施。</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鼓励石油化工、有色金属冶炼、电镀等危险废物产生量大的企业事业单位和其他生产经营者自行配套建设危险废物利用处置设施。</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四十四</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设立实验室的教育、科研机构和其他企业事业单位应当建立实验室危险废物分类、登记管理制度，加强对所属实验室产生的废药剂</w:t>
      </w:r>
      <w:r>
        <w:rPr>
          <w:rFonts w:hint="eastAsia" w:ascii="宋体" w:hAnsi="宋体" w:eastAsia="仿宋_GB2312" w:cs="仿宋_GB2312"/>
          <w:spacing w:val="0"/>
          <w:w w:val="100"/>
          <w:sz w:val="32"/>
          <w:szCs w:val="32"/>
        </w:rPr>
        <w:t>、废试剂</w:t>
      </w:r>
      <w:r>
        <w:rPr>
          <w:rFonts w:hint="eastAsia" w:ascii="宋体" w:hAnsi="宋体" w:eastAsia="仿宋_GB2312" w:cs="仿宋_GB2312"/>
          <w:spacing w:val="0"/>
          <w:w w:val="100"/>
          <w:sz w:val="32"/>
          <w:szCs w:val="32"/>
          <w:lang w:eastAsia="zh-CN"/>
        </w:rPr>
        <w:t>以</w:t>
      </w:r>
      <w:r>
        <w:rPr>
          <w:rFonts w:hint="eastAsia" w:ascii="宋体" w:hAnsi="宋体" w:eastAsia="仿宋_GB2312" w:cs="仿宋_GB2312"/>
          <w:spacing w:val="0"/>
          <w:w w:val="100"/>
          <w:sz w:val="32"/>
          <w:szCs w:val="32"/>
        </w:rPr>
        <w:t>及其他危险废物的管理，将产生的危险废物交由持有危险废物经营许可证的单位处置。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四十五</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县级以上人民政府交通运输主管部门应当对机动车维修行业危险废物的分类、收集、贮存、利用、处置等实施监督管理，将机动车维修</w:t>
      </w:r>
      <w:r>
        <w:rPr>
          <w:rFonts w:hint="eastAsia" w:ascii="宋体" w:hAnsi="宋体" w:eastAsia="仿宋_GB2312" w:cs="仿宋_GB2312"/>
          <w:spacing w:val="0"/>
          <w:w w:val="100"/>
          <w:sz w:val="32"/>
          <w:szCs w:val="32"/>
        </w:rPr>
        <w:t>企业事业单位和其他生产经营者收集、贮存、利用、处置危险废物的情况，纳入机动车维修经营</w:t>
      </w:r>
      <w:r>
        <w:rPr>
          <w:rFonts w:hint="eastAsia" w:ascii="宋体" w:hAnsi="宋体" w:eastAsia="仿宋_GB2312" w:cs="仿宋_GB2312"/>
          <w:spacing w:val="0"/>
          <w:w w:val="100"/>
          <w:sz w:val="32"/>
          <w:szCs w:val="32"/>
          <w:lang w:eastAsia="zh-CN"/>
        </w:rPr>
        <w:t>备案</w:t>
      </w:r>
      <w:r>
        <w:rPr>
          <w:rFonts w:hint="eastAsia" w:ascii="宋体" w:hAnsi="宋体" w:eastAsia="仿宋_GB2312" w:cs="仿宋_GB2312"/>
          <w:spacing w:val="0"/>
          <w:w w:val="100"/>
          <w:sz w:val="32"/>
          <w:szCs w:val="32"/>
        </w:rPr>
        <w:t>、检查和考核中。</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从事机动车维修</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企业事业单位和其他生产经营者应当执行危险废物管理制度，按照有关规定建设危险废物收集、贮存设施并采取有效防治</w:t>
      </w:r>
      <w:r>
        <w:rPr>
          <w:rFonts w:hint="eastAsia" w:ascii="宋体" w:hAnsi="宋体" w:eastAsia="仿宋_GB2312" w:cs="仿宋_GB2312"/>
          <w:spacing w:val="0"/>
          <w:w w:val="100"/>
          <w:sz w:val="32"/>
          <w:szCs w:val="32"/>
          <w:lang w:eastAsia="zh-CN"/>
        </w:rPr>
        <w:t>污染</w:t>
      </w:r>
      <w:r>
        <w:rPr>
          <w:rFonts w:hint="eastAsia" w:ascii="宋体" w:hAnsi="宋体" w:eastAsia="仿宋_GB2312" w:cs="仿宋_GB2312"/>
          <w:spacing w:val="0"/>
          <w:w w:val="100"/>
          <w:sz w:val="32"/>
          <w:szCs w:val="32"/>
        </w:rPr>
        <w:t>措施。</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四十六</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危险废</w:t>
      </w:r>
      <w:r>
        <w:rPr>
          <w:rFonts w:hint="eastAsia" w:ascii="宋体" w:hAnsi="宋体" w:eastAsia="仿宋_GB2312" w:cs="仿宋_GB2312"/>
          <w:spacing w:val="0"/>
          <w:w w:val="100"/>
          <w:sz w:val="32"/>
          <w:szCs w:val="32"/>
        </w:rPr>
        <w:t>物产生单位必须按照国家规定处置危险废物，不得擅自倾倒、堆放。确需临时贮存的，必须采取符合国家环境保护标准的防护措施，且贮存期限不得超过一年，并向所在地县级以上人民政府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主管部门报告临时贮存的时间、地点以及采取的防护措施；超期贮存危险废物的，由其所在地县级以上人民政府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主管部门责令限期处置。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危险废物产生单位不处置危险废物的，由所在地县级以上人民政府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主管部门责令限期改正；逾期不处置或者处置不符合国家规定的，由所在地县级以上人民政府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主管部门指定单位代为处置。代为处置费用由危险废物产生单位承担。</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四十七</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地级以上市人民政府价格主管部门应当会同生态环境、住房城乡建设、卫</w:t>
      </w:r>
      <w:r>
        <w:rPr>
          <w:rFonts w:hint="eastAsia" w:ascii="宋体" w:hAnsi="宋体" w:eastAsia="仿宋_GB2312" w:cs="仿宋_GB2312"/>
          <w:spacing w:val="0"/>
          <w:w w:val="100"/>
          <w:sz w:val="32"/>
          <w:szCs w:val="32"/>
        </w:rPr>
        <w:t>生</w:t>
      </w:r>
      <w:r>
        <w:rPr>
          <w:rFonts w:hint="eastAsia" w:ascii="宋体" w:hAnsi="宋体" w:eastAsia="仿宋_GB2312" w:cs="仿宋_GB2312"/>
          <w:spacing w:val="0"/>
          <w:w w:val="100"/>
          <w:sz w:val="32"/>
          <w:szCs w:val="32"/>
          <w:lang w:eastAsia="zh-CN"/>
        </w:rPr>
        <w:t>健康</w:t>
      </w:r>
      <w:r>
        <w:rPr>
          <w:rFonts w:hint="eastAsia" w:ascii="宋体" w:hAnsi="宋体" w:eastAsia="仿宋_GB2312" w:cs="仿宋_GB2312"/>
          <w:spacing w:val="0"/>
          <w:w w:val="100"/>
          <w:sz w:val="32"/>
          <w:szCs w:val="32"/>
        </w:rPr>
        <w:t>等主管部门加强</w:t>
      </w:r>
      <w:r>
        <w:rPr>
          <w:rFonts w:hint="eastAsia" w:ascii="宋体" w:hAnsi="宋体" w:eastAsia="仿宋_GB2312" w:cs="仿宋_GB2312"/>
          <w:spacing w:val="0"/>
          <w:w w:val="100"/>
          <w:sz w:val="32"/>
          <w:szCs w:val="32"/>
          <w:lang w:eastAsia="zh-CN"/>
        </w:rPr>
        <w:t>监控</w:t>
      </w:r>
      <w:r>
        <w:rPr>
          <w:rFonts w:hint="eastAsia" w:ascii="宋体" w:hAnsi="宋体" w:eastAsia="仿宋_GB2312" w:cs="仿宋_GB2312"/>
          <w:spacing w:val="0"/>
          <w:w w:val="100"/>
          <w:sz w:val="32"/>
          <w:szCs w:val="32"/>
        </w:rPr>
        <w:t>危险废物处置成本，制定和调整危险废物处置收费标准，实行危险废物处置收费动态管理。</w:t>
      </w: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第五章  法律责任</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bCs/>
          <w:spacing w:val="0"/>
          <w:w w:val="100"/>
          <w:sz w:val="32"/>
          <w:szCs w:val="32"/>
          <w:shd w:val="clear" w:color="auto" w:fill="FFFFFF"/>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rPr>
        <w:t>各级人民政府、县级以上人民政府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主管部门和其他负有固体废物污染环境监督管理职责的部门违反本条例规定，未依法履行监管职责，造成环境污染的，</w:t>
      </w:r>
      <w:r>
        <w:rPr>
          <w:rFonts w:hint="eastAsia" w:ascii="宋体" w:hAnsi="宋体" w:eastAsia="仿宋_GB2312" w:cs="仿宋_GB2312"/>
          <w:bCs/>
          <w:spacing w:val="0"/>
          <w:w w:val="100"/>
          <w:sz w:val="32"/>
          <w:szCs w:val="32"/>
          <w:shd w:val="clear" w:color="auto" w:fill="FFFFFF"/>
        </w:rPr>
        <w:t>由</w:t>
      </w:r>
      <w:r>
        <w:rPr>
          <w:rFonts w:hint="eastAsia" w:ascii="宋体" w:hAnsi="宋体" w:eastAsia="仿宋_GB2312" w:cs="仿宋_GB2312"/>
          <w:spacing w:val="0"/>
          <w:w w:val="100"/>
          <w:sz w:val="32"/>
          <w:szCs w:val="32"/>
          <w:lang w:eastAsia="zh-CN"/>
        </w:rPr>
        <w:t>有关</w:t>
      </w:r>
      <w:r>
        <w:rPr>
          <w:rFonts w:hint="eastAsia" w:ascii="宋体" w:hAnsi="宋体" w:eastAsia="仿宋_GB2312" w:cs="仿宋_GB2312"/>
          <w:bCs/>
          <w:spacing w:val="0"/>
          <w:w w:val="100"/>
          <w:sz w:val="32"/>
          <w:szCs w:val="32"/>
          <w:shd w:val="clear" w:color="auto" w:fill="FFFFFF"/>
        </w:rPr>
        <w:t>机关</w:t>
      </w:r>
      <w:r>
        <w:rPr>
          <w:rFonts w:hint="eastAsia" w:ascii="宋体" w:hAnsi="宋体" w:eastAsia="仿宋_GB2312" w:cs="仿宋_GB2312"/>
          <w:bCs/>
          <w:i w:val="0"/>
          <w:iCs w:val="0"/>
          <w:spacing w:val="0"/>
          <w:w w:val="100"/>
          <w:sz w:val="32"/>
          <w:szCs w:val="32"/>
          <w:u w:val="none"/>
          <w:shd w:val="clear" w:color="auto" w:fill="FFFFFF"/>
        </w:rPr>
        <w:t>依法</w:t>
      </w:r>
      <w:r>
        <w:rPr>
          <w:rFonts w:hint="eastAsia" w:ascii="宋体" w:hAnsi="宋体" w:eastAsia="仿宋_GB2312" w:cs="仿宋_GB2312"/>
          <w:bCs/>
          <w:spacing w:val="0"/>
          <w:w w:val="100"/>
          <w:sz w:val="32"/>
          <w:szCs w:val="32"/>
          <w:shd w:val="clear" w:color="auto" w:fill="FFFFFF"/>
        </w:rPr>
        <w:t>对</w:t>
      </w:r>
      <w:r>
        <w:rPr>
          <w:rFonts w:hint="eastAsia" w:ascii="宋体" w:hAnsi="宋体" w:eastAsia="仿宋_GB2312" w:cs="仿宋_GB2312"/>
          <w:spacing w:val="0"/>
          <w:w w:val="100"/>
          <w:sz w:val="32"/>
          <w:szCs w:val="32"/>
          <w:lang w:eastAsia="zh-CN"/>
        </w:rPr>
        <w:t>负有责任</w:t>
      </w:r>
      <w:r>
        <w:rPr>
          <w:rFonts w:hint="eastAsia" w:ascii="宋体" w:hAnsi="宋体" w:eastAsia="仿宋_GB2312" w:cs="仿宋_GB2312"/>
          <w:bCs/>
          <w:spacing w:val="0"/>
          <w:w w:val="100"/>
          <w:sz w:val="32"/>
          <w:szCs w:val="32"/>
          <w:shd w:val="clear" w:color="auto" w:fill="FFFFFF"/>
        </w:rPr>
        <w:t>的主管人员和其他直接责任人员给予处分；涉嫌犯罪的，移送</w:t>
      </w:r>
      <w:r>
        <w:rPr>
          <w:rFonts w:hint="eastAsia" w:ascii="宋体" w:hAnsi="宋体" w:eastAsia="仿宋_GB2312" w:cs="仿宋_GB2312"/>
          <w:spacing w:val="0"/>
          <w:w w:val="100"/>
          <w:sz w:val="32"/>
          <w:szCs w:val="32"/>
          <w:lang w:eastAsia="zh-CN"/>
        </w:rPr>
        <w:t>有关</w:t>
      </w:r>
      <w:r>
        <w:rPr>
          <w:rFonts w:hint="eastAsia" w:ascii="宋体" w:hAnsi="宋体" w:eastAsia="仿宋_GB2312" w:cs="仿宋_GB2312"/>
          <w:bCs/>
          <w:spacing w:val="0"/>
          <w:w w:val="100"/>
          <w:sz w:val="32"/>
          <w:szCs w:val="32"/>
          <w:shd w:val="clear" w:color="auto" w:fill="FFFFFF"/>
        </w:rPr>
        <w:t>机关依法处理。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四十九</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违反本条例第十一条第一款规定，产生固体废物的重点企</w:t>
      </w:r>
      <w:r>
        <w:rPr>
          <w:rFonts w:hint="eastAsia" w:ascii="宋体" w:hAnsi="宋体" w:eastAsia="仿宋_GB2312" w:cs="仿宋_GB2312"/>
          <w:spacing w:val="0"/>
          <w:w w:val="100"/>
          <w:sz w:val="32"/>
          <w:szCs w:val="32"/>
        </w:rPr>
        <w:t>业事业单位和其他生产经营者未公开或者未如实公开固体废物污染环境防治信息的，由县级以上人民政府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主管部门责令改正，处十万元以上二十万元以下的罚款，并予以公告。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违反本条例规定，企业事业单位和其他生产</w:t>
      </w:r>
      <w:r>
        <w:rPr>
          <w:rFonts w:hint="eastAsia" w:ascii="宋体" w:hAnsi="宋体" w:eastAsia="仿宋_GB2312" w:cs="仿宋_GB2312"/>
          <w:spacing w:val="0"/>
          <w:w w:val="100"/>
          <w:sz w:val="32"/>
          <w:szCs w:val="32"/>
        </w:rPr>
        <w:t>经营者有下列行为之一的，由县级以上人民政府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主管部门责令限期改正，处五千元以上五万元以下罚款：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（一）违反本条例第</w:t>
      </w:r>
      <w:r>
        <w:rPr>
          <w:rFonts w:hint="eastAsia" w:ascii="宋体" w:hAnsi="宋体" w:eastAsia="仿宋_GB2312" w:cs="仿宋_GB2312"/>
          <w:i w:val="0"/>
          <w:iCs w:val="0"/>
          <w:spacing w:val="0"/>
          <w:w w:val="100"/>
          <w:sz w:val="32"/>
          <w:szCs w:val="32"/>
          <w:u w:val="none"/>
          <w:lang w:eastAsia="zh-CN"/>
        </w:rPr>
        <w:t>十四</w:t>
      </w:r>
      <w:r>
        <w:rPr>
          <w:rFonts w:hint="eastAsia" w:ascii="宋体" w:hAnsi="宋体" w:eastAsia="仿宋_GB2312" w:cs="仿宋_GB2312"/>
          <w:spacing w:val="0"/>
          <w:w w:val="100"/>
          <w:sz w:val="32"/>
          <w:szCs w:val="32"/>
        </w:rPr>
        <w:t xml:space="preserve">条第一款规定，未将工业固体废物种类、数量、流向、贮存、利用、处置等有关情况依法申报登记的； </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（二）违反本条例第</w:t>
      </w:r>
      <w:r>
        <w:rPr>
          <w:rFonts w:hint="eastAsia" w:ascii="宋体" w:hAnsi="宋体" w:eastAsia="仿宋_GB2312" w:cs="仿宋_GB2312"/>
          <w:i w:val="0"/>
          <w:iCs w:val="0"/>
          <w:spacing w:val="0"/>
          <w:w w:val="100"/>
          <w:sz w:val="32"/>
          <w:szCs w:val="32"/>
          <w:u w:val="none"/>
          <w:lang w:eastAsia="zh-CN"/>
        </w:rPr>
        <w:t>十四</w:t>
      </w:r>
      <w:r>
        <w:rPr>
          <w:rFonts w:hint="eastAsia" w:ascii="宋体" w:hAnsi="宋体" w:eastAsia="仿宋_GB2312" w:cs="仿宋_GB2312"/>
          <w:spacing w:val="0"/>
          <w:w w:val="100"/>
          <w:sz w:val="32"/>
          <w:szCs w:val="32"/>
        </w:rPr>
        <w:t>条第二款</w:t>
      </w:r>
      <w:r>
        <w:rPr>
          <w:rFonts w:hint="eastAsia" w:ascii="宋体" w:hAnsi="宋体" w:eastAsia="仿宋_GB2312" w:cs="仿宋_GB2312"/>
          <w:i w:val="0"/>
          <w:iCs/>
          <w:spacing w:val="0"/>
          <w:w w:val="100"/>
          <w:sz w:val="32"/>
          <w:szCs w:val="32"/>
          <w:u w:val="none"/>
        </w:rPr>
        <w:t>规定，</w:t>
      </w:r>
      <w:r>
        <w:rPr>
          <w:rFonts w:hint="eastAsia" w:ascii="宋体" w:hAnsi="宋体" w:eastAsia="仿宋_GB2312" w:cs="仿宋_GB2312"/>
          <w:spacing w:val="0"/>
          <w:w w:val="100"/>
          <w:sz w:val="32"/>
          <w:szCs w:val="32"/>
        </w:rPr>
        <w:t>申报登记信息发生重大改变未及时办理变更申报手续的，</w:t>
      </w:r>
      <w:r>
        <w:rPr>
          <w:rFonts w:hint="eastAsia" w:ascii="宋体" w:hAnsi="宋体" w:eastAsia="仿宋_GB2312" w:cs="仿宋_GB2312"/>
          <w:spacing w:val="0"/>
          <w:w w:val="100"/>
          <w:sz w:val="32"/>
          <w:szCs w:val="32"/>
          <w:lang w:eastAsia="zh-CN"/>
        </w:rPr>
        <w:t>或者</w:t>
      </w:r>
      <w:r>
        <w:rPr>
          <w:rFonts w:hint="eastAsia" w:ascii="宋体" w:hAnsi="宋体" w:eastAsia="仿宋_GB2312" w:cs="仿宋_GB2312"/>
          <w:spacing w:val="0"/>
          <w:w w:val="100"/>
          <w:sz w:val="32"/>
          <w:szCs w:val="32"/>
        </w:rPr>
        <w:t>因不可控制因素发生紧急重大改变未及时报告的；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w:t>
      </w:r>
      <w:r>
        <w:rPr>
          <w:rFonts w:hint="eastAsia" w:ascii="宋体" w:hAnsi="宋体" w:eastAsia="仿宋_GB2312" w:cs="仿宋_GB2312"/>
          <w:i w:val="0"/>
          <w:iCs w:val="0"/>
          <w:spacing w:val="0"/>
          <w:w w:val="100"/>
          <w:sz w:val="32"/>
          <w:szCs w:val="32"/>
          <w:u w:val="none"/>
          <w:lang w:eastAsia="zh-CN"/>
        </w:rPr>
        <w:t>三</w:t>
      </w:r>
      <w:r>
        <w:rPr>
          <w:rFonts w:hint="eastAsia" w:ascii="宋体" w:hAnsi="宋体" w:eastAsia="仿宋_GB2312" w:cs="仿宋_GB2312"/>
          <w:spacing w:val="0"/>
          <w:w w:val="100"/>
          <w:sz w:val="32"/>
          <w:szCs w:val="32"/>
        </w:rPr>
        <w:t>）违反本条例第</w:t>
      </w:r>
      <w:r>
        <w:rPr>
          <w:rFonts w:hint="eastAsia" w:ascii="宋体" w:hAnsi="宋体" w:eastAsia="仿宋_GB2312" w:cs="仿宋_GB2312"/>
          <w:i w:val="0"/>
          <w:iCs w:val="0"/>
          <w:spacing w:val="0"/>
          <w:w w:val="100"/>
          <w:sz w:val="32"/>
          <w:szCs w:val="32"/>
          <w:u w:val="none"/>
          <w:lang w:eastAsia="zh-CN"/>
        </w:rPr>
        <w:t>三十五</w:t>
      </w:r>
      <w:r>
        <w:rPr>
          <w:rFonts w:hint="eastAsia" w:ascii="宋体" w:hAnsi="宋体" w:eastAsia="仿宋_GB2312" w:cs="仿宋_GB2312"/>
          <w:spacing w:val="0"/>
          <w:w w:val="100"/>
          <w:sz w:val="32"/>
          <w:szCs w:val="32"/>
        </w:rPr>
        <w:t>条规定，未按照规定建立和保存危险废物台账的；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w:t>
      </w:r>
      <w:r>
        <w:rPr>
          <w:rFonts w:hint="eastAsia" w:ascii="宋体" w:hAnsi="宋体" w:eastAsia="仿宋_GB2312" w:cs="仿宋_GB2312"/>
          <w:i w:val="0"/>
          <w:iCs w:val="0"/>
          <w:spacing w:val="0"/>
          <w:w w:val="100"/>
          <w:sz w:val="32"/>
          <w:szCs w:val="32"/>
          <w:u w:val="none"/>
          <w:lang w:eastAsia="zh-CN"/>
        </w:rPr>
        <w:t>四</w:t>
      </w:r>
      <w:r>
        <w:rPr>
          <w:rFonts w:hint="eastAsia" w:ascii="宋体" w:hAnsi="宋体" w:eastAsia="仿宋_GB2312" w:cs="仿宋_GB2312"/>
          <w:spacing w:val="0"/>
          <w:w w:val="100"/>
          <w:sz w:val="32"/>
          <w:szCs w:val="32"/>
        </w:rPr>
        <w:t>）违反本条例第</w:t>
      </w:r>
      <w:r>
        <w:rPr>
          <w:rFonts w:hint="eastAsia" w:ascii="宋体" w:hAnsi="宋体" w:eastAsia="仿宋_GB2312" w:cs="仿宋_GB2312"/>
          <w:i w:val="0"/>
          <w:iCs w:val="0"/>
          <w:spacing w:val="0"/>
          <w:w w:val="100"/>
          <w:sz w:val="32"/>
          <w:szCs w:val="32"/>
          <w:u w:val="none"/>
          <w:lang w:eastAsia="zh-CN"/>
        </w:rPr>
        <w:t>三十六</w:t>
      </w:r>
      <w:r>
        <w:rPr>
          <w:rFonts w:hint="eastAsia" w:ascii="宋体" w:hAnsi="宋体" w:eastAsia="仿宋_GB2312" w:cs="仿宋_GB2312"/>
          <w:spacing w:val="0"/>
          <w:w w:val="100"/>
          <w:sz w:val="32"/>
          <w:szCs w:val="32"/>
        </w:rPr>
        <w:t>条规定，未按照规定建立和保存危险废物经营情况档案的。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五十一</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违反本条例第二十六条规定，城镇污水处理设施维护运营单位或者污泥处理处置单位未按照规定执行污泥转移联单</w:t>
      </w:r>
      <w:r>
        <w:rPr>
          <w:rFonts w:hint="eastAsia" w:ascii="宋体" w:hAnsi="宋体" w:eastAsia="仿宋_GB2312" w:cs="仿宋_GB2312"/>
          <w:spacing w:val="0"/>
          <w:w w:val="100"/>
          <w:sz w:val="32"/>
          <w:szCs w:val="32"/>
        </w:rPr>
        <w:t>制度的，由城镇排水主管部门责令停止违法行为，限期改正，处二万</w:t>
      </w:r>
      <w:r>
        <w:rPr>
          <w:rFonts w:hint="eastAsia" w:ascii="宋体" w:hAnsi="宋体" w:cs="仿宋_GB2312"/>
          <w:spacing w:val="0"/>
          <w:w w:val="100"/>
          <w:sz w:val="32"/>
          <w:szCs w:val="32"/>
          <w:lang w:eastAsia="zh-CN"/>
        </w:rPr>
        <w:t>元</w:t>
      </w:r>
      <w:r>
        <w:rPr>
          <w:rFonts w:hint="eastAsia" w:ascii="宋体" w:hAnsi="宋体" w:eastAsia="仿宋_GB2312" w:cs="仿宋_GB2312"/>
          <w:spacing w:val="0"/>
          <w:w w:val="100"/>
          <w:sz w:val="32"/>
          <w:szCs w:val="32"/>
        </w:rPr>
        <w:t>以上二十万</w:t>
      </w:r>
      <w:r>
        <w:rPr>
          <w:rFonts w:hint="eastAsia" w:ascii="宋体" w:hAnsi="宋体" w:cs="仿宋_GB2312"/>
          <w:spacing w:val="0"/>
          <w:w w:val="100"/>
          <w:sz w:val="32"/>
          <w:szCs w:val="32"/>
          <w:lang w:eastAsia="zh-CN"/>
        </w:rPr>
        <w:t>元</w:t>
      </w:r>
      <w:r>
        <w:rPr>
          <w:rFonts w:hint="eastAsia" w:ascii="宋体" w:hAnsi="宋体" w:eastAsia="仿宋_GB2312" w:cs="仿宋_GB2312"/>
          <w:spacing w:val="0"/>
          <w:w w:val="100"/>
          <w:sz w:val="32"/>
          <w:szCs w:val="32"/>
        </w:rPr>
        <w:t>以下罚款。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五十二</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违反本条例第三十二条第一项规定，露天焚烧生活垃圾、沥青、油毡、橡胶、轮胎、塑料、皮革、电线电缆、电子废物以及其</w:t>
      </w:r>
      <w:r>
        <w:rPr>
          <w:rFonts w:hint="eastAsia" w:ascii="宋体" w:hAnsi="宋体" w:eastAsia="仿宋_GB2312" w:cs="仿宋_GB2312"/>
          <w:spacing w:val="0"/>
          <w:w w:val="100"/>
          <w:sz w:val="32"/>
          <w:szCs w:val="32"/>
        </w:rPr>
        <w:t>他产生有毒有害烟尘和恶臭气体的物质</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由县级以上人民政府确定的监督管理部门责令改正，对单位处一万元以上十万元以下的罚款，对个人处五百元以上二千元以下的罚款。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违反本条例第</w:t>
      </w:r>
      <w:r>
        <w:rPr>
          <w:rFonts w:hint="eastAsia" w:ascii="宋体" w:hAnsi="宋体" w:eastAsia="仿宋_GB2312" w:cs="仿宋_GB2312"/>
          <w:i w:val="0"/>
          <w:iCs w:val="0"/>
          <w:spacing w:val="0"/>
          <w:w w:val="100"/>
          <w:sz w:val="32"/>
          <w:szCs w:val="32"/>
          <w:u w:val="none"/>
          <w:lang w:eastAsia="zh-CN"/>
        </w:rPr>
        <w:t>三十二</w:t>
      </w:r>
      <w:r>
        <w:rPr>
          <w:rFonts w:hint="eastAsia" w:ascii="宋体" w:hAnsi="宋体" w:eastAsia="仿宋_GB2312" w:cs="仿宋_GB2312"/>
          <w:spacing w:val="0"/>
          <w:w w:val="100"/>
          <w:sz w:val="32"/>
          <w:szCs w:val="32"/>
        </w:rPr>
        <w:t>条第二项规定，使用未经</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主管部门批准的设施焚烧处理固体废物的，由所在地县级以上人民政</w:t>
      </w:r>
      <w:r>
        <w:rPr>
          <w:rFonts w:hint="eastAsia" w:ascii="宋体" w:hAnsi="宋体" w:eastAsia="仿宋_GB2312" w:cs="仿宋_GB2312"/>
          <w:spacing w:val="-9"/>
          <w:w w:val="100"/>
          <w:sz w:val="32"/>
          <w:szCs w:val="32"/>
        </w:rPr>
        <w:t>府</w:t>
      </w:r>
      <w:r>
        <w:rPr>
          <w:rFonts w:hint="eastAsia" w:ascii="宋体" w:hAnsi="宋体" w:eastAsia="仿宋_GB2312" w:cs="仿宋_GB2312"/>
          <w:spacing w:val="-9"/>
          <w:w w:val="100"/>
          <w:sz w:val="32"/>
          <w:szCs w:val="32"/>
          <w:lang w:eastAsia="zh-CN"/>
        </w:rPr>
        <w:t>生态</w:t>
      </w:r>
      <w:r>
        <w:rPr>
          <w:rFonts w:hint="eastAsia" w:ascii="宋体" w:hAnsi="宋体" w:eastAsia="仿宋_GB2312" w:cs="仿宋_GB2312"/>
          <w:i w:val="0"/>
          <w:iCs w:val="0"/>
          <w:spacing w:val="-9"/>
          <w:w w:val="100"/>
          <w:sz w:val="32"/>
          <w:szCs w:val="32"/>
          <w:u w:val="none"/>
        </w:rPr>
        <w:t>环境</w:t>
      </w:r>
      <w:r>
        <w:rPr>
          <w:rFonts w:hint="eastAsia" w:ascii="宋体" w:hAnsi="宋体" w:eastAsia="仿宋_GB2312" w:cs="仿宋_GB2312"/>
          <w:spacing w:val="-9"/>
          <w:w w:val="100"/>
          <w:sz w:val="32"/>
          <w:szCs w:val="32"/>
        </w:rPr>
        <w:t>主管部门责令停止违法行为，消除污染，对单位处一万元以上十万元以下的罚款，对个人处五百元以上二千元以下的罚款。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违反本条例第</w:t>
      </w:r>
      <w:r>
        <w:rPr>
          <w:rFonts w:hint="eastAsia" w:ascii="宋体" w:hAnsi="宋体" w:eastAsia="仿宋_GB2312" w:cs="仿宋_GB2312"/>
          <w:i w:val="0"/>
          <w:iCs w:val="0"/>
          <w:spacing w:val="0"/>
          <w:w w:val="100"/>
          <w:sz w:val="32"/>
          <w:szCs w:val="32"/>
          <w:u w:val="none"/>
          <w:lang w:eastAsia="zh-CN"/>
        </w:rPr>
        <w:t>三十二</w:t>
      </w:r>
      <w:r>
        <w:rPr>
          <w:rFonts w:hint="eastAsia" w:ascii="宋体" w:hAnsi="宋体" w:eastAsia="仿宋_GB2312" w:cs="仿宋_GB2312"/>
          <w:spacing w:val="0"/>
          <w:w w:val="100"/>
          <w:sz w:val="32"/>
          <w:szCs w:val="32"/>
        </w:rPr>
        <w:t>条第三项的规定，使用不符合国家和地方相关技术规范的场所堆放、贮存、处置固体废物</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，由所在地县级以上人民政府确定的监督管理部门责令限期改正，处一万元以上十万元以下罚款。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五十三</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违反本条例有关危险废物污染环境防</w:t>
      </w:r>
      <w:r>
        <w:rPr>
          <w:rFonts w:hint="eastAsia" w:ascii="宋体" w:hAnsi="宋体" w:eastAsia="仿宋_GB2312" w:cs="仿宋_GB2312"/>
          <w:spacing w:val="0"/>
          <w:w w:val="100"/>
          <w:sz w:val="32"/>
          <w:szCs w:val="32"/>
        </w:rPr>
        <w:t>治的规定，有下列行为之一的，由县级以上人民政府确定的监督管理部门责令停止违法行为，限期改正</w:t>
      </w:r>
      <w:r>
        <w:rPr>
          <w:rFonts w:hint="eastAsia" w:ascii="宋体" w:hAnsi="宋体" w:cs="仿宋_GB2312"/>
          <w:spacing w:val="0"/>
          <w:w w:val="100"/>
          <w:sz w:val="32"/>
          <w:szCs w:val="32"/>
          <w:lang w:eastAsia="zh-CN"/>
        </w:rPr>
        <w:t>；</w:t>
      </w:r>
      <w:r>
        <w:rPr>
          <w:rFonts w:hint="eastAsia" w:ascii="宋体" w:hAnsi="宋体" w:eastAsia="仿宋_GB2312" w:cs="仿宋_GB2312"/>
          <w:spacing w:val="0"/>
          <w:w w:val="100"/>
          <w:sz w:val="32"/>
          <w:szCs w:val="32"/>
          <w:lang w:eastAsia="zh-CN"/>
        </w:rPr>
        <w:t>拒不改正的，</w:t>
      </w:r>
      <w:r>
        <w:rPr>
          <w:rFonts w:hint="eastAsia" w:ascii="宋体" w:hAnsi="宋体" w:eastAsia="仿宋_GB2312" w:cs="仿宋_GB2312"/>
          <w:spacing w:val="0"/>
          <w:w w:val="100"/>
          <w:sz w:val="32"/>
          <w:szCs w:val="32"/>
        </w:rPr>
        <w:t>处以一万元以上十万元以下罚款：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（一）违反本条例第</w:t>
      </w:r>
      <w:r>
        <w:rPr>
          <w:rFonts w:hint="eastAsia" w:ascii="宋体" w:hAnsi="宋体" w:eastAsia="仿宋_GB2312" w:cs="仿宋_GB2312"/>
          <w:i w:val="0"/>
          <w:iCs w:val="0"/>
          <w:spacing w:val="0"/>
          <w:w w:val="100"/>
          <w:sz w:val="32"/>
          <w:szCs w:val="32"/>
          <w:u w:val="none"/>
          <w:lang w:eastAsia="zh-CN"/>
        </w:rPr>
        <w:t>三十六</w:t>
      </w:r>
      <w:r>
        <w:rPr>
          <w:rFonts w:hint="eastAsia" w:ascii="宋体" w:hAnsi="宋体" w:eastAsia="仿宋_GB2312" w:cs="仿宋_GB2312"/>
          <w:spacing w:val="0"/>
          <w:w w:val="100"/>
          <w:sz w:val="32"/>
          <w:szCs w:val="32"/>
        </w:rPr>
        <w:t>条第三款规定，以填埋方式处置危险废物的经营单位终止经营活动后未依法</w:t>
      </w:r>
      <w:r>
        <w:rPr>
          <w:rFonts w:hint="eastAsia" w:ascii="宋体" w:hAnsi="宋体" w:eastAsia="仿宋_GB2312" w:cs="仿宋_GB2312"/>
          <w:spacing w:val="0"/>
          <w:w w:val="100"/>
          <w:sz w:val="32"/>
          <w:szCs w:val="32"/>
          <w:lang w:eastAsia="zh-CN"/>
        </w:rPr>
        <w:t>将危险废物经营情况档案</w:t>
      </w:r>
      <w:r>
        <w:rPr>
          <w:rFonts w:hint="eastAsia" w:ascii="宋体" w:hAnsi="宋体" w:eastAsia="仿宋_GB2312" w:cs="仿宋_GB2312"/>
          <w:spacing w:val="0"/>
          <w:w w:val="100"/>
          <w:sz w:val="32"/>
          <w:szCs w:val="32"/>
        </w:rPr>
        <w:t>移交存档的；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（二）违反本条例第</w:t>
      </w:r>
      <w:r>
        <w:rPr>
          <w:rFonts w:hint="eastAsia" w:ascii="宋体" w:hAnsi="宋体" w:eastAsia="仿宋_GB2312" w:cs="仿宋_GB2312"/>
          <w:i w:val="0"/>
          <w:iCs w:val="0"/>
          <w:spacing w:val="0"/>
          <w:w w:val="100"/>
          <w:sz w:val="32"/>
          <w:szCs w:val="32"/>
          <w:u w:val="none"/>
          <w:lang w:eastAsia="zh-CN"/>
        </w:rPr>
        <w:t>四十四</w:t>
      </w:r>
      <w:r>
        <w:rPr>
          <w:rFonts w:hint="eastAsia" w:ascii="宋体" w:hAnsi="宋体" w:eastAsia="仿宋_GB2312" w:cs="仿宋_GB2312"/>
          <w:spacing w:val="0"/>
          <w:w w:val="100"/>
          <w:sz w:val="32"/>
          <w:szCs w:val="32"/>
        </w:rPr>
        <w:t>条规定，未建立实验室危险废物分类、登记管理制度的；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（三）违反本条例第</w:t>
      </w:r>
      <w:r>
        <w:rPr>
          <w:rFonts w:hint="eastAsia" w:ascii="宋体" w:hAnsi="宋体" w:eastAsia="仿宋_GB2312" w:cs="仿宋_GB2312"/>
          <w:i w:val="0"/>
          <w:iCs w:val="0"/>
          <w:spacing w:val="0"/>
          <w:w w:val="100"/>
          <w:sz w:val="32"/>
          <w:szCs w:val="32"/>
          <w:u w:val="none"/>
          <w:lang w:eastAsia="zh-CN"/>
        </w:rPr>
        <w:t>四十五</w:t>
      </w:r>
      <w:r>
        <w:rPr>
          <w:rFonts w:hint="eastAsia" w:ascii="宋体" w:hAnsi="宋体" w:eastAsia="仿宋_GB2312" w:cs="仿宋_GB2312"/>
          <w:spacing w:val="0"/>
          <w:w w:val="100"/>
          <w:sz w:val="32"/>
          <w:szCs w:val="32"/>
        </w:rPr>
        <w:t>条第二款规定，未按照有关规定建设危险废物收集、贮存设施</w:t>
      </w:r>
      <w:r>
        <w:rPr>
          <w:rFonts w:hint="eastAsia" w:ascii="宋体" w:hAnsi="宋体" w:eastAsia="仿宋_GB2312" w:cs="仿宋_GB2312"/>
          <w:spacing w:val="0"/>
          <w:w w:val="100"/>
          <w:sz w:val="32"/>
          <w:szCs w:val="32"/>
          <w:lang w:eastAsia="zh-CN"/>
        </w:rPr>
        <w:t>并采取有效防治污染措施</w:t>
      </w:r>
      <w:r>
        <w:rPr>
          <w:rFonts w:hint="eastAsia" w:ascii="宋体" w:hAnsi="宋体" w:eastAsia="仿宋_GB2312" w:cs="仿宋_GB2312"/>
          <w:spacing w:val="0"/>
          <w:w w:val="100"/>
          <w:sz w:val="32"/>
          <w:szCs w:val="32"/>
        </w:rPr>
        <w:t>的。</w:t>
      </w:r>
    </w:p>
    <w:p>
      <w:pPr>
        <w:widowControl w:val="0"/>
        <w:wordWrap/>
        <w:overflowPunct w:val="0"/>
        <w:adjustRightInd w:val="0"/>
        <w:snapToGrid w:val="0"/>
        <w:spacing w:beforeAutospacing="0" w:afterAutospacing="0" w:line="560" w:lineRule="exact"/>
        <w:ind w:right="0" w:firstLine="640" w:firstLineChars="200"/>
        <w:jc w:val="center"/>
        <w:textAlignment w:val="auto"/>
        <w:outlineLvl w:val="9"/>
        <w:rPr>
          <w:rFonts w:hint="eastAsia" w:ascii="宋体" w:hAnsi="宋体" w:eastAsia="仿宋_GB2312" w:cs="仿宋_GB2312"/>
          <w:spacing w:val="0"/>
          <w:w w:val="100"/>
          <w:sz w:val="32"/>
          <w:szCs w:val="32"/>
          <w:lang w:val="en-US" w:eastAsia="zh-CN"/>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r>
        <w:rPr>
          <w:rFonts w:hint="eastAsia" w:ascii="宋体" w:hAnsi="宋体" w:eastAsia="黑体" w:cs="黑体"/>
          <w:spacing w:val="0"/>
          <w:w w:val="100"/>
          <w:sz w:val="32"/>
          <w:szCs w:val="32"/>
        </w:rPr>
        <w:t>第六章  附则</w:t>
      </w:r>
    </w:p>
    <w:p>
      <w:pPr>
        <w:widowControl w:val="0"/>
        <w:wordWrap/>
        <w:overflowPunct w:val="0"/>
        <w:adjustRightInd w:val="0"/>
        <w:snapToGrid w:val="0"/>
        <w:spacing w:beforeAutospacing="0" w:afterAutospacing="0" w:line="560" w:lineRule="exact"/>
        <w:ind w:right="0" w:firstLine="640" w:firstLineChars="200"/>
        <w:jc w:val="center"/>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五十四</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本条</w:t>
      </w:r>
      <w:r>
        <w:rPr>
          <w:rFonts w:hint="eastAsia" w:ascii="宋体" w:hAnsi="宋体" w:eastAsia="仿宋_GB2312" w:cs="仿宋_GB2312"/>
          <w:spacing w:val="0"/>
          <w:w w:val="100"/>
          <w:sz w:val="32"/>
          <w:szCs w:val="32"/>
        </w:rPr>
        <w:t>例自</w:t>
      </w:r>
      <w:r>
        <w:rPr>
          <w:rFonts w:hint="eastAsia" w:ascii="宋体" w:hAnsi="宋体" w:eastAsia="仿宋_GB2312" w:cs="仿宋_GB2312"/>
          <w:spacing w:val="0"/>
          <w:w w:val="100"/>
          <w:sz w:val="32"/>
          <w:szCs w:val="32"/>
          <w:lang w:val="en-US" w:eastAsia="zh-CN"/>
        </w:rPr>
        <w:t>2019</w:t>
      </w:r>
      <w:r>
        <w:rPr>
          <w:rFonts w:hint="eastAsia" w:ascii="宋体" w:hAnsi="宋体" w:eastAsia="仿宋_GB2312" w:cs="仿宋_GB2312"/>
          <w:spacing w:val="0"/>
          <w:w w:val="100"/>
          <w:sz w:val="32"/>
          <w:szCs w:val="32"/>
        </w:rPr>
        <w:t>年</w:t>
      </w:r>
      <w:r>
        <w:rPr>
          <w:rFonts w:hint="eastAsia" w:ascii="宋体" w:hAnsi="宋体" w:eastAsia="仿宋_GB2312" w:cs="仿宋_GB2312"/>
          <w:spacing w:val="0"/>
          <w:w w:val="100"/>
          <w:sz w:val="32"/>
          <w:szCs w:val="32"/>
          <w:lang w:val="en-US" w:eastAsia="zh-CN"/>
        </w:rPr>
        <w:t>3</w:t>
      </w:r>
      <w:r>
        <w:rPr>
          <w:rFonts w:hint="eastAsia" w:ascii="宋体" w:hAnsi="宋体" w:eastAsia="仿宋_GB2312" w:cs="仿宋_GB2312"/>
          <w:spacing w:val="0"/>
          <w:w w:val="100"/>
          <w:sz w:val="32"/>
          <w:szCs w:val="32"/>
        </w:rPr>
        <w:t>月</w:t>
      </w:r>
      <w:r>
        <w:rPr>
          <w:rFonts w:hint="eastAsia" w:ascii="宋体" w:hAnsi="宋体" w:eastAsia="仿宋_GB2312" w:cs="仿宋_GB2312"/>
          <w:spacing w:val="0"/>
          <w:w w:val="100"/>
          <w:sz w:val="32"/>
          <w:szCs w:val="32"/>
          <w:lang w:val="en-US" w:eastAsia="zh-CN"/>
        </w:rPr>
        <w:t>1</w:t>
      </w:r>
      <w:r>
        <w:rPr>
          <w:rFonts w:hint="eastAsia" w:ascii="宋体" w:hAnsi="宋体" w:eastAsia="仿宋_GB2312" w:cs="仿宋_GB2312"/>
          <w:spacing w:val="0"/>
          <w:w w:val="100"/>
          <w:sz w:val="32"/>
          <w:szCs w:val="32"/>
        </w:rPr>
        <w:t>日起施行</w:t>
      </w:r>
      <w:r>
        <w:rPr>
          <w:rFonts w:hint="eastAsia" w:ascii="宋体" w:hAnsi="宋体" w:eastAsia="仿宋_GB2312" w:cs="仿宋_GB2312"/>
          <w:spacing w:val="0"/>
          <w:w w:val="100"/>
          <w:sz w:val="32"/>
          <w:szCs w:val="32"/>
          <w:lang w:eastAsia="zh-CN"/>
        </w:rPr>
        <w:t>。</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仿宋_GB2312" w:cs="仿宋_GB2312"/>
          <w:spacing w:val="0"/>
          <w:w w:val="100"/>
          <w:sz w:val="32"/>
          <w:szCs w:val="32"/>
          <w:lang w:eastAsia="zh-CN"/>
        </w:rPr>
        <w:br w:type="page"/>
      </w:r>
    </w:p>
    <w:p>
      <w:pPr>
        <w:pStyle w:val="44"/>
        <w:widowControl w:val="0"/>
        <w:wordWrap/>
        <w:overflowPunct w:val="0"/>
        <w:spacing w:before="0" w:beforeAutospacing="0" w:after="0" w:afterAutospacing="0" w:line="560" w:lineRule="exact"/>
        <w:jc w:val="center"/>
        <w:textAlignment w:val="auto"/>
        <w:outlineLvl w:val="9"/>
        <w:rPr>
          <w:rFonts w:hint="eastAsia" w:ascii="宋体" w:hAnsi="宋体" w:eastAsia="宋体" w:cs="宋体"/>
          <w:color w:val="000000"/>
          <w:sz w:val="44"/>
          <w:szCs w:val="44"/>
        </w:rPr>
      </w:pPr>
      <w:bookmarkStart w:id="471" w:name="_Toc11297"/>
      <w:r>
        <w:rPr>
          <w:rFonts w:hint="eastAsia" w:ascii="宋体" w:hAnsi="宋体" w:eastAsia="宋体" w:cs="宋体"/>
          <w:color w:val="000000"/>
          <w:sz w:val="44"/>
          <w:szCs w:val="44"/>
          <w:lang w:val="en-US" w:eastAsia="zh-CN"/>
        </w:rPr>
        <w:t>广东省食品安全条例</w:t>
      </w:r>
      <w:bookmarkEnd w:id="471"/>
    </w:p>
    <w:p>
      <w:pPr>
        <w:pStyle w:val="35"/>
        <w:widowControl w:val="0"/>
        <w:wordWrap/>
        <w:overflowPunct w:val="0"/>
        <w:adjustRightInd w:val="0"/>
        <w:snapToGrid w:val="0"/>
        <w:spacing w:beforeAutospacing="0" w:afterAutospacing="0" w:line="560" w:lineRule="exact"/>
        <w:ind w:left="0" w:leftChars="0" w:right="640" w:rightChars="200"/>
        <w:jc w:val="left"/>
        <w:textAlignment w:val="auto"/>
        <w:outlineLvl w:val="9"/>
        <w:rPr>
          <w:rFonts w:hint="eastAsia" w:ascii="宋体" w:hAnsi="宋体" w:eastAsia="楷体_GB2312"/>
          <w:bCs/>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bCs/>
          <w:sz w:val="32"/>
          <w:szCs w:val="32"/>
        </w:rPr>
      </w:pPr>
      <w:r>
        <w:rPr>
          <w:rFonts w:hint="eastAsia" w:ascii="宋体" w:hAnsi="宋体" w:eastAsia="楷体_GB2312"/>
          <w:bCs/>
          <w:sz w:val="32"/>
          <w:szCs w:val="32"/>
        </w:rPr>
        <w:t>（2007年11月30日广东省第十届人民代表大会常务委员会第三十五次会议通过  2016年5月25日广东省第十二届人民代表大会常务委员会第二十六次会议</w:t>
      </w:r>
      <w:r>
        <w:rPr>
          <w:rFonts w:hint="eastAsia" w:ascii="宋体" w:hAnsi="宋体" w:eastAsia="楷体_GB2312"/>
          <w:bCs/>
          <w:sz w:val="32"/>
          <w:szCs w:val="32"/>
          <w:lang w:eastAsia="zh-CN"/>
        </w:rPr>
        <w:t>修</w:t>
      </w:r>
      <w:r>
        <w:rPr>
          <w:rFonts w:hint="eastAsia" w:ascii="宋体" w:hAnsi="宋体" w:eastAsia="楷体_GB2312"/>
          <w:bCs/>
          <w:sz w:val="32"/>
          <w:szCs w:val="32"/>
        </w:rPr>
        <w:t>订</w:t>
      </w:r>
      <w:r>
        <w:rPr>
          <w:rFonts w:hint="eastAsia" w:ascii="宋体" w:hAnsi="宋体" w:eastAsia="楷体_GB2312"/>
          <w:bCs/>
          <w:sz w:val="32"/>
          <w:szCs w:val="32"/>
          <w:lang w:val="en-US" w:eastAsia="zh-CN"/>
        </w:rPr>
        <w:t xml:space="preserve">  </w:t>
      </w:r>
      <w:r>
        <w:rPr>
          <w:rFonts w:hint="eastAsia" w:ascii="宋体" w:hAnsi="宋体" w:eastAsia="楷体_GB2312" w:cs="楷体_GB2312"/>
          <w:bCs/>
          <w:sz w:val="32"/>
          <w:szCs w:val="32"/>
          <w:lang w:val="en-US" w:eastAsia="zh-CN"/>
        </w:rPr>
        <w:t>根据</w:t>
      </w:r>
      <w:r>
        <w:rPr>
          <w:rFonts w:hint="eastAsia" w:ascii="宋体" w:hAnsi="宋体" w:eastAsia="楷体_GB2312" w:cs="楷体_GB2312"/>
          <w:color w:val="auto"/>
          <w:sz w:val="32"/>
          <w:szCs w:val="32"/>
        </w:rPr>
        <w:t>201</w:t>
      </w:r>
      <w:r>
        <w:rPr>
          <w:rFonts w:hint="eastAsia" w:ascii="宋体" w:hAnsi="宋体" w:eastAsia="楷体_GB2312" w:cs="楷体_GB2312"/>
          <w:color w:val="auto"/>
          <w:sz w:val="32"/>
          <w:szCs w:val="32"/>
          <w:lang w:val="en-US" w:eastAsia="zh-CN"/>
        </w:rPr>
        <w:t>9</w:t>
      </w:r>
      <w:r>
        <w:rPr>
          <w:rFonts w:hint="eastAsia" w:ascii="宋体" w:hAnsi="宋体" w:eastAsia="楷体_GB2312" w:cs="楷体_GB2312"/>
          <w:color w:val="auto"/>
          <w:sz w:val="32"/>
          <w:szCs w:val="32"/>
        </w:rPr>
        <w:t>年</w:t>
      </w:r>
      <w:r>
        <w:rPr>
          <w:rFonts w:hint="eastAsia" w:ascii="宋体" w:hAnsi="宋体" w:eastAsia="楷体_GB2312" w:cs="楷体_GB2312"/>
          <w:color w:val="auto"/>
          <w:sz w:val="32"/>
          <w:szCs w:val="32"/>
          <w:lang w:val="en-US" w:eastAsia="zh-CN"/>
        </w:rPr>
        <w:t>9</w:t>
      </w:r>
      <w:r>
        <w:rPr>
          <w:rFonts w:hint="eastAsia" w:ascii="宋体" w:hAnsi="宋体" w:eastAsia="楷体_GB2312" w:cs="楷体_GB2312"/>
          <w:color w:val="auto"/>
          <w:sz w:val="32"/>
          <w:szCs w:val="32"/>
        </w:rPr>
        <w:t>月</w:t>
      </w:r>
      <w:r>
        <w:rPr>
          <w:rFonts w:hint="eastAsia" w:ascii="宋体" w:hAnsi="宋体" w:eastAsia="楷体_GB2312" w:cs="楷体_GB2312"/>
          <w:color w:val="auto"/>
          <w:sz w:val="32"/>
          <w:szCs w:val="32"/>
          <w:lang w:val="en-US" w:eastAsia="zh-CN"/>
        </w:rPr>
        <w:t>25</w:t>
      </w:r>
      <w:r>
        <w:rPr>
          <w:rFonts w:hint="eastAsia" w:ascii="宋体" w:hAnsi="宋体" w:eastAsia="楷体_GB2312" w:cs="楷体_GB2312"/>
          <w:color w:val="auto"/>
          <w:sz w:val="32"/>
          <w:szCs w:val="32"/>
        </w:rPr>
        <w:t>日广东省第十</w:t>
      </w:r>
      <w:r>
        <w:rPr>
          <w:rFonts w:hint="eastAsia" w:ascii="宋体" w:hAnsi="宋体" w:eastAsia="楷体_GB2312" w:cs="楷体_GB2312"/>
          <w:color w:val="auto"/>
          <w:sz w:val="32"/>
          <w:szCs w:val="32"/>
          <w:lang w:eastAsia="zh-CN"/>
        </w:rPr>
        <w:t>三</w:t>
      </w:r>
      <w:r>
        <w:rPr>
          <w:rFonts w:hint="eastAsia" w:ascii="宋体" w:hAnsi="宋体" w:eastAsia="楷体_GB2312" w:cs="楷体_GB2312"/>
          <w:color w:val="auto"/>
          <w:sz w:val="32"/>
          <w:szCs w:val="32"/>
        </w:rPr>
        <w:t>届人民代表大会常务委员会第</w:t>
      </w:r>
      <w:r>
        <w:rPr>
          <w:rFonts w:hint="eastAsia" w:ascii="宋体" w:hAnsi="宋体" w:eastAsia="楷体_GB2312" w:cs="楷体_GB2312"/>
          <w:color w:val="auto"/>
          <w:sz w:val="32"/>
          <w:szCs w:val="32"/>
          <w:lang w:val="en-US" w:eastAsia="zh-CN"/>
        </w:rPr>
        <w:t>十四</w:t>
      </w:r>
      <w:r>
        <w:rPr>
          <w:rFonts w:hint="eastAsia" w:ascii="宋体" w:hAnsi="宋体" w:eastAsia="楷体_GB2312" w:cs="楷体_GB2312"/>
          <w:color w:val="auto"/>
          <w:sz w:val="32"/>
          <w:szCs w:val="32"/>
        </w:rPr>
        <w:t>次会议《</w:t>
      </w:r>
      <w:r>
        <w:rPr>
          <w:rFonts w:hint="eastAsia" w:ascii="宋体" w:hAnsi="宋体" w:eastAsia="楷体_GB2312" w:cs="楷体_GB2312"/>
          <w:b w:val="0"/>
          <w:bCs w:val="0"/>
          <w:spacing w:val="0"/>
          <w:sz w:val="32"/>
          <w:szCs w:val="32"/>
          <w:lang w:eastAsia="zh-CN"/>
        </w:rPr>
        <w:t>关于修改〈广东省食品安全条例〉</w:t>
      </w:r>
      <w:r>
        <w:rPr>
          <w:rFonts w:hint="eastAsia" w:ascii="宋体" w:hAnsi="宋体" w:eastAsia="楷体_GB2312" w:cs="楷体_GB2312"/>
          <w:spacing w:val="0"/>
          <w:sz w:val="32"/>
          <w:szCs w:val="32"/>
          <w:lang w:eastAsia="zh-CN"/>
        </w:rPr>
        <w:t>等十项地方性法规的决定</w:t>
      </w:r>
      <w:r>
        <w:rPr>
          <w:rFonts w:hint="eastAsia" w:ascii="宋体" w:hAnsi="宋体" w:eastAsia="楷体_GB2312" w:cs="楷体_GB2312"/>
          <w:color w:val="auto"/>
          <w:sz w:val="32"/>
          <w:szCs w:val="32"/>
        </w:rPr>
        <w:t>》</w:t>
      </w:r>
      <w:r>
        <w:rPr>
          <w:rFonts w:hint="eastAsia" w:ascii="宋体" w:hAnsi="宋体" w:eastAsia="楷体_GB2312" w:cs="楷体_GB2312"/>
          <w:color w:val="auto"/>
          <w:sz w:val="32"/>
          <w:szCs w:val="32"/>
          <w:lang w:eastAsia="zh-CN"/>
        </w:rPr>
        <w:t>修正</w:t>
      </w:r>
      <w:r>
        <w:rPr>
          <w:rFonts w:hint="eastAsia" w:ascii="宋体" w:hAnsi="宋体" w:eastAsia="楷体_GB2312" w:cs="楷体_GB2312"/>
          <w:bCs/>
          <w:sz w:val="32"/>
          <w:szCs w:val="32"/>
        </w:rPr>
        <w:t>）</w:t>
      </w:r>
    </w:p>
    <w:p>
      <w:pPr>
        <w:pStyle w:val="35"/>
        <w:widowControl w:val="0"/>
        <w:wordWrap/>
        <w:overflowPunct w:val="0"/>
        <w:adjustRightInd w:val="0"/>
        <w:snapToGrid w:val="0"/>
        <w:spacing w:beforeAutospacing="0" w:afterAutospacing="0" w:line="560" w:lineRule="exact"/>
        <w:ind w:left="0" w:leftChars="0" w:right="640" w:rightChars="200"/>
        <w:jc w:val="left"/>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0"/>
        <w:jc w:val="center"/>
        <w:textAlignment w:val="auto"/>
        <w:outlineLvl w:val="9"/>
        <w:rPr>
          <w:rFonts w:hint="eastAsia" w:ascii="宋体" w:hAnsi="宋体" w:eastAsia="宋体" w:cs="宋体"/>
          <w:bCs/>
          <w:sz w:val="32"/>
          <w:szCs w:val="32"/>
        </w:rPr>
      </w:pPr>
      <w:r>
        <w:rPr>
          <w:rFonts w:hint="eastAsia" w:ascii="宋体" w:hAnsi="宋体" w:eastAsia="楷体_GB2312"/>
          <w:bCs/>
          <w:sz w:val="32"/>
          <w:szCs w:val="32"/>
        </w:rPr>
        <w:t>目    录</w:t>
      </w:r>
    </w:p>
    <w:p>
      <w:pPr>
        <w:pStyle w:val="35"/>
        <w:widowControl w:val="0"/>
        <w:wordWrap/>
        <w:overflowPunct w:val="0"/>
        <w:adjustRightInd w:val="0"/>
        <w:snapToGrid w:val="0"/>
        <w:spacing w:beforeAutospacing="0" w:afterAutospacing="0" w:line="560" w:lineRule="exact"/>
        <w:ind w:left="0" w:leftChars="0" w:right="640" w:rightChars="200"/>
        <w:jc w:val="left"/>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第二章  食品生产经营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第一节  生产经营规范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sz w:val="32"/>
          <w:szCs w:val="32"/>
        </w:rPr>
      </w:pPr>
      <w:r>
        <w:rPr>
          <w:rFonts w:hint="eastAsia" w:ascii="宋体" w:hAnsi="宋体" w:eastAsia="楷体_GB2312" w:cs="楷体_GB2312"/>
          <w:b w:val="0"/>
          <w:bCs/>
          <w:sz w:val="32"/>
          <w:szCs w:val="32"/>
          <w:lang w:val="en-US" w:eastAsia="zh-CN"/>
        </w:rPr>
        <w:t xml:space="preserve">    </w:t>
      </w:r>
      <w:r>
        <w:rPr>
          <w:rFonts w:hint="eastAsia" w:ascii="宋体" w:hAnsi="宋体" w:eastAsia="楷体_GB2312" w:cs="楷体_GB2312"/>
          <w:b w:val="0"/>
          <w:bCs/>
          <w:sz w:val="32"/>
          <w:szCs w:val="32"/>
        </w:rPr>
        <w:t>第二节  网络食品经营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Cs/>
          <w:sz w:val="32"/>
          <w:szCs w:val="32"/>
        </w:rPr>
      </w:pPr>
      <w:r>
        <w:rPr>
          <w:rFonts w:hint="eastAsia" w:ascii="宋体" w:hAnsi="宋体" w:eastAsia="楷体_GB2312" w:cs="楷体_GB2312"/>
          <w:b w:val="0"/>
          <w:bCs/>
          <w:sz w:val="32"/>
          <w:szCs w:val="32"/>
          <w:lang w:val="en-US" w:eastAsia="zh-CN"/>
        </w:rPr>
        <w:t xml:space="preserve">    </w:t>
      </w:r>
      <w:r>
        <w:rPr>
          <w:rFonts w:hint="eastAsia" w:ascii="宋体" w:hAnsi="宋体" w:eastAsia="楷体_GB2312" w:cs="楷体_GB2312"/>
          <w:b w:val="0"/>
          <w:bCs/>
          <w:sz w:val="32"/>
          <w:szCs w:val="32"/>
        </w:rPr>
        <w:t>第三节  餐饮服务</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第三章  食品安全保障</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第一节  食品安全风险监测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第二节  食品安全标准</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第三节  食品检验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第四节  食品追溯</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第四章  食品安全监督管理</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第五章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lang w:val="en-US" w:eastAsia="zh-CN"/>
        </w:rPr>
      </w:pPr>
      <w:r>
        <w:rPr>
          <w:rFonts w:hint="eastAsia" w:ascii="宋体" w:hAnsi="宋体" w:eastAsia="楷体_GB2312" w:cs="楷体_GB2312"/>
          <w:bCs/>
          <w:sz w:val="32"/>
          <w:szCs w:val="32"/>
          <w:lang w:val="en-US" w:eastAsia="zh-CN"/>
        </w:rPr>
        <w:t>第六章  附则</w:t>
      </w:r>
    </w:p>
    <w:p>
      <w:pPr>
        <w:pStyle w:val="35"/>
        <w:widowControl w:val="0"/>
        <w:wordWrap/>
        <w:overflowPunct w:val="0"/>
        <w:adjustRightInd w:val="0"/>
        <w:snapToGrid w:val="0"/>
        <w:spacing w:beforeAutospacing="0" w:afterAutospacing="0" w:line="560" w:lineRule="exact"/>
        <w:ind w:left="0" w:leftChars="0" w:right="640" w:rightChars="200"/>
        <w:jc w:val="left"/>
        <w:textAlignment w:val="auto"/>
        <w:outlineLvl w:val="9"/>
        <w:rPr>
          <w:rFonts w:hint="eastAsia" w:ascii="宋体" w:hAnsi="宋体" w:eastAsia="宋体" w:cs="宋体"/>
          <w:bCs/>
          <w:sz w:val="32"/>
          <w:szCs w:val="32"/>
        </w:rPr>
      </w:pPr>
    </w:p>
    <w:p>
      <w:pPr>
        <w:widowControl w:val="0"/>
        <w:wordWrap/>
        <w:overflowPunct w:val="0"/>
        <w:spacing w:beforeAutospacing="0" w:afterAutospacing="0" w:line="560" w:lineRule="exact"/>
        <w:ind w:left="0" w:leftChars="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rPr>
        <w:t>第一章  总则</w:t>
      </w:r>
    </w:p>
    <w:p>
      <w:pPr>
        <w:widowControl w:val="0"/>
        <w:wordWrap/>
        <w:overflowPunct w:val="0"/>
        <w:spacing w:beforeAutospacing="0" w:afterAutospacing="0" w:line="560" w:lineRule="exact"/>
        <w:ind w:left="0" w:leftChars="0"/>
        <w:jc w:val="center"/>
        <w:textAlignment w:val="auto"/>
        <w:outlineLvl w:val="9"/>
        <w:rPr>
          <w:rFonts w:hint="eastAsia" w:ascii="宋体" w:hAnsi="宋体" w:eastAsia="宋体" w:cs="宋体"/>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第一条</w:t>
      </w:r>
      <w:r>
        <w:rPr>
          <w:rFonts w:hint="eastAsia" w:ascii="宋体" w:hAnsi="宋体" w:eastAsia="仿宋_GB2312" w:cs="仿宋_GB2312"/>
          <w:b w:val="0"/>
          <w:bCs w:val="0"/>
          <w:sz w:val="32"/>
          <w:szCs w:val="32"/>
        </w:rPr>
        <w:t xml:space="preserve">  为了保证食品安全，保障公众身体健康和生命安全，根据《中华人民共和国食品安全法》、《中华人民共和国农产品质量安全法》和《中华人民共和国食品安全法实施条例》等有关法律、行政法规，结合本省实际，制定本条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第二条</w:t>
      </w:r>
      <w:r>
        <w:rPr>
          <w:rFonts w:hint="eastAsia" w:ascii="宋体" w:hAnsi="宋体" w:eastAsia="仿宋_GB2312" w:cs="仿宋_GB2312"/>
          <w:b w:val="0"/>
          <w:bCs w:val="0"/>
          <w:sz w:val="32"/>
          <w:szCs w:val="32"/>
        </w:rPr>
        <w:t xml:space="preserve">  本条例适用于在本省行政区域内的食品、食品添加剂和食品相关产品的生产经营和安全管理，食品添加剂、食品相关产品的使用，食品的贮存和运输，以及食用农产品的市场销售等活动。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第三条</w:t>
      </w:r>
      <w:r>
        <w:rPr>
          <w:rFonts w:hint="eastAsia" w:ascii="宋体" w:hAnsi="宋体" w:eastAsia="仿宋_GB2312" w:cs="仿宋_GB2312"/>
          <w:b w:val="0"/>
          <w:bCs w:val="0"/>
          <w:sz w:val="32"/>
          <w:szCs w:val="32"/>
        </w:rPr>
        <w:t xml:space="preserve">  食品生产经营者对其生产经营食品的安全负责。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食用农产品销售者对其销售食用农产品的质量安全负责。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第四条</w:t>
      </w:r>
      <w:r>
        <w:rPr>
          <w:rFonts w:hint="eastAsia" w:ascii="宋体" w:hAnsi="宋体" w:eastAsia="仿宋_GB2312" w:cs="仿宋_GB2312"/>
          <w:b w:val="0"/>
          <w:bCs w:val="0"/>
          <w:sz w:val="32"/>
          <w:szCs w:val="32"/>
        </w:rPr>
        <w:t xml:space="preserve">  县级以上人民政府对本行政区域的食品安全监督管理工作负责，统一领导、组织、协调本行政区域的食品安全监督管理工作以及食品安全突发事件应对工作，建立健全食品安全监督管理协调机制，落实食品安全监督管理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第五条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部门负责本行政区域内食品生产经营活动的监督管理。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县级以上人民政府卫生、农业、林业、城市管理、公安，以及海关等有关部门，应当在各自职责范围内负责本行政区域的食品安全监督管理工作。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县级或者不设区的地级市人民政府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部门可以在乡镇、街道或者特定区域设立派出机构。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第六条</w:t>
      </w:r>
      <w:r>
        <w:rPr>
          <w:rFonts w:hint="eastAsia" w:ascii="宋体" w:hAnsi="宋体" w:eastAsia="仿宋_GB2312" w:cs="仿宋_GB2312"/>
          <w:b w:val="0"/>
          <w:bCs w:val="0"/>
          <w:sz w:val="32"/>
          <w:szCs w:val="32"/>
        </w:rPr>
        <w:t xml:space="preserve">  乡镇人民政府和街道办事处负责本辖区的食品安全隐患排查、信息报告、协助执法、宣传引导等相关工作，确定食品安全协管员、信息员，协助</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部门做好食品安全工作。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第七条</w:t>
      </w:r>
      <w:r>
        <w:rPr>
          <w:rFonts w:hint="eastAsia" w:ascii="宋体" w:hAnsi="宋体" w:eastAsia="仿宋_GB2312" w:cs="仿宋_GB2312"/>
          <w:b w:val="0"/>
          <w:bCs w:val="0"/>
          <w:sz w:val="32"/>
          <w:szCs w:val="32"/>
        </w:rPr>
        <w:t xml:space="preserve">  各级人民政府及其有关行政管理部门应当加强食品安全法律、法规和食品安全知识的宣传教育。</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新闻媒体应当加强对食品安全法律、法规以及食品安全标准和知识的公益宣传，对食品安全进行舆论监督。有关食品安全的宣传报道应当客观、真实、公正。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第八条</w:t>
      </w:r>
      <w:r>
        <w:rPr>
          <w:rFonts w:hint="eastAsia" w:ascii="宋体" w:hAnsi="宋体" w:eastAsia="仿宋_GB2312" w:cs="仿宋_GB2312"/>
          <w:b w:val="0"/>
          <w:bCs w:val="0"/>
          <w:sz w:val="32"/>
          <w:szCs w:val="32"/>
        </w:rPr>
        <w:t xml:space="preserve">  消费者协会和其他消费者组织应当依法维护消费者在食品安全方面的合法权益。</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食品行业协会应当建立行业规范，组织开展行业诚信建设，加强行业自律管理，指导、规范和督促会员依法进行生产经营。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鼓励志愿者组织协助或者参与食品安全宣传教育、社会监督等工作。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第九条</w:t>
      </w:r>
      <w:r>
        <w:rPr>
          <w:rFonts w:hint="eastAsia" w:ascii="宋体" w:hAnsi="宋体" w:eastAsia="仿宋_GB2312" w:cs="仿宋_GB2312"/>
          <w:b w:val="0"/>
          <w:bCs w:val="0"/>
          <w:sz w:val="32"/>
          <w:szCs w:val="32"/>
        </w:rPr>
        <w:t xml:space="preserve">  上级人民政府应当对下一级人民政府的食品安全监督管理工作进行评议、考核。县级以上人民政府应当对本级</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部门和其他有关部门的食品安全监督管理工作进行评议、考核。</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建立组织专业机构、社会组织、公众参与食品安全监管评议、考核工作机制。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第十条</w:t>
      </w:r>
      <w:r>
        <w:rPr>
          <w:rFonts w:hint="eastAsia" w:ascii="宋体" w:hAnsi="宋体" w:eastAsia="仿宋_GB2312" w:cs="仿宋_GB2312"/>
          <w:b w:val="0"/>
          <w:bCs w:val="0"/>
          <w:sz w:val="32"/>
          <w:szCs w:val="32"/>
        </w:rPr>
        <w:t xml:space="preserve">  任何组织或者个人有权举报食品生产经营违法行为。对查证属实的举报，县级以上人民政府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部门和其他有关部门应当给予举报人奖励，并对举报人的身份信息予以保密；举报人举报所在单位的，应当给予特殊奖励。</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第十一条</w:t>
      </w:r>
      <w:r>
        <w:rPr>
          <w:rFonts w:hint="eastAsia" w:ascii="宋体" w:hAnsi="宋体" w:eastAsia="仿宋_GB2312" w:cs="仿宋_GB2312"/>
          <w:b w:val="0"/>
          <w:bCs w:val="0"/>
          <w:sz w:val="32"/>
          <w:szCs w:val="32"/>
        </w:rPr>
        <w:t xml:space="preserve">  县级以上人民政府应当对在食品安全风险监测评估、标准制定、监督检查、突发事件应对、案件查处以及科学研究、宣传教育、社会共治等工作中做出突出贡献的单位和个人，给予表彰、奖励。</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第二章  食品生产经营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第一节  生产经营规范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第十二条</w:t>
      </w:r>
      <w:r>
        <w:rPr>
          <w:rFonts w:hint="eastAsia" w:ascii="宋体" w:hAnsi="宋体" w:eastAsia="仿宋_GB2312" w:cs="仿宋_GB2312"/>
          <w:b w:val="0"/>
          <w:bCs w:val="0"/>
          <w:sz w:val="32"/>
          <w:szCs w:val="32"/>
        </w:rPr>
        <w:t xml:space="preserve">  从事食品生产经营应当依法取得许可，并按照许可范围依法生产经营。许可证明文件应当悬挂在其生产经营场所的显著位置。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设有网站的食品生产经营者应当在网站首页显著位置公开其许可证、产品注册或者备案凭证等信息。公开的信息应当真实、合法、及时、有效。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第十三条</w:t>
      </w:r>
      <w:r>
        <w:rPr>
          <w:rFonts w:hint="eastAsia" w:ascii="宋体" w:hAnsi="宋体" w:eastAsia="仿宋_GB2312" w:cs="仿宋_GB2312"/>
          <w:b w:val="0"/>
          <w:bCs w:val="0"/>
          <w:sz w:val="32"/>
          <w:szCs w:val="32"/>
        </w:rPr>
        <w:t xml:space="preserve">  食品生产经营企业应当建立健全食品安全管理制度，明确食品安全责任，配备与其生产经营规模相适应的食品安全专业技术人员、食品安全管理人员。食品安全专业技术人员和管理人员的配备要求由省人民政府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部门统一规定。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食品生产经营者应当对食品从业人员开展食品安全知识培训，建立培训档案。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第十四条</w:t>
      </w:r>
      <w:r>
        <w:rPr>
          <w:rFonts w:hint="eastAsia" w:ascii="宋体" w:hAnsi="宋体" w:eastAsia="仿宋_GB2312" w:cs="仿宋_GB2312"/>
          <w:b w:val="0"/>
          <w:bCs w:val="0"/>
          <w:sz w:val="32"/>
          <w:szCs w:val="32"/>
        </w:rPr>
        <w:t xml:space="preserve">  食品经营者不得销售未取得食品生产许可或者食品小作坊登记证的食品生产者生产的食品。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第十五条</w:t>
      </w:r>
      <w:r>
        <w:rPr>
          <w:rFonts w:hint="eastAsia" w:ascii="宋体" w:hAnsi="宋体" w:eastAsia="仿宋_GB2312" w:cs="仿宋_GB2312"/>
          <w:b w:val="0"/>
          <w:bCs w:val="0"/>
          <w:sz w:val="32"/>
          <w:szCs w:val="32"/>
        </w:rPr>
        <w:t xml:space="preserve">  食品经营企业应当建立食品进货查验记录制度。实行统一配送经营方式的食品经营企业，其各门店应当建立总部配送食品台账，并可以现场提供企业总部留存的食品供货商的资质证明、食品合格证明文件等资料。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第十六条</w:t>
      </w:r>
      <w:r>
        <w:rPr>
          <w:rFonts w:hint="eastAsia" w:ascii="宋体" w:hAnsi="宋体" w:eastAsia="仿宋_GB2312" w:cs="仿宋_GB2312"/>
          <w:b w:val="0"/>
          <w:bCs w:val="0"/>
          <w:sz w:val="32"/>
          <w:szCs w:val="32"/>
        </w:rPr>
        <w:t xml:space="preserve">  食品经营者运输、配送食品的容器、工具和设备应当符合卫生要求，配备与销售食品相适应的保温设施，符合保证食品安全所需要的温度、湿度和环境等特殊要求。</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第十七条</w:t>
      </w:r>
      <w:r>
        <w:rPr>
          <w:rFonts w:hint="eastAsia" w:ascii="宋体" w:hAnsi="宋体" w:eastAsia="仿宋_GB2312" w:cs="仿宋_GB2312"/>
          <w:b w:val="0"/>
          <w:bCs w:val="0"/>
          <w:sz w:val="32"/>
          <w:szCs w:val="32"/>
        </w:rPr>
        <w:t xml:space="preserve">  食品经营者销售散装食品，应当在销售位置以及外包装或者容器上标注食品的名称、生产日期或者生产批号、保质期以及生产经营者的名称、地址、联系方式等内容。散装食品标注的生产日期应当与食品出厂时标注的生产日期相一致。</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食品经营者经营散装食品，应当设立专区或者专柜；经营直接入口的散装食品，应当采取防尘遮盖、设置隔离设施、提供专用取用工具等保证散装食品安全的措施。</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第十八条</w:t>
      </w:r>
      <w:r>
        <w:rPr>
          <w:rFonts w:hint="eastAsia" w:ascii="宋体" w:hAnsi="宋体" w:eastAsia="仿宋_GB2312" w:cs="仿宋_GB2312"/>
          <w:b w:val="0"/>
          <w:bCs w:val="0"/>
          <w:sz w:val="32"/>
          <w:szCs w:val="32"/>
        </w:rPr>
        <w:t xml:space="preserve">  委托生产食品的，应当委托依法取得生产该类食品生产许可的企业，双方应当签订协议，明确委托生产食品的相关要求和双方的权利义务。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委托方对委托生产的食品安全承担法律责任，受托方应当查验委托方的营业执照等相关证明文件，并按照食品安全标准组织生产。</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委托生产的食品，其包装上应当标注委托方的名称、地址和受托方的名称、地址、生产许可证编号等内容。</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第十九条</w:t>
      </w:r>
      <w:r>
        <w:rPr>
          <w:rFonts w:hint="eastAsia" w:ascii="宋体" w:hAnsi="宋体" w:eastAsia="仿宋_GB2312" w:cs="仿宋_GB2312"/>
          <w:b w:val="0"/>
          <w:bCs w:val="0"/>
          <w:sz w:val="32"/>
          <w:szCs w:val="32"/>
        </w:rPr>
        <w:t xml:space="preserve">  食品生产者取得食品生产许可后，食品生产工艺设备布局和工艺流程、主要生产设备设施、食品类别等事项发生重大变化的，应当在变化之日起十个工作日内向原发证</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部门报告，需要变更食品生产许可证载明的许可事项的，应当同时提出相应的变更申请。</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第二十条</w:t>
      </w:r>
      <w:r>
        <w:rPr>
          <w:rFonts w:hint="eastAsia" w:ascii="宋体" w:hAnsi="宋体" w:eastAsia="仿宋_GB2312" w:cs="仿宋_GB2312"/>
          <w:b w:val="0"/>
          <w:bCs w:val="0"/>
          <w:sz w:val="32"/>
          <w:szCs w:val="32"/>
        </w:rPr>
        <w:t xml:space="preserve">  集中交易市场的开办者、柜台出租者和展销会举办者或者其服务管理机构应当具备相应的食品安全设备、设施，合理划定功能区域，保持场内环境整洁，并在场内的显著位置设立食品安全公示牌。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第二十一条</w:t>
      </w:r>
      <w:r>
        <w:rPr>
          <w:rFonts w:hint="eastAsia" w:ascii="宋体" w:hAnsi="宋体" w:eastAsia="仿宋_GB2312" w:cs="仿宋_GB2312"/>
          <w:b w:val="0"/>
          <w:bCs w:val="0"/>
          <w:sz w:val="32"/>
          <w:szCs w:val="32"/>
        </w:rPr>
        <w:t xml:space="preserve">  食用农产品批发市场应当配备检验设备和检验人员，设立检验机构或者委托具有法定资质的检验机构，对进入该批发市场销售的食用农产品进行抽样检验，也可以采用国家规定的快速检测方法进行抽查检测。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用农产品批发市场应当要求食用农产品销售者提供产地证明或者购货凭证、合格证明文件；食用农产品销售者无法提供的，应当向市场开办者或者管理者申请抽样检验或者快速检测，检验或者检测结果不合格的不得进入市场销售，市场开办者或者管理者应当及时处理，并报告所在地县级</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食用农产品批发市场应当在市场内显著位置设置信息公示栏，公开管理职责，公布食用农产品安全管理制度，及时公示抽样检验检测结果等安全信息，并将检验或者快速检测结果报送当地</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鼓励其他市场建立与其交易规模相适应的食用农产品安全检测制度，开展食用农产品抽样检验。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第二十二条</w:t>
      </w:r>
      <w:r>
        <w:rPr>
          <w:rFonts w:hint="eastAsia" w:ascii="宋体" w:hAnsi="宋体" w:eastAsia="仿宋_GB2312" w:cs="仿宋_GB2312"/>
          <w:b w:val="0"/>
          <w:bCs w:val="0"/>
          <w:sz w:val="32"/>
          <w:szCs w:val="32"/>
        </w:rPr>
        <w:t xml:space="preserve">  生产保健食品、特殊医学用途配方食品、婴幼儿配方食品和其他专供特定人群的主辅食品等特殊食品的企业，应当按照良好生产规范的要求建立与所生产食品相适应的生产质量管理体系，每年对该体系的运行情况进行自查，保证其有效运行，并向所在地县级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部门提交自查报告。</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从事销售保健食品、特殊医学用途配方食品和婴幼儿配方食品的经营者，应当查验并核对所经营食品的注册证书或者备案凭证载明的内容与产品标签标注内容的一致性。</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从事销售保健食品、特殊医学用途配方食品和婴幼儿配方食品的经营者，应当在其销售场所设立专柜或者专区，设置相关食品的提示牌，并根据食品标签、说明书标注的贮藏方法存放相关食品。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第二十三条</w:t>
      </w:r>
      <w:r>
        <w:rPr>
          <w:rFonts w:hint="eastAsia" w:ascii="宋体" w:hAnsi="宋体" w:eastAsia="仿宋_GB2312" w:cs="仿宋_GB2312"/>
          <w:b w:val="0"/>
          <w:bCs w:val="0"/>
          <w:sz w:val="32"/>
          <w:szCs w:val="32"/>
        </w:rPr>
        <w:t xml:space="preserve">  从事销售进口食品、食品添加剂、食品相关产品的经营者应当查验所经营的进口食品、食品添加剂、食品相关产品的入境货物检验检疫证明，核对产品名称及生产批号、生产日期与入境货物检验检疫证明的一致性。</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第二节  网络食品经营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第二十四条</w:t>
      </w:r>
      <w:r>
        <w:rPr>
          <w:rFonts w:hint="eastAsia" w:ascii="宋体" w:hAnsi="宋体" w:eastAsia="仿宋_GB2312" w:cs="仿宋_GB2312"/>
          <w:b w:val="0"/>
          <w:bCs w:val="0"/>
          <w:sz w:val="32"/>
          <w:szCs w:val="32"/>
        </w:rPr>
        <w:t xml:space="preserve">  网络食品经营者应当依法取得食品经营许可或者备案凭证，并在其网站首页或者销售产品页面的显著位置公开其许可证或者备案信息。许可证、备案信息发生变更的，网络食品经营者应当及时更新。</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第二十五条</w:t>
      </w:r>
      <w:r>
        <w:rPr>
          <w:rFonts w:hint="eastAsia" w:ascii="宋体" w:hAnsi="宋体" w:eastAsia="仿宋_GB2312" w:cs="仿宋_GB2312"/>
          <w:b w:val="0"/>
          <w:bCs w:val="0"/>
          <w:sz w:val="32"/>
          <w:szCs w:val="32"/>
        </w:rPr>
        <w:t xml:space="preserve">  网络食品经营者、网络食用农产品销售者应当建立电子进货查验台账和销售记录，记录和凭证的保存应当符合法定期限。</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第二十六条</w:t>
      </w:r>
      <w:r>
        <w:rPr>
          <w:rFonts w:hint="eastAsia" w:ascii="宋体" w:hAnsi="宋体" w:eastAsia="仿宋_GB2312" w:cs="仿宋_GB2312"/>
          <w:b w:val="0"/>
          <w:bCs w:val="0"/>
          <w:sz w:val="32"/>
          <w:szCs w:val="32"/>
        </w:rPr>
        <w:t xml:space="preserve">  网络食品交易平台提供者应当对申请进入平台的食品生产经营者实行实名登记和资质审查，建立登记档案并及时核实更新，要求其在所从事经营活动的主页面显著位置公开营业执照与许可证、备案凭证登载的信息；平台提供者应当与网络食品经营者签订食品安全管理责任协议，明确各自的食品安全管理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网络食品交易平台不得向未取得许可证或者备案凭证的食品生产经营者提供服务。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第二十七条</w:t>
      </w:r>
      <w:r>
        <w:rPr>
          <w:rFonts w:hint="eastAsia" w:ascii="宋体" w:hAnsi="宋体" w:eastAsia="仿宋_GB2312" w:cs="仿宋_GB2312"/>
          <w:b w:val="0"/>
          <w:bCs w:val="0"/>
          <w:sz w:val="32"/>
          <w:szCs w:val="32"/>
        </w:rPr>
        <w:t xml:space="preserve">  餐饮服务提供者通过网络向消费者销售食品的，应当在容器或者包装上标注制作时间、保质期或者食用时间提示、经营者名称和联系方式等信息。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第三节  餐饮服务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第二十八条</w:t>
      </w:r>
      <w:r>
        <w:rPr>
          <w:rFonts w:hint="eastAsia" w:ascii="宋体" w:hAnsi="宋体" w:eastAsia="仿宋_GB2312" w:cs="仿宋_GB2312"/>
          <w:b w:val="0"/>
          <w:bCs w:val="0"/>
          <w:sz w:val="32"/>
          <w:szCs w:val="32"/>
        </w:rPr>
        <w:t xml:space="preserve">  餐饮服务企业采购食品、食品添加剂、食品相关产品的，应当查验、索取并留存供货者的许可证照、产品合格证明等文件和每笔供货清单，按照采购品种、进货时间先后顺序建立采购记录，并保存相关凭证。记录、票据的保存期限不得少于食品保质期满后六个月。其他餐饮服务提供者相关采购记录、凭证的保存期限不得少于三个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餐饮服务提供者购置、使用集中消毒服务单位供应的餐具、饮具的，应当索取并留存集中消毒服务单位的资质证明与餐具、饮具消毒合格证明、每笔采购清单。相关证明和采购清单的保存期限不得少于三个月。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第二十九条</w:t>
      </w:r>
      <w:r>
        <w:rPr>
          <w:rFonts w:hint="eastAsia" w:ascii="宋体" w:hAnsi="宋体" w:eastAsia="仿宋_GB2312" w:cs="仿宋_GB2312"/>
          <w:b w:val="0"/>
          <w:bCs w:val="0"/>
          <w:sz w:val="32"/>
          <w:szCs w:val="32"/>
        </w:rPr>
        <w:t xml:space="preserve">  餐饮服务提供者使用食品添加剂应当确保安全无害，遵循不用或者少用的原则，在技术上确有必要时方可使用，不得超范围、超限量使用食品添加剂，且不得使用防腐剂、乳化剂、稳定剂等食品添加剂。</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餐饮服务提供者应当将食品添加剂存放于专用橱柜等设施中，标示“食品添加剂”字样，妥善保管，并建立使用台账。</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餐饮服务中允许使用的食品添加剂的品种和用量由省人民政府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部门会同省人民政府卫生行政部门制定、公布并适时调整。</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第三十条</w:t>
      </w:r>
      <w:r>
        <w:rPr>
          <w:rFonts w:hint="eastAsia" w:ascii="宋体" w:hAnsi="宋体" w:eastAsia="仿宋_GB2312" w:cs="仿宋_GB2312"/>
          <w:b w:val="0"/>
          <w:bCs w:val="0"/>
          <w:sz w:val="32"/>
          <w:szCs w:val="32"/>
        </w:rPr>
        <w:t xml:space="preserve">  尊重传统饮食文化习惯，地方特色餐饮食品传统使用的中药材品种由省人民政府卫生行政部门会同省人民政府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部门收集、整理并公布。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第三十一条</w:t>
      </w:r>
      <w:r>
        <w:rPr>
          <w:rFonts w:hint="eastAsia" w:ascii="宋体" w:hAnsi="宋体" w:eastAsia="仿宋_GB2312" w:cs="仿宋_GB2312"/>
          <w:b w:val="0"/>
          <w:bCs w:val="0"/>
          <w:sz w:val="32"/>
          <w:szCs w:val="32"/>
        </w:rPr>
        <w:t xml:space="preserve">  建立餐饮服务食品安全等级评定制度。餐饮服务食品安全等级评定管理规定由省人民政府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部门制定。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餐饮服务提供者应当在经营场所显著位置公示等级评定结果，接受社会监督。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r>
        <w:rPr>
          <w:rFonts w:hint="eastAsia" w:ascii="宋体" w:hAnsi="宋体" w:eastAsia="黑体" w:cs="黑体"/>
          <w:b w:val="0"/>
          <w:bCs/>
          <w:sz w:val="32"/>
          <w:szCs w:val="32"/>
        </w:rPr>
        <w:t>第三十二条</w:t>
      </w:r>
      <w:r>
        <w:rPr>
          <w:rFonts w:hint="eastAsia" w:ascii="宋体" w:hAnsi="宋体" w:eastAsia="仿宋_GB2312" w:cs="仿宋_GB2312"/>
          <w:b w:val="0"/>
          <w:bCs w:val="0"/>
          <w:sz w:val="32"/>
          <w:szCs w:val="32"/>
        </w:rPr>
        <w:t xml:space="preserve">  餐饮服务提供者应当保障消费者对食品加工安全的知情权和监督权，通过设立透明式、开放式、视频监控式厨房或者参观通道等形式，向消费者展示食品加工制作关键过程，接受消费者监督。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rPr>
        <w:t>第三章  食品安全保障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第一节  食品安全风险监测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第三十三条</w:t>
      </w:r>
      <w:r>
        <w:rPr>
          <w:rFonts w:hint="eastAsia" w:ascii="宋体" w:hAnsi="宋体" w:eastAsia="仿宋_GB2312" w:cs="仿宋_GB2312"/>
          <w:b w:val="0"/>
          <w:bCs w:val="0"/>
          <w:sz w:val="32"/>
          <w:szCs w:val="32"/>
        </w:rPr>
        <w:t xml:space="preserve">  省人民政府建立食品安全风险监测制度，对食源性疾病、食品污染以及食品中的有害因素进行监测。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省人民政府卫生行政部门会同</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等其他有关部门，根据国家食品安全风险监测计划，制定食品安全风险监测方案并组织实施。</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各地级以上市人民政府应当根据省食品安全风险监测方案组织实施监测。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第三十四条 </w:t>
      </w:r>
      <w:r>
        <w:rPr>
          <w:rFonts w:hint="eastAsia" w:ascii="宋体" w:hAnsi="宋体" w:eastAsia="仿宋_GB2312" w:cs="仿宋_GB2312"/>
          <w:b w:val="0"/>
          <w:bCs w:val="0"/>
          <w:sz w:val="32"/>
          <w:szCs w:val="32"/>
        </w:rPr>
        <w:t xml:space="preserve"> 承担食品安全风险监测工作的技术机构开展监测工作，当地</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部门和其他有关部门应当给予必要的协助。采集的样品按照市场价格支付费用。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第三十五条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部门和其他有关部门应当及时相互通报食品及相关产品、食用农产品安全风险监测信息。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第三十六条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部门和其他有关部门应当根据食品安全风险监测、风险评估结果和食品安全监督管理信息，确定本行政区域的监督管理重点，依法制定相应的监督管理措施。</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第二节  食品安全标准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第三十七条</w:t>
      </w:r>
      <w:r>
        <w:rPr>
          <w:rFonts w:hint="eastAsia" w:ascii="宋体" w:hAnsi="宋体" w:eastAsia="仿宋_GB2312" w:cs="仿宋_GB2312"/>
          <w:b w:val="0"/>
          <w:bCs w:val="0"/>
          <w:sz w:val="32"/>
          <w:szCs w:val="32"/>
        </w:rPr>
        <w:t xml:space="preserve">  省人民政府应当及时制定、完善食品安全地方标准。对没有食品安全国家标准的地方特色食品，省人民政府卫生行政部门应当及时制定食品安全地方标准并向社会公布。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第三十八条</w:t>
      </w:r>
      <w:r>
        <w:rPr>
          <w:rFonts w:hint="eastAsia" w:ascii="宋体" w:hAnsi="宋体" w:eastAsia="仿宋_GB2312" w:cs="仿宋_GB2312"/>
          <w:b w:val="0"/>
          <w:bCs w:val="0"/>
          <w:sz w:val="32"/>
          <w:szCs w:val="32"/>
        </w:rPr>
        <w:t xml:space="preserve">  省人民政府卫生行政部门应当公开征集食品安全地方标准制定、修订建议，组织开展地方标准制定、修订工作。任何组织或者个人可以向省人民政府卫生行政部门提出食品安全地方标准制定、修订的建议。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制定、修订食品安全地方标准应当以食品安全风险监测和评估结果为依据，并组织专家论证，公开征求意见，听取</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部门和其他有关部门、相关食品行业协会、企业、消费者组织及消费者意见。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第三节  食品检验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第三十九条</w:t>
      </w:r>
      <w:r>
        <w:rPr>
          <w:rFonts w:hint="eastAsia" w:ascii="宋体" w:hAnsi="宋体" w:eastAsia="仿宋_GB2312" w:cs="仿宋_GB2312"/>
          <w:b w:val="0"/>
          <w:bCs w:val="0"/>
          <w:sz w:val="32"/>
          <w:szCs w:val="32"/>
        </w:rPr>
        <w:t xml:space="preserve">  县级以上人民政府应当加强食品安全检验能力建设，整合食品检验资源，建立协调统一的适应区域性检验需求的食品安全检验体系，实现资源共享。</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鼓励取得资质认证的社会检验机构和高等学校、科研机构的检验机构提供食品检验服务。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部门可以委托具有法定资质的食品检验机构或者专业机构进行抽样工作。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抽样工作人员应当严格按照操作规程抽取样品，并对抽样行为负责。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抽样过程中形成的文书、采集的影像资料以及检验结果可以作为监督管理依据。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第四十一条</w:t>
      </w:r>
      <w:r>
        <w:rPr>
          <w:rFonts w:hint="eastAsia" w:ascii="宋体" w:hAnsi="宋体" w:eastAsia="仿宋_GB2312" w:cs="仿宋_GB2312"/>
          <w:b w:val="0"/>
          <w:bCs w:val="0"/>
          <w:sz w:val="32"/>
          <w:szCs w:val="32"/>
        </w:rPr>
        <w:t xml:space="preserve">  食品安全检验机构应当加强对检验工作的人员的培训，保证检验工作的质量，对出具的食品检验报告负责。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第四十二条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部门可以对承担食品安全检验的机构进行监督评价，发现存在检验能力缺陷或者有重大检验质量问题的，应当及时通报授予其资质的主管部门或者机构依法处理。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第四节  食品追溯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第四十三条</w:t>
      </w:r>
      <w:r>
        <w:rPr>
          <w:rFonts w:hint="eastAsia" w:ascii="宋体" w:hAnsi="宋体" w:eastAsia="仿宋_GB2312" w:cs="仿宋_GB2312"/>
          <w:b w:val="0"/>
          <w:bCs w:val="0"/>
          <w:sz w:val="32"/>
          <w:szCs w:val="32"/>
        </w:rPr>
        <w:t xml:space="preserve">  食品生产经营企业应当保障食品可追溯，记录和保存进货、生产、加工、包装、运输、贮存、销售、检验、召回和停止经营等信息，记录信息应当真实、准确、完整。</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食品生产经营者可以采用电子台账方式建立食品安全追溯体系。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第四十四条</w:t>
      </w:r>
      <w:r>
        <w:rPr>
          <w:rFonts w:hint="eastAsia" w:ascii="宋体" w:hAnsi="宋体" w:eastAsia="仿宋_GB2312" w:cs="仿宋_GB2312"/>
          <w:b w:val="0"/>
          <w:bCs w:val="0"/>
          <w:sz w:val="32"/>
          <w:szCs w:val="32"/>
        </w:rPr>
        <w:t xml:space="preserve">  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会同其他有关部门建立食品和食用农产品全程追溯协作机制，建设统一的重点监管食品全过程电子追溯系统，制定食品电子追溯标准和规范，确定并逐步扩大纳入省重点监管食品电子追溯系统的具体品种，并向社会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第四十五条</w:t>
      </w:r>
      <w:r>
        <w:rPr>
          <w:rFonts w:hint="eastAsia" w:ascii="宋体" w:hAnsi="宋体" w:eastAsia="仿宋_GB2312" w:cs="仿宋_GB2312"/>
          <w:b w:val="0"/>
          <w:bCs w:val="0"/>
          <w:sz w:val="32"/>
          <w:szCs w:val="32"/>
        </w:rPr>
        <w:t xml:space="preserve">  纳入省重点监管食品电子追溯系统的食品生产经营企业，应当按照食品电子追溯的标准和规范，建立完善企业内部电子追溯体系，并向省重点监管食品电子追溯系统报送数据。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第四十六条</w:t>
      </w:r>
      <w:r>
        <w:rPr>
          <w:rFonts w:hint="eastAsia" w:ascii="宋体" w:hAnsi="宋体" w:eastAsia="仿宋_GB2312" w:cs="仿宋_GB2312"/>
          <w:b w:val="0"/>
          <w:bCs w:val="0"/>
          <w:sz w:val="32"/>
          <w:szCs w:val="32"/>
        </w:rPr>
        <w:t xml:space="preserve">  上传至省重点监管食品电子追溯系统的相关电子凭证，可以作为食品生产经营者已经履行进货查验记录的凭证。食品生产经营者应当对上传电子凭证的真实性负责。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第四章  食品安全监督管理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第四十七条</w:t>
      </w:r>
      <w:r>
        <w:rPr>
          <w:rFonts w:hint="eastAsia" w:ascii="宋体" w:hAnsi="宋体" w:eastAsia="仿宋_GB2312" w:cs="仿宋_GB2312"/>
          <w:b w:val="0"/>
          <w:bCs w:val="0"/>
          <w:sz w:val="32"/>
          <w:szCs w:val="32"/>
        </w:rPr>
        <w:t xml:space="preserve">  县级以上人民政府应当建立健全食品安全信息通报和发布制度，完善食品安全信息管理工作机制。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部门和其他有关部门按照各自职责依法公布抽样检验结果、行政处罚情况等食品安全日常监督管理信息。涉及两个以上部门职责的，由相关部门联合公布。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第四十八条</w:t>
      </w:r>
      <w:r>
        <w:rPr>
          <w:rFonts w:hint="eastAsia" w:ascii="宋体" w:hAnsi="宋体" w:eastAsia="仿宋_GB2312" w:cs="仿宋_GB2312"/>
          <w:b w:val="0"/>
          <w:bCs w:val="0"/>
          <w:sz w:val="32"/>
          <w:szCs w:val="32"/>
        </w:rPr>
        <w:t xml:space="preserve">  县级以上人民政府应当完善部门间信息通报、信息共享、执法协作、联合惩戒等机制，构建食品安全全程监管工作机制。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第四十九条</w:t>
      </w:r>
      <w:r>
        <w:rPr>
          <w:rFonts w:hint="eastAsia" w:ascii="宋体" w:hAnsi="宋体" w:eastAsia="仿宋_GB2312" w:cs="仿宋_GB2312"/>
          <w:b w:val="0"/>
          <w:bCs w:val="0"/>
          <w:sz w:val="32"/>
          <w:szCs w:val="32"/>
        </w:rPr>
        <w:t xml:space="preserve">  食品生产经营者、食用农产品销售者、市场、网络食品交易平台等经营者有下列情形之一的，县级以上人民政府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部门或者其他有关部门可以对其法定代表人或者主要负责人进行责任约谈：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（一）发生食品安全问题，造成社会关注的；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（二）生产经营过程存在食品安全隐患，未及时采取有效措施消除的；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（三）未及时处理投诉举报的食品安全问题，造成社会影响的；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部门或者其他有关部门认为需要采取责任约谈的其他情形。</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被约谈者无正当理由拒不参加约谈或者未按照要求落实整改的，</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部门或者其他有关部门应当将其列为重点监督管理对象，增加监督检查频次。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第五十条</w:t>
      </w:r>
      <w:r>
        <w:rPr>
          <w:rFonts w:hint="eastAsia" w:ascii="宋体" w:hAnsi="宋体" w:eastAsia="仿宋_GB2312" w:cs="仿宋_GB2312"/>
          <w:b w:val="0"/>
          <w:bCs w:val="0"/>
          <w:sz w:val="32"/>
          <w:szCs w:val="32"/>
        </w:rPr>
        <w:t xml:space="preserve">  县级以上人民政府未履行食品安全职责，未及时消除区域性重大食品安全隐患的，上级人民政府可以对其主要负责人进行责任约谈。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部门或者其他有关部门未及时发现食品安全系统性风险，未及时消除监督管理区域内的食品安全隐患的，本级人民政府可以对其主要负责人进行责任约谈。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第五十一条</w:t>
      </w:r>
      <w:r>
        <w:rPr>
          <w:rFonts w:hint="eastAsia" w:ascii="宋体" w:hAnsi="宋体" w:eastAsia="仿宋_GB2312" w:cs="仿宋_GB2312"/>
          <w:b w:val="0"/>
          <w:bCs w:val="0"/>
          <w:sz w:val="32"/>
          <w:szCs w:val="32"/>
        </w:rPr>
        <w:t xml:space="preserve">  县级以上</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对发生影响重大的食品安全事故或者情况紧急、可能引发突发事件的，应当采取责令暂停生产、销售、购进相关食品及原料，发布消费警示，告知消费者停止购买或者食用相关食品等控制措施，同时向上一级部门报告。必要时，经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等部门批准，可以对相关企业、区域生产的同类食品采取相应的临时控制措施。食品安全风险消除后应当解除控制措施并向社会公布。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第五十二条</w:t>
      </w:r>
      <w:r>
        <w:rPr>
          <w:rFonts w:hint="eastAsia" w:ascii="宋体" w:hAnsi="宋体" w:eastAsia="仿宋_GB2312" w:cs="仿宋_GB2312"/>
          <w:b w:val="0"/>
          <w:bCs w:val="0"/>
          <w:sz w:val="32"/>
          <w:szCs w:val="32"/>
        </w:rPr>
        <w:t xml:space="preserve">  发生影响重大的食品安全事故涉及到两个以上辖区的，由上一级人民政府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部门会同有关部门依法组织事故责任调查。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第五十三条</w:t>
      </w:r>
      <w:r>
        <w:rPr>
          <w:rFonts w:hint="eastAsia" w:ascii="宋体" w:hAnsi="宋体" w:eastAsia="仿宋_GB2312" w:cs="仿宋_GB2312"/>
          <w:b w:val="0"/>
          <w:bCs w:val="0"/>
          <w:sz w:val="32"/>
          <w:szCs w:val="32"/>
        </w:rPr>
        <w:t xml:space="preserve">  省、地级以上市人民政府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部门和其他有关部门可以组织下级监督管理部门在本行政区域内开展跨地区监督检查。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省、地级以上市人民政府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部门可以直接查处下列由下级</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部门管辖的食品安全违法案件，也可以指定其他地区</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部门查处，案件发生地</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部门应当给予配合：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（一）本行政区域的重大食品安全违法案件；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（二）跨行政区域的食品安全违法案件；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（三）下级</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部门对重大食品安全违法案件或者跨行政区域食品安全违法案件不处理或者处理不力的；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（四）其他情形。</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第五十四条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根据食品生产经营者信用状况、食品的风险程度对食品生产经营者实行分级分类或者积分管理，对有不良信用记录的、发生食品安全事故风险较高的食品生产经营者重点加强管理，增加监督检查频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第五十五条</w:t>
      </w:r>
      <w:r>
        <w:rPr>
          <w:rFonts w:hint="eastAsia" w:ascii="宋体" w:hAnsi="宋体" w:eastAsia="仿宋_GB2312" w:cs="仿宋_GB2312"/>
          <w:b w:val="0"/>
          <w:bCs w:val="0"/>
          <w:sz w:val="32"/>
          <w:szCs w:val="32"/>
        </w:rPr>
        <w:t xml:space="preserve">  县级人民政府卫生行政部门应当对餐具、饮具集中消毒单位开展监督检查，发现不符合食品安全法律法规和相关卫生规范要求的，应当及时调查处理，并将监督检查结果向社会公布。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第五十六条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部门和其他有关部门发现无公害农产品、绿色食品、有机农产品、农产品地理标志产品虚假标注认证标志或者已不符合认证标准的，应当及时通报认证部门或者相关监管部门依法查处。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第五十七条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部门及其他有关部门、公安机关和检察机关应当加强食品犯罪案件的移送和办理工作，具体办法由省人民政府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部门会同省公安机关和省检察机关制定。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第五十八条</w:t>
      </w:r>
      <w:r>
        <w:rPr>
          <w:rFonts w:hint="eastAsia" w:ascii="宋体" w:hAnsi="宋体" w:eastAsia="仿宋_GB2312" w:cs="仿宋_GB2312"/>
          <w:b w:val="0"/>
          <w:bCs w:val="0"/>
          <w:sz w:val="32"/>
          <w:szCs w:val="32"/>
        </w:rPr>
        <w:t xml:space="preserve">  食品生产经营者因涉嫌食品安全违法行为被立案调查尚未结案的，</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部门可以暂停办理其与食品安全违法行为相关的行政许可申请事项。</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第五十九条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部门和其他有关部门对网络食品交易活动的监测记录资料，可以作为对违法网络交易经营者实施行政处罚或者采取行政强制措施的依据。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第五章  法律责任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第六十条</w:t>
      </w:r>
      <w:r>
        <w:rPr>
          <w:rFonts w:hint="eastAsia" w:ascii="宋体" w:hAnsi="宋体" w:eastAsia="仿宋_GB2312" w:cs="仿宋_GB2312"/>
          <w:b w:val="0"/>
          <w:bCs w:val="0"/>
          <w:sz w:val="32"/>
          <w:szCs w:val="32"/>
        </w:rPr>
        <w:t xml:space="preserve">  违反本条例规定，未按照许可范围从事食品、食品添加剂生产、经营的，或者食品生产许可证载明事项需要变更但未按时提出变更申请，而继续从事生产活动的，由县级以上人民政府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没收违法所得和违法生产经营的食品、食品添加剂，并可以没收用于违法生产经营的工具、设备、原料等物品；违法生产的食品、食品添加剂货值金额不足一万元的，并处五万元以上十万元以下罚款，货值金额一万元以上的，并处货值金额十倍以上二十倍以下罚款；违法经营的食品、食品添加剂货值金额不足一万元的，并处五千元以上五万元以下罚款，货值金额一万元以上的，并处货值金额五倍以上十倍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第六十一条</w:t>
      </w:r>
      <w:r>
        <w:rPr>
          <w:rFonts w:hint="eastAsia" w:ascii="宋体" w:hAnsi="宋体" w:eastAsia="仿宋_GB2312" w:cs="仿宋_GB2312"/>
          <w:b w:val="0"/>
          <w:bCs w:val="0"/>
          <w:sz w:val="32"/>
          <w:szCs w:val="32"/>
        </w:rPr>
        <w:t xml:space="preserve">  违反本条例规定，设有网站的食品生产经营企业、网络食品经营者未在网站首页显著位置公开相关信息的，由县级以上人民政府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第六十二条</w:t>
      </w:r>
      <w:r>
        <w:rPr>
          <w:rFonts w:hint="eastAsia" w:ascii="宋体" w:hAnsi="宋体" w:eastAsia="仿宋_GB2312" w:cs="仿宋_GB2312"/>
          <w:b w:val="0"/>
          <w:bCs w:val="0"/>
          <w:sz w:val="32"/>
          <w:szCs w:val="32"/>
        </w:rPr>
        <w:t xml:space="preserve">  违反本条例规定，食品生产经营企业未建立健全食品安全管理制度的，或者未建立并遵守进货查验制度的，由县级以上人民政府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部门责令改正，给予警告；拒不改正的，处一万元以上五万元以下罚款；情节严重的，责令停产停业，直至吊销许可证。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第六十三条</w:t>
      </w:r>
      <w:r>
        <w:rPr>
          <w:rFonts w:hint="eastAsia" w:ascii="宋体" w:hAnsi="宋体" w:eastAsia="仿宋_GB2312" w:cs="仿宋_GB2312"/>
          <w:b w:val="0"/>
          <w:bCs w:val="0"/>
          <w:sz w:val="32"/>
          <w:szCs w:val="32"/>
        </w:rPr>
        <w:t xml:space="preserve">  违反本条例规定，食品生产经营者未按照卫生要求运输、配送食品，或者未配备与销售食品相适应的保温设施的，由县级以上人民政府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等部门按照各自职责分工责令改正，给予警告；拒不改正的，责令停产停业，并处一万元以上五万元以下罚款；情节严重的，吊销许可证。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第六十四条</w:t>
      </w:r>
      <w:r>
        <w:rPr>
          <w:rFonts w:hint="eastAsia" w:ascii="宋体" w:hAnsi="宋体" w:eastAsia="仿宋_GB2312" w:cs="仿宋_GB2312"/>
          <w:b w:val="0"/>
          <w:bCs w:val="0"/>
          <w:sz w:val="32"/>
          <w:szCs w:val="32"/>
        </w:rPr>
        <w:t xml:space="preserve">  违反本条例规定，食品经营者销售未取得食品生产许可证或者食品小作坊登记证的食品的，由县级以上人民政府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没收违法所得和违法生产经营的食品，并可以没收用于违法生产经营的工具、设备、原料等物品；违法生产经营的食品货值金额不足一万元的，并处五千元以上五万元以下罚款；货值金额一万元以上的，并处货值金额五倍以上十倍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生产经营的食品的标签、标识存在瑕疵但不影响食品安全且不会对消费者造成误导的，由县级以上人民政府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部门责令改正；拒不改正的，处二千元以下罚款。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第六十五条</w:t>
      </w:r>
      <w:r>
        <w:rPr>
          <w:rFonts w:hint="eastAsia" w:ascii="宋体" w:hAnsi="宋体" w:eastAsia="仿宋_GB2312" w:cs="仿宋_GB2312"/>
          <w:b w:val="0"/>
          <w:bCs w:val="0"/>
          <w:sz w:val="32"/>
          <w:szCs w:val="32"/>
        </w:rPr>
        <w:t xml:space="preserve">  违反本条例规定，食用农产品批发市场未开展食用农产品抽样检验工作的，由县级以上人民政府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部门责令改正，没收违法所得，并处五万元以上二十万元以下罚款；造成严重后果的，责令停业。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违反本条例规定，食用农产品批发市场未按规定将食用农产品抽样检验或者快速检测结果报送当地</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部门的，或者未进行抽样检验或者快速检测，允许无法提供食用农产品产地证明或者购物凭证、合格证明文件的食用农产品销售者入场销售的，由县级以上</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部门责令改正，给予警告；拒不改正的，处五千元以上三万元以下罚款。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第六十六条</w:t>
      </w:r>
      <w:r>
        <w:rPr>
          <w:rFonts w:hint="eastAsia" w:ascii="宋体" w:hAnsi="宋体" w:eastAsia="仿宋_GB2312" w:cs="仿宋_GB2312"/>
          <w:b w:val="0"/>
          <w:bCs w:val="0"/>
          <w:sz w:val="32"/>
          <w:szCs w:val="32"/>
        </w:rPr>
        <w:t xml:space="preserve">  违反本条例规定，特殊食品生产企业未按规定建立生产质量管理体系并有效运行，或者未定期提交自查报告的，特殊食品经营者未履行查验义务的，由县级以上人民政府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部门责令改正，给予警告；拒不改正的，处一万元以上五万元以下罚款；情节严重的，责令停产停业，直至吊销许可证。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第六十七条</w:t>
      </w:r>
      <w:r>
        <w:rPr>
          <w:rFonts w:hint="eastAsia" w:ascii="宋体" w:hAnsi="宋体" w:eastAsia="仿宋_GB2312" w:cs="仿宋_GB2312"/>
          <w:b w:val="0"/>
          <w:bCs w:val="0"/>
          <w:sz w:val="32"/>
          <w:szCs w:val="32"/>
        </w:rPr>
        <w:t xml:space="preserve">  违反本条例规定，特殊食品经营者未按规定设立专柜或者专区并用提示牌标明的，或者未按规定存放特殊食品的，由县级以上人民政府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部门责令限期改正，给予警告；拒不改正的，责令停业，并处一万元以上五万元以下罚款；情节严重的，吊销许可证。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第六十八条</w:t>
      </w:r>
      <w:r>
        <w:rPr>
          <w:rFonts w:hint="eastAsia" w:ascii="宋体" w:hAnsi="宋体" w:eastAsia="仿宋_GB2312" w:cs="仿宋_GB2312"/>
          <w:b w:val="0"/>
          <w:bCs w:val="0"/>
          <w:sz w:val="32"/>
          <w:szCs w:val="32"/>
        </w:rPr>
        <w:t xml:space="preserve">  违反本条例规定，进口食品、食品添加剂、食品相关产品的经营者未履行查验义务的，由县级以上人民政府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部门责令改正，给予警告；拒不改正的，处五千元以上五万元以下罚款；情节严重的，责令停业，直至吊销许可证。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第六十九条</w:t>
      </w:r>
      <w:r>
        <w:rPr>
          <w:rFonts w:hint="eastAsia" w:ascii="宋体" w:hAnsi="宋体" w:eastAsia="仿宋_GB2312" w:cs="仿宋_GB2312"/>
          <w:b w:val="0"/>
          <w:bCs w:val="0"/>
          <w:sz w:val="32"/>
          <w:szCs w:val="32"/>
        </w:rPr>
        <w:t xml:space="preserve">  违反本条例规定，网络食品经营者未建立电子进货查验记录台账和销售记录的，或者网络餐饮服务提供者未按照规定标注产品信息的，由县级以上人民政府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部门责令改正，给予警告；拒不改正的，处五千元以上五万元以下罚款；情节严重的，责令停业，直至吊销许可证。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第七十条</w:t>
      </w:r>
      <w:r>
        <w:rPr>
          <w:rFonts w:hint="eastAsia" w:ascii="宋体" w:hAnsi="宋体" w:eastAsia="仿宋_GB2312" w:cs="仿宋_GB2312"/>
          <w:b w:val="0"/>
          <w:bCs w:val="0"/>
          <w:sz w:val="32"/>
          <w:szCs w:val="32"/>
        </w:rPr>
        <w:t xml:space="preserve">  违反本条例规定，网络食品交易平台未履行管理义务的，由县级以上人民政府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部门责令改正，没收违法所得，并处五万元以上二十万元以下罚款；造成严重后果的，责令停业，直至由原发证部门吊销许可证；使消费者的合法权益受到损害的，应当与食品经营者承担连带责任。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第七十一条</w:t>
      </w:r>
      <w:r>
        <w:rPr>
          <w:rFonts w:hint="eastAsia" w:ascii="宋体" w:hAnsi="宋体" w:eastAsia="仿宋_GB2312" w:cs="仿宋_GB2312"/>
          <w:b w:val="0"/>
          <w:bCs w:val="0"/>
          <w:sz w:val="32"/>
          <w:szCs w:val="32"/>
        </w:rPr>
        <w:t xml:space="preserve">  违反本条例规定，餐饮服务提供者未按规定索证索票，或者未按规定公示等级评定结果的，纳入省重点监管食品电子追溯系统的食品生产经营企业未按规定传送数据的，或者上传虚假电子凭证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第七十二条</w:t>
      </w:r>
      <w:r>
        <w:rPr>
          <w:rFonts w:hint="eastAsia" w:ascii="宋体" w:hAnsi="宋体" w:eastAsia="仿宋_GB2312" w:cs="仿宋_GB2312"/>
          <w:b w:val="0"/>
          <w:bCs w:val="0"/>
          <w:sz w:val="32"/>
          <w:szCs w:val="32"/>
        </w:rPr>
        <w:t xml:space="preserve">  违反本条例规定，餐饮服务提供者未按规定存放食品添加剂的，由县级以上人民政府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第七十三条</w:t>
      </w:r>
      <w:r>
        <w:rPr>
          <w:rFonts w:hint="eastAsia" w:ascii="宋体" w:hAnsi="宋体" w:eastAsia="仿宋_GB2312" w:cs="仿宋_GB2312"/>
          <w:b w:val="0"/>
          <w:bCs w:val="0"/>
          <w:sz w:val="32"/>
          <w:szCs w:val="32"/>
        </w:rPr>
        <w:t xml:space="preserve">  违反本条例规定，餐饮服务提供者超范围、超限量使用食品添加剂，尚未构成犯罪的，由县级以上人民政府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没收违法所得和违法经营的食品、食品添加剂，并可以没收用于违法经营的工具、设备、原料等物品；违法经营的食品、食品添加剂货值金额不足一万元的，并处五万元以上十万元以下罚款；货值金额一万元以上的，并处货值金额十倍以上二十倍以下罚款；情节严重的，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第七十四条</w:t>
      </w:r>
      <w:r>
        <w:rPr>
          <w:rFonts w:hint="eastAsia" w:ascii="宋体" w:hAnsi="宋体" w:eastAsia="仿宋_GB2312" w:cs="仿宋_GB2312"/>
          <w:b w:val="0"/>
          <w:bCs w:val="0"/>
          <w:sz w:val="32"/>
          <w:szCs w:val="32"/>
        </w:rPr>
        <w:t xml:space="preserve">  食品生产经营者有下列情形之一的，依照法律、法规的规定从重处罚：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（一）一年内所生产经营食品出现两次以上食品安全监督抽检不合格且危害人体健康、生命安全的；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（二）一年内因违反本条例规定累计受到三次处罚的；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（三）隐匿、伪造或者毁灭有关证据材料的；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（四）法律、法规规定的其他从重处罚的情形。</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第七十五条</w:t>
      </w:r>
      <w:r>
        <w:rPr>
          <w:rFonts w:hint="eastAsia" w:ascii="宋体" w:hAnsi="宋体" w:eastAsia="仿宋_GB2312" w:cs="仿宋_GB2312"/>
          <w:b w:val="0"/>
          <w:bCs w:val="0"/>
          <w:sz w:val="32"/>
          <w:szCs w:val="32"/>
        </w:rPr>
        <w:t xml:space="preserve">  县级以上人民政府不履行食品安全监督管理的领导、组织、协调职责，导致本行政区域内出现重大食品安全事故、造成严重影响的，对政府的主要负责人和直接负责的主管人员依法给予处分。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第七十六条</w:t>
      </w:r>
      <w:r>
        <w:rPr>
          <w:rFonts w:hint="eastAsia" w:ascii="宋体" w:hAnsi="宋体" w:eastAsia="仿宋_GB2312" w:cs="仿宋_GB2312"/>
          <w:b w:val="0"/>
          <w:bCs w:val="0"/>
          <w:sz w:val="32"/>
          <w:szCs w:val="32"/>
        </w:rPr>
        <w:t xml:space="preserve">  违反本条例规定，县级以上人民政府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有下列行为之一的，对直接负责的主管人员和其他直接责任人员给予记大过处分；情节较重的，给予降级或者撤职处分；情节严重的，给予开除处分；造成严重后果的，其主要负责人还应当引咎辞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（一）实施监督检查时违反规定的；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（二）对违法行为不及时处理或者推诿，对重大食品安全隐患有失察责任的；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（三）发现食品安全事故、重大食品安全事故隐患或者接到相关通报、举报后，不立即采取控制措施，或者不及时报告、查处的；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（四）不按照规定履行食品安全信息报告、通报、发布职责的；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（五）监督检查时向食品生产经营者或者餐饮服务提供者收取费用，索取、收受财物或者获取其他利益的；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（六）泄露举报人身份信息的；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（七）其他玩忽职守、滥用职权、徇私舞弊行为的。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r>
        <w:rPr>
          <w:rFonts w:hint="eastAsia" w:ascii="宋体" w:hAnsi="宋体" w:eastAsia="黑体" w:cs="黑体"/>
          <w:b w:val="0"/>
          <w:bCs w:val="0"/>
          <w:sz w:val="32"/>
          <w:szCs w:val="32"/>
        </w:rPr>
        <w:t>第七十七条</w:t>
      </w:r>
      <w:r>
        <w:rPr>
          <w:rFonts w:hint="eastAsia" w:ascii="宋体" w:hAnsi="宋体" w:eastAsia="仿宋_GB2312" w:cs="仿宋_GB2312"/>
          <w:b w:val="0"/>
          <w:bCs w:val="0"/>
          <w:sz w:val="32"/>
          <w:szCs w:val="32"/>
        </w:rPr>
        <w:t xml:space="preserve">  生产、销售不符合食品安全标准的食品，足以造成严重食物中毒事故或者其他严重食源性疾病，或者在食品中掺入有毒、有害非食品原料，销售明知掺入有毒、有害非食品原料的食品，依法追究刑事责任。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第六章  附则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第七十八条</w:t>
      </w:r>
      <w:r>
        <w:rPr>
          <w:rFonts w:hint="eastAsia" w:ascii="宋体" w:hAnsi="宋体" w:eastAsia="仿宋_GB2312" w:cs="仿宋_GB2312"/>
          <w:b w:val="0"/>
          <w:bCs w:val="0"/>
          <w:sz w:val="32"/>
          <w:szCs w:val="32"/>
        </w:rPr>
        <w:t xml:space="preserve">  本条例所称食用农产品，是指来源于农业活动的初级产品，即在农业活动中获得的、供人食用的植物、动物、微生物及其产品。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第七十九条</w:t>
      </w:r>
      <w:r>
        <w:rPr>
          <w:rFonts w:hint="eastAsia" w:ascii="宋体" w:hAnsi="宋体" w:eastAsia="仿宋_GB2312" w:cs="仿宋_GB2312"/>
          <w:b w:val="0"/>
          <w:bCs w:val="0"/>
          <w:sz w:val="32"/>
          <w:szCs w:val="32"/>
        </w:rPr>
        <w:t xml:space="preserve">  食品生产加工小作坊和食品摊贩应当遵守《广东省食品生产加工小作坊和食品摊贩管理条例》。小餐饮、小食杂店等小型食品经营者的行政许可与监督管理参照《广东省食品生产加工小作坊和食品摊贩管理条例》实施。</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第八十条</w:t>
      </w:r>
      <w:r>
        <w:rPr>
          <w:rFonts w:hint="eastAsia" w:ascii="宋体" w:hAnsi="宋体" w:eastAsia="仿宋_GB2312" w:cs="仿宋_GB2312"/>
          <w:b w:val="0"/>
          <w:bCs w:val="0"/>
          <w:sz w:val="32"/>
          <w:szCs w:val="32"/>
        </w:rPr>
        <w:t xml:space="preserve">  本条例自2016年9月1日起施行。</w:t>
      </w:r>
    </w:p>
    <w:p>
      <w:pPr>
        <w:widowControl w:val="0"/>
        <w:wordWrap/>
        <w:overflowPunct w:val="0"/>
        <w:spacing w:beforeAutospacing="0" w:afterAutospacing="0" w:line="560" w:lineRule="exact"/>
        <w:textAlignment w:val="auto"/>
        <w:rPr>
          <w:rFonts w:hint="eastAsia" w:ascii="宋体" w:hAnsi="宋体" w:eastAsia="仿宋_GB2312" w:cs="仿宋_GB2312"/>
          <w:sz w:val="32"/>
          <w:szCs w:val="32"/>
        </w:rPr>
      </w:pPr>
      <w:r>
        <w:rPr>
          <w:rFonts w:hint="eastAsia" w:ascii="宋体" w:hAnsi="宋体" w:eastAsia="仿宋_GB2312" w:cs="仿宋_GB2312"/>
          <w:sz w:val="32"/>
          <w:szCs w:val="32"/>
        </w:rPr>
        <w:br w:type="page"/>
      </w:r>
    </w:p>
    <w:p>
      <w:pPr>
        <w:widowControl w:val="0"/>
        <w:wordWrap/>
        <w:snapToGrid/>
        <w:spacing w:line="560" w:lineRule="exact"/>
        <w:ind w:left="0" w:leftChars="0" w:right="0" w:firstLine="0" w:firstLineChars="0"/>
        <w:jc w:val="center"/>
        <w:textAlignment w:val="auto"/>
        <w:outlineLvl w:val="0"/>
        <w:rPr>
          <w:rFonts w:hint="eastAsia" w:ascii="宋体" w:hAnsi="宋体" w:eastAsia="宋体" w:cs="宋体"/>
          <w:color w:val="auto"/>
          <w:sz w:val="44"/>
          <w:szCs w:val="44"/>
          <w:shd w:val="clear" w:color="auto" w:fill="FFFFFF"/>
          <w:lang w:eastAsia="zh-CN"/>
        </w:rPr>
      </w:pPr>
      <w:bookmarkStart w:id="472" w:name="_Toc1415"/>
      <w:r>
        <w:rPr>
          <w:rFonts w:hint="eastAsia" w:ascii="宋体" w:hAnsi="宋体" w:eastAsia="宋体" w:cs="宋体"/>
          <w:color w:val="auto"/>
          <w:sz w:val="44"/>
          <w:szCs w:val="44"/>
          <w:shd w:val="clear" w:color="auto" w:fill="FFFFFF"/>
        </w:rPr>
        <w:t>广东省</w:t>
      </w:r>
      <w:r>
        <w:rPr>
          <w:rFonts w:hint="eastAsia" w:ascii="宋体" w:hAnsi="宋体" w:eastAsia="宋体" w:cs="宋体"/>
          <w:color w:val="auto"/>
          <w:sz w:val="44"/>
          <w:szCs w:val="44"/>
          <w:shd w:val="clear" w:color="auto" w:fill="FFFFFF"/>
          <w:lang w:eastAsia="zh-CN"/>
        </w:rPr>
        <w:t>红十字会条例</w:t>
      </w:r>
      <w:bookmarkEnd w:id="472"/>
    </w:p>
    <w:p>
      <w:pPr>
        <w:widowControl w:val="0"/>
        <w:wordWrap/>
        <w:snapToGrid/>
        <w:spacing w:line="560" w:lineRule="exact"/>
        <w:ind w:left="0" w:leftChars="0" w:right="0"/>
        <w:jc w:val="center"/>
        <w:textAlignment w:val="auto"/>
        <w:rPr>
          <w:rFonts w:ascii="宋体" w:hAnsi="宋体" w:cs="仿宋_GB2312"/>
          <w:color w:val="auto"/>
          <w:szCs w:val="32"/>
          <w:shd w:val="clear" w:color="auto" w:fill="FFFFFF"/>
        </w:rPr>
      </w:pPr>
    </w:p>
    <w:p>
      <w:pPr>
        <w:widowControl w:val="0"/>
        <w:wordWrap/>
        <w:adjustRightInd w:val="0"/>
        <w:snapToGrid/>
        <w:spacing w:line="560" w:lineRule="exact"/>
        <w:ind w:left="640" w:leftChars="200" w:right="640" w:rightChars="200" w:firstLine="0" w:firstLineChars="0"/>
        <w:jc w:val="both"/>
        <w:textAlignment w:val="auto"/>
        <w:outlineLvl w:val="9"/>
        <w:rPr>
          <w:rFonts w:hint="eastAsia" w:ascii="宋体" w:hAnsi="宋体" w:eastAsia="楷体_GB2312" w:cs="楷体_GB2312"/>
          <w:sz w:val="32"/>
          <w:lang w:val="en-US" w:eastAsia="zh-CN"/>
        </w:rPr>
      </w:pPr>
      <w:r>
        <w:rPr>
          <w:rFonts w:hint="eastAsia" w:ascii="宋体" w:hAnsi="宋体" w:eastAsia="楷体_GB2312" w:cs="楷体_GB2312"/>
          <w:sz w:val="32"/>
          <w:lang w:val="en-US" w:eastAsia="zh-CN"/>
        </w:rPr>
        <w:t>（</w:t>
      </w:r>
      <w:r>
        <w:rPr>
          <w:rFonts w:hint="eastAsia" w:ascii="宋体" w:hAnsi="宋体" w:eastAsia="楷体_GB2312" w:cs="楷体_GB2312"/>
          <w:sz w:val="32"/>
          <w:szCs w:val="32"/>
        </w:rPr>
        <w:t>2005年12月2日广东省第十届人民代表大会常务委员会第二十一次会议通过</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b w:val="0"/>
          <w:bCs w:val="0"/>
          <w:sz w:val="32"/>
          <w:lang w:val="en-US" w:eastAsia="zh-CN"/>
        </w:rPr>
        <w:t>2</w:t>
      </w:r>
      <w:r>
        <w:rPr>
          <w:rFonts w:hint="eastAsia" w:ascii="宋体" w:hAnsi="宋体" w:eastAsia="楷体_GB2312" w:cs="楷体_GB2312"/>
          <w:sz w:val="32"/>
          <w:lang w:val="en-US" w:eastAsia="zh-CN"/>
        </w:rPr>
        <w:t>019年3月28日广东省第十三届人民代表大会常务委员会第十一次会议修订）</w:t>
      </w:r>
    </w:p>
    <w:p>
      <w:pPr>
        <w:widowControl w:val="0"/>
        <w:wordWrap/>
        <w:snapToGrid/>
        <w:spacing w:line="560" w:lineRule="exact"/>
        <w:ind w:left="0" w:leftChars="0" w:right="0"/>
        <w:jc w:val="center"/>
        <w:textAlignment w:val="auto"/>
        <w:rPr>
          <w:rFonts w:ascii="宋体" w:hAnsi="宋体" w:cs="仿宋_GB2312"/>
          <w:color w:val="auto"/>
          <w:szCs w:val="32"/>
          <w:shd w:val="clear" w:color="auto" w:fill="FFFFFF"/>
        </w:rPr>
      </w:pPr>
    </w:p>
    <w:p>
      <w:pPr>
        <w:widowControl w:val="0"/>
        <w:wordWrap/>
        <w:snapToGrid/>
        <w:spacing w:line="560" w:lineRule="exact"/>
        <w:ind w:left="0" w:leftChars="0" w:right="0"/>
        <w:jc w:val="center"/>
        <w:textAlignment w:val="auto"/>
        <w:rPr>
          <w:rFonts w:hint="eastAsia" w:ascii="宋体" w:hAnsi="宋体" w:eastAsia="楷体_GB2312" w:cs="楷体_GB2312"/>
          <w:color w:val="auto"/>
          <w:szCs w:val="32"/>
          <w:shd w:val="clear" w:color="auto" w:fill="FFFFFF"/>
          <w:lang w:eastAsia="zh-CN"/>
        </w:rPr>
      </w:pPr>
      <w:r>
        <w:rPr>
          <w:rFonts w:hint="eastAsia" w:ascii="宋体" w:hAnsi="宋体" w:eastAsia="楷体_GB2312" w:cs="楷体_GB2312"/>
          <w:color w:val="auto"/>
          <w:szCs w:val="32"/>
          <w:shd w:val="clear" w:color="auto" w:fill="FFFFFF"/>
          <w:lang w:eastAsia="zh-CN"/>
        </w:rPr>
        <w:t>目</w:t>
      </w:r>
      <w:r>
        <w:rPr>
          <w:rFonts w:hint="eastAsia" w:ascii="宋体" w:hAnsi="宋体" w:eastAsia="楷体_GB2312" w:cs="楷体_GB2312"/>
          <w:color w:val="auto"/>
          <w:szCs w:val="32"/>
          <w:shd w:val="clear" w:color="auto" w:fill="FFFFFF"/>
          <w:lang w:val="en-US" w:eastAsia="zh-CN"/>
        </w:rPr>
        <w:t xml:space="preserve">    </w:t>
      </w:r>
      <w:r>
        <w:rPr>
          <w:rFonts w:hint="eastAsia" w:ascii="宋体" w:hAnsi="宋体" w:eastAsia="楷体_GB2312" w:cs="楷体_GB2312"/>
          <w:color w:val="auto"/>
          <w:szCs w:val="32"/>
          <w:shd w:val="clear" w:color="auto" w:fill="FFFFFF"/>
          <w:lang w:eastAsia="zh-CN"/>
        </w:rPr>
        <w:t>录</w:t>
      </w:r>
    </w:p>
    <w:p>
      <w:pPr>
        <w:widowControl w:val="0"/>
        <w:wordWrap/>
        <w:snapToGrid/>
        <w:spacing w:line="560" w:lineRule="exact"/>
        <w:ind w:left="640" w:leftChars="200"/>
        <w:jc w:val="both"/>
        <w:textAlignment w:val="auto"/>
        <w:rPr>
          <w:rFonts w:hint="eastAsia" w:ascii="宋体" w:hAnsi="宋体" w:eastAsia="楷体_GB2312" w:cs="楷体_GB2312"/>
          <w:color w:val="auto"/>
          <w:szCs w:val="32"/>
        </w:rPr>
      </w:pPr>
    </w:p>
    <w:p>
      <w:pPr>
        <w:widowControl w:val="0"/>
        <w:wordWrap/>
        <w:snapToGrid/>
        <w:spacing w:line="560" w:lineRule="exact"/>
        <w:ind w:left="640" w:leftChars="200"/>
        <w:jc w:val="both"/>
        <w:textAlignment w:val="auto"/>
        <w:rPr>
          <w:rFonts w:hint="eastAsia" w:ascii="宋体" w:hAnsi="宋体" w:eastAsia="楷体_GB2312" w:cs="楷体_GB2312"/>
          <w:color w:val="auto"/>
          <w:szCs w:val="32"/>
        </w:rPr>
      </w:pPr>
      <w:r>
        <w:rPr>
          <w:rFonts w:hint="eastAsia" w:ascii="宋体" w:hAnsi="宋体" w:eastAsia="楷体_GB2312" w:cs="楷体_GB2312"/>
          <w:color w:val="auto"/>
          <w:szCs w:val="32"/>
        </w:rPr>
        <w:t>第一章  总则</w:t>
      </w:r>
    </w:p>
    <w:p>
      <w:pPr>
        <w:widowControl w:val="0"/>
        <w:wordWrap/>
        <w:snapToGrid/>
        <w:spacing w:line="560" w:lineRule="exact"/>
        <w:ind w:left="640" w:leftChars="200"/>
        <w:jc w:val="both"/>
        <w:textAlignment w:val="auto"/>
        <w:rPr>
          <w:rFonts w:hint="eastAsia" w:ascii="宋体" w:hAnsi="宋体" w:eastAsia="楷体_GB2312" w:cs="楷体_GB2312"/>
          <w:i/>
          <w:iCs/>
          <w:color w:val="auto"/>
          <w:szCs w:val="32"/>
          <w:u w:val="single"/>
        </w:rPr>
      </w:pPr>
      <w:r>
        <w:rPr>
          <w:rFonts w:hint="eastAsia" w:ascii="宋体" w:hAnsi="宋体" w:eastAsia="楷体_GB2312" w:cs="楷体_GB2312"/>
          <w:color w:val="auto"/>
          <w:szCs w:val="32"/>
        </w:rPr>
        <w:t>第二章  组织</w:t>
      </w:r>
    </w:p>
    <w:p>
      <w:pPr>
        <w:widowControl w:val="0"/>
        <w:wordWrap/>
        <w:snapToGrid/>
        <w:spacing w:line="560" w:lineRule="exact"/>
        <w:ind w:left="640" w:leftChars="200"/>
        <w:jc w:val="both"/>
        <w:textAlignment w:val="auto"/>
        <w:rPr>
          <w:rFonts w:hint="eastAsia" w:ascii="宋体" w:hAnsi="宋体" w:eastAsia="楷体_GB2312" w:cs="楷体_GB2312"/>
          <w:color w:val="auto"/>
          <w:szCs w:val="32"/>
        </w:rPr>
      </w:pPr>
      <w:r>
        <w:rPr>
          <w:rFonts w:hint="eastAsia" w:ascii="宋体" w:hAnsi="宋体" w:eastAsia="楷体_GB2312" w:cs="楷体_GB2312"/>
          <w:color w:val="auto"/>
          <w:szCs w:val="32"/>
        </w:rPr>
        <w:t>第三章  职责与保障</w:t>
      </w:r>
    </w:p>
    <w:p>
      <w:pPr>
        <w:widowControl w:val="0"/>
        <w:wordWrap/>
        <w:snapToGrid/>
        <w:spacing w:line="560" w:lineRule="exact"/>
        <w:ind w:left="640" w:leftChars="200" w:right="0"/>
        <w:jc w:val="both"/>
        <w:textAlignment w:val="auto"/>
        <w:rPr>
          <w:rFonts w:hint="eastAsia" w:ascii="宋体" w:hAnsi="宋体" w:eastAsia="楷体_GB2312" w:cs="楷体_GB2312"/>
          <w:iCs/>
          <w:color w:val="auto"/>
          <w:szCs w:val="32"/>
        </w:rPr>
      </w:pPr>
      <w:r>
        <w:rPr>
          <w:rFonts w:hint="eastAsia" w:ascii="宋体" w:hAnsi="宋体" w:eastAsia="楷体_GB2312" w:cs="楷体_GB2312"/>
          <w:iCs/>
          <w:color w:val="auto"/>
          <w:szCs w:val="32"/>
        </w:rPr>
        <w:t>第四章  财产与监管</w:t>
      </w:r>
    </w:p>
    <w:p>
      <w:pPr>
        <w:widowControl w:val="0"/>
        <w:wordWrap/>
        <w:snapToGrid/>
        <w:spacing w:line="560" w:lineRule="exact"/>
        <w:ind w:left="640" w:leftChars="200"/>
        <w:jc w:val="both"/>
        <w:textAlignment w:val="auto"/>
        <w:rPr>
          <w:rFonts w:hint="eastAsia" w:ascii="宋体" w:hAnsi="宋体" w:eastAsia="楷体_GB2312" w:cs="楷体_GB2312"/>
          <w:iCs/>
          <w:color w:val="auto"/>
          <w:szCs w:val="32"/>
        </w:rPr>
      </w:pPr>
      <w:r>
        <w:rPr>
          <w:rFonts w:hint="eastAsia" w:ascii="宋体" w:hAnsi="宋体" w:eastAsia="楷体_GB2312" w:cs="楷体_GB2312"/>
          <w:color w:val="auto"/>
          <w:szCs w:val="32"/>
        </w:rPr>
        <w:t>第五章  法律责任</w:t>
      </w:r>
    </w:p>
    <w:p>
      <w:pPr>
        <w:widowControl w:val="0"/>
        <w:wordWrap/>
        <w:snapToGrid/>
        <w:spacing w:line="560" w:lineRule="exact"/>
        <w:ind w:left="640" w:leftChars="200" w:right="0"/>
        <w:jc w:val="both"/>
        <w:textAlignment w:val="auto"/>
        <w:rPr>
          <w:rFonts w:hint="eastAsia" w:ascii="宋体" w:hAnsi="宋体" w:eastAsia="楷体_GB2312" w:cs="楷体_GB2312"/>
          <w:color w:val="auto"/>
          <w:szCs w:val="32"/>
        </w:rPr>
      </w:pPr>
      <w:r>
        <w:rPr>
          <w:rFonts w:hint="eastAsia" w:ascii="宋体" w:hAnsi="宋体" w:eastAsia="楷体_GB2312" w:cs="楷体_GB2312"/>
          <w:color w:val="auto"/>
          <w:szCs w:val="32"/>
        </w:rPr>
        <w:t>第六章  附则</w:t>
      </w:r>
    </w:p>
    <w:p>
      <w:pPr>
        <w:widowControl w:val="0"/>
        <w:wordWrap/>
        <w:snapToGrid/>
        <w:spacing w:line="560" w:lineRule="exact"/>
        <w:ind w:left="640" w:leftChars="200" w:right="0"/>
        <w:jc w:val="both"/>
        <w:textAlignment w:val="auto"/>
        <w:rPr>
          <w:rFonts w:hint="eastAsia" w:ascii="宋体" w:hAnsi="宋体" w:eastAsia="楷体_GB2312" w:cs="楷体_GB2312"/>
          <w:iCs w:val="0"/>
          <w:color w:val="auto"/>
          <w:szCs w:val="32"/>
          <w:lang w:eastAsia="zh-CN"/>
        </w:rPr>
      </w:pPr>
    </w:p>
    <w:p>
      <w:pPr>
        <w:widowControl w:val="0"/>
        <w:wordWrap/>
        <w:snapToGrid/>
        <w:spacing w:line="560" w:lineRule="exact"/>
        <w:jc w:val="center"/>
        <w:textAlignment w:val="auto"/>
        <w:rPr>
          <w:rFonts w:ascii="宋体" w:hAnsi="宋体" w:cs="仿宋_GB2312"/>
          <w:color w:val="auto"/>
          <w:szCs w:val="32"/>
        </w:rPr>
      </w:pPr>
      <w:r>
        <w:rPr>
          <w:rFonts w:hint="eastAsia" w:ascii="宋体" w:hAnsi="宋体" w:eastAsia="黑体" w:cs="黑体"/>
          <w:color w:val="auto"/>
          <w:szCs w:val="32"/>
        </w:rPr>
        <w:t>第一章  总则</w:t>
      </w:r>
    </w:p>
    <w:p>
      <w:pPr>
        <w:widowControl w:val="0"/>
        <w:wordWrap/>
        <w:snapToGrid/>
        <w:spacing w:line="560" w:lineRule="exact"/>
        <w:ind w:firstLine="640" w:firstLineChars="200"/>
        <w:textAlignment w:val="auto"/>
        <w:rPr>
          <w:rFonts w:ascii="宋体" w:hAnsi="宋体" w:cs="仿宋_GB2312"/>
          <w:color w:val="auto"/>
          <w:szCs w:val="32"/>
        </w:rPr>
      </w:pP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第一条</w:t>
      </w:r>
      <w:r>
        <w:rPr>
          <w:rFonts w:hint="eastAsia" w:ascii="宋体" w:hAnsi="宋体" w:cs="仿宋_GB2312"/>
          <w:color w:val="auto"/>
          <w:szCs w:val="32"/>
        </w:rPr>
        <w:t xml:space="preserve">  为发展红十字事业，</w:t>
      </w:r>
      <w:r>
        <w:rPr>
          <w:rFonts w:hint="eastAsia" w:ascii="宋体" w:hAnsi="宋体" w:cs="仿宋_GB2312"/>
          <w:color w:val="auto"/>
          <w:szCs w:val="32"/>
          <w:lang w:eastAsia="zh-CN"/>
        </w:rPr>
        <w:t>培育和践行社会主义核心价值观，</w:t>
      </w:r>
      <w:r>
        <w:rPr>
          <w:rFonts w:hint="eastAsia" w:ascii="宋体" w:hAnsi="宋体" w:cs="仿宋_GB2312"/>
          <w:color w:val="auto"/>
          <w:szCs w:val="32"/>
        </w:rPr>
        <w:t>弘扬人道、博爱、奉献精神，保护人的生命和健康，维护人的尊严，保障和规范红十字会依法履行职责，根据《中华人民共和国红十字会法》等法律法规，结合本省实际，制定本条例。</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第二条</w:t>
      </w:r>
      <w:r>
        <w:rPr>
          <w:rFonts w:hint="eastAsia" w:ascii="宋体" w:hAnsi="宋体" w:cs="仿宋_GB2312"/>
          <w:color w:val="auto"/>
          <w:szCs w:val="32"/>
        </w:rPr>
        <w:t xml:space="preserve">  本条例适用于本省行政区域内的红十字会工作及其相关活动。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第三条</w:t>
      </w:r>
      <w:r>
        <w:rPr>
          <w:rFonts w:hint="eastAsia" w:ascii="宋体" w:hAnsi="宋体" w:cs="仿宋_GB2312"/>
          <w:color w:val="auto"/>
          <w:szCs w:val="32"/>
        </w:rPr>
        <w:t xml:space="preserve">  县级以上红十字会是中国红十字会的地方组织，是从事人道主义工作的社会救助团体，依法取得社会团体法人资格。</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各级红十字会依照法律法规和中国红十字会章程，独立自主地开展工作，并接受上级红十字会的指导。</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 xml:space="preserve">第四条 </w:t>
      </w:r>
      <w:r>
        <w:rPr>
          <w:rFonts w:hint="eastAsia" w:ascii="宋体" w:hAnsi="宋体" w:cs="仿宋_GB2312"/>
          <w:color w:val="auto"/>
          <w:szCs w:val="32"/>
        </w:rPr>
        <w:t xml:space="preserve"> 各级人民政府应当将红十字事业纳入国民经济和社会发展规划，对红十字会给予支持、资助，逐步增加对红十字事业的经费投入，保障红十字会依法履行职责。县级以上地方红十字会专职工作人员的经费和日常公用经费列入同级财政预算。</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各级人民政府有关部门在各自的职责范围内为红十字会开展工作创造条件，并对其活动进行监督。</w:t>
      </w:r>
    </w:p>
    <w:p>
      <w:pPr>
        <w:widowControl w:val="0"/>
        <w:wordWrap/>
        <w:snapToGrid/>
        <w:spacing w:line="560" w:lineRule="exact"/>
        <w:ind w:firstLine="640" w:firstLineChars="200"/>
        <w:textAlignment w:val="auto"/>
        <w:rPr>
          <w:rFonts w:ascii="宋体" w:hAnsi="宋体" w:cs="Times New Roman"/>
          <w:color w:val="auto"/>
          <w:szCs w:val="32"/>
        </w:rPr>
      </w:pPr>
      <w:r>
        <w:rPr>
          <w:rFonts w:hint="eastAsia" w:ascii="宋体" w:hAnsi="宋体" w:cs="Times New Roman"/>
          <w:color w:val="auto"/>
          <w:szCs w:val="32"/>
        </w:rPr>
        <w:t>各级人民政府支持、鼓励自然人、法人以及其他组织参与红十字志愿服务。</w:t>
      </w:r>
    </w:p>
    <w:p>
      <w:pPr>
        <w:widowControl w:val="0"/>
        <w:wordWrap/>
        <w:snapToGrid/>
        <w:spacing w:line="560" w:lineRule="exact"/>
        <w:ind w:firstLine="640" w:firstLineChars="200"/>
        <w:textAlignment w:val="auto"/>
        <w:rPr>
          <w:rFonts w:hint="eastAsia" w:ascii="宋体" w:hAnsi="宋体" w:eastAsia="仿宋_GB2312" w:cs="仿宋_GB2312"/>
          <w:color w:val="auto"/>
          <w:szCs w:val="32"/>
          <w:lang w:val="en-US" w:eastAsia="zh-CN"/>
        </w:rPr>
      </w:pPr>
      <w:r>
        <w:rPr>
          <w:rFonts w:hint="eastAsia" w:ascii="宋体" w:hAnsi="宋体" w:eastAsia="黑体" w:cs="黑体"/>
          <w:color w:val="auto"/>
          <w:szCs w:val="32"/>
          <w:lang w:eastAsia="zh-CN"/>
        </w:rPr>
        <w:t>第五条</w:t>
      </w:r>
      <w:r>
        <w:rPr>
          <w:rFonts w:hint="eastAsia" w:ascii="宋体" w:hAnsi="宋体" w:eastAsia="黑体" w:cs="黑体"/>
          <w:color w:val="auto"/>
          <w:szCs w:val="32"/>
          <w:lang w:val="en-US" w:eastAsia="zh-CN"/>
        </w:rPr>
        <w:t xml:space="preserve">  </w:t>
      </w:r>
      <w:r>
        <w:rPr>
          <w:rFonts w:hint="eastAsia" w:ascii="宋体" w:hAnsi="宋体" w:eastAsia="仿宋_GB2312" w:cs="仿宋_GB2312"/>
          <w:color w:val="auto"/>
          <w:szCs w:val="32"/>
          <w:lang w:val="en-US" w:eastAsia="zh-CN"/>
        </w:rPr>
        <w:t>各级红十字会应当</w:t>
      </w:r>
      <w:r>
        <w:rPr>
          <w:rFonts w:hint="eastAsia" w:ascii="宋体" w:hAnsi="宋体" w:cs="仿宋_GB2312"/>
          <w:color w:val="auto"/>
          <w:szCs w:val="32"/>
          <w:lang w:val="en-US" w:eastAsia="zh-CN"/>
        </w:rPr>
        <w:t>依法</w:t>
      </w:r>
      <w:r>
        <w:rPr>
          <w:rFonts w:hint="eastAsia" w:ascii="宋体" w:hAnsi="宋体" w:eastAsia="仿宋_GB2312" w:cs="仿宋_GB2312"/>
          <w:color w:val="auto"/>
          <w:szCs w:val="32"/>
          <w:lang w:val="en-US" w:eastAsia="zh-CN"/>
        </w:rPr>
        <w:t>完善内部治理结构，加强财务监督，严格执行信息公开制度，建立科学、规范、透明的管理机制。</w:t>
      </w:r>
    </w:p>
    <w:p>
      <w:pPr>
        <w:widowControl w:val="0"/>
        <w:wordWrap/>
        <w:snapToGrid/>
        <w:spacing w:line="560" w:lineRule="exact"/>
        <w:ind w:firstLine="640" w:firstLineChars="200"/>
        <w:textAlignment w:val="auto"/>
        <w:rPr>
          <w:rFonts w:hint="eastAsia" w:ascii="宋体" w:hAnsi="宋体" w:eastAsia="仿宋_GB2312" w:cs="仿宋_GB2312"/>
          <w:color w:val="auto"/>
          <w:szCs w:val="32"/>
          <w:lang w:val="en-US" w:eastAsia="zh-CN"/>
        </w:rPr>
      </w:pPr>
      <w:r>
        <w:rPr>
          <w:rFonts w:hint="eastAsia" w:ascii="宋体" w:hAnsi="宋体" w:eastAsia="黑体" w:cs="黑体"/>
          <w:color w:val="auto"/>
          <w:szCs w:val="32"/>
        </w:rPr>
        <w:t>第</w:t>
      </w:r>
      <w:r>
        <w:rPr>
          <w:rFonts w:hint="eastAsia" w:ascii="宋体" w:hAnsi="宋体" w:eastAsia="黑体" w:cs="黑体"/>
          <w:color w:val="auto"/>
          <w:szCs w:val="32"/>
          <w:lang w:eastAsia="zh-CN"/>
        </w:rPr>
        <w:t>六</w:t>
      </w:r>
      <w:r>
        <w:rPr>
          <w:rFonts w:hint="eastAsia" w:ascii="宋体" w:hAnsi="宋体" w:eastAsia="黑体" w:cs="黑体"/>
          <w:color w:val="auto"/>
          <w:szCs w:val="32"/>
        </w:rPr>
        <w:t xml:space="preserve">条 </w:t>
      </w:r>
      <w:r>
        <w:rPr>
          <w:rFonts w:hint="eastAsia" w:ascii="宋体" w:hAnsi="宋体" w:cs="仿宋_GB2312"/>
          <w:color w:val="auto"/>
          <w:szCs w:val="32"/>
        </w:rPr>
        <w:t xml:space="preserve"> 省红十字会应当在中国红十字会总会统一协调和指导下，加强与香港</w:t>
      </w:r>
      <w:r>
        <w:rPr>
          <w:rFonts w:hint="eastAsia" w:ascii="宋体" w:hAnsi="宋体" w:eastAsia="仿宋_GB2312" w:cs="仿宋_GB2312"/>
          <w:color w:val="auto"/>
          <w:szCs w:val="32"/>
        </w:rPr>
        <w:t>特别行政区</w:t>
      </w:r>
      <w:r>
        <w:rPr>
          <w:rFonts w:hint="eastAsia" w:ascii="宋体" w:hAnsi="宋体" w:cs="仿宋_GB2312"/>
          <w:color w:val="auto"/>
          <w:szCs w:val="32"/>
        </w:rPr>
        <w:t>、澳门特别行政区</w:t>
      </w:r>
      <w:r>
        <w:rPr>
          <w:rFonts w:hint="eastAsia" w:ascii="宋体" w:hAnsi="宋体" w:eastAsia="仿宋_GB2312" w:cs="仿宋_GB2312"/>
          <w:color w:val="auto"/>
          <w:szCs w:val="32"/>
          <w:lang w:eastAsia="zh-CN"/>
        </w:rPr>
        <w:t>红十字会</w:t>
      </w:r>
      <w:r>
        <w:rPr>
          <w:rFonts w:hint="eastAsia" w:ascii="宋体" w:hAnsi="宋体" w:eastAsia="仿宋_GB2312" w:cs="仿宋_GB2312"/>
          <w:color w:val="auto"/>
          <w:szCs w:val="32"/>
        </w:rPr>
        <w:t>和台湾地区</w:t>
      </w:r>
      <w:r>
        <w:rPr>
          <w:rFonts w:hint="eastAsia" w:ascii="宋体" w:hAnsi="宋体" w:cs="仿宋_GB2312"/>
          <w:color w:val="auto"/>
          <w:szCs w:val="32"/>
        </w:rPr>
        <w:t>红十字</w:t>
      </w:r>
      <w:r>
        <w:rPr>
          <w:rFonts w:hint="eastAsia" w:ascii="宋体" w:hAnsi="宋体" w:eastAsia="仿宋_GB2312" w:cs="仿宋_GB2312"/>
          <w:color w:val="auto"/>
          <w:szCs w:val="32"/>
          <w:lang w:eastAsia="zh-CN"/>
        </w:rPr>
        <w:t>组织</w:t>
      </w:r>
      <w:r>
        <w:rPr>
          <w:rFonts w:hint="eastAsia" w:ascii="宋体" w:hAnsi="宋体" w:cs="仿宋_GB2312"/>
          <w:color w:val="auto"/>
          <w:szCs w:val="32"/>
        </w:rPr>
        <w:t>的交流与合作</w:t>
      </w:r>
      <w:r>
        <w:rPr>
          <w:rFonts w:hint="eastAsia" w:ascii="宋体" w:hAnsi="宋体" w:eastAsia="仿宋_GB2312" w:cs="仿宋_GB2312"/>
          <w:color w:val="auto"/>
          <w:szCs w:val="32"/>
          <w:lang w:val="en-US" w:eastAsia="zh-CN"/>
        </w:rPr>
        <w:t>。</w:t>
      </w:r>
    </w:p>
    <w:p>
      <w:pPr>
        <w:widowControl w:val="0"/>
        <w:wordWrap/>
        <w:snapToGrid/>
        <w:spacing w:line="560" w:lineRule="exact"/>
        <w:ind w:firstLine="640" w:firstLineChars="200"/>
        <w:textAlignment w:val="auto"/>
        <w:rPr>
          <w:rFonts w:hint="eastAsia" w:ascii="宋体" w:hAnsi="宋体" w:eastAsia="仿宋_GB2312" w:cs="仿宋_GB2312"/>
          <w:color w:val="auto"/>
          <w:szCs w:val="32"/>
        </w:rPr>
      </w:pPr>
      <w:r>
        <w:rPr>
          <w:rFonts w:hint="eastAsia" w:ascii="宋体" w:hAnsi="宋体" w:eastAsia="仿宋_GB2312" w:cs="仿宋_GB2312"/>
          <w:color w:val="auto"/>
          <w:szCs w:val="32"/>
        </w:rPr>
        <w:t>市、县级红十字会在省红十字会的协调和指导下开展交流与合作。</w:t>
      </w:r>
    </w:p>
    <w:p>
      <w:pPr>
        <w:widowControl w:val="0"/>
        <w:wordWrap/>
        <w:snapToGrid/>
        <w:spacing w:line="560" w:lineRule="exact"/>
        <w:ind w:firstLine="640" w:firstLineChars="200"/>
        <w:textAlignment w:val="auto"/>
        <w:rPr>
          <w:rFonts w:ascii="宋体" w:hAnsi="宋体" w:cs="仿宋_GB2312"/>
          <w:i/>
          <w:iCs/>
          <w:color w:val="auto"/>
          <w:szCs w:val="32"/>
          <w:u w:val="single"/>
        </w:rPr>
      </w:pPr>
      <w:r>
        <w:rPr>
          <w:rFonts w:hint="eastAsia" w:ascii="宋体" w:hAnsi="宋体" w:eastAsia="黑体" w:cs="黑体"/>
          <w:color w:val="auto"/>
          <w:szCs w:val="32"/>
        </w:rPr>
        <w:t>第</w:t>
      </w:r>
      <w:r>
        <w:rPr>
          <w:rFonts w:hint="eastAsia" w:ascii="宋体" w:hAnsi="宋体" w:eastAsia="黑体" w:cs="黑体"/>
          <w:color w:val="auto"/>
          <w:szCs w:val="32"/>
          <w:lang w:eastAsia="zh-CN"/>
        </w:rPr>
        <w:t>七</w:t>
      </w:r>
      <w:r>
        <w:rPr>
          <w:rFonts w:hint="eastAsia" w:ascii="宋体" w:hAnsi="宋体" w:eastAsia="黑体" w:cs="黑体"/>
          <w:color w:val="auto"/>
          <w:szCs w:val="32"/>
        </w:rPr>
        <w:t>条</w:t>
      </w:r>
      <w:r>
        <w:rPr>
          <w:rFonts w:hint="eastAsia" w:ascii="宋体" w:hAnsi="宋体" w:cs="仿宋_GB2312"/>
          <w:color w:val="auto"/>
          <w:szCs w:val="32"/>
        </w:rPr>
        <w:t xml:space="preserve">  各级红十字会应当宣传国际红十字和红新月运动基本知识，开展紧急救援、人道救助、应急救护等工作的宣传教育，普及卫生健康知识。</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广播、电视、报刊、网络等媒体应当支持红十字会开展人道主义救助等宣传活动，有义务发布与人道主义救助活动相关的公益广告。</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八</w:t>
      </w:r>
      <w:r>
        <w:rPr>
          <w:rFonts w:hint="eastAsia" w:ascii="宋体" w:hAnsi="宋体" w:eastAsia="黑体" w:cs="黑体"/>
          <w:color w:val="auto"/>
          <w:szCs w:val="32"/>
        </w:rPr>
        <w:t>条</w:t>
      </w:r>
      <w:r>
        <w:rPr>
          <w:rFonts w:hint="eastAsia" w:ascii="宋体" w:hAnsi="宋体" w:cs="仿宋_GB2312"/>
          <w:color w:val="auto"/>
          <w:szCs w:val="32"/>
        </w:rPr>
        <w:t xml:space="preserve">  县级以上红十字会应当按照国家有关规定，对</w:t>
      </w:r>
      <w:r>
        <w:rPr>
          <w:rFonts w:hint="eastAsia" w:ascii="宋体" w:hAnsi="宋体" w:cs="仿宋_GB2312"/>
          <w:color w:val="auto"/>
          <w:szCs w:val="32"/>
          <w:lang w:eastAsia="zh-CN"/>
        </w:rPr>
        <w:t>为</w:t>
      </w:r>
      <w:r>
        <w:rPr>
          <w:rFonts w:hint="eastAsia" w:ascii="宋体" w:hAnsi="宋体" w:cs="仿宋_GB2312"/>
          <w:color w:val="auto"/>
          <w:szCs w:val="32"/>
        </w:rPr>
        <w:t>红十字事业做出突出贡献的单位和个人给予表彰奖励，对做出重大贡献的授予荣誉称号和颁发荣誉证书、证章。</w:t>
      </w:r>
    </w:p>
    <w:p>
      <w:pPr>
        <w:widowControl w:val="0"/>
        <w:wordWrap/>
        <w:snapToGrid/>
        <w:spacing w:line="560" w:lineRule="exact"/>
        <w:jc w:val="center"/>
        <w:textAlignment w:val="auto"/>
        <w:rPr>
          <w:rFonts w:hint="eastAsia" w:ascii="宋体" w:hAnsi="宋体" w:cs="仿宋_GB2312"/>
          <w:color w:val="auto"/>
          <w:szCs w:val="32"/>
        </w:rPr>
      </w:pPr>
    </w:p>
    <w:p>
      <w:pPr>
        <w:widowControl w:val="0"/>
        <w:wordWrap/>
        <w:snapToGrid/>
        <w:spacing w:line="560" w:lineRule="exact"/>
        <w:jc w:val="center"/>
        <w:textAlignment w:val="auto"/>
        <w:rPr>
          <w:rFonts w:ascii="宋体" w:hAnsi="宋体" w:cs="仿宋_GB2312"/>
          <w:i/>
          <w:iCs/>
          <w:color w:val="auto"/>
          <w:szCs w:val="32"/>
          <w:u w:val="single"/>
        </w:rPr>
      </w:pPr>
      <w:r>
        <w:rPr>
          <w:rFonts w:hint="eastAsia" w:ascii="宋体" w:hAnsi="宋体" w:eastAsia="黑体" w:cs="黑体"/>
          <w:color w:val="auto"/>
          <w:szCs w:val="32"/>
        </w:rPr>
        <w:t>第二章  组织</w:t>
      </w:r>
    </w:p>
    <w:p>
      <w:pPr>
        <w:widowControl w:val="0"/>
        <w:wordWrap/>
        <w:snapToGrid/>
        <w:spacing w:line="560" w:lineRule="exact"/>
        <w:ind w:firstLine="640" w:firstLineChars="200"/>
        <w:textAlignment w:val="auto"/>
        <w:rPr>
          <w:rFonts w:ascii="宋体" w:hAnsi="宋体" w:cs="仿宋_GB2312"/>
          <w:color w:val="auto"/>
          <w:szCs w:val="32"/>
        </w:rPr>
      </w:pP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九</w:t>
      </w:r>
      <w:r>
        <w:rPr>
          <w:rFonts w:hint="eastAsia" w:ascii="宋体" w:hAnsi="宋体" w:eastAsia="黑体" w:cs="黑体"/>
          <w:color w:val="auto"/>
          <w:szCs w:val="32"/>
        </w:rPr>
        <w:t>条</w:t>
      </w:r>
      <w:r>
        <w:rPr>
          <w:rFonts w:hint="eastAsia" w:ascii="宋体" w:hAnsi="宋体" w:cs="仿宋_GB2312"/>
          <w:color w:val="auto"/>
          <w:szCs w:val="32"/>
        </w:rPr>
        <w:t xml:space="preserve">  县级以上地方按行政区域建立</w:t>
      </w:r>
      <w:r>
        <w:rPr>
          <w:rFonts w:hint="eastAsia" w:ascii="宋体" w:hAnsi="宋体" w:cs="仿宋_GB2312"/>
          <w:color w:val="auto"/>
          <w:szCs w:val="32"/>
          <w:lang w:eastAsia="zh-CN"/>
        </w:rPr>
        <w:t>地方</w:t>
      </w:r>
      <w:r>
        <w:rPr>
          <w:rFonts w:hint="eastAsia" w:ascii="宋体" w:hAnsi="宋体" w:cs="仿宋_GB2312"/>
          <w:color w:val="auto"/>
          <w:szCs w:val="32"/>
        </w:rPr>
        <w:t>红十字会，按照规定设置工作机构，并根据工作需要配备专职工作人员。</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乡镇、街道、学校和医疗机构等企业事业组织有条件的，可以根据需要，建立红十字会基层组织，配备工作人员。</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县级以上红十字会指导红十字会基层组织工作，加强其规范化管理。</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十</w:t>
      </w:r>
      <w:r>
        <w:rPr>
          <w:rFonts w:hint="eastAsia" w:ascii="宋体" w:hAnsi="宋体" w:eastAsia="黑体" w:cs="黑体"/>
          <w:color w:val="auto"/>
          <w:szCs w:val="32"/>
        </w:rPr>
        <w:t>条</w:t>
      </w:r>
      <w:r>
        <w:rPr>
          <w:rFonts w:hint="eastAsia" w:ascii="宋体" w:hAnsi="宋体" w:cs="仿宋_GB2312"/>
          <w:color w:val="auto"/>
          <w:szCs w:val="32"/>
        </w:rPr>
        <w:t xml:space="preserve">  中华人民共和国公民，承认中国红十字会章程并缴纳会费的，可以自愿参加红十字会，成为红十字会的个人会员。</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企业事业</w:t>
      </w:r>
      <w:r>
        <w:rPr>
          <w:rFonts w:hint="eastAsia" w:ascii="宋体" w:hAnsi="宋体" w:eastAsia="仿宋_GB2312" w:cs="仿宋_GB2312"/>
          <w:color w:val="auto"/>
          <w:szCs w:val="32"/>
          <w:lang w:eastAsia="zh-CN"/>
        </w:rPr>
        <w:t>组织</w:t>
      </w:r>
      <w:r>
        <w:rPr>
          <w:rFonts w:hint="eastAsia" w:ascii="宋体" w:hAnsi="宋体" w:cs="仿宋_GB2312"/>
          <w:color w:val="auto"/>
          <w:szCs w:val="32"/>
        </w:rPr>
        <w:t>及有关团体可以依法申请参加红十字会，成为红十字会的团体会员。</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个人会员与团体会员依法享有会员权利并承担相应义务。</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一</w:t>
      </w:r>
      <w:r>
        <w:rPr>
          <w:rFonts w:hint="eastAsia" w:ascii="宋体" w:hAnsi="宋体" w:eastAsia="黑体" w:cs="黑体"/>
          <w:color w:val="auto"/>
          <w:szCs w:val="32"/>
        </w:rPr>
        <w:t>条</w:t>
      </w:r>
      <w:r>
        <w:rPr>
          <w:rFonts w:hint="eastAsia" w:ascii="宋体" w:hAnsi="宋体" w:cs="仿宋_GB2312"/>
          <w:color w:val="auto"/>
          <w:szCs w:val="32"/>
        </w:rPr>
        <w:t xml:space="preserve">  县级以上红十字会会员代表大会行使下列职权：</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（一）根据《中国红十字会章程》制定实施办法；</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（二）选举本级红十字会理事会理事；</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（三）选举本级红十字会监事会监事；</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（四）审议批准理事会的工作报告和工作规划；</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（五）审议批准监事会的工作报告；</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（六）决定红十字会的重大事项；</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（七）法律法规规定的其他职权。</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二</w:t>
      </w:r>
      <w:r>
        <w:rPr>
          <w:rFonts w:hint="eastAsia" w:ascii="宋体" w:hAnsi="宋体" w:eastAsia="黑体" w:cs="黑体"/>
          <w:color w:val="auto"/>
          <w:szCs w:val="32"/>
        </w:rPr>
        <w:t>条</w:t>
      </w:r>
      <w:r>
        <w:rPr>
          <w:rFonts w:hint="eastAsia" w:ascii="宋体" w:hAnsi="宋体" w:cs="仿宋_GB2312"/>
          <w:color w:val="auto"/>
          <w:szCs w:val="32"/>
        </w:rPr>
        <w:t xml:space="preserve">  县级以上红十字会理事会，由会员代表大会民主选举产生，向会员代表大会负责并报告工作，接受其监督。</w:t>
      </w:r>
      <w:r>
        <w:rPr>
          <w:rFonts w:hint="eastAsia" w:ascii="宋体" w:hAnsi="宋体" w:eastAsia="仿宋_GB2312" w:cs="仿宋_GB2312"/>
          <w:color w:val="auto"/>
          <w:szCs w:val="32"/>
          <w:lang w:eastAsia="zh-CN"/>
        </w:rPr>
        <w:t>常务理事会、</w:t>
      </w:r>
      <w:r>
        <w:rPr>
          <w:rFonts w:hint="eastAsia" w:ascii="宋体" w:hAnsi="宋体" w:cs="仿宋_GB2312"/>
          <w:color w:val="auto"/>
          <w:szCs w:val="32"/>
        </w:rPr>
        <w:t>会长、副会长由理事会民主选举产生。</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执行委员会是理事会的常设机构，主持红十字会的日常工作，向理事会负责并报告工作，其人员组成由理事会决定。</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县级以上红十字会可以设名誉会长和名誉副会长，由同级红十字会理事会聘请。</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三</w:t>
      </w:r>
      <w:r>
        <w:rPr>
          <w:rFonts w:hint="eastAsia" w:ascii="宋体" w:hAnsi="宋体" w:eastAsia="黑体" w:cs="黑体"/>
          <w:color w:val="auto"/>
          <w:szCs w:val="32"/>
        </w:rPr>
        <w:t xml:space="preserve">条 </w:t>
      </w:r>
      <w:r>
        <w:rPr>
          <w:rFonts w:hint="eastAsia" w:ascii="宋体" w:hAnsi="宋体" w:cs="仿宋_GB2312"/>
          <w:color w:val="auto"/>
          <w:szCs w:val="32"/>
        </w:rPr>
        <w:t xml:space="preserve"> 县级以上红十字会监事会，由会员代表大会民主选举产生，向会员代表大会负责并报告工作，接受其监督。监事长和副监事长由监事会民主选举产生。</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监事会依法对理事会、执行委员会执行相关法律法规、规章制度和开展工作等情况进行监督。</w:t>
      </w:r>
    </w:p>
    <w:p>
      <w:pPr>
        <w:widowControl w:val="0"/>
        <w:wordWrap/>
        <w:snapToGrid/>
        <w:spacing w:line="560" w:lineRule="exact"/>
        <w:ind w:firstLine="640" w:firstLineChars="200"/>
        <w:textAlignment w:val="auto"/>
        <w:rPr>
          <w:rFonts w:hint="eastAsia" w:ascii="宋体" w:hAnsi="宋体" w:cs="仿宋_GB2312"/>
          <w:color w:val="auto"/>
          <w:szCs w:val="32"/>
        </w:rPr>
      </w:pPr>
    </w:p>
    <w:p>
      <w:pPr>
        <w:widowControl w:val="0"/>
        <w:wordWrap/>
        <w:snapToGrid/>
        <w:spacing w:line="560" w:lineRule="exact"/>
        <w:jc w:val="center"/>
        <w:textAlignment w:val="auto"/>
        <w:rPr>
          <w:rFonts w:hint="eastAsia" w:ascii="宋体" w:hAnsi="宋体" w:eastAsia="黑体" w:cs="黑体"/>
          <w:color w:val="auto"/>
          <w:szCs w:val="32"/>
        </w:rPr>
      </w:pPr>
      <w:r>
        <w:rPr>
          <w:rFonts w:hint="eastAsia" w:ascii="宋体" w:hAnsi="宋体" w:eastAsia="黑体" w:cs="黑体"/>
          <w:color w:val="auto"/>
          <w:szCs w:val="32"/>
        </w:rPr>
        <w:t>第三章  职责与保障</w:t>
      </w:r>
    </w:p>
    <w:p>
      <w:pPr>
        <w:widowControl w:val="0"/>
        <w:wordWrap/>
        <w:snapToGrid/>
        <w:spacing w:before="0" w:beforeLines="0" w:after="0" w:afterLines="0" w:line="560" w:lineRule="exact"/>
        <w:ind w:firstLine="640" w:firstLineChars="200"/>
        <w:jc w:val="both"/>
        <w:textAlignment w:val="auto"/>
        <w:rPr>
          <w:rFonts w:ascii="宋体" w:hAnsi="宋体" w:eastAsia="仿宋_GB2312" w:cs="仿宋_GB2312"/>
          <w:color w:val="auto"/>
          <w:kern w:val="2"/>
          <w:sz w:val="32"/>
          <w:szCs w:val="32"/>
          <w:lang w:val="en-US" w:eastAsia="zh-CN" w:bidi="ar-SA"/>
        </w:rPr>
      </w:pP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四</w:t>
      </w:r>
      <w:r>
        <w:rPr>
          <w:rFonts w:hint="eastAsia" w:ascii="宋体" w:hAnsi="宋体" w:eastAsia="黑体" w:cs="黑体"/>
          <w:color w:val="auto"/>
          <w:szCs w:val="32"/>
        </w:rPr>
        <w:t xml:space="preserve">条 </w:t>
      </w:r>
      <w:r>
        <w:rPr>
          <w:rFonts w:hint="eastAsia" w:ascii="宋体" w:hAnsi="宋体" w:cs="仿宋_GB2312"/>
          <w:color w:val="auto"/>
          <w:szCs w:val="32"/>
        </w:rPr>
        <w:t xml:space="preserve"> 县级以上红十字会依法履行下列职责：</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（一）宣传和执行《中华人民共和国红十字会法》等有关红十字方面的法律法规；</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（二）开展救援、救灾的相关工作，建立红十字应急救援体系和红十字会备灾救灾信息系统；</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（三）依法开展募捐活动；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（四）开展应急救护培训，普及应急救护、防灾避险和卫生健康知识，组织志愿者参与现场救护；</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（五）参与、推动无偿献血、遗体和人体器官捐献工作，参与开展造血干细胞捐献的相关工作，开展艾滋病预防控制宣传和教育以及相关人道救助工作；</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（六）组织开展红十字志愿服务、红十字青少年工作；</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（七）完成人民政府委托事宜；</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（八）协助人民政府开展与其职责相关的其他人道主义服务活动。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五</w:t>
      </w:r>
      <w:r>
        <w:rPr>
          <w:rFonts w:hint="eastAsia" w:ascii="宋体" w:hAnsi="宋体" w:eastAsia="黑体" w:cs="黑体"/>
          <w:color w:val="auto"/>
          <w:szCs w:val="32"/>
        </w:rPr>
        <w:t xml:space="preserve">条  </w:t>
      </w:r>
      <w:r>
        <w:rPr>
          <w:rFonts w:hint="eastAsia" w:ascii="宋体" w:hAnsi="宋体" w:cs="仿宋_GB2312"/>
          <w:color w:val="auto"/>
          <w:szCs w:val="32"/>
        </w:rPr>
        <w:t>红十字会基层组织负责宣传普及红十字知识，开展人道主义救助活动，举办初级救护培训、群众性健康知识普及以及其他符合红十字宗旨的活动。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县级以上红十字会可以授权红十字会基层组织协助开展募捐和接受捐赠工作。未经授权，红十字会基层组织不得以红十字会名义开展募捐和接受捐赠。</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六</w:t>
      </w:r>
      <w:r>
        <w:rPr>
          <w:rFonts w:hint="eastAsia" w:ascii="宋体" w:hAnsi="宋体" w:eastAsia="黑体" w:cs="黑体"/>
          <w:color w:val="auto"/>
          <w:szCs w:val="32"/>
        </w:rPr>
        <w:t xml:space="preserve">条  </w:t>
      </w:r>
      <w:r>
        <w:rPr>
          <w:rFonts w:hint="eastAsia" w:ascii="宋体" w:hAnsi="宋体" w:cs="仿宋_GB2312"/>
          <w:color w:val="auto"/>
          <w:szCs w:val="32"/>
        </w:rPr>
        <w:t>县级以上红十字会应当</w:t>
      </w:r>
      <w:r>
        <w:rPr>
          <w:rFonts w:hint="eastAsia" w:ascii="宋体" w:hAnsi="宋体" w:cs="仿宋_GB2312"/>
          <w:color w:val="auto"/>
          <w:szCs w:val="32"/>
          <w:lang w:eastAsia="zh-CN"/>
        </w:rPr>
        <w:t>建立健全红十字应急救援体系，</w:t>
      </w:r>
      <w:r>
        <w:rPr>
          <w:rFonts w:hint="eastAsia" w:ascii="宋体" w:hAnsi="宋体" w:cs="仿宋_GB2312"/>
          <w:color w:val="auto"/>
          <w:szCs w:val="32"/>
        </w:rPr>
        <w:t>制定备灾、救灾和突发事件救助预案，储备救灾物资，建设和管理备灾救灾设施，建立应急救援队伍，对自然灾害、事故灾难、公共卫生事件等突发事件中的伤病人员和其他受害者提供紧急救援和人道救助。</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各级人民政府应当将红十字应急救援工作纳入政府灾害应急响应体系，根据实际需要将红十字备灾救灾中心或者物资库建设列入当地防灾减灾规划，依法保障红十字会组织社会力量执行应急救援任务。</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七</w:t>
      </w:r>
      <w:r>
        <w:rPr>
          <w:rFonts w:hint="eastAsia" w:ascii="宋体" w:hAnsi="宋体" w:eastAsia="黑体" w:cs="黑体"/>
          <w:color w:val="auto"/>
          <w:szCs w:val="32"/>
        </w:rPr>
        <w:t>条</w:t>
      </w:r>
      <w:r>
        <w:rPr>
          <w:rFonts w:hint="eastAsia" w:ascii="宋体" w:hAnsi="宋体" w:cs="黑体"/>
          <w:color w:val="auto"/>
          <w:szCs w:val="32"/>
        </w:rPr>
        <w:t xml:space="preserve"> </w:t>
      </w:r>
      <w:r>
        <w:rPr>
          <w:rFonts w:hint="eastAsia" w:ascii="宋体" w:hAnsi="宋体" w:cs="Times New Roman"/>
          <w:color w:val="auto"/>
          <w:szCs w:val="32"/>
        </w:rPr>
        <w:t xml:space="preserve"> </w:t>
      </w:r>
      <w:r>
        <w:rPr>
          <w:rFonts w:hint="eastAsia" w:ascii="宋体" w:hAnsi="宋体" w:cs="仿宋_GB2312"/>
          <w:color w:val="auto"/>
          <w:szCs w:val="32"/>
        </w:rPr>
        <w:t>县级以上红十字会依法采取下列方式开展公开募捐：</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（一）组织义演、义卖、义展、义拍等；</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（二）在公共场所设置红十字募捐箱；</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（三）设立募集接收点，接受救灾救助物资；</w:t>
      </w:r>
    </w:p>
    <w:p>
      <w:pPr>
        <w:widowControl w:val="0"/>
        <w:wordWrap/>
        <w:snapToGrid/>
        <w:spacing w:line="560" w:lineRule="exact"/>
        <w:ind w:firstLine="640" w:firstLineChars="200"/>
        <w:textAlignment w:val="auto"/>
        <w:rPr>
          <w:rFonts w:ascii="宋体" w:hAnsi="宋体" w:cs="Times New Roman"/>
          <w:color w:val="auto"/>
          <w:szCs w:val="32"/>
        </w:rPr>
      </w:pPr>
      <w:r>
        <w:rPr>
          <w:rFonts w:hint="eastAsia" w:ascii="宋体" w:hAnsi="宋体" w:cs="仿宋_GB2312"/>
          <w:color w:val="auto"/>
          <w:szCs w:val="32"/>
        </w:rPr>
        <w:t>（四）通过广播、电视、报刊、</w:t>
      </w:r>
      <w:r>
        <w:rPr>
          <w:rFonts w:hint="eastAsia" w:ascii="宋体" w:hAnsi="宋体" w:cs="仿宋_GB2312"/>
          <w:color w:val="auto"/>
          <w:szCs w:val="32"/>
          <w:lang w:eastAsia="zh-CN"/>
        </w:rPr>
        <w:t>网络</w:t>
      </w:r>
      <w:r>
        <w:rPr>
          <w:rFonts w:hint="eastAsia" w:ascii="宋体" w:hAnsi="宋体" w:cs="Times New Roman"/>
          <w:color w:val="auto"/>
          <w:szCs w:val="32"/>
        </w:rPr>
        <w:t>等媒体发布募捐信息；</w:t>
      </w:r>
    </w:p>
    <w:p>
      <w:pPr>
        <w:widowControl w:val="0"/>
        <w:wordWrap/>
        <w:snapToGrid/>
        <w:spacing w:line="560" w:lineRule="exact"/>
        <w:ind w:firstLine="640" w:firstLineChars="200"/>
        <w:textAlignment w:val="auto"/>
        <w:rPr>
          <w:rFonts w:ascii="宋体" w:hAnsi="宋体" w:cs="Times New Roman"/>
          <w:color w:val="auto"/>
          <w:szCs w:val="32"/>
        </w:rPr>
      </w:pPr>
      <w:r>
        <w:rPr>
          <w:rFonts w:hint="eastAsia" w:ascii="宋体" w:hAnsi="宋体" w:cs="Times New Roman"/>
          <w:color w:val="auto"/>
          <w:szCs w:val="32"/>
        </w:rPr>
        <w:t>（五）其他公开募捐方式。</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仿宋_GB2312" w:cs="仿宋_GB2312"/>
          <w:color w:val="auto"/>
          <w:szCs w:val="32"/>
        </w:rPr>
        <w:t>县</w:t>
      </w:r>
      <w:r>
        <w:rPr>
          <w:rFonts w:hint="eastAsia" w:ascii="宋体" w:hAnsi="宋体" w:cs="仿宋_GB2312"/>
          <w:color w:val="auto"/>
          <w:szCs w:val="32"/>
        </w:rPr>
        <w:t>级</w:t>
      </w:r>
      <w:r>
        <w:rPr>
          <w:rFonts w:hint="eastAsia" w:ascii="宋体" w:hAnsi="宋体" w:eastAsia="仿宋_GB2312" w:cs="仿宋_GB2312"/>
          <w:color w:val="auto"/>
          <w:szCs w:val="32"/>
        </w:rPr>
        <w:t>以上</w:t>
      </w:r>
      <w:r>
        <w:rPr>
          <w:rFonts w:hint="eastAsia" w:ascii="宋体" w:hAnsi="宋体" w:cs="仿宋_GB2312"/>
          <w:color w:val="auto"/>
          <w:szCs w:val="32"/>
        </w:rPr>
        <w:t>红十字会</w:t>
      </w:r>
      <w:r>
        <w:rPr>
          <w:rFonts w:hint="eastAsia" w:ascii="宋体" w:hAnsi="宋体" w:eastAsia="仿宋_GB2312" w:cs="仿宋_GB2312"/>
          <w:color w:val="auto"/>
          <w:szCs w:val="32"/>
        </w:rPr>
        <w:t>确有必要</w:t>
      </w:r>
      <w:r>
        <w:rPr>
          <w:rFonts w:hint="eastAsia" w:ascii="宋体" w:hAnsi="宋体" w:cs="仿宋_GB2312"/>
          <w:color w:val="auto"/>
          <w:szCs w:val="32"/>
        </w:rPr>
        <w:t>在所属行政区域以外</w:t>
      </w:r>
      <w:r>
        <w:rPr>
          <w:rFonts w:hint="eastAsia" w:ascii="宋体" w:hAnsi="宋体" w:eastAsia="仿宋_GB2312" w:cs="仿宋_GB2312"/>
          <w:color w:val="auto"/>
          <w:szCs w:val="32"/>
          <w:lang w:eastAsia="zh-CN"/>
        </w:rPr>
        <w:t>采取前款第一项至第三项规定的方式</w:t>
      </w:r>
      <w:r>
        <w:rPr>
          <w:rFonts w:hint="eastAsia" w:ascii="宋体" w:hAnsi="宋体" w:cs="仿宋_GB2312"/>
          <w:color w:val="auto"/>
          <w:szCs w:val="32"/>
        </w:rPr>
        <w:t>开展</w:t>
      </w:r>
      <w:r>
        <w:rPr>
          <w:rFonts w:hint="eastAsia" w:ascii="宋体" w:hAnsi="宋体" w:eastAsia="仿宋_GB2312" w:cs="仿宋_GB2312"/>
          <w:color w:val="auto"/>
          <w:szCs w:val="32"/>
        </w:rPr>
        <w:t>公开</w:t>
      </w:r>
      <w:r>
        <w:rPr>
          <w:rFonts w:hint="eastAsia" w:ascii="宋体" w:hAnsi="宋体" w:cs="仿宋_GB2312"/>
          <w:color w:val="auto"/>
          <w:szCs w:val="32"/>
        </w:rPr>
        <w:t>募捐</w:t>
      </w:r>
      <w:r>
        <w:rPr>
          <w:rFonts w:hint="eastAsia" w:ascii="宋体" w:hAnsi="宋体" w:eastAsia="仿宋_GB2312" w:cs="仿宋_GB2312"/>
          <w:color w:val="auto"/>
          <w:szCs w:val="32"/>
        </w:rPr>
        <w:t>的</w:t>
      </w:r>
      <w:r>
        <w:rPr>
          <w:rFonts w:hint="eastAsia" w:ascii="宋体" w:hAnsi="宋体" w:cs="仿宋_GB2312"/>
          <w:color w:val="auto"/>
          <w:szCs w:val="32"/>
        </w:rPr>
        <w:t>，由</w:t>
      </w:r>
      <w:r>
        <w:rPr>
          <w:rFonts w:hint="eastAsia" w:ascii="宋体" w:hAnsi="宋体" w:eastAsia="仿宋_GB2312" w:cs="仿宋_GB2312"/>
          <w:color w:val="auto"/>
          <w:szCs w:val="32"/>
        </w:rPr>
        <w:t>其</w:t>
      </w:r>
      <w:r>
        <w:rPr>
          <w:rFonts w:hint="eastAsia" w:ascii="宋体" w:hAnsi="宋体" w:cs="仿宋_GB2312"/>
          <w:color w:val="auto"/>
          <w:szCs w:val="32"/>
        </w:rPr>
        <w:t>上级红十字会负责协调</w:t>
      </w:r>
      <w:r>
        <w:rPr>
          <w:rFonts w:hint="eastAsia" w:ascii="宋体" w:hAnsi="宋体" w:eastAsia="仿宋_GB2312" w:cs="仿宋_GB2312"/>
          <w:color w:val="auto"/>
          <w:szCs w:val="32"/>
          <w:lang w:eastAsia="zh-CN"/>
        </w:rPr>
        <w:t>，</w:t>
      </w:r>
      <w:r>
        <w:rPr>
          <w:rFonts w:hint="eastAsia" w:ascii="宋体" w:hAnsi="宋体" w:eastAsia="仿宋_GB2312" w:cs="仿宋_GB2312"/>
          <w:color w:val="auto"/>
          <w:szCs w:val="32"/>
        </w:rPr>
        <w:t>并报其开展募捐活动所在地的县级以上人民政府民政部门备案</w:t>
      </w:r>
      <w:r>
        <w:rPr>
          <w:rFonts w:hint="eastAsia" w:ascii="宋体" w:hAnsi="宋体" w:cs="仿宋_GB2312"/>
          <w:color w:val="auto"/>
          <w:szCs w:val="32"/>
        </w:rPr>
        <w:t>。</w:t>
      </w:r>
    </w:p>
    <w:p>
      <w:pPr>
        <w:widowControl w:val="0"/>
        <w:wordWrap/>
        <w:snapToGrid/>
        <w:spacing w:line="560" w:lineRule="exact"/>
        <w:ind w:firstLine="640" w:firstLineChars="200"/>
        <w:textAlignment w:val="auto"/>
        <w:rPr>
          <w:rFonts w:hint="eastAsia" w:ascii="宋体" w:hAnsi="宋体" w:eastAsia="仿宋_GB2312"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八</w:t>
      </w:r>
      <w:r>
        <w:rPr>
          <w:rFonts w:hint="eastAsia" w:ascii="宋体" w:hAnsi="宋体" w:eastAsia="黑体" w:cs="黑体"/>
          <w:color w:val="auto"/>
          <w:szCs w:val="32"/>
        </w:rPr>
        <w:t>条</w:t>
      </w:r>
      <w:r>
        <w:rPr>
          <w:rFonts w:hint="eastAsia" w:ascii="宋体" w:hAnsi="宋体" w:cs="仿宋_GB2312"/>
          <w:color w:val="auto"/>
          <w:szCs w:val="32"/>
        </w:rPr>
        <w:t xml:space="preserve">  </w:t>
      </w:r>
      <w:r>
        <w:rPr>
          <w:rFonts w:hint="eastAsia" w:ascii="宋体" w:hAnsi="宋体" w:eastAsia="仿宋_GB2312" w:cs="仿宋_GB2312"/>
          <w:i w:val="0"/>
          <w:iCs w:val="0"/>
          <w:color w:val="auto"/>
          <w:szCs w:val="32"/>
          <w:u w:val="none"/>
          <w:lang w:eastAsia="zh-CN"/>
        </w:rPr>
        <w:t>县</w:t>
      </w:r>
      <w:r>
        <w:rPr>
          <w:rFonts w:hint="eastAsia" w:ascii="宋体" w:hAnsi="宋体" w:cs="仿宋_GB2312"/>
          <w:color w:val="auto"/>
          <w:szCs w:val="32"/>
        </w:rPr>
        <w:t>级</w:t>
      </w:r>
      <w:r>
        <w:rPr>
          <w:rFonts w:hint="eastAsia" w:ascii="宋体" w:hAnsi="宋体" w:eastAsia="仿宋_GB2312" w:cs="仿宋_GB2312"/>
          <w:color w:val="auto"/>
          <w:szCs w:val="32"/>
          <w:lang w:eastAsia="zh-CN"/>
        </w:rPr>
        <w:t>以上</w:t>
      </w:r>
      <w:r>
        <w:rPr>
          <w:rFonts w:hint="eastAsia" w:ascii="宋体" w:hAnsi="宋体" w:cs="仿宋_GB2312"/>
          <w:color w:val="auto"/>
          <w:szCs w:val="32"/>
        </w:rPr>
        <w:t>红十字会应当建立红十字应急救护培训长效机制，</w:t>
      </w:r>
      <w:r>
        <w:rPr>
          <w:rFonts w:hint="eastAsia" w:ascii="宋体" w:hAnsi="宋体" w:cs="仿宋_GB2312"/>
          <w:i w:val="0"/>
          <w:iCs w:val="0"/>
          <w:color w:val="auto"/>
          <w:szCs w:val="32"/>
          <w:u w:val="none"/>
        </w:rPr>
        <w:t>推动社区、农村、学校、企业和机关的红十字</w:t>
      </w:r>
      <w:r>
        <w:rPr>
          <w:rFonts w:hint="eastAsia" w:ascii="宋体" w:hAnsi="宋体" w:cs="仿宋_GB2312"/>
          <w:i w:val="0"/>
          <w:iCs w:val="0"/>
          <w:color w:val="auto"/>
          <w:szCs w:val="32"/>
          <w:u w:val="none"/>
          <w:lang w:eastAsia="zh-CN"/>
        </w:rPr>
        <w:t>应急</w:t>
      </w:r>
      <w:r>
        <w:rPr>
          <w:rFonts w:hint="eastAsia" w:ascii="宋体" w:hAnsi="宋体" w:cs="仿宋_GB2312"/>
          <w:i w:val="0"/>
          <w:iCs w:val="0"/>
          <w:color w:val="auto"/>
          <w:szCs w:val="32"/>
          <w:u w:val="none"/>
        </w:rPr>
        <w:t>救护培训工作</w:t>
      </w:r>
      <w:r>
        <w:rPr>
          <w:rFonts w:hint="eastAsia" w:ascii="宋体" w:hAnsi="宋体" w:eastAsia="仿宋_GB2312" w:cs="仿宋_GB2312"/>
          <w:i w:val="0"/>
          <w:iCs w:val="0"/>
          <w:color w:val="auto"/>
          <w:szCs w:val="32"/>
          <w:u w:val="none"/>
          <w:lang w:eastAsia="zh-CN"/>
        </w:rPr>
        <w:t>，</w:t>
      </w:r>
      <w:r>
        <w:rPr>
          <w:rFonts w:hint="eastAsia" w:ascii="宋体" w:hAnsi="宋体" w:eastAsia="仿宋_GB2312" w:cs="仿宋_GB2312"/>
          <w:color w:val="auto"/>
          <w:kern w:val="0"/>
          <w:szCs w:val="32"/>
        </w:rPr>
        <w:t>在容易发生意外伤害的领域</w:t>
      </w:r>
      <w:r>
        <w:rPr>
          <w:rFonts w:hint="eastAsia" w:ascii="宋体" w:hAnsi="宋体" w:eastAsia="仿宋_GB2312" w:cs="仿宋_GB2312"/>
          <w:color w:val="auto"/>
          <w:kern w:val="0"/>
          <w:szCs w:val="32"/>
          <w:lang w:eastAsia="zh-CN"/>
        </w:rPr>
        <w:t>和行业</w:t>
      </w:r>
      <w:r>
        <w:rPr>
          <w:rFonts w:hint="eastAsia" w:ascii="宋体" w:hAnsi="宋体" w:eastAsia="仿宋_GB2312" w:cs="仿宋_GB2312"/>
          <w:color w:val="auto"/>
          <w:kern w:val="0"/>
          <w:szCs w:val="32"/>
        </w:rPr>
        <w:t>开展应急救护培训，普及卫生救护知识，</w:t>
      </w:r>
      <w:r>
        <w:rPr>
          <w:rFonts w:hint="eastAsia" w:ascii="宋体" w:hAnsi="宋体" w:eastAsia="仿宋_GB2312" w:cs="仿宋_GB2312"/>
          <w:color w:val="auto"/>
          <w:szCs w:val="32"/>
        </w:rPr>
        <w:t>提高自救互救能力</w:t>
      </w:r>
      <w:r>
        <w:rPr>
          <w:rFonts w:hint="eastAsia" w:ascii="宋体" w:hAnsi="宋体" w:cs="仿宋_GB2312"/>
          <w:color w:val="auto"/>
          <w:szCs w:val="32"/>
        </w:rPr>
        <w:t>。</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九</w:t>
      </w:r>
      <w:r>
        <w:rPr>
          <w:rFonts w:hint="eastAsia" w:ascii="宋体" w:hAnsi="宋体" w:eastAsia="黑体" w:cs="黑体"/>
          <w:color w:val="auto"/>
          <w:szCs w:val="32"/>
        </w:rPr>
        <w:t xml:space="preserve">条  </w:t>
      </w:r>
      <w:r>
        <w:rPr>
          <w:rFonts w:hint="eastAsia" w:ascii="宋体" w:hAnsi="宋体" w:cs="仿宋_GB2312"/>
          <w:color w:val="auto"/>
          <w:szCs w:val="32"/>
        </w:rPr>
        <w:t>县级以上红十字会应当做好遗体与人体器官捐献的知识宣传、捐献登记、信息接收、捐献见证、缅怀纪念、人道救助等工作。省红十字会依法指导和协调下级红十字会参与、推动遗体与人体器官捐献工作，为捐受双方提供必要的人道救助。</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各级人民政府应当支持红十字会依法开展遗体与人体器官捐献工作，并保障相关工作经费。县级以上人民政府有关部门应当按照国家有关规定畅通人体捐献器官转运绿色通道。</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二十</w:t>
      </w:r>
      <w:r>
        <w:rPr>
          <w:rFonts w:hint="eastAsia" w:ascii="宋体" w:hAnsi="宋体" w:eastAsia="黑体" w:cs="黑体"/>
          <w:color w:val="auto"/>
          <w:szCs w:val="32"/>
        </w:rPr>
        <w:t xml:space="preserve">条 </w:t>
      </w:r>
      <w:r>
        <w:rPr>
          <w:rFonts w:hint="eastAsia" w:ascii="宋体" w:hAnsi="宋体" w:cs="Times New Roman"/>
          <w:color w:val="auto"/>
          <w:szCs w:val="32"/>
        </w:rPr>
        <w:t xml:space="preserve"> </w:t>
      </w:r>
      <w:r>
        <w:rPr>
          <w:rFonts w:hint="eastAsia" w:ascii="宋体" w:hAnsi="宋体" w:cs="仿宋_GB2312"/>
          <w:color w:val="auto"/>
          <w:szCs w:val="32"/>
        </w:rPr>
        <w:t>县级以上红十字会应当组织红十字会会员和志愿者，在城镇社区和农村开展以健康服务、大病医疗救助、扶贫帮困等为内容的人道主义服务活动。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一</w:t>
      </w:r>
      <w:r>
        <w:rPr>
          <w:rFonts w:hint="eastAsia" w:ascii="宋体" w:hAnsi="宋体" w:eastAsia="黑体" w:cs="黑体"/>
          <w:color w:val="auto"/>
          <w:szCs w:val="32"/>
        </w:rPr>
        <w:t>条</w:t>
      </w:r>
      <w:r>
        <w:rPr>
          <w:rFonts w:hint="eastAsia" w:ascii="宋体" w:hAnsi="宋体" w:cs="Times New Roman"/>
          <w:color w:val="auto"/>
          <w:szCs w:val="32"/>
        </w:rPr>
        <w:t xml:space="preserve">  </w:t>
      </w:r>
      <w:r>
        <w:rPr>
          <w:rFonts w:hint="eastAsia" w:ascii="宋体" w:hAnsi="宋体" w:cs="仿宋_GB2312"/>
          <w:color w:val="auto"/>
          <w:szCs w:val="32"/>
        </w:rPr>
        <w:t>县级以上红十字会应当成立红十字志愿服务组织，吸收自愿为红十字事业工作的人员为红十字志愿者，组织其参加人道主义救助活动。</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0"/>
          <w:sz w:val="32"/>
          <w:szCs w:val="32"/>
          <w:lang w:val="en-US" w:eastAsia="zh-CN" w:bidi="ar-SA"/>
        </w:rPr>
      </w:pPr>
      <w:r>
        <w:rPr>
          <w:rFonts w:hint="eastAsia" w:ascii="宋体" w:hAnsi="宋体" w:eastAsia="仿宋_GB2312" w:cs="仿宋_GB2312"/>
          <w:color w:val="auto"/>
          <w:kern w:val="2"/>
          <w:sz w:val="32"/>
          <w:szCs w:val="32"/>
          <w:lang w:val="en-US" w:eastAsia="zh-CN" w:bidi="ar-SA"/>
        </w:rPr>
        <w:t>各级人民政府应当支持红十字会各类救援</w:t>
      </w:r>
      <w:r>
        <w:rPr>
          <w:rFonts w:hint="eastAsia" w:ascii="宋体" w:hAnsi="宋体" w:eastAsia="仿宋_GB2312" w:cs="仿宋_GB2312"/>
          <w:i w:val="0"/>
          <w:iCs w:val="0"/>
          <w:color w:val="auto"/>
          <w:kern w:val="2"/>
          <w:sz w:val="32"/>
          <w:szCs w:val="32"/>
          <w:u w:val="none"/>
          <w:lang w:val="en-US" w:eastAsia="zh-CN" w:bidi="ar-SA"/>
        </w:rPr>
        <w:t>志愿者</w:t>
      </w:r>
      <w:r>
        <w:rPr>
          <w:rFonts w:hint="eastAsia" w:ascii="宋体" w:hAnsi="宋体" w:eastAsia="仿宋_GB2312" w:cs="仿宋_GB2312"/>
          <w:color w:val="auto"/>
          <w:kern w:val="2"/>
          <w:sz w:val="32"/>
          <w:szCs w:val="32"/>
          <w:lang w:val="en-US" w:eastAsia="zh-CN" w:bidi="ar-SA"/>
        </w:rPr>
        <w:t>队伍建设，提高救援的能力和水平</w:t>
      </w:r>
      <w:r>
        <w:rPr>
          <w:rFonts w:hint="eastAsia" w:ascii="宋体" w:hAnsi="宋体" w:eastAsia="仿宋_GB2312" w:cs="仿宋_GB2312"/>
          <w:color w:val="auto"/>
          <w:kern w:val="0"/>
          <w:sz w:val="32"/>
          <w:szCs w:val="32"/>
          <w:lang w:val="en-US" w:eastAsia="zh-CN" w:bidi="ar-SA"/>
        </w:rPr>
        <w:t>。</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二</w:t>
      </w:r>
      <w:r>
        <w:rPr>
          <w:rFonts w:hint="eastAsia" w:ascii="宋体" w:hAnsi="宋体" w:eastAsia="黑体" w:cs="黑体"/>
          <w:color w:val="auto"/>
          <w:szCs w:val="32"/>
        </w:rPr>
        <w:t>条</w:t>
      </w:r>
      <w:r>
        <w:rPr>
          <w:rFonts w:hint="eastAsia" w:ascii="宋体" w:hAnsi="宋体" w:cs="Times New Roman"/>
          <w:color w:val="auto"/>
          <w:szCs w:val="32"/>
        </w:rPr>
        <w:t xml:space="preserve">  各级人民政府应当支持在学校开展红十字青少年工作。</w:t>
      </w:r>
      <w:r>
        <w:rPr>
          <w:rFonts w:hint="eastAsia" w:ascii="宋体" w:hAnsi="宋体" w:cs="仿宋_GB2312"/>
          <w:color w:val="auto"/>
          <w:szCs w:val="32"/>
        </w:rPr>
        <w:t>教育部门和共青团组织协同红十字会对青少年进行卫生救护知识和技能教育，开展体现人道主义精神的红十字青少年活动。</w:t>
      </w:r>
    </w:p>
    <w:p>
      <w:pPr>
        <w:widowControl w:val="0"/>
        <w:wordWrap/>
        <w:snapToGrid/>
        <w:spacing w:line="560" w:lineRule="exact"/>
        <w:ind w:firstLine="640" w:firstLineChars="200"/>
        <w:textAlignment w:val="auto"/>
        <w:rPr>
          <w:rFonts w:hint="eastAsia" w:ascii="宋体" w:hAnsi="宋体" w:cs="Times New Roman"/>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三</w:t>
      </w:r>
      <w:r>
        <w:rPr>
          <w:rFonts w:hint="eastAsia" w:ascii="宋体" w:hAnsi="宋体" w:eastAsia="黑体" w:cs="黑体"/>
          <w:color w:val="auto"/>
          <w:szCs w:val="32"/>
        </w:rPr>
        <w:t>条</w:t>
      </w:r>
      <w:r>
        <w:rPr>
          <w:rFonts w:hint="eastAsia" w:ascii="宋体" w:hAnsi="宋体" w:cs="Times New Roman"/>
          <w:color w:val="auto"/>
          <w:szCs w:val="32"/>
        </w:rPr>
        <w:t xml:space="preserve">  在自然灾害、事故灾难、公共卫生</w:t>
      </w:r>
      <w:r>
        <w:rPr>
          <w:rFonts w:hint="eastAsia" w:ascii="宋体" w:hAnsi="宋体" w:cs="Times New Roman"/>
          <w:color w:val="auto"/>
          <w:szCs w:val="32"/>
          <w:lang w:eastAsia="zh-CN"/>
        </w:rPr>
        <w:t>事件</w:t>
      </w:r>
      <w:r>
        <w:rPr>
          <w:rFonts w:hint="eastAsia" w:ascii="宋体" w:hAnsi="宋体" w:cs="Times New Roman"/>
          <w:color w:val="auto"/>
          <w:szCs w:val="32"/>
        </w:rPr>
        <w:t>等突发事件中，执行救助任务并标有红十字标志的人员、物资和交通工具有优先通行的权利，车辆免交通行费。</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四</w:t>
      </w:r>
      <w:r>
        <w:rPr>
          <w:rFonts w:hint="eastAsia" w:ascii="宋体" w:hAnsi="宋体" w:eastAsia="黑体" w:cs="黑体"/>
          <w:color w:val="auto"/>
          <w:szCs w:val="32"/>
        </w:rPr>
        <w:t>条</w:t>
      </w:r>
      <w:r>
        <w:rPr>
          <w:rFonts w:hint="eastAsia" w:ascii="宋体" w:hAnsi="宋体" w:cs="黑体"/>
          <w:i w:val="0"/>
          <w:iCs/>
          <w:color w:val="auto"/>
          <w:szCs w:val="32"/>
          <w:u w:val="none"/>
        </w:rPr>
        <w:t xml:space="preserve">  </w:t>
      </w:r>
      <w:r>
        <w:rPr>
          <w:rFonts w:hint="eastAsia" w:ascii="宋体" w:hAnsi="宋体" w:cs="仿宋_GB2312"/>
          <w:color w:val="auto"/>
          <w:szCs w:val="32"/>
        </w:rPr>
        <w:t>县级以上人民政府应当将红十字会的信息化建设纳入当地信息化建设总体规划，提升红十字会的科学管理和信息公开水平，实现备灾救灾、社会救助等信息</w:t>
      </w:r>
      <w:r>
        <w:rPr>
          <w:rFonts w:hint="eastAsia" w:ascii="宋体" w:hAnsi="宋体" w:cs="仿宋_GB2312"/>
          <w:color w:val="auto"/>
          <w:szCs w:val="32"/>
          <w:lang w:eastAsia="zh-CN"/>
        </w:rPr>
        <w:t>的</w:t>
      </w:r>
      <w:r>
        <w:rPr>
          <w:rFonts w:hint="eastAsia" w:ascii="宋体" w:hAnsi="宋体" w:cs="仿宋_GB2312"/>
          <w:color w:val="auto"/>
          <w:szCs w:val="32"/>
        </w:rPr>
        <w:t>互联互通</w:t>
      </w:r>
      <w:r>
        <w:rPr>
          <w:rFonts w:hint="eastAsia" w:ascii="宋体" w:hAnsi="宋体" w:cs="仿宋_GB2312"/>
          <w:color w:val="auto"/>
          <w:szCs w:val="32"/>
          <w:lang w:eastAsia="zh-CN"/>
        </w:rPr>
        <w:t>和</w:t>
      </w:r>
      <w:r>
        <w:rPr>
          <w:rFonts w:hint="eastAsia" w:ascii="宋体" w:hAnsi="宋体" w:cs="仿宋_GB2312"/>
          <w:color w:val="auto"/>
          <w:szCs w:val="32"/>
        </w:rPr>
        <w:t>共享。</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五</w:t>
      </w:r>
      <w:r>
        <w:rPr>
          <w:rFonts w:hint="eastAsia" w:ascii="宋体" w:hAnsi="宋体" w:eastAsia="黑体" w:cs="黑体"/>
          <w:color w:val="auto"/>
          <w:szCs w:val="32"/>
        </w:rPr>
        <w:t xml:space="preserve">条  </w:t>
      </w:r>
      <w:r>
        <w:rPr>
          <w:rFonts w:hint="eastAsia" w:ascii="宋体" w:hAnsi="宋体" w:cs="仿宋_GB2312"/>
          <w:color w:val="auto"/>
          <w:szCs w:val="32"/>
        </w:rPr>
        <w:t>任何组织和个人不得有下列行为：</w:t>
      </w:r>
    </w:p>
    <w:p>
      <w:pPr>
        <w:widowControl w:val="0"/>
        <w:wordWrap/>
        <w:snapToGrid/>
        <w:spacing w:line="560" w:lineRule="exact"/>
        <w:ind w:firstLine="640" w:firstLineChars="200"/>
        <w:textAlignment w:val="auto"/>
        <w:rPr>
          <w:rFonts w:hint="eastAsia" w:ascii="宋体" w:hAnsi="宋体" w:cs="仿宋_GB2312"/>
          <w:color w:val="auto"/>
          <w:szCs w:val="32"/>
          <w:lang w:eastAsia="zh-CN"/>
        </w:rPr>
      </w:pPr>
      <w:r>
        <w:rPr>
          <w:rFonts w:hint="eastAsia" w:ascii="宋体" w:hAnsi="宋体" w:cs="仿宋_GB2312"/>
          <w:color w:val="auto"/>
          <w:szCs w:val="32"/>
        </w:rPr>
        <w:t>（一）阻碍红十字会工作人员依法履行职责</w:t>
      </w:r>
      <w:r>
        <w:rPr>
          <w:rFonts w:hint="eastAsia" w:ascii="宋体" w:hAnsi="宋体" w:cs="仿宋_GB2312"/>
          <w:color w:val="auto"/>
          <w:szCs w:val="32"/>
          <w:lang w:eastAsia="zh-CN"/>
        </w:rPr>
        <w:t>；</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（二）制造、发布、传播涉及红十字会的虚假信息；</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（三）冒用、滥用、篡改红十字标志和名称；</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w:t>
      </w:r>
      <w:r>
        <w:rPr>
          <w:rFonts w:hint="eastAsia" w:ascii="宋体" w:hAnsi="宋体" w:cs="仿宋_GB2312"/>
          <w:color w:val="auto"/>
          <w:szCs w:val="32"/>
          <w:lang w:eastAsia="zh-CN"/>
        </w:rPr>
        <w:t>四</w:t>
      </w:r>
      <w:r>
        <w:rPr>
          <w:rFonts w:hint="eastAsia" w:ascii="宋体" w:hAnsi="宋体" w:cs="仿宋_GB2312"/>
          <w:color w:val="auto"/>
          <w:szCs w:val="32"/>
        </w:rPr>
        <w:t>）利用红十字标志和名称或者容易导致混淆的标志和名称牟利。</w:t>
      </w:r>
    </w:p>
    <w:p>
      <w:pPr>
        <w:widowControl w:val="0"/>
        <w:wordWrap/>
        <w:snapToGrid/>
        <w:spacing w:before="0" w:beforeLines="0" w:after="0" w:afterLines="0" w:line="560" w:lineRule="exact"/>
        <w:ind w:firstLine="640" w:firstLineChars="200"/>
        <w:jc w:val="both"/>
        <w:textAlignment w:val="auto"/>
        <w:rPr>
          <w:rFonts w:ascii="宋体" w:hAnsi="宋体" w:eastAsia="楷体_GB2312" w:cs="楷体_GB2312"/>
          <w:color w:val="auto"/>
          <w:kern w:val="2"/>
          <w:sz w:val="32"/>
          <w:szCs w:val="32"/>
          <w:lang w:val="en-US" w:eastAsia="zh-CN" w:bidi="ar-SA"/>
        </w:rPr>
      </w:pPr>
    </w:p>
    <w:p>
      <w:pPr>
        <w:widowControl w:val="0"/>
        <w:wordWrap/>
        <w:snapToGrid/>
        <w:spacing w:before="0" w:beforeLines="0" w:after="0" w:afterLines="0" w:line="560" w:lineRule="exact"/>
        <w:ind w:firstLine="0" w:firstLineChars="0"/>
        <w:jc w:val="center"/>
        <w:textAlignment w:val="auto"/>
        <w:rPr>
          <w:rFonts w:hint="eastAsia" w:ascii="宋体" w:hAnsi="宋体" w:eastAsia="黑体" w:cs="黑体"/>
          <w:iCs/>
          <w:color w:val="auto"/>
          <w:kern w:val="2"/>
          <w:sz w:val="32"/>
          <w:szCs w:val="32"/>
          <w:lang w:val="en-US" w:eastAsia="zh-CN" w:bidi="ar-SA"/>
        </w:rPr>
      </w:pPr>
      <w:r>
        <w:rPr>
          <w:rFonts w:hint="eastAsia" w:ascii="宋体" w:hAnsi="宋体" w:eastAsia="黑体" w:cs="黑体"/>
          <w:iCs/>
          <w:color w:val="auto"/>
          <w:kern w:val="2"/>
          <w:sz w:val="32"/>
          <w:szCs w:val="32"/>
          <w:lang w:val="en-US" w:eastAsia="zh-CN" w:bidi="ar-SA"/>
        </w:rPr>
        <w:t>第四章  财产与监管</w:t>
      </w:r>
    </w:p>
    <w:p>
      <w:pPr>
        <w:widowControl w:val="0"/>
        <w:wordWrap/>
        <w:snapToGrid/>
        <w:spacing w:before="0" w:beforeLines="0" w:after="0" w:afterLines="0" w:line="560" w:lineRule="exact"/>
        <w:ind w:firstLine="0" w:firstLineChars="0"/>
        <w:jc w:val="center"/>
        <w:textAlignment w:val="auto"/>
        <w:rPr>
          <w:rFonts w:hint="eastAsia" w:ascii="宋体" w:hAnsi="宋体" w:eastAsia="黑体" w:cs="黑体"/>
          <w:iCs/>
          <w:color w:val="auto"/>
          <w:kern w:val="2"/>
          <w:sz w:val="32"/>
          <w:szCs w:val="32"/>
          <w:lang w:val="en-US" w:eastAsia="zh-CN" w:bidi="ar-SA"/>
        </w:rPr>
      </w:pPr>
    </w:p>
    <w:p>
      <w:pPr>
        <w:widowControl w:val="0"/>
        <w:wordWrap/>
        <w:snapToGrid/>
        <w:spacing w:line="560" w:lineRule="exact"/>
        <w:ind w:firstLine="640" w:firstLineChars="200"/>
        <w:textAlignment w:val="auto"/>
        <w:rPr>
          <w:rFonts w:ascii="宋体" w:hAnsi="宋体" w:cs="黑体"/>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六</w:t>
      </w:r>
      <w:r>
        <w:rPr>
          <w:rFonts w:hint="eastAsia" w:ascii="宋体" w:hAnsi="宋体" w:eastAsia="黑体" w:cs="黑体"/>
          <w:color w:val="auto"/>
          <w:szCs w:val="32"/>
        </w:rPr>
        <w:t>条</w:t>
      </w:r>
      <w:r>
        <w:rPr>
          <w:rFonts w:hint="eastAsia" w:ascii="宋体" w:hAnsi="宋体" w:cs="黑体"/>
          <w:color w:val="auto"/>
          <w:szCs w:val="32"/>
        </w:rPr>
        <w:t xml:space="preserve">  红十字会财产的主要来源：</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（一）红十字会会员缴纳的会费；</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（二）红十字会动产和不动产收入；</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（三）境内外组织和个人捐赠的财产；</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（四）红十字会基层组织所在单位和部门的资助；</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（五）人民政府拨款；</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（六）其他合法收入。</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红十字会应当将捐赠财产和其他财产分开管理，并依照法律法规的有关规定处分捐赠财产。</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七</w:t>
      </w:r>
      <w:r>
        <w:rPr>
          <w:rFonts w:hint="eastAsia" w:ascii="宋体" w:hAnsi="宋体" w:eastAsia="黑体" w:cs="黑体"/>
          <w:color w:val="auto"/>
          <w:szCs w:val="32"/>
        </w:rPr>
        <w:t xml:space="preserve">条 </w:t>
      </w:r>
      <w:r>
        <w:rPr>
          <w:rFonts w:hint="eastAsia" w:ascii="宋体" w:hAnsi="宋体" w:cs="Times New Roman"/>
          <w:color w:val="auto"/>
          <w:szCs w:val="32"/>
        </w:rPr>
        <w:t xml:space="preserve"> </w:t>
      </w:r>
      <w:r>
        <w:rPr>
          <w:rFonts w:hint="eastAsia" w:ascii="宋体" w:hAnsi="宋体" w:cs="黑体"/>
          <w:color w:val="auto"/>
          <w:szCs w:val="32"/>
        </w:rPr>
        <w:t>省红十字会依法可以设立红十字基金会，市、县级红十字会可以设立专项基金，接受境内外组织和个人捐赠，用于发展红十字事业。</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八</w:t>
      </w:r>
      <w:r>
        <w:rPr>
          <w:rFonts w:hint="eastAsia" w:ascii="宋体" w:hAnsi="宋体" w:eastAsia="黑体" w:cs="黑体"/>
          <w:color w:val="auto"/>
          <w:szCs w:val="32"/>
        </w:rPr>
        <w:t>条</w:t>
      </w:r>
      <w:r>
        <w:rPr>
          <w:rFonts w:hint="eastAsia" w:ascii="宋体" w:hAnsi="宋体" w:cs="黑体"/>
          <w:color w:val="auto"/>
          <w:szCs w:val="32"/>
        </w:rPr>
        <w:t xml:space="preserve">  红十字会依法接受自然人、法人以及其他组织捐赠的财产，应当向捐赠人开具由财政部门统一监（印）制的公益事业捐赠票据。捐赠人匿名或者放弃接受捐赠票据的，红十字会应当做好相关记录。</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九</w:t>
      </w:r>
      <w:r>
        <w:rPr>
          <w:rFonts w:hint="eastAsia" w:ascii="宋体" w:hAnsi="宋体" w:eastAsia="黑体" w:cs="黑体"/>
          <w:color w:val="auto"/>
          <w:szCs w:val="32"/>
        </w:rPr>
        <w:t xml:space="preserve">条 </w:t>
      </w:r>
      <w:r>
        <w:rPr>
          <w:rFonts w:hint="eastAsia" w:ascii="宋体" w:hAnsi="宋体" w:cs="Times New Roman"/>
          <w:color w:val="auto"/>
          <w:szCs w:val="32"/>
        </w:rPr>
        <w:t xml:space="preserve"> </w:t>
      </w:r>
      <w:r>
        <w:rPr>
          <w:rFonts w:hint="eastAsia" w:ascii="宋体" w:hAnsi="宋体" w:cs="黑体"/>
          <w:color w:val="auto"/>
          <w:szCs w:val="32"/>
        </w:rPr>
        <w:t>红十字会处分捐赠财产时，应当按照募捐方案、捐赠协议或者捐赠人意愿执行，不得擅自改变捐赠财产的用途。</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确需改变捐赠财产用途的，应当征得捐赠人的书面同意。经公告仍无法联系到捐赠人的，红十字会可以拟制使用计划，提交监事会审核并报同级人民政府民政部门</w:t>
      </w:r>
      <w:r>
        <w:rPr>
          <w:rFonts w:hint="eastAsia" w:ascii="宋体" w:hAnsi="宋体" w:cs="黑体"/>
          <w:color w:val="auto"/>
          <w:szCs w:val="32"/>
          <w:lang w:eastAsia="zh-CN"/>
        </w:rPr>
        <w:t>备案</w:t>
      </w:r>
      <w:r>
        <w:rPr>
          <w:rFonts w:hint="eastAsia" w:ascii="宋体" w:hAnsi="宋体" w:cs="黑体"/>
          <w:color w:val="auto"/>
          <w:szCs w:val="32"/>
        </w:rPr>
        <w:t>后实施，有关财产的使用情况应当向社会公布。</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对于没有具体捐赠意向的捐赠财产，</w:t>
      </w:r>
      <w:r>
        <w:rPr>
          <w:rFonts w:hint="eastAsia" w:ascii="宋体" w:hAnsi="宋体" w:cs="黑体"/>
          <w:color w:val="auto"/>
          <w:szCs w:val="32"/>
          <w:lang w:eastAsia="zh-CN"/>
        </w:rPr>
        <w:t>由红十字会</w:t>
      </w:r>
      <w:r>
        <w:rPr>
          <w:rFonts w:hint="eastAsia" w:ascii="宋体" w:hAnsi="宋体" w:cs="黑体"/>
          <w:color w:val="auto"/>
          <w:szCs w:val="32"/>
        </w:rPr>
        <w:t>依法根据红十字事业发展的需要使用，并及时主动向捐赠人反馈使用情况。</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lang w:eastAsia="zh-CN"/>
        </w:rPr>
        <w:t>第三十条</w:t>
      </w:r>
      <w:r>
        <w:rPr>
          <w:rFonts w:hint="eastAsia" w:ascii="宋体" w:hAnsi="宋体" w:cs="Times New Roman"/>
          <w:color w:val="auto"/>
          <w:szCs w:val="32"/>
          <w:lang w:val="en-US" w:eastAsia="zh-CN"/>
        </w:rPr>
        <w:t xml:space="preserve">  </w:t>
      </w:r>
      <w:r>
        <w:rPr>
          <w:rFonts w:hint="eastAsia" w:ascii="宋体" w:hAnsi="宋体" w:cs="黑体"/>
          <w:color w:val="auto"/>
          <w:szCs w:val="32"/>
        </w:rPr>
        <w:t>捐赠</w:t>
      </w:r>
      <w:r>
        <w:rPr>
          <w:rFonts w:hint="eastAsia" w:ascii="宋体" w:hAnsi="宋体" w:cs="黑体"/>
          <w:color w:val="auto"/>
          <w:szCs w:val="32"/>
          <w:lang w:eastAsia="zh-CN"/>
        </w:rPr>
        <w:t>人</w:t>
      </w:r>
      <w:r>
        <w:rPr>
          <w:rFonts w:hint="eastAsia" w:ascii="宋体" w:hAnsi="宋体" w:cs="黑体"/>
          <w:color w:val="auto"/>
          <w:szCs w:val="32"/>
        </w:rPr>
        <w:t>有权向红十字会查询、复制其所捐赠财产管理、使用的有关资料，并提出意见和建议；红十字会应当在收到捐赠</w:t>
      </w:r>
      <w:r>
        <w:rPr>
          <w:rFonts w:hint="eastAsia" w:ascii="宋体" w:hAnsi="宋体" w:cs="黑体"/>
          <w:color w:val="auto"/>
          <w:szCs w:val="32"/>
          <w:lang w:eastAsia="zh-CN"/>
        </w:rPr>
        <w:t>人</w:t>
      </w:r>
      <w:r>
        <w:rPr>
          <w:rFonts w:hint="eastAsia" w:ascii="宋体" w:hAnsi="宋体" w:cs="黑体"/>
          <w:color w:val="auto"/>
          <w:szCs w:val="32"/>
        </w:rPr>
        <w:t>要求之日起二十个工作日内如实提供有关资料。</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红十字会违反募捐方案、捐赠人意愿或者捐赠协议的约定，滥用捐赠财产的，捐赠人有权要求其改正；拒不改正的，捐赠人可以向人民政府民政部门投诉、举报或者向人民法院提起诉讼。</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捐赠人与红十字会对其捐赠财产管理、使用存在争议的，双方可以协商委托独立的第三方机构，对捐赠财产的管理、使用情况进行审计。</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三十一</w:t>
      </w:r>
      <w:r>
        <w:rPr>
          <w:rFonts w:hint="eastAsia" w:ascii="宋体" w:hAnsi="宋体" w:eastAsia="黑体" w:cs="黑体"/>
          <w:color w:val="auto"/>
          <w:szCs w:val="32"/>
        </w:rPr>
        <w:t xml:space="preserve">条 </w:t>
      </w:r>
      <w:r>
        <w:rPr>
          <w:rFonts w:hint="eastAsia" w:ascii="宋体" w:hAnsi="宋体" w:cs="黑体"/>
          <w:color w:val="auto"/>
          <w:szCs w:val="32"/>
        </w:rPr>
        <w:t xml:space="preserve"> </w:t>
      </w:r>
      <w:r>
        <w:rPr>
          <w:rFonts w:hint="eastAsia" w:ascii="宋体" w:hAnsi="宋体" w:cs="仿宋_GB2312"/>
          <w:color w:val="auto"/>
          <w:szCs w:val="32"/>
        </w:rPr>
        <w:t>红十字会应当建立捐赠财产的财务管理、内部控制、审计公开和监督检查制度，规范捐赠财产的管理和使用，依法接受同级人民政府的检查监督。</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红十字会应当建立救灾救助财产接收发放管理制度和专项审查监督制度，对使用情况进行定期自查和分级检查，保障捐赠财产的安全和合理使用。</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县级以上红十字会监事会应当有监察、财政、审计、民政等部门的代表和捐赠人、志愿者，以及具有良好公信力、热心红十字事业的医疗卫生、财务会计、法律等领域的社会人士参加，对红十字会财务、项目以及捐赠财产的使用、分配情况等事项进行监督。</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黑体"/>
          <w:color w:val="auto"/>
          <w:kern w:val="2"/>
          <w:sz w:val="32"/>
          <w:szCs w:val="32"/>
          <w:lang w:val="en-US" w:eastAsia="zh-CN" w:bidi="ar-SA"/>
        </w:rPr>
      </w:pPr>
      <w:r>
        <w:rPr>
          <w:rFonts w:hint="eastAsia" w:ascii="宋体" w:hAnsi="宋体" w:eastAsia="仿宋_GB2312" w:cs="黑体"/>
          <w:color w:val="auto"/>
          <w:kern w:val="2"/>
          <w:sz w:val="32"/>
          <w:szCs w:val="32"/>
          <w:lang w:val="en-US" w:eastAsia="zh-CN" w:bidi="ar-SA"/>
        </w:rPr>
        <w:t>上级红十字会应当加强对下级红十字会的财务监督。</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二</w:t>
      </w:r>
      <w:r>
        <w:rPr>
          <w:rFonts w:hint="eastAsia" w:ascii="宋体" w:hAnsi="宋体" w:eastAsia="黑体" w:cs="黑体"/>
          <w:color w:val="auto"/>
          <w:szCs w:val="32"/>
        </w:rPr>
        <w:t xml:space="preserve">条 </w:t>
      </w:r>
      <w:r>
        <w:rPr>
          <w:rFonts w:hint="eastAsia" w:ascii="宋体" w:hAnsi="宋体" w:cs="黑体"/>
          <w:color w:val="auto"/>
          <w:szCs w:val="32"/>
        </w:rPr>
        <w:t xml:space="preserve"> 县级以上人民政府应当建立红十字会绩效考评和问责机制，严格实行责任追究。</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红十字会接受社会捐赠及其使用情况，依法接受同级人民政府民政部门的监督；红十字会财产的收入和使用情况，依法接受人民政府财政、审计等部门的监督。</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黑体"/>
          <w:color w:val="auto"/>
          <w:kern w:val="2"/>
          <w:sz w:val="32"/>
          <w:szCs w:val="32"/>
          <w:lang w:val="en-US" w:eastAsia="zh-CN" w:bidi="ar-SA"/>
        </w:rPr>
      </w:pPr>
      <w:r>
        <w:rPr>
          <w:rFonts w:hint="eastAsia" w:ascii="宋体" w:hAnsi="宋体" w:eastAsia="黑体" w:cs="黑体"/>
          <w:color w:val="auto"/>
          <w:kern w:val="0"/>
          <w:sz w:val="32"/>
          <w:szCs w:val="32"/>
          <w:lang w:val="en-US" w:eastAsia="zh-CN" w:bidi="ar-SA"/>
        </w:rPr>
        <w:t>第三十三</w:t>
      </w:r>
      <w:r>
        <w:rPr>
          <w:rFonts w:hint="eastAsia" w:ascii="宋体" w:hAnsi="宋体" w:eastAsia="黑体" w:cs="仿宋_GB2312"/>
          <w:color w:val="auto"/>
          <w:kern w:val="0"/>
          <w:sz w:val="32"/>
          <w:szCs w:val="32"/>
          <w:lang w:val="en-US" w:eastAsia="zh-CN" w:bidi="ar-SA"/>
        </w:rPr>
        <w:t xml:space="preserve">条 </w:t>
      </w:r>
      <w:r>
        <w:rPr>
          <w:rFonts w:hint="eastAsia" w:ascii="宋体" w:hAnsi="宋体" w:eastAsia="黑体" w:cs="仿宋_GB2312"/>
          <w:color w:val="auto"/>
          <w:kern w:val="2"/>
          <w:sz w:val="32"/>
          <w:szCs w:val="32"/>
          <w:lang w:val="en-US" w:eastAsia="zh-CN" w:bidi="ar-SA"/>
        </w:rPr>
        <w:t xml:space="preserve"> </w:t>
      </w:r>
      <w:r>
        <w:rPr>
          <w:rFonts w:hint="eastAsia" w:ascii="宋体" w:hAnsi="宋体" w:eastAsia="仿宋_GB2312" w:cs="黑体"/>
          <w:color w:val="auto"/>
          <w:kern w:val="2"/>
          <w:sz w:val="32"/>
          <w:szCs w:val="32"/>
          <w:lang w:val="en-US" w:eastAsia="zh-CN" w:bidi="ar-SA"/>
        </w:rPr>
        <w:t>县级以上红十字会应当聘请依法设立的独立第三方机构，对捐赠财产的收入和使用情况进行审计，将审计结果向本级红十字会理事会和监事会报告，并向社会公布。</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黑体"/>
          <w:color w:val="auto"/>
          <w:kern w:val="2"/>
          <w:sz w:val="32"/>
          <w:szCs w:val="32"/>
          <w:lang w:val="en-US" w:eastAsia="zh-CN" w:bidi="ar-SA"/>
        </w:rPr>
        <w:t>对红十字会在接收、管理、使用捐赠财产过程中的违法行为，公民、法人和其他组织均有权向民政部门和监察机关投诉、举报。接受投诉、举报的单位应当及时调查处理</w:t>
      </w:r>
      <w:r>
        <w:rPr>
          <w:rFonts w:hint="eastAsia" w:ascii="宋体" w:hAnsi="宋体" w:eastAsia="仿宋_GB2312" w:cs="仿宋_GB2312"/>
          <w:color w:val="auto"/>
          <w:kern w:val="2"/>
          <w:sz w:val="32"/>
          <w:szCs w:val="32"/>
          <w:lang w:val="en-US" w:eastAsia="zh-CN" w:bidi="ar-SA"/>
        </w:rPr>
        <w:t>，并将调查处理结果反馈给举报人。</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黑体"/>
          <w:color w:val="auto"/>
          <w:kern w:val="2"/>
          <w:sz w:val="32"/>
          <w:szCs w:val="32"/>
          <w:lang w:val="en-US" w:eastAsia="zh-CN" w:bidi="ar-SA"/>
        </w:rPr>
      </w:pPr>
      <w:r>
        <w:rPr>
          <w:rFonts w:hint="eastAsia" w:ascii="宋体" w:hAnsi="宋体" w:eastAsia="黑体" w:cs="黑体"/>
          <w:color w:val="auto"/>
          <w:kern w:val="2"/>
          <w:sz w:val="32"/>
          <w:szCs w:val="32"/>
          <w:lang w:val="en-US" w:eastAsia="zh-CN" w:bidi="ar-SA"/>
        </w:rPr>
        <w:t>第三十四条</w:t>
      </w:r>
      <w:r>
        <w:rPr>
          <w:rFonts w:hint="eastAsia" w:ascii="宋体" w:hAnsi="宋体" w:eastAsia="仿宋_GB2312" w:cs="仿宋_GB2312"/>
          <w:color w:val="auto"/>
          <w:kern w:val="2"/>
          <w:sz w:val="32"/>
          <w:szCs w:val="32"/>
          <w:lang w:val="en-US" w:eastAsia="zh-CN" w:bidi="ar-SA"/>
        </w:rPr>
        <w:t xml:space="preserve">  </w:t>
      </w:r>
      <w:r>
        <w:rPr>
          <w:rFonts w:hint="eastAsia" w:ascii="宋体" w:hAnsi="宋体" w:eastAsia="仿宋_GB2312" w:cs="黑体"/>
          <w:color w:val="auto"/>
          <w:kern w:val="2"/>
          <w:sz w:val="32"/>
          <w:szCs w:val="32"/>
          <w:lang w:val="en-US" w:eastAsia="zh-CN" w:bidi="ar-SA"/>
        </w:rPr>
        <w:t>红十字会应当依法执行信息公开制度，通过统一信息公开平台及时向社会公布资金募集、财务管理、招标采购、分配使用等捐赠信息，接受社会监督。</w:t>
      </w:r>
    </w:p>
    <w:p>
      <w:pPr>
        <w:widowControl w:val="0"/>
        <w:wordWrap/>
        <w:snapToGrid/>
        <w:spacing w:line="560" w:lineRule="exact"/>
        <w:ind w:firstLine="640" w:firstLineChars="200"/>
        <w:textAlignment w:val="auto"/>
        <w:rPr>
          <w:rFonts w:hint="eastAsia" w:ascii="宋体" w:hAnsi="宋体" w:eastAsia="仿宋_GB2312" w:cs="黑体"/>
          <w:color w:val="auto"/>
          <w:kern w:val="2"/>
          <w:sz w:val="32"/>
          <w:szCs w:val="32"/>
          <w:lang w:val="en-US" w:eastAsia="zh-CN" w:bidi="ar-SA"/>
        </w:rPr>
      </w:pPr>
      <w:r>
        <w:rPr>
          <w:rFonts w:hint="eastAsia" w:ascii="宋体" w:hAnsi="宋体" w:eastAsia="仿宋_GB2312" w:cs="黑体"/>
          <w:color w:val="auto"/>
          <w:kern w:val="2"/>
          <w:sz w:val="32"/>
          <w:szCs w:val="32"/>
          <w:lang w:val="en-US" w:eastAsia="zh-CN" w:bidi="ar-SA"/>
        </w:rPr>
        <w:t>红十字会应当每年向社会公开经审计的捐赠收支情况报告，定期向社会公开其募捐情况和项目实施情况。捐赠项目结束后三个月内应当全面公开项目实施情况和募得财产使用情况。</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黑体"/>
          <w:color w:val="auto"/>
          <w:kern w:val="2"/>
          <w:sz w:val="32"/>
          <w:szCs w:val="32"/>
          <w:lang w:val="en-US" w:eastAsia="zh-CN" w:bidi="ar-SA"/>
        </w:rPr>
      </w:pPr>
      <w:r>
        <w:rPr>
          <w:rFonts w:hint="eastAsia" w:ascii="宋体" w:hAnsi="宋体" w:eastAsia="仿宋_GB2312" w:cs="黑体"/>
          <w:color w:val="auto"/>
          <w:kern w:val="2"/>
          <w:sz w:val="32"/>
          <w:szCs w:val="32"/>
          <w:lang w:val="en-US" w:eastAsia="zh-CN" w:bidi="ar-SA"/>
        </w:rPr>
        <w:t>涉及国家秘密、商业秘密、个人隐私的信息以及捐赠人、慈善信托的委托人不同意公开的姓名、名称、住所、通讯方式等信息，不得公开。</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五</w:t>
      </w:r>
      <w:r>
        <w:rPr>
          <w:rFonts w:hint="eastAsia" w:ascii="宋体" w:hAnsi="宋体" w:eastAsia="黑体" w:cs="黑体"/>
          <w:color w:val="auto"/>
          <w:szCs w:val="32"/>
        </w:rPr>
        <w:t>条</w:t>
      </w:r>
      <w:r>
        <w:rPr>
          <w:rFonts w:hint="eastAsia" w:ascii="宋体" w:hAnsi="宋体" w:cs="黑体"/>
          <w:color w:val="auto"/>
          <w:szCs w:val="32"/>
        </w:rPr>
        <w:t xml:space="preserve">  各级人民政府对红十字会兴办的医疗、康复、养老等与其宗旨相符的社会公益事业给予扶持。</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自然人、法人以及其他组织向红十字会捐赠财产，依法享受税收优惠。</w:t>
      </w:r>
    </w:p>
    <w:p>
      <w:pPr>
        <w:widowControl w:val="0"/>
        <w:wordWrap/>
        <w:snapToGrid/>
        <w:spacing w:line="560" w:lineRule="exact"/>
        <w:ind w:firstLine="640" w:firstLineChars="200"/>
        <w:textAlignment w:val="auto"/>
        <w:rPr>
          <w:rFonts w:hint="eastAsia" w:ascii="宋体" w:hAnsi="宋体" w:cs="黑体"/>
          <w:color w:val="auto"/>
          <w:szCs w:val="32"/>
          <w:lang w:eastAsia="zh-CN"/>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六</w:t>
      </w:r>
      <w:r>
        <w:rPr>
          <w:rFonts w:hint="eastAsia" w:ascii="宋体" w:hAnsi="宋体" w:eastAsia="黑体" w:cs="黑体"/>
          <w:color w:val="auto"/>
          <w:szCs w:val="32"/>
        </w:rPr>
        <w:t>条</w:t>
      </w:r>
      <w:r>
        <w:rPr>
          <w:rFonts w:hint="eastAsia" w:ascii="宋体" w:hAnsi="宋体" w:cs="黑体"/>
          <w:color w:val="auto"/>
          <w:szCs w:val="32"/>
        </w:rPr>
        <w:t xml:space="preserve">  红十字会的财产受法律保护，</w:t>
      </w:r>
      <w:r>
        <w:rPr>
          <w:rFonts w:hint="eastAsia" w:ascii="宋体" w:hAnsi="宋体" w:cs="黑体"/>
          <w:color w:val="auto"/>
          <w:szCs w:val="32"/>
          <w:lang w:eastAsia="zh-CN"/>
        </w:rPr>
        <w:t>红十字会及其工作人员</w:t>
      </w:r>
      <w:r>
        <w:rPr>
          <w:rFonts w:hint="eastAsia" w:ascii="宋体" w:hAnsi="宋体" w:cs="黑体"/>
          <w:color w:val="auto"/>
          <w:szCs w:val="32"/>
        </w:rPr>
        <w:t>不得私分、挪用、截留或者侵占</w:t>
      </w:r>
      <w:r>
        <w:rPr>
          <w:rFonts w:hint="eastAsia" w:ascii="宋体" w:hAnsi="宋体" w:cs="黑体"/>
          <w:color w:val="auto"/>
          <w:szCs w:val="32"/>
          <w:lang w:eastAsia="zh-CN"/>
        </w:rPr>
        <w:t>。</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lang w:eastAsia="zh-CN"/>
        </w:rPr>
        <w:t>任何组织和个人不得盗窃、损毁或者以其他方式侵害红十字会的财产</w:t>
      </w:r>
      <w:r>
        <w:rPr>
          <w:rFonts w:hint="eastAsia" w:ascii="宋体" w:hAnsi="宋体" w:cs="黑体"/>
          <w:color w:val="auto"/>
          <w:szCs w:val="32"/>
        </w:rPr>
        <w:t>。</w:t>
      </w:r>
    </w:p>
    <w:p>
      <w:pPr>
        <w:widowControl w:val="0"/>
        <w:wordWrap/>
        <w:snapToGrid/>
        <w:spacing w:line="560" w:lineRule="exact"/>
        <w:ind w:firstLine="640" w:firstLineChars="200"/>
        <w:textAlignment w:val="auto"/>
        <w:rPr>
          <w:rFonts w:hint="eastAsia" w:ascii="宋体" w:hAnsi="宋体" w:eastAsia="仿宋_GB2312" w:cs="仿宋_GB2312"/>
          <w:color w:val="auto"/>
          <w:szCs w:val="32"/>
          <w:lang w:eastAsia="zh-CN"/>
        </w:rPr>
      </w:pPr>
    </w:p>
    <w:p>
      <w:pPr>
        <w:widowControl w:val="0"/>
        <w:wordWrap/>
        <w:snapToGrid/>
        <w:spacing w:line="560" w:lineRule="exact"/>
        <w:jc w:val="center"/>
        <w:textAlignment w:val="auto"/>
        <w:rPr>
          <w:rFonts w:hint="eastAsia" w:ascii="宋体" w:hAnsi="宋体" w:eastAsia="黑体" w:cs="黑体"/>
          <w:iCs/>
          <w:color w:val="auto"/>
          <w:szCs w:val="32"/>
        </w:rPr>
      </w:pPr>
      <w:r>
        <w:rPr>
          <w:rFonts w:hint="eastAsia" w:ascii="宋体" w:hAnsi="宋体" w:eastAsia="黑体" w:cs="黑体"/>
          <w:color w:val="auto"/>
          <w:szCs w:val="32"/>
        </w:rPr>
        <w:t>第五章  法律责任</w:t>
      </w:r>
    </w:p>
    <w:p>
      <w:pPr>
        <w:widowControl w:val="0"/>
        <w:wordWrap/>
        <w:snapToGrid/>
        <w:spacing w:line="560" w:lineRule="exact"/>
        <w:textAlignment w:val="auto"/>
        <w:rPr>
          <w:rFonts w:ascii="宋体" w:hAnsi="宋体" w:cs="Times New Roman"/>
          <w:color w:val="auto"/>
          <w:szCs w:val="32"/>
        </w:rPr>
      </w:pP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七</w:t>
      </w:r>
      <w:r>
        <w:rPr>
          <w:rFonts w:hint="eastAsia" w:ascii="宋体" w:hAnsi="宋体" w:eastAsia="黑体" w:cs="黑体"/>
          <w:color w:val="auto"/>
          <w:szCs w:val="32"/>
        </w:rPr>
        <w:t>条</w:t>
      </w:r>
      <w:r>
        <w:rPr>
          <w:rFonts w:hint="eastAsia" w:ascii="宋体" w:hAnsi="宋体" w:cs="Times New Roman"/>
          <w:color w:val="auto"/>
          <w:szCs w:val="32"/>
        </w:rPr>
        <w:t xml:space="preserve">  </w:t>
      </w:r>
      <w:r>
        <w:rPr>
          <w:rFonts w:hint="eastAsia" w:ascii="宋体" w:hAnsi="宋体" w:cs="黑体"/>
          <w:color w:val="auto"/>
          <w:szCs w:val="32"/>
        </w:rPr>
        <w:t>红十字会及其工作人员有下列行为之一的，由本级人民政府审计、民政等部门责令改正；情节严重的，对直接负责的主管人员和其他直接责任人员依法给予处分；造成损害的，依法承担民事责任；构成犯罪的，依法追究刑事责任：</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（一）违背募捐方案、捐赠人意愿或者捐赠协议，擅自处分其接受的捐赠财产的；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（二）未依法向捐赠人反馈所捐赠财产的管理、使用情况的；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（三）无正当理由拒绝捐赠人查询、复制或者逾期不提供其捐赠财产管理、使用的有关资料，或者提供虚假资料的；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（四）未依法向捐赠人开具捐赠票据的；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（五）未依法对捐赠财产的收入和使用情况进行审计的；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（六）私分、挪用、截留或者侵占财产的；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（七）未依法公开信息的；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（八）法律法规规定的其他情形。</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八</w:t>
      </w:r>
      <w:r>
        <w:rPr>
          <w:rFonts w:hint="eastAsia" w:ascii="宋体" w:hAnsi="宋体" w:eastAsia="黑体" w:cs="黑体"/>
          <w:color w:val="auto"/>
          <w:szCs w:val="32"/>
        </w:rPr>
        <w:t>条</w:t>
      </w:r>
      <w:r>
        <w:rPr>
          <w:rFonts w:hint="eastAsia" w:ascii="宋体" w:hAnsi="宋体" w:cs="Times New Roman"/>
          <w:color w:val="auto"/>
          <w:szCs w:val="32"/>
        </w:rPr>
        <w:t xml:space="preserve">  </w:t>
      </w:r>
      <w:r>
        <w:rPr>
          <w:rFonts w:hint="eastAsia" w:ascii="宋体" w:hAnsi="宋体" w:cs="黑体"/>
          <w:color w:val="auto"/>
          <w:szCs w:val="32"/>
        </w:rPr>
        <w:t>自然人、法人或者其他组织有下列情形之一，造成损害的，依法承担民事责任；构成违反治安管理行为的，依法给予治安管理处罚；构成犯罪的，依法追究刑事责任：</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（一）阻碍红十字会工作人员依法履行救援、救助、救护职责的；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（二）制造、发布、传播</w:t>
      </w:r>
      <w:r>
        <w:rPr>
          <w:rFonts w:hint="eastAsia" w:ascii="宋体" w:hAnsi="宋体" w:cs="黑体"/>
          <w:color w:val="auto"/>
          <w:szCs w:val="32"/>
          <w:lang w:eastAsia="zh-CN"/>
        </w:rPr>
        <w:t>涉及红十字会的</w:t>
      </w:r>
      <w:r>
        <w:rPr>
          <w:rFonts w:hint="eastAsia" w:ascii="宋体" w:hAnsi="宋体" w:cs="黑体"/>
          <w:color w:val="auto"/>
          <w:szCs w:val="32"/>
        </w:rPr>
        <w:t>虚假信息的；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（三）冒用、滥用、篡改红十字标志和名称的；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（四）利用红十字标志和名称或者容易导致混淆的标志和名称牟利的；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（五）盗窃、损毁或者以其他方式侵害红十字会财产的；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（六）法律法规规定的其他情形。</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九</w:t>
      </w:r>
      <w:r>
        <w:rPr>
          <w:rFonts w:hint="eastAsia" w:ascii="宋体" w:hAnsi="宋体" w:eastAsia="黑体" w:cs="黑体"/>
          <w:color w:val="auto"/>
          <w:szCs w:val="32"/>
        </w:rPr>
        <w:t>条</w:t>
      </w:r>
      <w:r>
        <w:rPr>
          <w:rFonts w:hint="eastAsia" w:ascii="宋体" w:hAnsi="宋体" w:cs="黑体"/>
          <w:color w:val="auto"/>
          <w:szCs w:val="32"/>
        </w:rPr>
        <w:t xml:space="preserve"> </w:t>
      </w:r>
      <w:r>
        <w:rPr>
          <w:rFonts w:hint="eastAsia" w:ascii="宋体" w:hAnsi="宋体" w:cs="Times New Roman"/>
          <w:color w:val="auto"/>
          <w:szCs w:val="32"/>
        </w:rPr>
        <w:t xml:space="preserve"> </w:t>
      </w:r>
      <w:r>
        <w:rPr>
          <w:rFonts w:hint="eastAsia" w:ascii="宋体" w:hAnsi="宋体" w:cs="黑体"/>
          <w:color w:val="auto"/>
          <w:szCs w:val="32"/>
        </w:rPr>
        <w:t>各级人民政府有关部门及其工作人员违反本条例规定，在实施监督管理中玩忽职守、滥用职权、徇私舞弊的，对直接负责的主管人员和其他直接责任人员依法给予处分；构成犯罪的，依法追究刑事责任。</w:t>
      </w:r>
    </w:p>
    <w:p>
      <w:pPr>
        <w:widowControl w:val="0"/>
        <w:wordWrap/>
        <w:snapToGrid/>
        <w:spacing w:before="0" w:beforeLines="0" w:after="0" w:afterLines="0" w:line="560" w:lineRule="exact"/>
        <w:ind w:firstLine="640" w:firstLineChars="200"/>
        <w:jc w:val="both"/>
        <w:textAlignment w:val="auto"/>
        <w:rPr>
          <w:rFonts w:ascii="宋体" w:hAnsi="宋体" w:eastAsia="仿宋_GB2312" w:cs="仿宋_GB2312"/>
          <w:color w:val="auto"/>
          <w:kern w:val="2"/>
          <w:sz w:val="32"/>
          <w:szCs w:val="32"/>
          <w:lang w:val="en-US" w:eastAsia="zh-CN" w:bidi="ar-SA"/>
        </w:rPr>
      </w:pPr>
    </w:p>
    <w:p>
      <w:pPr>
        <w:widowControl w:val="0"/>
        <w:wordWrap/>
        <w:snapToGrid/>
        <w:spacing w:line="560" w:lineRule="exact"/>
        <w:ind w:firstLine="3200" w:firstLineChars="1000"/>
        <w:textAlignment w:val="auto"/>
        <w:rPr>
          <w:rFonts w:ascii="宋体" w:hAnsi="宋体" w:cs="黑体"/>
          <w:color w:val="auto"/>
          <w:szCs w:val="32"/>
        </w:rPr>
      </w:pPr>
      <w:r>
        <w:rPr>
          <w:rFonts w:hint="eastAsia" w:ascii="宋体" w:hAnsi="宋体" w:eastAsia="黑体" w:cs="黑体"/>
          <w:color w:val="auto"/>
          <w:szCs w:val="32"/>
        </w:rPr>
        <w:t>第六章  附则</w:t>
      </w:r>
    </w:p>
    <w:p>
      <w:pPr>
        <w:widowControl w:val="0"/>
        <w:wordWrap/>
        <w:snapToGrid/>
        <w:spacing w:line="560" w:lineRule="exact"/>
        <w:ind w:firstLine="640" w:firstLineChars="200"/>
        <w:textAlignment w:val="auto"/>
        <w:rPr>
          <w:rFonts w:ascii="宋体" w:hAnsi="宋体" w:eastAsia="黑体" w:cs="黑体"/>
          <w:color w:val="auto"/>
          <w:szCs w:val="32"/>
        </w:rPr>
      </w:pPr>
    </w:p>
    <w:p>
      <w:pPr>
        <w:widowControl w:val="0"/>
        <w:wordWrap/>
        <w:adjustRightInd w:val="0"/>
        <w:snapToGrid/>
        <w:spacing w:line="560" w:lineRule="exact"/>
        <w:ind w:left="0" w:leftChars="0" w:right="0" w:firstLine="640" w:firstLineChars="200"/>
        <w:jc w:val="both"/>
        <w:textAlignment w:val="auto"/>
        <w:outlineLvl w:val="9"/>
        <w:rPr>
          <w:rFonts w:hint="eastAsia"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四十</w:t>
      </w:r>
      <w:r>
        <w:rPr>
          <w:rFonts w:hint="eastAsia" w:ascii="宋体" w:hAnsi="宋体" w:eastAsia="黑体" w:cs="黑体"/>
          <w:color w:val="auto"/>
          <w:szCs w:val="32"/>
        </w:rPr>
        <w:t>条</w:t>
      </w:r>
      <w:r>
        <w:rPr>
          <w:rFonts w:hint="eastAsia" w:ascii="宋体" w:hAnsi="宋体" w:cs="仿宋_GB2312"/>
          <w:color w:val="auto"/>
          <w:szCs w:val="32"/>
        </w:rPr>
        <w:t xml:space="preserve">  本条例自</w:t>
      </w:r>
      <w:r>
        <w:rPr>
          <w:rFonts w:hint="eastAsia" w:ascii="宋体" w:hAnsi="宋体" w:cs="仿宋_GB2312"/>
          <w:color w:val="auto"/>
          <w:szCs w:val="32"/>
          <w:lang w:val="en-US" w:eastAsia="zh-CN"/>
        </w:rPr>
        <w:t>2019</w:t>
      </w:r>
      <w:r>
        <w:rPr>
          <w:rFonts w:hint="eastAsia" w:ascii="宋体" w:hAnsi="宋体" w:cs="仿宋_GB2312"/>
          <w:color w:val="auto"/>
          <w:szCs w:val="32"/>
        </w:rPr>
        <w:t>年</w:t>
      </w:r>
      <w:r>
        <w:rPr>
          <w:rFonts w:hint="eastAsia" w:ascii="宋体" w:hAnsi="宋体" w:cs="仿宋_GB2312"/>
          <w:i w:val="0"/>
          <w:iCs w:val="0"/>
          <w:color w:val="auto"/>
          <w:szCs w:val="32"/>
          <w:u w:val="none"/>
          <w:lang w:val="en-US" w:eastAsia="zh-CN"/>
        </w:rPr>
        <w:t>5</w:t>
      </w:r>
      <w:r>
        <w:rPr>
          <w:rFonts w:hint="eastAsia" w:ascii="宋体" w:hAnsi="宋体" w:cs="仿宋_GB2312"/>
          <w:color w:val="auto"/>
          <w:szCs w:val="32"/>
        </w:rPr>
        <w:t>月</w:t>
      </w:r>
      <w:r>
        <w:rPr>
          <w:rFonts w:hint="eastAsia" w:ascii="宋体" w:hAnsi="宋体" w:cs="仿宋_GB2312"/>
          <w:color w:val="auto"/>
          <w:szCs w:val="32"/>
          <w:lang w:val="en-US" w:eastAsia="zh-CN"/>
        </w:rPr>
        <w:t>8</w:t>
      </w:r>
      <w:r>
        <w:rPr>
          <w:rFonts w:hint="eastAsia" w:ascii="宋体" w:hAnsi="宋体" w:cs="仿宋_GB2312"/>
          <w:color w:val="auto"/>
          <w:szCs w:val="32"/>
        </w:rPr>
        <w:t>日起施行。</w:t>
      </w:r>
    </w:p>
    <w:p>
      <w:pPr>
        <w:widowControl w:val="0"/>
        <w:wordWrap/>
        <w:snapToGrid/>
        <w:spacing w:line="560" w:lineRule="exact"/>
        <w:textAlignment w:val="auto"/>
        <w:rPr>
          <w:rFonts w:hint="eastAsia" w:ascii="宋体" w:hAnsi="宋体" w:eastAsia="宋体" w:cs="宋体"/>
          <w:color w:val="000000"/>
          <w:sz w:val="44"/>
          <w:szCs w:val="44"/>
        </w:rPr>
      </w:pPr>
    </w:p>
    <w:p>
      <w:pPr>
        <w:widowControl w:val="0"/>
        <w:wordWrap/>
        <w:snapToGrid/>
        <w:spacing w:line="560" w:lineRule="exact"/>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3" w:name="_Toc210"/>
      <w:r>
        <w:rPr>
          <w:rFonts w:hint="eastAsia" w:ascii="宋体" w:hAnsi="宋体" w:eastAsia="宋体" w:cs="宋体"/>
          <w:color w:val="000000"/>
          <w:sz w:val="44"/>
          <w:szCs w:val="44"/>
        </w:rPr>
        <w:t>广东省工资支付条例</w:t>
      </w:r>
      <w:bookmarkEnd w:id="473"/>
    </w:p>
    <w:p>
      <w:pPr>
        <w:pStyle w:val="37"/>
        <w:widowControl w:val="0"/>
        <w:wordWrap/>
        <w:overflowPunct w:val="0"/>
        <w:snapToGrid/>
        <w:spacing w:before="0" w:beforeAutospacing="0" w:after="0" w:afterAutospacing="0" w:line="560" w:lineRule="exact"/>
        <w:ind w:left="0" w:leftChars="0" w:right="0"/>
        <w:jc w:val="center"/>
        <w:textAlignment w:val="auto"/>
        <w:outlineLvl w:val="9"/>
        <w:rPr>
          <w:rFonts w:hint="eastAsia" w:ascii="宋体" w:hAnsi="宋体" w:eastAsia="宋体" w:cs="宋体"/>
          <w:b w:val="0"/>
          <w:bCs/>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left"/>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（2005年1月19日广东省第十届人民代表大会常务委员会第十六次会议通过  根据2016年9年29日广东省第十二届人民代表大会常务委员会第二十八次会议《关于修改〈广东省工资支付条例〉的决定》修正）</w:t>
      </w:r>
    </w:p>
    <w:p>
      <w:pPr>
        <w:pStyle w:val="35"/>
        <w:widowControl w:val="0"/>
        <w:wordWrap/>
        <w:overflowPunct w:val="0"/>
        <w:adjustRightInd w:val="0"/>
        <w:snapToGrid w:val="0"/>
        <w:spacing w:beforeAutospacing="0" w:afterAutospacing="0" w:line="560" w:lineRule="exact"/>
        <w:ind w:right="640" w:rightChars="200"/>
        <w:jc w:val="left"/>
        <w:textAlignment w:val="auto"/>
        <w:outlineLvl w:val="9"/>
        <w:rPr>
          <w:rFonts w:hint="eastAsia" w:ascii="宋体" w:hAnsi="宋体" w:eastAsia="宋体" w:cs="宋体"/>
          <w:b w:val="0"/>
          <w:bCs/>
          <w:sz w:val="32"/>
          <w:szCs w:val="32"/>
          <w:lang w:val="en-US" w:eastAsia="zh-CN"/>
        </w:rPr>
      </w:pPr>
    </w:p>
    <w:p>
      <w:pPr>
        <w:pStyle w:val="37"/>
        <w:widowControl w:val="0"/>
        <w:wordWrap/>
        <w:overflowPunct w:val="0"/>
        <w:snapToGrid/>
        <w:spacing w:before="0" w:beforeAutospacing="0" w:after="0" w:afterAutospacing="0" w:line="560" w:lineRule="exact"/>
        <w:ind w:left="0" w:leftChars="0" w:right="0" w:firstLine="631"/>
        <w:jc w:val="center"/>
        <w:textAlignment w:val="auto"/>
        <w:outlineLvl w:val="9"/>
        <w:rPr>
          <w:rFonts w:hint="eastAsia" w:ascii="宋体" w:hAnsi="宋体" w:eastAsia="楷体_GB2312" w:cs="楷体_GB2312"/>
          <w:b w:val="0"/>
          <w:bCs/>
          <w:sz w:val="32"/>
          <w:szCs w:val="32"/>
          <w:lang w:eastAsia="zh-CN"/>
        </w:rPr>
      </w:pPr>
      <w:r>
        <w:rPr>
          <w:rFonts w:hint="eastAsia" w:ascii="宋体" w:hAnsi="宋体" w:eastAsia="楷体_GB2312" w:cs="楷体_GB2312"/>
          <w:b w:val="0"/>
          <w:bCs/>
          <w:sz w:val="32"/>
          <w:szCs w:val="32"/>
          <w:lang w:eastAsia="zh-CN"/>
        </w:rPr>
        <w:t>目</w:t>
      </w:r>
      <w:r>
        <w:rPr>
          <w:rFonts w:hint="eastAsia" w:ascii="宋体" w:hAnsi="宋体" w:eastAsia="楷体_GB2312" w:cs="楷体_GB2312"/>
          <w:b w:val="0"/>
          <w:bCs/>
          <w:sz w:val="32"/>
          <w:szCs w:val="32"/>
          <w:lang w:val="en-US" w:eastAsia="zh-CN"/>
        </w:rPr>
        <w:t xml:space="preserve">    </w:t>
      </w:r>
      <w:r>
        <w:rPr>
          <w:rFonts w:hint="eastAsia" w:ascii="宋体" w:hAnsi="宋体" w:eastAsia="楷体_GB2312" w:cs="楷体_GB2312"/>
          <w:b w:val="0"/>
          <w:bCs/>
          <w:sz w:val="32"/>
          <w:szCs w:val="32"/>
          <w:lang w:eastAsia="zh-CN"/>
        </w:rPr>
        <w:t>录</w:t>
      </w:r>
    </w:p>
    <w:p>
      <w:pPr>
        <w:pStyle w:val="37"/>
        <w:widowControl w:val="0"/>
        <w:wordWrap/>
        <w:overflowPunct w:val="0"/>
        <w:snapToGrid/>
        <w:spacing w:before="0" w:beforeAutospacing="0" w:after="0" w:afterAutospacing="0" w:line="560" w:lineRule="exact"/>
        <w:ind w:left="0" w:leftChars="0" w:right="0" w:firstLine="631"/>
        <w:jc w:val="center"/>
        <w:textAlignment w:val="auto"/>
        <w:outlineLvl w:val="9"/>
        <w:rPr>
          <w:rFonts w:hint="eastAsia" w:ascii="宋体" w:hAnsi="宋体" w:eastAsia="宋体" w:cs="宋体"/>
          <w:b w:val="0"/>
          <w:bCs/>
          <w:sz w:val="32"/>
          <w:szCs w:val="32"/>
          <w:lang w:eastAsia="zh-CN"/>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第二章  工资支付</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第三章  监督检查</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第四章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第五章  附则</w:t>
      </w:r>
    </w:p>
    <w:p>
      <w:pPr>
        <w:widowControl w:val="0"/>
        <w:wordWrap/>
        <w:overflowPunct w:val="0"/>
        <w:snapToGrid/>
        <w:spacing w:beforeAutospacing="0" w:afterAutospacing="0" w:line="560" w:lineRule="exact"/>
        <w:ind w:left="0" w:leftChars="0" w:right="0"/>
        <w:jc w:val="both"/>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第一章  总则</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为规范工资支付，保障劳动者取得劳动报酬的权利，建立和谐的劳动关系，促进社会稳定和经济发展，根据《中华人民共和国劳动法》和有关法律、行政法规，结合本省实际，制定本条例。</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本条例适用于本省行政区域内的企业、民办非企业单位、个体经济组织</w:t>
      </w:r>
      <w:r>
        <w:rPr>
          <w:rFonts w:hint="eastAsia" w:ascii="宋体" w:hAnsi="宋体" w:eastAsia="仿宋_GB2312" w:cs="仿宋"/>
          <w:b w:val="0"/>
          <w:bCs/>
          <w:color w:val="000000"/>
          <w:sz w:val="32"/>
          <w:szCs w:val="32"/>
        </w:rPr>
        <w:t>、基金会、会计师事务所、律师事务所等组织</w:t>
      </w:r>
      <w:r>
        <w:rPr>
          <w:rFonts w:hint="eastAsia" w:ascii="宋体" w:hAnsi="宋体" w:eastAsia="仿宋_GB2312" w:cs="仿宋"/>
          <w:b w:val="0"/>
          <w:bCs/>
          <w:sz w:val="32"/>
          <w:szCs w:val="32"/>
        </w:rPr>
        <w:t>（以下统称用人单位）和与之建立劳动关系的劳动者。</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国家机关、事业单位、社会团体和与之建立劳动关系的劳动者，依照本条例执行。</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省人民政府按照规定制定最低工资标准，地级以上市人民政府应当在省人民政府公布的最低工资标准中确定本市的最低工资标准。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县级以上人民政府应当定期公布劳动力市场工资指导价位和工资指导线，并为用人单位和劳动者提供指导和服务。</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工资支付实行按时足额、优先支付原则。</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劳动者在法定工作时间或者劳动合同约定的工作时间内提供正常劳动的，用人单位确定其工资标准不得低于当地最低工资标准。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各级人民政府应当建立健全工资支付预警机制、信用监督机制和应急处置机制。</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各地级以上市人民政府应当建立欠薪应急周转金制度。</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县级以上人民政府人力资源社会保障部门负责对本行政区域内用人单位的工资支付行为进行指导和监督检查。</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工商、住房城乡建设、交通运输、水利、海关、税务等有关部门和银行，应当在各自职责范围内协助人力资源社会保障部门对工资支付行为实施监督。</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工会、共产主义青年团、妇女联合会、残疾人联合会等组织依法维护劳动者获得劳动报酬的权利。</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任何单位和个人有权检举工资支付的违法行为。</w:t>
      </w:r>
    </w:p>
    <w:p>
      <w:pPr>
        <w:widowControl w:val="0"/>
        <w:wordWrap/>
        <w:overflowPunct w:val="0"/>
        <w:snapToGrid/>
        <w:spacing w:beforeAutospacing="0" w:afterAutospacing="0" w:line="560" w:lineRule="exact"/>
        <w:ind w:left="0" w:leftChars="0" w:right="0" w:firstLine="640" w:firstLineChars="200"/>
        <w:jc w:val="center"/>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 xml:space="preserve">第二章 </w:t>
      </w:r>
      <w:r>
        <w:rPr>
          <w:rFonts w:hint="eastAsia" w:ascii="宋体" w:hAnsi="宋体" w:eastAsia="仿宋_GB2312" w:cs="仿宋"/>
          <w:b w:val="0"/>
          <w:bCs/>
          <w:sz w:val="32"/>
          <w:szCs w:val="32"/>
        </w:rPr>
        <w:t xml:space="preserve"> </w:t>
      </w:r>
      <w:r>
        <w:rPr>
          <w:rFonts w:hint="eastAsia" w:ascii="宋体" w:hAnsi="宋体" w:eastAsia="黑体" w:cs="黑体"/>
          <w:b w:val="0"/>
          <w:bCs/>
          <w:sz w:val="32"/>
          <w:szCs w:val="32"/>
        </w:rPr>
        <w:t>工资支付</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用人单位应当依法制定本单位的工资支付制度，并书面告知本单位全体劳动者。</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工资支付制度包括如下事项：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（一）工资的分配形式、项目、标准及其确定、调整办法；</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（二）工资支付的周期和日期；</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（三）加班、延长工作时间和特殊情况下的工资及支付办法；</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（四）工资的代扣、代缴及扣除事项；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（五）其他有关事项。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劳动者有权向用人单位查询有关工资支付制度的内容。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用人单位与劳动者应当在劳动合同中依法约定正常工作时间工资，约定的工资不得低于所在地政府公布的本年度最低工资标准。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未约定的或者约定不明确的，以用人单位所在地县级人民政府公布的上年度职工月平均工资作为正常工作时间工资；实际支付的工资高于当地政府公布的上年度职工月平均工资的，实际支付的工资视为与劳动者约定的正常工作时间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 xml:space="preserve">第九条 </w:t>
      </w:r>
      <w:r>
        <w:rPr>
          <w:rFonts w:hint="eastAsia" w:ascii="宋体" w:hAnsi="宋体" w:eastAsia="仿宋_GB2312" w:cs="仿宋"/>
          <w:b w:val="0"/>
          <w:bCs/>
          <w:sz w:val="32"/>
          <w:szCs w:val="32"/>
        </w:rPr>
        <w:t xml:space="preserve"> 用人单位可以依法与本单位工会或者职工代表就工资支付有关事项进行集体协商，签订集体协议。</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用人单位应当以货币形式按照确定的工资支付周期足额支付工资，不得拖欠或者克扣。</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实行月、周、日、小时工资制的，工资支付周期可以按月、周、日、小时确定。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实行计件工资制或者以完成一定任务计发工资的，工资支付周期可以按计件或者完成工作任务情况约定，但支付周期超过一个月的，用人单位应当按照约定每月支付工资。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实行年薪制或者按考核周期支付工资的，用人单位应当按照约定每月支付工资，年终或者考核周期届满时应当结算并付清工资。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用人单位应当将工资直接支付给劳动者本人。劳动者本人因故不能领取工资时，可以委托他人代领，但应当出具委托书。</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用人单位委托银行代发工资的，应当在约定的工资支付日将劳动者的工资足额存入其本人账户。</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用人单位与劳动者应当在劳动合同中明确约定工资支付周期和支付日期。</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用人单位应当按照约定的日期支付劳动者工资；遇法定休假日或者休息日，应当提前在最近的工作日支付。</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用人单位与劳动者依法终止或者解除劳动关系的，应当在终止或者解除劳动关系当日结清并一次性支付劳动者工资。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用人单位按照有关规定从劳动者工资中代扣下列款项：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（一）劳动者应当缴纳的个人所得税；</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（二）劳动者个人应当缴纳的各项社会保险费和住房公积金；</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（三）人民法院判决、裁定代扣的抚养费、赡养费、扶养费；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（四）法律、法规规定或者双方约定应当代扣的其他款项。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因劳动者过错造成用人单位直接经济损失，依法应当承担赔偿责任的，用人单位可以从其工资中扣除赔偿费，但应当提前书面告知扣除原因及数额；未书面告知的不得扣除。扣除赔偿费后的月工资余额不得低于当地最低工资标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用人单位应当按照工资支付周期如实编制工资支付台账。工资支付台账应当至少保存二年。</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工资支付台账应当包括支付日期、支付周期、支付对象姓名、工作时间、应发工资项目及数额，代扣、代缴、扣除项目和数额，实发工资数额，银行代发工资凭证或者劳动者签名等内容。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用人单位支付工资时，应当向劳动者提供其本人的工资清单。</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用人单位延长劳动者工作时间或者在休息日、法定休假日安排劳动者工作的，应当在工资清单中列明相应的工资报酬；未列明且无法举证已支付的，视为未支付相应的工资报酬。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工资清单项目及数额应当与工资支付台账相一致。</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劳动者有权查询和核对本人工资清单。</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 xml:space="preserve">第十八条 </w:t>
      </w:r>
      <w:r>
        <w:rPr>
          <w:rFonts w:hint="eastAsia" w:ascii="宋体" w:hAnsi="宋体" w:eastAsia="仿宋_GB2312" w:cs="仿宋"/>
          <w:b w:val="0"/>
          <w:bCs/>
          <w:sz w:val="32"/>
          <w:szCs w:val="32"/>
        </w:rPr>
        <w:t xml:space="preserve"> 日工资按照劳动者月工资额除以国家规定的月平均工作天数确定；小时工资以日工资除以日工作时间确定，日工作时间不得超过八小时。</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劳动者依法享受法定休假日、年休假、探亲假、婚假、丧假、产假、看护假、计划生育假等假期期间，用人单位应当视同其正常劳动并支付正常工作时间的工资。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用人单位安排劳动者加班或者延长工作时间，应当按照下列标准支付劳动者加班或者延长工作时间的工资报酬：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（一）工作日安排劳动者延长工作时间的，支付不低于劳动者本人日或者小时正常工作时间工资的百分之一百五十的工资报酬；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（二）休息日安排劳动者工作又不能安排补休的，支付不低于劳动者本人日或者小时正常工作时间工资的百分之二百的工资报酬；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（三）法定休假日安排劳动者工作的，支付不低于劳动者本人日或者小时正常工作时间工资的百分之三百的工资报酬。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实行计件工资的，用人单位应当科学合理确定劳动定额和计件单价，并予以公布。</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确定的劳动定额原则上应当使本单位同岗位百分之七十以上的劳动者在法定劳动时间内能够完成。</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用人单位在劳动者完成劳动定额后，安排劳动者在正常工作时间以外工作的，应当依照本条例第二十条规定支付加班或者延长工作时间的工资。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经人力资源社会保障部门批准实行综合计算工时工作制的，劳动者在综合计算周期内实际工作时间超过该周期内累计法定工作时间的部分，视为延长工作时间，用人单位应当依照本条例第二十条第（一）项的规定支付工资。在法定休假日安排劳动者工作的，用人单位应当依照本条例第二十条第（三）项的规定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经人力资源社会保障部门批准实行不定时工作制的，不适用本条例第二十条的规定。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第二十四条</w:t>
      </w:r>
      <w:r>
        <w:rPr>
          <w:rFonts w:hint="eastAsia" w:ascii="宋体" w:hAnsi="宋体" w:eastAsia="仿宋_GB2312" w:cs="仿宋"/>
          <w:b w:val="0"/>
          <w:bCs/>
          <w:sz w:val="32"/>
          <w:szCs w:val="32"/>
        </w:rPr>
        <w:t xml:space="preserve">  劳动者因病或者非因工负伤停止工作进行治疗，在国家规定医疗期内，用人单位应当依照劳动合同、集体合同的约定或者国家有关规定支付病伤假期工资。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用人单位支付的病伤假期工资不得低于当地最低工资标准的百分之八十。</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法律、法规另有规定的，从其规定。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劳动者因事假未提供劳动期间，用人单位可以不支付工资。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劳动者在正常工作时间内依法参加下列社会活动的，用人单位应当支付正常工作时间工资：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（一）依法行使选举权或者被选举权；</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（二）人大代表、政协委员依法履行职责；</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（三）当选代表出席乡（镇）以上政府、党派以及工会、共青团、妇联等组织召开的会议；</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（四）人民陪审员参加审判活动；</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（五）不脱产工会基层委员会委员依法参加工会活动；</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（六）职工代表参加集体合同协商活动；</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（七）法律、法规规定的其他情形。</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劳动者被人民法院判处管制、拘役适用缓刑或者有期徒刑适用缓刑，被假释、取保候审、监外执行期间，为用人单位提供正常劳动的，用人单位应当支付工资。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劳动者因涉嫌违法犯罪被采取司法强制措施或者被行政拘留期间，未提供劳动的，用人单位可以不支付工资。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解除劳动关系的决定被裁决撤销或者判决无效的，应当支付劳动者在被违法解除劳动关系期间的工资，其工资标准为劳动者本人前十二个月的平均正常工作时间工资；劳动者已领取失业保险金的，应当全部退回社会保险经办机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对前款规定的期间有争议的，可以由</w:t>
      </w:r>
      <w:r>
        <w:rPr>
          <w:rFonts w:hint="eastAsia" w:ascii="宋体" w:hAnsi="宋体" w:eastAsia="仿宋_GB2312" w:cs="仿宋"/>
          <w:b w:val="0"/>
          <w:bCs/>
          <w:color w:val="000000"/>
          <w:sz w:val="32"/>
          <w:szCs w:val="32"/>
        </w:rPr>
        <w:t>劳动人事争议仲裁委员会</w:t>
      </w:r>
      <w:r>
        <w:rPr>
          <w:rFonts w:hint="eastAsia" w:ascii="宋体" w:hAnsi="宋体" w:eastAsia="仿宋_GB2312" w:cs="仿宋"/>
          <w:b w:val="0"/>
          <w:bCs/>
          <w:sz w:val="32"/>
          <w:szCs w:val="32"/>
        </w:rPr>
        <w:t>或者人民法院予以裁决。</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合伙企业拖欠劳动者工资的，应当先以其全部财产进行清偿；合伙企业财产不足清偿的，各合伙人应当承担无限连带清偿责任。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租用场地、厂房的用人单位的经营者拖欠工资逃匿的，当地政府和有关部门应当采取有效措施，及时组织相关单位和人员处理垫付临时生活费及追偿等事宜。</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建设工程领域实行用工实名管理制度。施工总承包单位应当建立施工人员进出场登记制度，加强对分包单位劳动用工和工资发放的监督管理。施工总承包单位、分包单位应当建立用工管理台账，并保存至工程竣工且工资全部结清后至少两年。</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建设工程领域劳动者工资支付实行专户管理制度，施工总承包单位和分包单位应当将建设项目工程款中的劳动者工资与其他款项分开银行账户管理。工资支付专用账户内的资金除发放工资外，不得用于其他用途，不得提取现金。</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建设单位与施工总承包单位、施工总承包单位与分包单位签订工程承包合同时，应当对工程款中的人工费比例和支付期限作出明确约定，建设单位应当按照合同约定的比例按月将应付工程款中的人工费单独足额拨付到施工总承包单位开设的工资支付专用账户，施工总承包单位应当按照合同约定的比例按月将应付工程款中的人工费单独足额拨付到分包单位开设的工资支付专用账户。</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工资支付专用账户内资金少于应发劳动者工资总额的，开户单位应当按时补足。工程竣工且工资全部结清后，工资支付专用账户可以注销，账户内余额归开户单位所有。</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建设工程领域用工实名管理和工资支付专户管理的具体办法由省人民政府在一年内另行制定。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color w:val="000000"/>
          <w:sz w:val="32"/>
          <w:szCs w:val="32"/>
        </w:rPr>
      </w:pPr>
      <w:r>
        <w:rPr>
          <w:rFonts w:hint="eastAsia" w:ascii="宋体" w:hAnsi="宋体" w:eastAsia="黑体" w:cs="黑体"/>
          <w:b w:val="0"/>
          <w:bCs/>
          <w:sz w:val="32"/>
          <w:szCs w:val="32"/>
        </w:rPr>
        <w:t>第三十五条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color w:val="000000"/>
          <w:sz w:val="32"/>
          <w:szCs w:val="32"/>
        </w:rPr>
        <w:t>对建设资金来源不落实的政府投资工程项目不予批准。</w:t>
      </w:r>
    </w:p>
    <w:p>
      <w:pPr>
        <w:widowControl w:val="0"/>
        <w:wordWrap/>
        <w:overflowPunct w:val="0"/>
        <w:adjustRightInd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color w:val="000000"/>
          <w:sz w:val="32"/>
          <w:szCs w:val="32"/>
        </w:rPr>
      </w:pPr>
      <w:r>
        <w:rPr>
          <w:rFonts w:hint="eastAsia" w:ascii="宋体" w:hAnsi="宋体" w:eastAsia="仿宋_GB2312" w:cs="仿宋"/>
          <w:b w:val="0"/>
          <w:bCs/>
          <w:color w:val="000000"/>
          <w:sz w:val="32"/>
          <w:szCs w:val="32"/>
        </w:rPr>
        <w:t>建设单位申请施工许可证时，应当提供工资支付专用账户的开立等建设资金落实情况。负责建设项目审批的部门应当将工资支付专用账户的开立作为建设资金落实的具体要求进行审查，不符合法定条件的，不予颁发施工许可证。</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不具备本条例第二条规定的用人单位资格的承包人拖欠或者克扣劳动者工资，作为发包方的用人单位应当先支付工资，再依法向承包人追偿。</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建设单位（业主）未按照合同约定拨付或者结清工程款，致使施工单位拖欠劳动者工资的，人力资源社会保障部门可以责令建设单位（业主）先行垫付劳动者工资，先行垫付的工资数额以未结清的工程款为限。</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分包建设工程的承包人拖欠或者克扣劳动者工资的，分包建设工程的发包人在未结清的工程款额度内先行垫付劳动者工资，垫付部分抵扣工程款。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分包建设工程的发包人违法分包、转包或者违法允许他人以本企业名义承揽工程发生拖欠工资的，由分包建设工程的发包人垫付劳动者工资。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用人单位合并或者分立前拖欠劳动者工资的，应当在合并或者分立时清偿拖欠的工资；不能清偿的，由合并或者分立后的用人单位清偿拖欠工资。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非因劳动者原因造成用人单位停工、停产，未超过一个工资支付周期（最长三十日）的，用人单位应当按照正常工作时间支付工资。超过一个工资支付周期的，可以根据劳动者提供的劳动，按照双方新约定的标准支付工资；用人单位没有安排劳动者工作的，应当按照不低于当地最低工资标准的百分之八十支付劳动者生活费，生活费发放至企业复工、复产或者解除劳动关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用人单位破产、解散或者撤销的，经依法清算后的财产应当用于优先支付劳动者工资、社会保险费。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第三章</w:t>
      </w:r>
      <w:r>
        <w:rPr>
          <w:rFonts w:hint="eastAsia" w:ascii="宋体" w:hAnsi="宋体" w:eastAsia="仿宋_GB2312" w:cs="仿宋"/>
          <w:b w:val="0"/>
          <w:bCs/>
          <w:sz w:val="32"/>
          <w:szCs w:val="32"/>
        </w:rPr>
        <w:t xml:space="preserve"> </w:t>
      </w:r>
      <w:r>
        <w:rPr>
          <w:rFonts w:hint="eastAsia" w:ascii="宋体" w:hAnsi="宋体" w:eastAsia="黑体" w:cs="黑体"/>
          <w:b w:val="0"/>
          <w:bCs/>
          <w:sz w:val="32"/>
          <w:szCs w:val="32"/>
        </w:rPr>
        <w:t xml:space="preserve"> 监督检查</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县级以上人民政府根据本行政区域内工资支付的实际情况，建立工资支付预警制度。</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人力资源社会保障部门可以对连续拖欠劳动者工资二个月以上或者累计拖欠达三个月以上的用人单位实施工资支付重点监察；情节严重的，可以向社会公布。</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纳入工资支付重点监察的用人单位，付清原拖欠的劳动者工资，且在六个月期限内未再发生新的拖欠的，人力资源社会保障部门应当解除其重点监察；已向社会公布的，应当在原公布范围内公示解除重点监察。</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县级以上人民政府应当制定工资支付应急预案。因拖欠、克扣劳动者工资引发群体性事件的，人力资源社会保障部门应当根据应急预案，迅速会同有关部门处理，有关部门应当配合。</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人力资源社会保障部门应当建立健全对用人单位工资支付行为的监督检查制度，规范监督检查程序，依法对用人单位工资支付情况进行监察，对违法行为进行处理。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人力资源社会保障部门依法对用人单位工资支付情况进行执法检查时，用人单位应当如实报告情况，提供相关资料和证明，不得弄虚作假、阻碍、拒绝。</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人力资源社会保障部门应当建立健全对工资支付违法行为的举报投诉制度，设立举报投诉信箱，公布举报投诉电话，为劳动者举报投诉提供便利条件，并为举报人保密。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应当建立健全包括工资支付情况在内的用人单位劳动守法诚信档案，推行劳动守法诚信评价制度；建立拖欠、克扣工资单位黑名单制度，对拖欠、克扣劳动者工资情况严重的用人单位，通过传播媒体或者在职业介绍场所、用人单位工作场所等地点予以公布，并将有关情况向人民银行分支机构、工商、住房城乡建设、交通运输、水利、发展改革、经济信息化、财政等有关部门和单位通报。</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被列入拖欠、克扣工资黑名单的用人单位，其失信记录纳入人民银行企业征信系统、企业信用信息公示系统以及行业诚信信息平台；属于政府投资工程项目的，同时纳入政府工程项目投资审批系统。有关部门在政府资金支持、政府采购、招投标、生产许可、履约担保、资质审核、融资贷款、市场准入、评优评先等方面，应当对其予以严格限制。</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县级以上人民政府应当加强对人力资源社会保障部门工资支付执法情况的监督检查。上级人力资源社会保障部门应当加强对下级人力资源社会保障部门工资支付执法情况的监督检查，发现下级人力资源社会保障部门对用人单位工资支付的违法行为不作为或者作出的行政处理决定违法、不当的，应当责令其限期改正。</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用人单位有下列情形之一的，劳动者有权向人力资源社会保障部门举报投诉：</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（一）拖欠或者克扣劳动者工资的；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（二）支付劳动者工资低于当地最低工资标准的；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（三）拒不支付或者不按规定支付劳动者加班或者延长工作时间工资的；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（四）其他侵害劳动者合法工资报酬权益的行为。</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因工资支付发生争议，用人单位负有举证责任。用人单位拒绝提供或者在规定时间内不能提供有关工资支付凭证等证据材料的，人力资源社会保障部门、</w:t>
      </w:r>
      <w:r>
        <w:rPr>
          <w:rFonts w:hint="eastAsia" w:ascii="宋体" w:hAnsi="宋体" w:eastAsia="仿宋_GB2312" w:cs="仿宋"/>
          <w:b w:val="0"/>
          <w:bCs/>
          <w:color w:val="000000"/>
          <w:sz w:val="32"/>
          <w:szCs w:val="32"/>
        </w:rPr>
        <w:t>劳动人事争议仲裁委员会</w:t>
      </w:r>
      <w:r>
        <w:rPr>
          <w:rFonts w:hint="eastAsia" w:ascii="宋体" w:hAnsi="宋体" w:eastAsia="仿宋_GB2312" w:cs="仿宋"/>
          <w:b w:val="0"/>
          <w:bCs/>
          <w:sz w:val="32"/>
          <w:szCs w:val="32"/>
        </w:rPr>
        <w:t>或者人民法院可以按照劳动者提供的工资数额及其他有关证据作出认定。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用人单位和劳动者都不能对工资数额举证的，由劳动争议仲裁委员会或者人民法院参照本单位同岗位的平均工资或者当地在岗职工平均工资水平，按照有利于劳动者的原则计算确定。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在用人单位与劳动者约定的工资支付日期前，有证据证明用人单位法定代表人、实际经营者或者主要负责人采取逃匿、转移财产等方式逃避支付工资义务的，由人力资源社会保障部门责令其限期支付。</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在办理拒不支付劳动报酬案件过程中，发现涉案人员有拒绝调查、逃匿或者转移、隐藏、销毁证据等行为，依法可以要求公安机关提前介入调查，公安机关应当予以配合。有关行为涉嫌犯罪的，人力资源社会保障部门应当依法向公安机关移送案件。</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工会组织对用人单位遵守工资支付法律、法规的情况依法进行监督，发现违法行为的，有权要求用人单位改正，并及时向人力资源社会保障部门通报。用人单位拒不改正或者经营者逃匿的，工会组织可以代表职工请求当地人力资源社会保障部门依法处理，劳动者申请劳动仲裁或者提起诉讼的，工会组织应当依法予以支持和帮助。</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用人单位拖欠或者克扣工资，劳动者要求工会组织协助解决的，工会组织应当代表职工与用人单位进行协商，并协助用人单位维护正常的生产、工作秩序。</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第四章</w:t>
      </w:r>
      <w:r>
        <w:rPr>
          <w:rFonts w:hint="eastAsia" w:ascii="宋体" w:hAnsi="宋体" w:eastAsia="仿宋_GB2312" w:cs="仿宋"/>
          <w:b w:val="0"/>
          <w:bCs/>
          <w:sz w:val="32"/>
          <w:szCs w:val="32"/>
        </w:rPr>
        <w:t xml:space="preserve"> </w:t>
      </w:r>
      <w:r>
        <w:rPr>
          <w:rFonts w:hint="eastAsia" w:ascii="宋体" w:hAnsi="宋体" w:eastAsia="黑体" w:cs="黑体"/>
          <w:b w:val="0"/>
          <w:bCs/>
          <w:sz w:val="32"/>
          <w:szCs w:val="32"/>
        </w:rPr>
        <w:t xml:space="preserve"> 法律责任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连续拖欠或者克扣劳动者工资二个月以上或者情节特别严重的，人力资源社会保障部门应当责令其改正并作出行政处理决定。用人单位在规定的期限内拒不执行行政处理决定的，人力资源社会保障部门可以依法申请人民法院强制执行。</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用人单位有下列情形之一的，由县级以上人力资源社会保障部门责令限期改正；逾期未改正的，可以对用人单位处以五千元以上一万元以下的罚款，并可以对其法定代表人处以一千元以上五千元以下的罚款：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（一）未依法制定工资支付制度并告知本单位全体劳动者的；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（二）未以货币形式支付劳动者工资的；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（三）未在终止或者解除劳动关系当日结清并一次性支付劳动者工资的；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（四）未如实编制工资支付台账的；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（五）未向劳动者本人提供其工资清单的。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施工总承包单位、分包单位违反本条例规定，未实行用工实名管理、工资支付专户管理等制度的，由人力资源社会保障部门责令限期改正；逾期不改正的，处以五万元以上十万元以下的罚款。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有下列情形之一的，由人力资源社会保障部门分别责令限期支付劳动者的工资报酬、劳动者工资低于当地最低工资标准的差额、加班或者延长工作时间的工资。逾期不支付的，责令用人单位按照应付金额百分之五十以上一倍以下的标准计算，向劳动者加付赔偿金：</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（一）拖欠或者克扣劳动者工资的；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（二）支付劳动者工资低于当地最低工资标准的；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（三）拒不支付或者不按照规定支付劳动者加班或者延长工作时间工资的。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用人单位有下列行为之一的，由人力资源社会保障部门视情节轻重，处以二千元以上二万元以下的罚款：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（一）拒绝、阻碍劳动保障行政执法人员依法执行公务的；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（二）不按照人力资源社会保障部门的要求报送书面材料、隐瞒事实真相、出具伪证或者隐匿、毁灭证据的；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（三）经人力资源社会保障部门责令改正拒不改正，或者拒不履行人力资源社会保障部门的行政处理决定的。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对采取逃匿等方式拖欠工资，致使劳动者难以追偿其工资而引发严重影响公共秩序事件的用人单位的法定代表人或者经营者，由公安机关依法处理；构成犯罪的，依法追究刑事责任。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因用人单位拖欠、克扣工资而引发严重影响公共秩序事件的，用人单位法定代表人或者主要经营者应当在二十四小时内到现场协助人力资源社会保障部门处理事件；未到现场的，由人力资源社会保障部门处以一万元以上五万元以下的罚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政府投资工程项目因拖欠工程款引发拖欠、克扣劳动者工资的，追究项目负责人的责任。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人力资源社会保障部门及其工作人员违反本条例规定，有下列行为之一的，由其上级行政机关或者监察机关责令改正；情节严重的，对直接负责的主管人员和其他直接责任人员依法给予行政处分：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（一）未建立用人单位工资支付违法行为举报制度的；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（二）未为举报人保密的；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（三）未依法及时处理劳动者举报或者工会组织按照本条例第五十一条规定提出的处理建议的；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（四）发生群体性事件，未启动应急预案的。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人力资源社会保障部门及其工作人员有下列行为之一的，可以根据情节轻重，给予主要负责人及直接责任人员行政处分；构成犯罪的，由司法机关依法追究刑事责任：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（一）玩忽职守、滥用职权的；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（二）利用职权谋取私利的；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（三）泄露用人单位的商业秘密的。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第五章</w:t>
      </w:r>
      <w:r>
        <w:rPr>
          <w:rFonts w:hint="eastAsia" w:ascii="宋体" w:hAnsi="宋体" w:eastAsia="仿宋_GB2312" w:cs="仿宋"/>
          <w:b w:val="0"/>
          <w:bCs/>
          <w:sz w:val="32"/>
          <w:szCs w:val="32"/>
        </w:rPr>
        <w:t xml:space="preserve">  </w:t>
      </w:r>
      <w:r>
        <w:rPr>
          <w:rFonts w:hint="eastAsia" w:ascii="宋体" w:hAnsi="宋体" w:eastAsia="黑体" w:cs="黑体"/>
          <w:b w:val="0"/>
          <w:bCs/>
          <w:sz w:val="32"/>
          <w:szCs w:val="32"/>
        </w:rPr>
        <w:t>附则</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第六十二条</w:t>
      </w:r>
      <w:r>
        <w:rPr>
          <w:rFonts w:hint="eastAsia" w:ascii="宋体" w:hAnsi="宋体" w:eastAsia="仿宋_GB2312" w:cs="仿宋"/>
          <w:b w:val="0"/>
          <w:bCs/>
          <w:sz w:val="32"/>
          <w:szCs w:val="32"/>
        </w:rPr>
        <w:t xml:space="preserve">  本条例中下列用语的含义是：</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工资，是指用人单位基于劳动关系，按照劳动者提供劳动的数量和质量，以货币形式支付给劳动者本人的全部劳动报酬。一般包括：各种形式的工资（计时工资、计件工资、岗位工资、职务工资、技能工资等）、奖金、津贴、补贴、延长工作时间及特殊情况下支付的属于劳动报酬性的工资收入等；但不包括用人单位按照规定负担的各项社会保险费、住房公积金，人力资源社会保障部门和安全生产监察行政部门规定的劳动保护费用，按照规定标准支付的独生子女补贴、计划生育奖，丧葬费、抚恤金等国家规定的福利费用和属于非劳动报酬性的收入。</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（二）正常工作时间工资，是指劳动者在法定工作时间内提供了正常劳动，用人单位依法应当支付的劳动报酬。正常工作时间工资不包括下列各项：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1．延长工作时间工资；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2．中班、夜班、高温、低温、井下、有毒有害等特殊工作环境、条件下的津贴；</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3．法律、法规和国家规定的劳动者福利待遇等。</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（三）最低工资，是指按照前项规定劳动者在法定工作时间内提供了正常劳动，用人单位依法应当支付的最低劳动报酬。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（四）拖欠工资，是指用人单位无法定理由逾期未支付或者未足额支付劳动者应得工资的行为。</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（五）克扣工资，是指用人单位无法定理由扣减劳动者应得工资的行为。</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（六）民办非企业单位，是指企业事业单位、社会团体和其他社会力量以及公民个人利用非国有资产举办的，从事非营利性社会服务活动的社会组织。</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 xml:space="preserve">第六十三条 </w:t>
      </w:r>
      <w:r>
        <w:rPr>
          <w:rFonts w:hint="eastAsia" w:ascii="宋体" w:hAnsi="宋体" w:eastAsia="仿宋_GB2312" w:cs="仿宋"/>
          <w:b w:val="0"/>
          <w:bCs/>
          <w:sz w:val="32"/>
          <w:szCs w:val="32"/>
        </w:rPr>
        <w:t xml:space="preserve"> 劳动者与用人单位因工资支付数额发生争议的，应当按照劳动争议处理规定处理。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第六十四条</w:t>
      </w:r>
      <w:r>
        <w:rPr>
          <w:rFonts w:hint="eastAsia" w:ascii="宋体" w:hAnsi="宋体" w:eastAsia="仿宋_GB2312" w:cs="仿宋"/>
          <w:b w:val="0"/>
          <w:bCs/>
          <w:sz w:val="32"/>
          <w:szCs w:val="32"/>
        </w:rPr>
        <w:t xml:space="preserve">  本条例自2005年5月1日起施行。</w:t>
      </w:r>
    </w:p>
    <w:p>
      <w:pPr>
        <w:pStyle w:val="33"/>
        <w:widowControl w:val="0"/>
        <w:wordWrap/>
        <w:overflowPunct w:val="0"/>
        <w:spacing w:beforeAutospacing="0" w:afterAutospacing="0" w:line="560" w:lineRule="exact"/>
        <w:textAlignment w:val="auto"/>
        <w:rPr>
          <w:rFonts w:hint="eastAsia" w:ascii="宋体" w:hAnsi="宋体" w:eastAsia="仿宋_GB2312" w:cs="仿宋"/>
          <w:b w:val="0"/>
          <w:bCs/>
          <w:sz w:val="32"/>
          <w:szCs w:val="32"/>
        </w:rPr>
      </w:pPr>
    </w:p>
    <w:p>
      <w:pPr>
        <w:widowControl w:val="0"/>
        <w:wordWrap/>
        <w:overflowPunct w:val="0"/>
        <w:spacing w:beforeAutospacing="0" w:afterAutospacing="0" w:line="560" w:lineRule="exact"/>
        <w:textAlignment w:val="auto"/>
        <w:rPr>
          <w:rFonts w:hint="eastAsia" w:ascii="宋体" w:hAnsi="宋体" w:eastAsia="宋体" w:cs="宋体"/>
          <w:b w:val="0"/>
          <w:bCs w:val="0"/>
          <w:color w:val="auto"/>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宋体" w:cs="宋体"/>
          <w:b w:val="0"/>
          <w:bCs w:val="0"/>
          <w:color w:val="auto"/>
          <w:sz w:val="32"/>
          <w:szCs w:val="32"/>
        </w:rPr>
      </w:pPr>
      <w:r>
        <w:rPr>
          <w:rFonts w:hint="eastAsia" w:ascii="宋体" w:hAnsi="宋体" w:eastAsia="宋体" w:cs="宋体"/>
          <w:b w:val="0"/>
          <w:bCs w:val="0"/>
          <w:color w:val="auto"/>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4" w:name="_Toc8742"/>
      <w:r>
        <w:rPr>
          <w:rFonts w:hint="eastAsia" w:ascii="宋体" w:hAnsi="宋体" w:eastAsia="宋体" w:cs="宋体"/>
          <w:color w:val="000000"/>
          <w:sz w:val="44"/>
          <w:szCs w:val="44"/>
        </w:rPr>
        <w:t>广东省工伤保险条例</w:t>
      </w:r>
      <w:bookmarkEnd w:id="474"/>
    </w:p>
    <w:p>
      <w:pPr>
        <w:widowControl w:val="0"/>
        <w:wordWrap/>
        <w:overflowPunct w:val="0"/>
        <w:spacing w:beforeAutospacing="0" w:afterAutospacing="0" w:line="560" w:lineRule="exact"/>
        <w:ind w:left="643" w:leftChars="201" w:right="650" w:rightChars="203" w:firstLine="5" w:firstLineChars="0"/>
        <w:jc w:val="both"/>
        <w:textAlignment w:val="auto"/>
        <w:outlineLvl w:val="9"/>
        <w:rPr>
          <w:rFonts w:hint="eastAsia" w:ascii="宋体" w:hAnsi="宋体" w:eastAsia="宋体" w:cs="宋体"/>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（1998年9月18日广东省第九届人民代表大会常务委员会第五次会议通过</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2004年1月14日广东省第十届人民代表大会常务委员会第八次会议第一次修订</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2011年9月29日广东省第十一届人民代表大会常务委员会第二十八次会议第二次修订</w:t>
      </w:r>
      <w:r>
        <w:rPr>
          <w:rFonts w:hint="eastAsia" w:ascii="楷体" w:hAnsi="楷体" w:eastAsia="楷体" w:cs="楷体"/>
          <w:b w:val="0"/>
          <w:bCs/>
          <w:sz w:val="32"/>
          <w:szCs w:val="32"/>
          <w:lang w:val="en-US" w:eastAsia="zh-CN"/>
        </w:rPr>
        <w:t xml:space="preserve">  根据2019年5月21日广东省第十三届人民代表大会常务委员会第十二次会议</w:t>
      </w:r>
      <w:r>
        <w:rPr>
          <w:rFonts w:hint="eastAsia" w:ascii="楷体" w:hAnsi="楷体" w:eastAsia="楷体" w:cs="楷体"/>
          <w:b w:val="0"/>
          <w:bCs/>
          <w:sz w:val="32"/>
          <w:szCs w:val="32"/>
        </w:rPr>
        <w:t>《关于修改〈广东省</w:t>
      </w:r>
      <w:r>
        <w:rPr>
          <w:rFonts w:hint="eastAsia" w:ascii="楷体" w:hAnsi="楷体" w:eastAsia="楷体" w:cs="楷体"/>
          <w:b w:val="0"/>
          <w:bCs/>
          <w:sz w:val="32"/>
          <w:szCs w:val="32"/>
          <w:lang w:eastAsia="zh-CN"/>
        </w:rPr>
        <w:t>工伤保险</w:t>
      </w:r>
      <w:r>
        <w:rPr>
          <w:rFonts w:hint="eastAsia" w:ascii="楷体" w:hAnsi="楷体" w:eastAsia="楷体" w:cs="楷体"/>
          <w:b w:val="0"/>
          <w:bCs/>
          <w:sz w:val="32"/>
          <w:szCs w:val="32"/>
        </w:rPr>
        <w:t>条例〉的决定》</w:t>
      </w:r>
      <w:r>
        <w:rPr>
          <w:rFonts w:hint="eastAsia" w:ascii="楷体" w:hAnsi="楷体" w:eastAsia="楷体" w:cs="楷体"/>
          <w:b w:val="0"/>
          <w:bCs/>
          <w:sz w:val="32"/>
          <w:szCs w:val="32"/>
          <w:lang w:val="en-US" w:eastAsia="zh-CN"/>
        </w:rPr>
        <w:t>修正</w:t>
      </w:r>
      <w:r>
        <w:rPr>
          <w:rFonts w:hint="eastAsia" w:ascii="楷体" w:hAnsi="楷体" w:eastAsia="楷体" w:cs="楷体"/>
          <w:b w:val="0"/>
          <w:bCs/>
          <w:sz w:val="32"/>
          <w:szCs w:val="32"/>
        </w:rPr>
        <w:t>）</w:t>
      </w: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宋体" w:cs="宋体"/>
          <w:sz w:val="32"/>
          <w:szCs w:val="32"/>
        </w:rPr>
      </w:pPr>
    </w:p>
    <w:p>
      <w:pPr>
        <w:widowControl w:val="0"/>
        <w:wordWrap/>
        <w:overflowPunct w:val="0"/>
        <w:adjustRightInd/>
        <w:snapToGrid/>
        <w:spacing w:beforeAutospacing="0" w:afterAutospacing="0" w:line="560" w:lineRule="exact"/>
        <w:ind w:firstLine="640" w:firstLineChars="200"/>
        <w:jc w:val="center"/>
        <w:textAlignment w:val="auto"/>
        <w:outlineLvl w:val="9"/>
        <w:rPr>
          <w:rFonts w:hint="eastAsia" w:ascii="宋体" w:hAnsi="宋体" w:eastAsia="楷体_GB2312"/>
          <w:sz w:val="32"/>
          <w:szCs w:val="32"/>
          <w:lang w:eastAsia="zh-CN"/>
        </w:rPr>
      </w:pPr>
      <w:r>
        <w:rPr>
          <w:rFonts w:hint="eastAsia" w:ascii="宋体" w:hAnsi="宋体" w:eastAsia="楷体_GB2312"/>
          <w:sz w:val="32"/>
          <w:szCs w:val="32"/>
          <w:lang w:eastAsia="zh-CN"/>
        </w:rPr>
        <w:t>目</w:t>
      </w:r>
      <w:r>
        <w:rPr>
          <w:rFonts w:hint="eastAsia" w:ascii="宋体" w:hAnsi="宋体" w:eastAsia="楷体_GB2312"/>
          <w:sz w:val="32"/>
          <w:szCs w:val="32"/>
          <w:lang w:val="en-US" w:eastAsia="zh-CN"/>
        </w:rPr>
        <w:t xml:space="preserve">    </w:t>
      </w:r>
      <w:r>
        <w:rPr>
          <w:rFonts w:hint="eastAsia" w:ascii="宋体" w:hAnsi="宋体" w:eastAsia="楷体_GB2312"/>
          <w:sz w:val="32"/>
          <w:szCs w:val="32"/>
          <w:lang w:eastAsia="zh-CN"/>
        </w:rPr>
        <w:t>录</w:t>
      </w:r>
    </w:p>
    <w:p>
      <w:pPr>
        <w:widowControl w:val="0"/>
        <w:wordWrap/>
        <w:overflowPunct w:val="0"/>
        <w:adjustRightInd/>
        <w:snapToGrid/>
        <w:spacing w:beforeAutospacing="0" w:afterAutospacing="0" w:line="560" w:lineRule="exact"/>
        <w:ind w:firstLine="640" w:firstLineChars="200"/>
        <w:jc w:val="center"/>
        <w:textAlignment w:val="auto"/>
        <w:outlineLvl w:val="9"/>
        <w:rPr>
          <w:rFonts w:hint="eastAsia" w:ascii="宋体" w:hAnsi="宋体" w:eastAsia="楷体_GB2312"/>
          <w:sz w:val="32"/>
          <w:szCs w:val="32"/>
          <w:lang w:eastAsia="zh-CN"/>
        </w:rPr>
      </w:pP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第一章  总则</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第二章  </w:t>
      </w:r>
      <w:r>
        <w:rPr>
          <w:rFonts w:hint="eastAsia" w:ascii="宋体" w:hAnsi="宋体" w:eastAsia="楷体_GB2312" w:cs="楷体_GB2312"/>
          <w:sz w:val="32"/>
          <w:szCs w:val="32"/>
          <w:lang w:eastAsia="zh-CN"/>
        </w:rPr>
        <w:t>工伤认定</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第三章  </w:t>
      </w:r>
      <w:r>
        <w:rPr>
          <w:rFonts w:hint="eastAsia" w:ascii="宋体" w:hAnsi="宋体" w:eastAsia="楷体_GB2312" w:cs="楷体_GB2312"/>
          <w:sz w:val="32"/>
          <w:szCs w:val="32"/>
          <w:lang w:eastAsia="zh-CN"/>
        </w:rPr>
        <w:t>劳动能力鉴定</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第四章  </w:t>
      </w:r>
      <w:r>
        <w:rPr>
          <w:rFonts w:hint="eastAsia" w:ascii="宋体" w:hAnsi="宋体" w:eastAsia="楷体_GB2312" w:cs="楷体_GB2312"/>
          <w:sz w:val="32"/>
          <w:szCs w:val="32"/>
          <w:lang w:eastAsia="zh-CN"/>
        </w:rPr>
        <w:t>工伤保险待遇</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第五章  </w:t>
      </w:r>
      <w:r>
        <w:rPr>
          <w:rFonts w:hint="eastAsia" w:ascii="宋体" w:hAnsi="宋体" w:eastAsia="楷体_GB2312" w:cs="楷体_GB2312"/>
          <w:sz w:val="32"/>
          <w:szCs w:val="32"/>
          <w:lang w:eastAsia="zh-CN"/>
        </w:rPr>
        <w:t>工伤保险基金</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第六章  监督管理</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w:t>
      </w:r>
      <w:r>
        <w:rPr>
          <w:rFonts w:hint="eastAsia" w:ascii="宋体" w:hAnsi="宋体" w:eastAsia="楷体_GB2312" w:cs="楷体_GB2312"/>
          <w:sz w:val="32"/>
          <w:szCs w:val="32"/>
          <w:lang w:eastAsia="zh-CN"/>
        </w:rPr>
        <w:t>七</w:t>
      </w:r>
      <w:r>
        <w:rPr>
          <w:rFonts w:hint="eastAsia" w:ascii="宋体" w:hAnsi="宋体" w:eastAsia="楷体_GB2312" w:cs="楷体_GB2312"/>
          <w:sz w:val="32"/>
          <w:szCs w:val="32"/>
        </w:rPr>
        <w:t>章  法律责任</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w:t>
      </w:r>
      <w:r>
        <w:rPr>
          <w:rFonts w:hint="eastAsia" w:ascii="宋体" w:hAnsi="宋体" w:eastAsia="楷体_GB2312" w:cs="楷体_GB2312"/>
          <w:sz w:val="32"/>
          <w:szCs w:val="32"/>
          <w:lang w:eastAsia="zh-CN"/>
        </w:rPr>
        <w:t>八</w:t>
      </w:r>
      <w:r>
        <w:rPr>
          <w:rFonts w:hint="eastAsia" w:ascii="宋体" w:hAnsi="宋体" w:eastAsia="楷体_GB2312" w:cs="楷体_GB2312"/>
          <w:sz w:val="32"/>
          <w:szCs w:val="32"/>
        </w:rPr>
        <w:t>章  附则</w:t>
      </w:r>
    </w:p>
    <w:p>
      <w:pPr>
        <w:widowControl w:val="0"/>
        <w:wordWrap/>
        <w:overflowPunct w:val="0"/>
        <w:adjustRightInd/>
        <w:snapToGrid/>
        <w:spacing w:beforeAutospacing="0" w:afterAutospacing="0" w:line="560" w:lineRule="exact"/>
        <w:textAlignment w:val="auto"/>
        <w:outlineLvl w:val="9"/>
        <w:rPr>
          <w:rFonts w:ascii="宋体" w:hAnsi="宋体" w:eastAsia="楷体_GB2312"/>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第一章  总则</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第一条</w:t>
      </w:r>
      <w:r>
        <w:rPr>
          <w:rFonts w:hint="eastAsia" w:ascii="宋体" w:hAnsi="宋体" w:cs="仿宋_GB2312"/>
          <w:b w:val="0"/>
          <w:bCs w:val="0"/>
          <w:color w:val="auto"/>
          <w:sz w:val="32"/>
          <w:szCs w:val="32"/>
        </w:rPr>
        <w:t xml:space="preserve">  </w:t>
      </w:r>
      <w:r>
        <w:rPr>
          <w:rFonts w:ascii="宋体" w:hAnsi="宋体"/>
          <w:b w:val="0"/>
          <w:bCs w:val="0"/>
          <w:color w:val="auto"/>
          <w:sz w:val="32"/>
          <w:szCs w:val="32"/>
        </w:rPr>
        <w:t>为了保障因工作遭受事故伤害或者患职业病的职工获得医疗救治和经济补偿，促进工伤预防和职业康复，分散用人单位的工伤风险，根据《中华人民共和国社会保险法》、《工伤保险条例》，结合本省实际，制定本条例。</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第二条</w:t>
      </w:r>
      <w:r>
        <w:rPr>
          <w:rFonts w:hint="eastAsia" w:ascii="宋体" w:hAnsi="宋体"/>
          <w:b w:val="0"/>
          <w:bCs w:val="0"/>
          <w:color w:val="auto"/>
          <w:sz w:val="32"/>
          <w:szCs w:val="32"/>
        </w:rPr>
        <w:t xml:space="preserve">  </w:t>
      </w:r>
      <w:r>
        <w:rPr>
          <w:rFonts w:ascii="宋体" w:hAnsi="宋体"/>
          <w:b w:val="0"/>
          <w:bCs w:val="0"/>
          <w:color w:val="auto"/>
          <w:sz w:val="32"/>
          <w:szCs w:val="32"/>
        </w:rPr>
        <w:t>职工有依法享受工伤保险待遇的权利。本省行政区域内的企业、事业单位、社会团体、民办非企业单位、基金会、律师事务所、会计师事务所等组织和有雇工的个体工商户（以下称用人单位）应当</w:t>
      </w:r>
      <w:r>
        <w:rPr>
          <w:rFonts w:ascii="宋体" w:hAnsi="宋体"/>
          <w:b w:val="0"/>
          <w:bCs w:val="0"/>
          <w:i w:val="0"/>
          <w:iCs w:val="0"/>
          <w:color w:val="auto"/>
          <w:sz w:val="32"/>
          <w:szCs w:val="32"/>
          <w:u w:val="none"/>
        </w:rPr>
        <w:t>在生产经营所在地</w:t>
      </w:r>
      <w:r>
        <w:rPr>
          <w:rFonts w:ascii="宋体" w:hAnsi="宋体"/>
          <w:b w:val="0"/>
          <w:bCs w:val="0"/>
          <w:color w:val="auto"/>
          <w:sz w:val="32"/>
          <w:szCs w:val="32"/>
        </w:rPr>
        <w:t>依法参加工伤保险，为本单位全部职工或者雇工（以下称职工）缴纳工伤保险费。</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国家机关和与其建立劳动关系的职工，依照本条例执行。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hint="eastAsia" w:ascii="宋体" w:hAnsi="宋体" w:eastAsia="黑体" w:cs="黑体"/>
          <w:b w:val="0"/>
          <w:bCs w:val="0"/>
          <w:color w:val="auto"/>
          <w:sz w:val="32"/>
          <w:szCs w:val="32"/>
        </w:rPr>
        <w:t>第三条</w:t>
      </w:r>
      <w:r>
        <w:rPr>
          <w:rFonts w:hint="eastAsia" w:ascii="宋体" w:hAnsi="宋体"/>
          <w:b w:val="0"/>
          <w:bCs w:val="0"/>
          <w:color w:val="auto"/>
          <w:sz w:val="32"/>
          <w:szCs w:val="32"/>
        </w:rPr>
        <w:t xml:space="preserve">  </w:t>
      </w:r>
      <w:r>
        <w:rPr>
          <w:rFonts w:ascii="宋体" w:hAnsi="宋体"/>
          <w:b w:val="0"/>
          <w:bCs w:val="0"/>
          <w:color w:val="auto"/>
          <w:sz w:val="32"/>
          <w:szCs w:val="32"/>
        </w:rPr>
        <w:t>工伤保险工作应当坚持预防、救治、补偿和康复相结合的原则。</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用人单位和职工应当遵守有关安全生产和职业病防治的法律法规，执行安全卫生规程和标准，预防工伤事故，减少职业病危害。</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省人民政府社会保险行政部门负责全省的工伤保险工作，组织实施本条例。</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市、县（区）人民政府社会保险行政部门负责本行政区域内的工伤保险工作。</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各级社会保险经办机构具体承办工伤保险事务。</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各级人民政府应当发展工伤康复事业，帮助因工致残者得到康复和从事适合身体状况的劳动。</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第七条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各级人民政府应当保证工伤保险基金的征集和工伤保险待遇的给付。</w:t>
      </w:r>
      <w:r>
        <w:rPr>
          <w:rFonts w:ascii="宋体" w:hAnsi="宋体"/>
          <w:b w:val="0"/>
          <w:bCs w:val="0"/>
          <w:i w:val="0"/>
          <w:iCs w:val="0"/>
          <w:color w:val="auto"/>
          <w:sz w:val="32"/>
          <w:szCs w:val="32"/>
          <w:u w:val="none"/>
        </w:rPr>
        <w:t>遇有特殊情况，工伤保险基金不敷使用时，</w:t>
      </w:r>
      <w:r>
        <w:rPr>
          <w:rFonts w:hint="eastAsia" w:ascii="宋体" w:hAnsi="宋体" w:eastAsia="仿宋_GB2312" w:cs="仿宋_GB2312"/>
          <w:b w:val="0"/>
          <w:bCs w:val="0"/>
          <w:i w:val="0"/>
          <w:iCs w:val="0"/>
          <w:color w:val="auto"/>
          <w:sz w:val="32"/>
          <w:szCs w:val="32"/>
          <w:u w:val="none"/>
          <w:lang w:eastAsia="zh-CN"/>
        </w:rPr>
        <w:t>依照《中华人民共和国社会保险法》的有关规定处理</w:t>
      </w:r>
      <w:r>
        <w:rPr>
          <w:rFonts w:hint="eastAsia" w:ascii="宋体" w:hAnsi="宋体" w:eastAsia="仿宋_GB2312" w:cs="仿宋_GB2312"/>
          <w:b w:val="0"/>
          <w:bCs w:val="0"/>
          <w:i w:val="0"/>
          <w:iCs w:val="0"/>
          <w:color w:val="auto"/>
          <w:sz w:val="32"/>
          <w:szCs w:val="32"/>
          <w:u w:val="none"/>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工伤保险基金、享受工伤保险待遇的收入按照国家规定不征收税、费。</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第八条</w:t>
      </w:r>
      <w:r>
        <w:rPr>
          <w:rFonts w:hint="eastAsia" w:ascii="宋体" w:hAnsi="宋体"/>
          <w:b w:val="0"/>
          <w:bCs w:val="0"/>
          <w:color w:val="auto"/>
          <w:sz w:val="32"/>
          <w:szCs w:val="32"/>
        </w:rPr>
        <w:t xml:space="preserve">  </w:t>
      </w:r>
      <w:r>
        <w:rPr>
          <w:rFonts w:ascii="宋体" w:hAnsi="宋体"/>
          <w:b w:val="0"/>
          <w:bCs w:val="0"/>
          <w:color w:val="auto"/>
          <w:sz w:val="32"/>
          <w:szCs w:val="32"/>
        </w:rPr>
        <w:t>工伤保险费由</w:t>
      </w:r>
      <w:r>
        <w:rPr>
          <w:rFonts w:hint="eastAsia" w:ascii="宋体" w:hAnsi="宋体" w:eastAsia="仿宋_GB2312" w:cs="仿宋_GB2312"/>
          <w:b w:val="0"/>
          <w:bCs w:val="0"/>
          <w:color w:val="auto"/>
          <w:sz w:val="32"/>
          <w:szCs w:val="32"/>
        </w:rPr>
        <w:t>税务部门</w:t>
      </w:r>
      <w:r>
        <w:rPr>
          <w:rFonts w:ascii="宋体" w:hAnsi="宋体"/>
          <w:b w:val="0"/>
          <w:bCs w:val="0"/>
          <w:color w:val="auto"/>
          <w:sz w:val="32"/>
          <w:szCs w:val="32"/>
        </w:rPr>
        <w:t>征收。</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第二章  工伤认定</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第九条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职工有下列情形之一的，应当认定为工伤：</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（一）在工作时间和工作场所内，因工作原因受到事故伤害的；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（二）工作时间前后在工作场所内，从事与工作有关的预备性或者收尾性工作受到事故伤害的；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（三）在工作时间和工作场所内，因履行工作职责受到暴力等意外伤害的；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（四）患职业病的；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（五）因工外出期间，由于工作原因受到伤害或者发生事故下落不明的；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（六）在上下班途中，受到非本人主要责任的交通事故或者城市轨道交通、客运轮渡、火车事故伤害的；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（七）法律、行政法规规定应当认定为工伤的其他情形。</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第十条</w:t>
      </w:r>
      <w:r>
        <w:rPr>
          <w:rFonts w:hint="eastAsia" w:ascii="宋体" w:hAnsi="宋体"/>
          <w:b w:val="0"/>
          <w:bCs w:val="0"/>
          <w:color w:val="auto"/>
          <w:sz w:val="32"/>
          <w:szCs w:val="32"/>
        </w:rPr>
        <w:t xml:space="preserve">  </w:t>
      </w:r>
      <w:r>
        <w:rPr>
          <w:rFonts w:ascii="宋体" w:hAnsi="宋体"/>
          <w:b w:val="0"/>
          <w:bCs w:val="0"/>
          <w:color w:val="auto"/>
          <w:sz w:val="32"/>
          <w:szCs w:val="32"/>
        </w:rPr>
        <w:t>职工有下列情形之一的，视同工伤：</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（一）在工作时间和工作岗位，突发疾病死亡或者在四十八小时之内经抢救无效死亡的；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（二）在抢险救灾等维护国家利益、公共利益活动中受到伤害的；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（三）因工作环境存在有毒有害物质或者在用人单位食堂就餐造成急性中毒而住院抢救治疗，并经县级以上卫生防疫部门验证的；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（四）由用人单位指派前往依法宣布为疫区的地方工作而感染疫病的；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（五）职工原在军队服役，因战、因公负伤致残，已取得残</w:t>
      </w:r>
      <w:r>
        <w:rPr>
          <w:rFonts w:hint="eastAsia" w:ascii="宋体" w:hAnsi="宋体" w:eastAsia="仿宋_GB2312" w:cs="仿宋_GB2312"/>
          <w:b w:val="0"/>
          <w:bCs w:val="0"/>
          <w:color w:val="auto"/>
          <w:sz w:val="32"/>
          <w:szCs w:val="32"/>
        </w:rPr>
        <w:t>疾</w:t>
      </w:r>
      <w:r>
        <w:rPr>
          <w:rFonts w:ascii="宋体" w:hAnsi="宋体"/>
          <w:b w:val="0"/>
          <w:bCs w:val="0"/>
          <w:color w:val="auto"/>
          <w:sz w:val="32"/>
          <w:szCs w:val="32"/>
        </w:rPr>
        <w:t>军人证，到用人单位后旧伤复发的。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职工有前款第一、二、三、四项情形的，按照本条例的有关规定享受工伤保险待遇；职工有前款第五项情形的，按照本条例的有关规定享受除一次性伤残补助金以外的工伤保险待遇。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第十一条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职工符合本条例第九条、第十条的规定，但是有下列情形之一的，不得认定为工伤或者视同工伤：</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（一）故意犯罪的；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（二）醉酒或者吸毒的；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（三）自残或者自杀的；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（四）法律、行政法规规定的其他情形。</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第十二条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用人单位应当在职工发生事故伤害或者按照职业病防治法规定被诊断、鉴定为职业病后的第一个工作日，</w:t>
      </w:r>
      <w:r>
        <w:rPr>
          <w:rFonts w:hint="eastAsia" w:ascii="宋体" w:hAnsi="宋体" w:eastAsia="仿宋_GB2312" w:cs="仿宋_GB2312"/>
          <w:b w:val="0"/>
          <w:bCs w:val="0"/>
          <w:color w:val="auto"/>
          <w:sz w:val="32"/>
          <w:szCs w:val="32"/>
        </w:rPr>
        <w:t>通知参加工伤保险所在地</w:t>
      </w:r>
      <w:r>
        <w:rPr>
          <w:rFonts w:hint="eastAsia" w:ascii="宋体" w:hAnsi="宋体" w:eastAsia="仿宋_GB2312" w:cs="仿宋_GB2312"/>
          <w:b w:val="0"/>
          <w:bCs w:val="0"/>
          <w:color w:val="auto"/>
          <w:sz w:val="32"/>
          <w:szCs w:val="32"/>
          <w:lang w:eastAsia="zh-CN"/>
        </w:rPr>
        <w:t>市、县（区）</w:t>
      </w:r>
      <w:r>
        <w:rPr>
          <w:rFonts w:hint="eastAsia" w:ascii="宋体" w:hAnsi="宋体" w:eastAsia="仿宋_GB2312" w:cs="仿宋_GB2312"/>
          <w:b w:val="0"/>
          <w:bCs w:val="0"/>
          <w:color w:val="auto"/>
          <w:sz w:val="32"/>
          <w:szCs w:val="32"/>
        </w:rPr>
        <w:t>社会保险行政部门及社会保险经办机构，并自事故伤害发生之日或者按照职业病防治法规定被诊断、鉴定为职业病之日起三十日内，向参加工伤保险所在地</w:t>
      </w:r>
      <w:r>
        <w:rPr>
          <w:rFonts w:hint="eastAsia" w:ascii="宋体" w:hAnsi="宋体" w:eastAsia="仿宋_GB2312" w:cs="仿宋_GB2312"/>
          <w:b w:val="0"/>
          <w:bCs w:val="0"/>
          <w:color w:val="auto"/>
          <w:sz w:val="32"/>
          <w:szCs w:val="32"/>
          <w:lang w:eastAsia="zh-CN"/>
        </w:rPr>
        <w:t>市、县（区）</w:t>
      </w:r>
      <w:r>
        <w:rPr>
          <w:rFonts w:hint="eastAsia" w:ascii="宋体" w:hAnsi="宋体" w:eastAsia="仿宋_GB2312" w:cs="仿宋_GB2312"/>
          <w:b w:val="0"/>
          <w:bCs w:val="0"/>
          <w:color w:val="auto"/>
          <w:sz w:val="32"/>
          <w:szCs w:val="32"/>
        </w:rPr>
        <w:t>社会保险行政部门提出工伤认定申请。遇有特殊情况，</w:t>
      </w:r>
      <w:r>
        <w:rPr>
          <w:rFonts w:ascii="宋体" w:hAnsi="宋体"/>
          <w:b w:val="0"/>
          <w:bCs w:val="0"/>
          <w:color w:val="auto"/>
          <w:sz w:val="32"/>
          <w:szCs w:val="32"/>
        </w:rPr>
        <w:t>经报社会保险行政部门同意，申请时限可以适当延长。</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用人单位未按照前款规定提出工伤认定申请的，该职工或者其近亲属、工会组织自事故伤害发生之日或者按照职业病防治法</w:t>
      </w:r>
      <w:r>
        <w:rPr>
          <w:rFonts w:hint="eastAsia" w:ascii="宋体" w:hAnsi="宋体" w:eastAsia="仿宋_GB2312" w:cs="仿宋_GB2312"/>
          <w:b w:val="0"/>
          <w:bCs w:val="0"/>
          <w:color w:val="auto"/>
          <w:sz w:val="32"/>
          <w:szCs w:val="32"/>
        </w:rPr>
        <w:t>规定被诊断、鉴定为职业病之日起一年内，可以直接向用人单位参加工伤保险所在地</w:t>
      </w:r>
      <w:r>
        <w:rPr>
          <w:rFonts w:hint="eastAsia" w:ascii="宋体" w:hAnsi="宋体" w:eastAsia="仿宋_GB2312" w:cs="仿宋_GB2312"/>
          <w:b w:val="0"/>
          <w:bCs w:val="0"/>
          <w:color w:val="auto"/>
          <w:sz w:val="32"/>
          <w:szCs w:val="32"/>
          <w:lang w:eastAsia="zh-CN"/>
        </w:rPr>
        <w:t>市、县（区）</w:t>
      </w:r>
      <w:r>
        <w:rPr>
          <w:rFonts w:hint="eastAsia" w:ascii="宋体" w:hAnsi="宋体" w:eastAsia="仿宋_GB2312" w:cs="仿宋_GB2312"/>
          <w:b w:val="0"/>
          <w:bCs w:val="0"/>
          <w:color w:val="auto"/>
          <w:sz w:val="32"/>
          <w:szCs w:val="32"/>
        </w:rPr>
        <w:t>社会保险行政部门提出工伤认定申请；未参加工伤保险的，向用人单位生产经营所在地</w:t>
      </w:r>
      <w:r>
        <w:rPr>
          <w:rFonts w:hint="eastAsia" w:ascii="宋体" w:hAnsi="宋体" w:eastAsia="仿宋_GB2312" w:cs="仿宋_GB2312"/>
          <w:b w:val="0"/>
          <w:bCs w:val="0"/>
          <w:color w:val="auto"/>
          <w:sz w:val="32"/>
          <w:szCs w:val="32"/>
          <w:lang w:eastAsia="zh-CN"/>
        </w:rPr>
        <w:t>市、县（区）</w:t>
      </w:r>
      <w:r>
        <w:rPr>
          <w:rFonts w:hint="eastAsia" w:ascii="宋体" w:hAnsi="宋体" w:eastAsia="仿宋_GB2312" w:cs="仿宋_GB2312"/>
          <w:b w:val="0"/>
          <w:bCs w:val="0"/>
          <w:color w:val="auto"/>
          <w:sz w:val="32"/>
          <w:szCs w:val="32"/>
        </w:rPr>
        <w:t>社会保险行政部门提出工伤认定申请。</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用人单位未在本条第一款规定的时限内提交工伤认定申请的，在提出工伤认定申请之前发生的符合本条例规定的工伤待遇等有关费用由用人单位承担。</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提出工伤认定申请应当提交下列材料：</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（一）工伤认定申请表；</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（二）用人单位与劳动者存在劳动关系（包括事实劳动关系）的证明材料；</w:t>
      </w:r>
    </w:p>
    <w:p>
      <w:pPr>
        <w:widowControl w:val="0"/>
        <w:wordWrap/>
        <w:overflowPunct w:val="0"/>
        <w:spacing w:beforeAutospacing="0" w:afterAutospacing="0" w:line="560" w:lineRule="exact"/>
        <w:ind w:left="0" w:leftChars="0" w:right="0" w:firstLine="645"/>
        <w:textAlignment w:val="auto"/>
        <w:outlineLvl w:val="9"/>
        <w:rPr>
          <w:rFonts w:ascii="宋体" w:hAnsi="宋体" w:eastAsia="黑体"/>
          <w:b w:val="0"/>
          <w:bCs w:val="0"/>
          <w:color w:val="auto"/>
          <w:kern w:val="0"/>
          <w:sz w:val="32"/>
          <w:szCs w:val="32"/>
        </w:rPr>
      </w:pPr>
      <w:r>
        <w:rPr>
          <w:rFonts w:ascii="宋体" w:hAnsi="宋体"/>
          <w:b w:val="0"/>
          <w:bCs w:val="0"/>
          <w:color w:val="auto"/>
          <w:sz w:val="32"/>
          <w:szCs w:val="32"/>
        </w:rPr>
        <w:t>（三）医疗诊断证明或者职业病诊断证明书（或者职业病诊断鉴定书）。</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工伤认定申请表应当包括事故发生的时间、地点、原因以及职工伤害程度等基本情况。</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工伤认定申请人提供材料不完整的，社会保险行政部门应当一次性书面告知工伤认定申请人需要补正的全部材料。申请人按照书面告知要求补正材料后，社会保险行政部门应当受理。</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社会保险行政部门受理工伤认定申请后，根据审核需要可以对事故伤害进行调查核实，用人单位、职工、工会组织、医疗机构以及有关部门有协助工伤调查和提供证据的义务。</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ascii="宋体" w:hAnsi="宋体"/>
          <w:b w:val="0"/>
          <w:bCs w:val="0"/>
          <w:color w:val="auto"/>
          <w:sz w:val="32"/>
          <w:szCs w:val="32"/>
        </w:rPr>
        <w:t>职业病诊断和诊断争议的鉴定，依照职业病防治法的有关规定执行。对依法取得的职业病诊断证明书或者职业病诊断鉴定书，社会保险行政部门不再进行调查核实。</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职工或者其近亲属、工会组织认为是工伤，用人单位不认为是工伤的，由用人单位承担举证责任。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第十五条</w:t>
      </w:r>
      <w:r>
        <w:rPr>
          <w:rFonts w:hint="eastAsia" w:ascii="宋体" w:hAnsi="宋体"/>
          <w:b w:val="0"/>
          <w:bCs w:val="0"/>
          <w:color w:val="auto"/>
          <w:sz w:val="32"/>
          <w:szCs w:val="32"/>
        </w:rPr>
        <w:t xml:space="preserve">  </w:t>
      </w:r>
      <w:r>
        <w:rPr>
          <w:rFonts w:ascii="宋体" w:hAnsi="宋体"/>
          <w:b w:val="0"/>
          <w:bCs w:val="0"/>
          <w:color w:val="auto"/>
          <w:sz w:val="32"/>
          <w:szCs w:val="32"/>
        </w:rPr>
        <w:t>社会保险行政部门应当自受理工伤认定申请之日起六十日内作出工伤认定的决定，并书面通知申请工伤认定的职工或者其近亲属以及该职工所在单位。</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社会保险行政部门对受理的事实清楚、权利义务明确的工伤认定申请，应当自受理工伤认定申请之日起十五日内作出工伤认定的决定。</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作出工伤认定决定需要以司法机关或者有关行政主管部门的结论为依据的，在司法机关或者有关行政主管部门尚未作出结论期间，作出工伤认定决定的时限中止。</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ascii="宋体" w:hAnsi="宋体"/>
          <w:b w:val="0"/>
          <w:bCs w:val="0"/>
          <w:color w:val="auto"/>
          <w:sz w:val="32"/>
          <w:szCs w:val="32"/>
        </w:rPr>
        <w:t>社会保险行政部门工作人员与工伤认</w:t>
      </w:r>
      <w:r>
        <w:rPr>
          <w:rFonts w:hint="eastAsia" w:ascii="宋体" w:hAnsi="宋体" w:eastAsia="仿宋_GB2312" w:cs="仿宋_GB2312"/>
          <w:b w:val="0"/>
          <w:bCs w:val="0"/>
          <w:color w:val="auto"/>
          <w:sz w:val="32"/>
          <w:szCs w:val="32"/>
        </w:rPr>
        <w:t>定申请人或者利害关系人有利害关系的，应当回避。</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第三章  劳动能力鉴定</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第十六条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职工发生工伤，经治疗伤情相对稳定（医疗终结期满）后存在残疾、影响劳动能力的，应当进行劳动能力鉴定。</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用人单位、工伤职工或者其近亲属应当在工伤职工医疗终结期满</w:t>
      </w:r>
      <w:r>
        <w:rPr>
          <w:rFonts w:hint="eastAsia" w:ascii="宋体" w:hAnsi="宋体" w:eastAsia="仿宋_GB2312" w:cs="仿宋_GB2312"/>
          <w:b w:val="0"/>
          <w:bCs w:val="0"/>
          <w:color w:val="auto"/>
          <w:sz w:val="32"/>
          <w:szCs w:val="32"/>
        </w:rPr>
        <w:t>三十日内向地级以上市劳动能力鉴定</w:t>
      </w:r>
      <w:r>
        <w:rPr>
          <w:rFonts w:ascii="宋体" w:hAnsi="宋体"/>
          <w:b w:val="0"/>
          <w:bCs w:val="0"/>
          <w:color w:val="auto"/>
          <w:sz w:val="32"/>
          <w:szCs w:val="32"/>
        </w:rPr>
        <w:t>委员会提出劳动能力鉴定申请，并提供工伤认定决定和职工工伤医疗的有关资料。</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医疗终结期的确认由劳动能力鉴定委员会按照国家和省的有关规定执行。医疗终结期需要延长的，由劳动能力鉴定委员会按照国家和省的有关规定批准。</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第十七条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劳动能力鉴定是指劳动功能障碍程度和生活自理障碍程度的等级鉴定。</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劳动功能障碍分为十个伤残等级，最重的为一级，最轻的为十级。</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生活自理障碍等级根据进食、翻身、大小便、穿衣及洗漱、自主行动五项条件确定。五项条件均需要护理者为一级，五项中四项需要护理者为二级，五项中三项需要护理者为三级，五项中一至二项需要护理者为四级。</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劳动能力鉴定及职工工伤与职业病致残等级标准按照国家有关规定执行。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第十八条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省、地级以上市人民政府设立劳动能力鉴定委员会，由社会保险行政部门、卫生行政部门、工会组织、社会保险经办机构以及用人单位代表组成。</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劳动能力鉴定委员会办公室设在社会保险行政部门。</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劳动能力鉴定委员会负责劳动能力障碍程度和生活自理障碍程度鉴定，以及工伤医疗终结期和停工留薪期确认、工伤复发确认、辅助器具配置确认、工伤康复确认等工作。</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第十九条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劳动能力鉴定委员会收到劳动能力鉴定申请后，应当从其建立的医疗卫生专家库中随机抽取三名或者五名相关专家组成专家组，由专家组提出鉴定意见。劳动能力鉴定委员会根据专家组的鉴定意见作出工伤职工劳动能力鉴定结论，必要时，可以委托具备资格的医疗机构协助进行有关的诊断。</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劳动能力鉴定委员会应当自收到劳动能力鉴定申请书之日起六十日内作出劳动能力鉴定结论，必要时，作出劳动能力鉴定结论的期限可以延长三十日。劳动能力鉴定结论应当及时送达申请鉴定的单位和个人。</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劳动能力鉴定工作应当客观、公正。劳动能力鉴定委员会组成人员或者参加鉴定的专家与当事人有利害关系的，应当回避。</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医疗卫生专家库的设置办法及劳动能力鉴定工作程序由省劳动能力鉴定委员会另行制定。</w:t>
      </w:r>
    </w:p>
    <w:p>
      <w:pPr>
        <w:widowControl w:val="0"/>
        <w:wordWrap/>
        <w:overflowPunct w:val="0"/>
        <w:spacing w:beforeAutospacing="0" w:afterAutospacing="0" w:line="560" w:lineRule="exact"/>
        <w:ind w:left="0" w:leftChars="0" w:right="0" w:firstLine="601"/>
        <w:textAlignment w:val="auto"/>
        <w:outlineLvl w:val="9"/>
        <w:rPr>
          <w:rFonts w:ascii="宋体" w:hAnsi="宋体" w:eastAsia="黑体"/>
          <w:b w:val="0"/>
          <w:bCs w:val="0"/>
          <w:color w:val="auto"/>
          <w:sz w:val="32"/>
          <w:szCs w:val="32"/>
        </w:rPr>
      </w:pPr>
      <w:r>
        <w:rPr>
          <w:rFonts w:hint="eastAsia" w:ascii="宋体" w:hAnsi="宋体" w:eastAsia="黑体" w:cs="黑体"/>
          <w:b w:val="0"/>
          <w:bCs w:val="0"/>
          <w:color w:val="auto"/>
          <w:sz w:val="32"/>
          <w:szCs w:val="32"/>
        </w:rPr>
        <w:t>第二十条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工伤职工及其近亲属或者用人单位对劳动能力鉴定委员会作出的劳动</w:t>
      </w:r>
      <w:r>
        <w:rPr>
          <w:rFonts w:hint="eastAsia" w:ascii="宋体" w:hAnsi="宋体" w:eastAsia="仿宋_GB2312" w:cs="仿宋_GB2312"/>
          <w:b w:val="0"/>
          <w:bCs w:val="0"/>
          <w:color w:val="auto"/>
          <w:sz w:val="32"/>
          <w:szCs w:val="32"/>
        </w:rPr>
        <w:t>能力鉴定结论不服的，可以自收到鉴定结论之日起十五日内申请复查，对复查结论不服的，可以自收到复查结论之日起十五日内向上一级劳动能力鉴定委员会申请再次鉴定；也可以自收到鉴定结论之日起十五日内向上一级</w:t>
      </w:r>
      <w:r>
        <w:rPr>
          <w:rFonts w:ascii="宋体" w:hAnsi="宋体"/>
          <w:b w:val="0"/>
          <w:bCs w:val="0"/>
          <w:color w:val="auto"/>
          <w:sz w:val="32"/>
          <w:szCs w:val="32"/>
        </w:rPr>
        <w:t>劳动能力鉴定委员会申请再次鉴定。</w:t>
      </w:r>
    </w:p>
    <w:p>
      <w:pPr>
        <w:widowControl w:val="0"/>
        <w:wordWrap/>
        <w:overflowPunct w:val="0"/>
        <w:spacing w:beforeAutospacing="0" w:afterAutospacing="0" w:line="560" w:lineRule="exact"/>
        <w:ind w:left="0" w:leftChars="0" w:right="0" w:firstLine="601"/>
        <w:textAlignment w:val="auto"/>
        <w:outlineLvl w:val="9"/>
        <w:rPr>
          <w:rFonts w:ascii="宋体" w:hAnsi="宋体"/>
          <w:b w:val="0"/>
          <w:bCs w:val="0"/>
          <w:color w:val="auto"/>
          <w:sz w:val="32"/>
          <w:szCs w:val="32"/>
        </w:rPr>
      </w:pPr>
      <w:r>
        <w:rPr>
          <w:rFonts w:ascii="宋体" w:hAnsi="宋体"/>
          <w:b w:val="0"/>
          <w:bCs w:val="0"/>
          <w:color w:val="auto"/>
          <w:sz w:val="32"/>
          <w:szCs w:val="32"/>
        </w:rPr>
        <w:t>省级劳动能力鉴定委员会作出的劳动能力鉴定结论为最终结论。</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第四章  工伤保险待遇</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第二十一条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职工发生工伤时，用人单位应当采取措施及时救治工伤职工。</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ascii="宋体" w:hAnsi="宋体"/>
          <w:b w:val="0"/>
          <w:bCs w:val="0"/>
          <w:color w:val="auto"/>
          <w:sz w:val="32"/>
          <w:szCs w:val="32"/>
        </w:rPr>
        <w:t>职工治疗工伤应当在签订服务协议的医疗机构就医，情况紧急时可以先到就</w:t>
      </w:r>
      <w:r>
        <w:rPr>
          <w:rFonts w:hint="eastAsia" w:ascii="宋体" w:hAnsi="宋体" w:eastAsia="仿宋_GB2312" w:cs="仿宋_GB2312"/>
          <w:b w:val="0"/>
          <w:bCs w:val="0"/>
          <w:color w:val="auto"/>
          <w:sz w:val="32"/>
          <w:szCs w:val="32"/>
        </w:rPr>
        <w:t>近的医疗机构急救；疑似职业病或者患职业病的，用人单位应当及时送依法承担职业病诊断的医疗卫生机构诊断，并及时送签订服务协议的医疗机构治疗。</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职工经治疗伤情稳定，需要工伤康复的，用人单位、工伤职工或者其近亲属可以向地级以上市劳动能力鉴定委员会提出工伤康复申请。经劳动能力鉴定委员会确认，工伤职工可以在签订服务协议的康复机构进行康复。</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lang w:eastAsia="zh-CN"/>
        </w:rPr>
      </w:pPr>
      <w:r>
        <w:rPr>
          <w:rFonts w:hint="eastAsia" w:ascii="宋体" w:hAnsi="宋体" w:eastAsia="仿宋_GB2312" w:cs="仿宋_GB2312"/>
          <w:b w:val="0"/>
          <w:bCs w:val="0"/>
          <w:color w:val="auto"/>
          <w:sz w:val="32"/>
          <w:szCs w:val="32"/>
          <w:lang w:eastAsia="zh-CN"/>
        </w:rPr>
        <w:t>工伤职工在认定工伤前已由基本医疗保险基金按照规定支付的医疗费用，在认定工伤后由工伤保险基金按照规定向基本医疗保险基金结算。</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第二十二条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职工因医疗条件所限需要转院治疗的，应当由签订服务协议的医疗机构提出，经报社会保险经办机构同意；因康复条件所限需要转院康复的，应当由工伤职工、用人单位或者签订服务协议的康复机构提出，经报社会保险经办机构同意。</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社会保险经办机构与医疗机构、康复机构签订服务协议，应当事先征求同级总工会、有关企业协会的意见。签订服务协议的医疗机构、康复机构名单应当向社会公布。</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治疗工伤所需费用符合工伤保险诊疗项目目录、工伤保险药品目录、工伤保险住院服务标准的，从工伤保险基金支付。工伤保险诊疗项目目录、工伤保险药品目录、工伤保险住院服务标准按照国家和省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职工住院治疗工伤、康复的伙食补助费，以及经批准转地级以上市以外门诊治疗、康复及住院治疗、康复的，其在城市间往返一次的交通费用及在转入地所需的市内交通、食宿费用，由工伤保险基金按照省</w:t>
      </w:r>
      <w:r>
        <w:rPr>
          <w:rFonts w:hint="eastAsia" w:ascii="宋体" w:hAnsi="宋体" w:eastAsia="仿宋_GB2312" w:cs="仿宋_GB2312"/>
          <w:b w:val="0"/>
          <w:bCs w:val="0"/>
          <w:i w:val="0"/>
          <w:iCs w:val="0"/>
          <w:color w:val="auto"/>
          <w:sz w:val="32"/>
          <w:szCs w:val="32"/>
          <w:u w:val="none"/>
        </w:rPr>
        <w:t>人民政府</w:t>
      </w:r>
      <w:r>
        <w:rPr>
          <w:rFonts w:hint="eastAsia" w:ascii="宋体" w:hAnsi="宋体" w:eastAsia="仿宋_GB2312" w:cs="仿宋_GB2312"/>
          <w:b w:val="0"/>
          <w:bCs w:val="0"/>
          <w:color w:val="auto"/>
          <w:sz w:val="32"/>
          <w:szCs w:val="32"/>
        </w:rPr>
        <w:t>规定的标准支付。</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职工因工伤需要暂停工作接受工伤医疗的，在停工留薪期内，原工资福利待遇不变，由所在单位按月支付。停工留薪期根据医疗终结期确定，由劳动能力鉴定委员会确认，最长不超过二十四个月。</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职工鉴定伤残等级后，停发原待遇，按照本章的有关规定享受伤残待遇。工伤职工在鉴定伤残等级后仍需治疗的，经劳动能力鉴定委员会批准，一级至四级伤残，享受伤残津贴和工伤医疗待遇；五级至十级伤残，享受工伤医疗和停工留薪期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经劳动能力鉴定委员会确认可以进行康复的，工伤职工在签订服务协议的康复机构发生的符合规定的工伤康复费用，从工伤保险基金支付。</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工伤职工在停工留薪期间生活不能自理需要护理的，由所在单位负责。所在单位未派人护理的，应当参照当地护工从事同等级别护理的劳务报酬标准向工伤职工支付护理费。</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第二十六条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工伤职工已经被鉴定为一级至四级伤残等级并经劳动能力鉴定委</w:t>
      </w:r>
      <w:r>
        <w:rPr>
          <w:rFonts w:hint="eastAsia" w:ascii="宋体" w:hAnsi="宋体" w:eastAsia="仿宋_GB2312" w:cs="仿宋_GB2312"/>
          <w:b w:val="0"/>
          <w:bCs w:val="0"/>
          <w:color w:val="auto"/>
          <w:sz w:val="32"/>
          <w:szCs w:val="32"/>
        </w:rPr>
        <w:t>员会确认需要生活护理的，由工伤保险基金按照工伤职工生活自理障碍等级支付生活护理费。</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生活护理费以全省上年度职工月平均工资的一定比例按月计发，标准为：一级为百分之六十，二级为百分之五十，三级为百分之四十，四级为百分之三十。</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生活护理费每年按照全省上年度职工平均工资增长比例同步调整，全省上年度职工平均工资负增长时不调整。</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第二十七条</w:t>
      </w:r>
      <w:r>
        <w:rPr>
          <w:rFonts w:hint="eastAsia" w:ascii="宋体" w:hAnsi="宋体"/>
          <w:b w:val="0"/>
          <w:bCs w:val="0"/>
          <w:color w:val="auto"/>
          <w:sz w:val="32"/>
          <w:szCs w:val="32"/>
        </w:rPr>
        <w:t xml:space="preserve">  </w:t>
      </w:r>
      <w:r>
        <w:rPr>
          <w:rFonts w:ascii="宋体" w:hAnsi="宋体"/>
          <w:b w:val="0"/>
          <w:bCs w:val="0"/>
          <w:color w:val="auto"/>
          <w:sz w:val="32"/>
          <w:szCs w:val="32"/>
        </w:rPr>
        <w:t>工伤职工因日常生活或者就业需要，必须安装假肢、矫形器、假眼、假牙和配置轮椅、拐杖等辅助器具，或者辅助器具需要维修、更换的，由签订服务协议的医疗、康复机构提出意见，经劳动能力鉴定委员会确认，所需费用按照国家规定的标准从工伤保险基金支付。</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辅助器具应当限于辅助日常生活及生产劳动之必需，并采用国内市场的普及型产品。工伤职工选择其他型号产品，费用高出普及型的部分，由个人自付。</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第二十八条</w:t>
      </w:r>
      <w:r>
        <w:rPr>
          <w:rFonts w:hint="eastAsia" w:ascii="宋体" w:hAnsi="宋体"/>
          <w:b w:val="0"/>
          <w:bCs w:val="0"/>
          <w:color w:val="auto"/>
          <w:sz w:val="32"/>
          <w:szCs w:val="32"/>
        </w:rPr>
        <w:t xml:space="preserve">  </w:t>
      </w:r>
      <w:r>
        <w:rPr>
          <w:rFonts w:ascii="宋体" w:hAnsi="宋体"/>
          <w:b w:val="0"/>
          <w:bCs w:val="0"/>
          <w:color w:val="auto"/>
          <w:sz w:val="32"/>
          <w:szCs w:val="32"/>
        </w:rPr>
        <w:t>职工因工致残被鉴定为一级至四级伤残，本人要求退出工作岗位、终止劳动关系的，办理伤残退休手续，享受以下待遇：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一次性伤残补助金。由工伤保险基金按伤残等级支付，标准为：一级伤残为二十七个月的本人工资，二级伤残为二十五个月的本人工资，三级伤残为二十三个月的本人工资，四级伤残为二十一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伤残津贴。由工伤保险基金按月支付，直至本人死亡，标准为：一级伤残为本人工资的百分之九十，二级伤残为本人工资的百分之八十五，三级伤残为本人工资的百分之八十，四级伤残为本人工资的百分之七十五。伤残津贴实际金额低于当地最低工资标准的，由工伤保险基金补足差额。</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办理伤残退休手续的工伤职工</w:t>
      </w:r>
      <w:r>
        <w:rPr>
          <w:rFonts w:hint="eastAsia" w:ascii="宋体" w:hAnsi="宋体" w:eastAsia="仿宋_GB2312" w:cs="仿宋_GB2312"/>
          <w:b w:val="0"/>
          <w:bCs w:val="0"/>
          <w:color w:val="auto"/>
          <w:sz w:val="32"/>
          <w:szCs w:val="32"/>
        </w:rPr>
        <w:t>应当按照规定参</w:t>
      </w:r>
      <w:r>
        <w:rPr>
          <w:rFonts w:ascii="宋体" w:hAnsi="宋体"/>
          <w:b w:val="0"/>
          <w:bCs w:val="0"/>
          <w:color w:val="auto"/>
          <w:sz w:val="32"/>
          <w:szCs w:val="32"/>
        </w:rPr>
        <w:t>加职工基本医疗保险</w:t>
      </w:r>
      <w:r>
        <w:rPr>
          <w:rFonts w:ascii="宋体" w:hAnsi="宋体" w:eastAsia="黑体"/>
          <w:b w:val="0"/>
          <w:bCs w:val="0"/>
          <w:color w:val="auto"/>
          <w:sz w:val="32"/>
          <w:szCs w:val="32"/>
        </w:rPr>
        <w:t>。</w:t>
      </w:r>
      <w:r>
        <w:rPr>
          <w:rFonts w:ascii="宋体" w:hAnsi="宋体"/>
          <w:b w:val="0"/>
          <w:bCs w:val="0"/>
          <w:color w:val="auto"/>
          <w:sz w:val="32"/>
          <w:szCs w:val="32"/>
        </w:rPr>
        <w:t>按照规定应当由用人单位缴纳的基本医疗保险费，由工伤保险基金承担。</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一级至四级伤残职工与原单位保留劳动关系，退出工作岗位的，按照《工伤保险条例》的有关规定执行。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伤残津贴每年按照省人民政府的规定进行</w:t>
      </w:r>
      <w:r>
        <w:rPr>
          <w:rFonts w:hint="eastAsia" w:ascii="宋体" w:hAnsi="宋体" w:eastAsia="仿宋_GB2312" w:cs="仿宋_GB2312"/>
          <w:b w:val="0"/>
          <w:bCs w:val="0"/>
          <w:i w:val="0"/>
          <w:iCs w:val="0"/>
          <w:color w:val="auto"/>
          <w:sz w:val="32"/>
          <w:szCs w:val="32"/>
          <w:u w:val="none"/>
        </w:rPr>
        <w:t>调整</w:t>
      </w:r>
      <w:r>
        <w:rPr>
          <w:rFonts w:hint="eastAsia" w:ascii="宋体" w:hAnsi="宋体" w:eastAsia="仿宋_GB2312" w:cs="仿宋_GB2312"/>
          <w:b w:val="0"/>
          <w:bCs w:val="0"/>
          <w:color w:val="auto"/>
          <w:sz w:val="32"/>
          <w:szCs w:val="32"/>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第二十九条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一级至四级伤残职工户籍从单位所在地迁回原籍的，其伤残津贴可以由社会保险经办机构按照标准每半年发放一次。用人单位应当</w:t>
      </w:r>
      <w:r>
        <w:rPr>
          <w:rFonts w:hint="eastAsia" w:ascii="宋体" w:hAnsi="宋体" w:eastAsia="仿宋_GB2312" w:cs="仿宋_GB2312"/>
          <w:b w:val="0"/>
          <w:bCs w:val="0"/>
          <w:color w:val="auto"/>
          <w:sz w:val="32"/>
          <w:szCs w:val="32"/>
        </w:rPr>
        <w:t>按照全省上年度</w:t>
      </w:r>
      <w:r>
        <w:rPr>
          <w:rFonts w:ascii="宋体" w:hAnsi="宋体"/>
          <w:b w:val="0"/>
          <w:bCs w:val="0"/>
          <w:color w:val="auto"/>
          <w:sz w:val="32"/>
          <w:szCs w:val="32"/>
        </w:rPr>
        <w:t>职工月平均工资为基数发给六个月的安家补助费。所需交通费、住宿费、行李搬运费和伙食补助费等，由用人单位按照因公出差标准报销。</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职工因工致残被鉴定为五级、六级伤残的，享受以下待遇：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（一）一次性伤残补助金。由工伤保险基金支付，标准为：五级伤残为十八个月的本人工资，六级伤残为十六个月的本人工资。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highlight w:val="yellow"/>
        </w:rPr>
      </w:pPr>
      <w:r>
        <w:rPr>
          <w:rFonts w:ascii="宋体" w:hAnsi="宋体"/>
          <w:b w:val="0"/>
          <w:bCs w:val="0"/>
          <w:color w:val="auto"/>
          <w:sz w:val="32"/>
          <w:szCs w:val="32"/>
        </w:rPr>
        <w:t>（二）保留与用人单位的劳动关系，由用人单位安排适当工作。难以安排工作的，由用人单位按月发给伤残津贴，标准为：五级伤残为本人工资的百分之七十，六级伤残为本人工资的百分之六十，并由用人单位按照规定为其缴纳应缴纳的各项社会保险费。伤残津贴实际金额低于当地最低工资标准的，由用人单位补足差额。</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第三十一条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五级、六级伤残职工本人提出与用人单位解除或者终止劳动关系的，由工伤保险基金支付一次性工伤医疗补助金，由用人单位支付一次性伤残就业补助金，终结工伤保险关系：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（一）一次性工伤医疗补助金。标准为：五级伤残为十个月的本人工资，六级伤残为八个月的本人工资。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ascii="宋体" w:hAnsi="宋体"/>
          <w:b w:val="0"/>
          <w:bCs w:val="0"/>
          <w:color w:val="auto"/>
          <w:sz w:val="32"/>
          <w:szCs w:val="32"/>
        </w:rPr>
        <w:t>（二）一次性伤残就业补助金。标准为：五级伤残为五十个月的本人工资，六级伤残为四十个月的本人工资。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第三十二条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因工致残被鉴定为七级至十级伤残的，由工伤保险基金支付一次性伤残补助金，标准为：七级伤残为十三个月的本人工资，八级伤残为十一个月的本人工资，九级伤残为九个月的本人工资，十级伤残为七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ascii="宋体" w:hAnsi="宋体"/>
          <w:b w:val="0"/>
          <w:bCs w:val="0"/>
          <w:color w:val="auto"/>
          <w:sz w:val="32"/>
          <w:szCs w:val="32"/>
        </w:rPr>
        <w:t>七级</w:t>
      </w:r>
      <w:r>
        <w:rPr>
          <w:rFonts w:hint="eastAsia" w:ascii="宋体" w:hAnsi="宋体" w:eastAsia="仿宋_GB2312" w:cs="仿宋_GB2312"/>
          <w:b w:val="0"/>
          <w:bCs w:val="0"/>
          <w:color w:val="auto"/>
          <w:sz w:val="32"/>
          <w:szCs w:val="32"/>
        </w:rPr>
        <w:t>至十级伤残职工劳动、聘用合同终止或者依法与用人单位解除劳动关系的，除享受基本养老保险待遇或者死亡情形之外</w:t>
      </w:r>
      <w:r>
        <w:rPr>
          <w:rFonts w:hint="eastAsia" w:ascii="宋体" w:hAnsi="宋体" w:eastAsia="仿宋_GB2312" w:cs="仿宋_GB2312"/>
          <w:b w:val="0"/>
          <w:bCs w:val="0"/>
          <w:color w:val="auto"/>
          <w:sz w:val="32"/>
          <w:szCs w:val="32"/>
          <w:lang w:eastAsia="zh-CN"/>
        </w:rPr>
        <w:t>，</w:t>
      </w:r>
      <w:r>
        <w:rPr>
          <w:rFonts w:hint="eastAsia" w:ascii="宋体" w:hAnsi="宋体" w:eastAsia="仿宋_GB2312" w:cs="仿宋_GB2312"/>
          <w:b w:val="0"/>
          <w:bCs w:val="0"/>
          <w:color w:val="auto"/>
          <w:sz w:val="32"/>
          <w:szCs w:val="32"/>
        </w:rPr>
        <w:t>由工伤保险基金支付一次性工伤医疗补助金，由用人单位支付一次性伤残就业补助金，终结工伤保险关系</w:t>
      </w:r>
      <w:r>
        <w:rPr>
          <w:rFonts w:hint="eastAsia" w:ascii="宋体" w:hAnsi="宋体" w:eastAsia="仿宋_GB2312" w:cs="仿宋_GB2312"/>
          <w:b w:val="0"/>
          <w:bCs w:val="0"/>
          <w:color w:val="auto"/>
          <w:sz w:val="32"/>
          <w:szCs w:val="32"/>
          <w:lang w:eastAsia="zh-CN"/>
        </w:rPr>
        <w:t>。补助金标准如下</w:t>
      </w:r>
      <w:r>
        <w:rPr>
          <w:rFonts w:hint="eastAsia" w:ascii="宋体" w:hAnsi="宋体" w:eastAsia="仿宋_GB2312" w:cs="仿宋_GB2312"/>
          <w:b w:val="0"/>
          <w:bCs w:val="0"/>
          <w:color w:val="auto"/>
          <w:sz w:val="32"/>
          <w:szCs w:val="32"/>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仿宋_GB2312" w:cs="仿宋_GB2312"/>
          <w:b w:val="0"/>
          <w:bCs w:val="0"/>
          <w:color w:val="auto"/>
          <w:sz w:val="32"/>
          <w:szCs w:val="32"/>
        </w:rPr>
        <w:t>（一）一次性工伤医疗补助金：七级伤残为六个月的本人工资，八级伤残为四个月的本人工资，九级伤残为二个月</w:t>
      </w:r>
      <w:r>
        <w:rPr>
          <w:rFonts w:ascii="宋体" w:hAnsi="宋体"/>
          <w:b w:val="0"/>
          <w:bCs w:val="0"/>
          <w:color w:val="auto"/>
          <w:sz w:val="32"/>
          <w:szCs w:val="32"/>
        </w:rPr>
        <w:t>的本人工资，十级伤残为一个月的本人工资。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（二）一次性伤残就业补助金：七级伤残为二十五个月的本人工资，八级伤残为十五个月的本人工资，九级伤残为八个月的本人工资，十级伤残为四个月的本人工资。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第三十三条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计发本</w:t>
      </w:r>
      <w:r>
        <w:rPr>
          <w:rFonts w:hint="eastAsia" w:ascii="宋体" w:hAnsi="宋体" w:eastAsia="仿宋_GB2312" w:cs="仿宋_GB2312"/>
          <w:b w:val="0"/>
          <w:bCs w:val="0"/>
          <w:color w:val="auto"/>
          <w:sz w:val="32"/>
          <w:szCs w:val="32"/>
        </w:rPr>
        <w:t>条例第</w:t>
      </w:r>
      <w:r>
        <w:rPr>
          <w:rFonts w:hint="eastAsia" w:ascii="宋体" w:hAnsi="宋体" w:eastAsia="仿宋_GB2312" w:cs="仿宋_GB2312"/>
          <w:b w:val="0"/>
          <w:bCs w:val="0"/>
          <w:color w:val="auto"/>
          <w:sz w:val="32"/>
          <w:szCs w:val="32"/>
          <w:lang w:eastAsia="zh-CN"/>
        </w:rPr>
        <w:t>三十一</w:t>
      </w:r>
      <w:r>
        <w:rPr>
          <w:rFonts w:hint="eastAsia" w:ascii="宋体" w:hAnsi="宋体" w:eastAsia="仿宋_GB2312" w:cs="仿宋_GB2312"/>
          <w:b w:val="0"/>
          <w:bCs w:val="0"/>
          <w:color w:val="auto"/>
          <w:sz w:val="32"/>
          <w:szCs w:val="32"/>
        </w:rPr>
        <w:t>条、第</w:t>
      </w:r>
      <w:r>
        <w:rPr>
          <w:rFonts w:hint="eastAsia" w:ascii="宋体" w:hAnsi="宋体" w:eastAsia="仿宋_GB2312" w:cs="仿宋_GB2312"/>
          <w:b w:val="0"/>
          <w:bCs w:val="0"/>
          <w:color w:val="auto"/>
          <w:sz w:val="32"/>
          <w:szCs w:val="32"/>
          <w:lang w:eastAsia="zh-CN"/>
        </w:rPr>
        <w:t>三十二</w:t>
      </w:r>
      <w:r>
        <w:rPr>
          <w:rFonts w:hint="eastAsia" w:ascii="宋体" w:hAnsi="宋体" w:eastAsia="仿宋_GB2312" w:cs="仿宋_GB2312"/>
          <w:b w:val="0"/>
          <w:bCs w:val="0"/>
          <w:color w:val="auto"/>
          <w:sz w:val="32"/>
          <w:szCs w:val="32"/>
        </w:rPr>
        <w:t>条规定的一次性工伤医疗补助金和一次性伤残就业补助金，本人工资低于工伤职工与用人单位解除或者终止劳动关系前本人十二个月平均月缴费工资的，按照解除或者终止劳动关系前本人十二个月平均月缴费工资为基数计发。缴费工资不足十二个月的，以实际缴费月数计算本人平均月缴费工资。本人平均月缴费工资高于全省上年度职工月平均工资百分之三百的，按照全省上年度职工月平均工资的百分之三百计算；低于全省上年度职工月平均工资百分之六十的，按照全省上年度职工月平均工资的百分之六十计算。</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第三十四条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w:t>
      </w:r>
      <w:r>
        <w:rPr>
          <w:rFonts w:hint="eastAsia" w:ascii="宋体" w:hAnsi="宋体" w:eastAsia="仿宋_GB2312" w:cs="仿宋_GB2312"/>
          <w:b w:val="0"/>
          <w:bCs w:val="0"/>
          <w:color w:val="auto"/>
          <w:sz w:val="32"/>
          <w:szCs w:val="32"/>
        </w:rPr>
        <w:t>伤职工工伤复发，确认需要治疗的，享受本条例第</w:t>
      </w:r>
      <w:r>
        <w:rPr>
          <w:rFonts w:hint="eastAsia" w:ascii="宋体" w:hAnsi="宋体" w:eastAsia="仿宋_GB2312" w:cs="仿宋_GB2312"/>
          <w:b w:val="0"/>
          <w:bCs w:val="0"/>
          <w:color w:val="auto"/>
          <w:sz w:val="32"/>
          <w:szCs w:val="32"/>
          <w:lang w:eastAsia="zh-CN"/>
        </w:rPr>
        <w:t>二十四</w:t>
      </w:r>
      <w:r>
        <w:rPr>
          <w:rFonts w:hint="eastAsia" w:ascii="宋体" w:hAnsi="宋体" w:eastAsia="仿宋_GB2312" w:cs="仿宋_GB2312"/>
          <w:b w:val="0"/>
          <w:bCs w:val="0"/>
          <w:color w:val="auto"/>
          <w:sz w:val="32"/>
          <w:szCs w:val="32"/>
        </w:rPr>
        <w:t>条、第</w:t>
      </w:r>
      <w:r>
        <w:rPr>
          <w:rFonts w:hint="eastAsia" w:ascii="宋体" w:hAnsi="宋体" w:eastAsia="仿宋_GB2312" w:cs="仿宋_GB2312"/>
          <w:b w:val="0"/>
          <w:bCs w:val="0"/>
          <w:color w:val="auto"/>
          <w:sz w:val="32"/>
          <w:szCs w:val="32"/>
          <w:lang w:eastAsia="zh-CN"/>
        </w:rPr>
        <w:t>二十五</w:t>
      </w:r>
      <w:r>
        <w:rPr>
          <w:rFonts w:hint="eastAsia" w:ascii="宋体" w:hAnsi="宋体" w:eastAsia="仿宋_GB2312" w:cs="仿宋_GB2312"/>
          <w:b w:val="0"/>
          <w:bCs w:val="0"/>
          <w:color w:val="auto"/>
          <w:sz w:val="32"/>
          <w:szCs w:val="32"/>
        </w:rPr>
        <w:t>条和第</w:t>
      </w:r>
      <w:r>
        <w:rPr>
          <w:rFonts w:hint="eastAsia" w:ascii="宋体" w:hAnsi="宋体" w:eastAsia="仿宋_GB2312" w:cs="仿宋_GB2312"/>
          <w:b w:val="0"/>
          <w:bCs w:val="0"/>
          <w:color w:val="auto"/>
          <w:sz w:val="32"/>
          <w:szCs w:val="32"/>
          <w:lang w:eastAsia="zh-CN"/>
        </w:rPr>
        <w:t>二十七</w:t>
      </w:r>
      <w:r>
        <w:rPr>
          <w:rFonts w:hint="eastAsia" w:ascii="宋体" w:hAnsi="宋体" w:eastAsia="仿宋_GB2312" w:cs="仿宋_GB2312"/>
          <w:b w:val="0"/>
          <w:bCs w:val="0"/>
          <w:color w:val="auto"/>
          <w:sz w:val="32"/>
          <w:szCs w:val="32"/>
        </w:rPr>
        <w:t>条规定的工伤待遇。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职工因工死亡，其近亲属按照下列规定从工伤保险基金领取丧葬补助金、供养亲属抚恤金和一次性工亡补助金：</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（一）丧葬补助金为六个</w:t>
      </w:r>
      <w:r>
        <w:rPr>
          <w:rFonts w:hint="eastAsia" w:ascii="宋体" w:hAnsi="宋体" w:eastAsia="仿宋_GB2312" w:cs="仿宋_GB2312"/>
          <w:b w:val="0"/>
          <w:bCs w:val="0"/>
          <w:color w:val="auto"/>
          <w:sz w:val="32"/>
          <w:szCs w:val="32"/>
        </w:rPr>
        <w:t>月的全省上年度职</w:t>
      </w:r>
      <w:r>
        <w:rPr>
          <w:rFonts w:ascii="宋体" w:hAnsi="宋体"/>
          <w:b w:val="0"/>
          <w:bCs w:val="0"/>
          <w:color w:val="auto"/>
          <w:sz w:val="32"/>
          <w:szCs w:val="32"/>
        </w:rPr>
        <w:t>工月平均工资。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供养亲属抚恤金按照职工本人工资的一定比例发给由因工死亡职工生前提供主要生活来源、无劳动能力的亲属。标准为：配偶每月百分之四十，其他亲属每人每月百分之三十，孤寡老人或者孤儿每人每月在上述标准的基础上增加百分之十。核定的各供养亲属的抚恤金之和不应当高于因工死亡职工生前的工资。供养亲属的具体范围按照国务院社会保险行政部门的规定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（三）一次性工亡补助金标准为上年度全国城镇居民人均可支配收入的二十倍。</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伤残职工在停工留薪期内因工伤导致死亡的，其近亲属享受本条第一款规定的待遇。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一级至四级伤残职工在停工留薪期满后死亡的，其近亲属可以享受本条第一款第一项、第二项规定的待遇。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供养亲属抚恤金每</w:t>
      </w:r>
      <w:r>
        <w:rPr>
          <w:rFonts w:hint="eastAsia" w:ascii="宋体" w:hAnsi="宋体" w:eastAsia="仿宋_GB2312" w:cs="仿宋_GB2312"/>
          <w:b w:val="0"/>
          <w:bCs w:val="0"/>
          <w:color w:val="auto"/>
          <w:sz w:val="32"/>
          <w:szCs w:val="32"/>
        </w:rPr>
        <w:t>年按照省人民政府的规定进行</w:t>
      </w:r>
      <w:r>
        <w:rPr>
          <w:rFonts w:hint="eastAsia" w:ascii="宋体" w:hAnsi="宋体" w:eastAsia="仿宋_GB2312" w:cs="仿宋_GB2312"/>
          <w:b w:val="0"/>
          <w:bCs w:val="0"/>
          <w:i w:val="0"/>
          <w:iCs w:val="0"/>
          <w:color w:val="auto"/>
          <w:spacing w:val="-9"/>
          <w:sz w:val="32"/>
          <w:szCs w:val="32"/>
          <w:u w:val="none"/>
        </w:rPr>
        <w:t>调整</w:t>
      </w:r>
      <w:r>
        <w:rPr>
          <w:rFonts w:ascii="宋体" w:hAnsi="宋体"/>
          <w:b w:val="0"/>
          <w:bCs w:val="0"/>
          <w:color w:val="auto"/>
          <w:sz w:val="32"/>
          <w:szCs w:val="32"/>
        </w:rPr>
        <w:t>。</w:t>
      </w:r>
    </w:p>
    <w:p>
      <w:pPr>
        <w:widowControl w:val="0"/>
        <w:wordWrap/>
        <w:overflowPunct w:val="0"/>
        <w:spacing w:beforeAutospacing="0" w:afterAutospacing="0" w:line="560" w:lineRule="exact"/>
        <w:ind w:left="0" w:leftChars="0" w:right="0" w:firstLine="675"/>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第三十六条</w:t>
      </w:r>
      <w:r>
        <w:rPr>
          <w:rFonts w:hint="eastAsia" w:ascii="宋体" w:hAnsi="宋体"/>
          <w:b w:val="0"/>
          <w:bCs w:val="0"/>
          <w:color w:val="auto"/>
          <w:sz w:val="32"/>
          <w:szCs w:val="32"/>
        </w:rPr>
        <w:t xml:space="preserve">  </w:t>
      </w:r>
      <w:r>
        <w:rPr>
          <w:rFonts w:ascii="宋体" w:hAnsi="宋体"/>
          <w:b w:val="0"/>
          <w:bCs w:val="0"/>
          <w:color w:val="auto"/>
          <w:sz w:val="32"/>
          <w:szCs w:val="32"/>
        </w:rPr>
        <w:t>职工因工外出期间发生事故或者在抢险救灾中下落不明的，按照《工伤保险条例》的有关规定处理。被宣告死亡后重新出现的，应当退还已发的供养亲属抚恤金和一次性工亡补助金。</w:t>
      </w:r>
    </w:p>
    <w:p>
      <w:pPr>
        <w:widowControl w:val="0"/>
        <w:wordWrap/>
        <w:overflowPunct w:val="0"/>
        <w:spacing w:beforeAutospacing="0" w:afterAutospacing="0" w:line="560" w:lineRule="exact"/>
        <w:ind w:left="0" w:leftChars="0" w:right="0" w:firstLine="63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第三十七条</w:t>
      </w:r>
      <w:r>
        <w:rPr>
          <w:rFonts w:hint="eastAsia" w:ascii="宋体" w:hAnsi="宋体"/>
          <w:b w:val="0"/>
          <w:bCs w:val="0"/>
          <w:color w:val="auto"/>
          <w:sz w:val="32"/>
          <w:szCs w:val="32"/>
        </w:rPr>
        <w:t xml:space="preserve">  </w:t>
      </w:r>
      <w:r>
        <w:rPr>
          <w:rFonts w:ascii="宋体" w:hAnsi="宋体"/>
          <w:b w:val="0"/>
          <w:bCs w:val="0"/>
          <w:color w:val="auto"/>
          <w:sz w:val="32"/>
          <w:szCs w:val="32"/>
        </w:rPr>
        <w:t>定期领取伤残津贴的人员或者领取供养亲属抚恤金的供养亲属，应</w:t>
      </w:r>
      <w:r>
        <w:rPr>
          <w:rFonts w:hint="eastAsia" w:ascii="宋体" w:hAnsi="宋体" w:eastAsia="仿宋_GB2312" w:cs="仿宋_GB2312"/>
          <w:b w:val="0"/>
          <w:bCs w:val="0"/>
          <w:color w:val="auto"/>
          <w:sz w:val="32"/>
          <w:szCs w:val="32"/>
        </w:rPr>
        <w:t>当每年通过领取待遇资格认证，方可继续领取。</w:t>
      </w:r>
      <w:r>
        <w:rPr>
          <w:rFonts w:hint="eastAsia" w:ascii="宋体" w:hAnsi="宋体" w:eastAsia="仿宋_GB2312" w:cs="仿宋_GB2312"/>
          <w:b w:val="0"/>
          <w:bCs w:val="0"/>
          <w:i w:val="0"/>
          <w:iCs w:val="0"/>
          <w:color w:val="auto"/>
          <w:sz w:val="32"/>
          <w:szCs w:val="32"/>
          <w:u w:val="none"/>
        </w:rPr>
        <w:t>有关人员</w:t>
      </w:r>
      <w:r>
        <w:rPr>
          <w:rFonts w:hint="eastAsia" w:ascii="宋体" w:hAnsi="宋体" w:eastAsia="仿宋_GB2312" w:cs="仿宋_GB2312"/>
          <w:b w:val="0"/>
          <w:bCs w:val="0"/>
          <w:color w:val="auto"/>
          <w:sz w:val="32"/>
          <w:szCs w:val="32"/>
        </w:rPr>
        <w:t>丧失领取待遇资格的，应当及时报告社会保险经办机构，</w:t>
      </w:r>
      <w:r>
        <w:rPr>
          <w:rFonts w:hint="eastAsia" w:ascii="宋体" w:hAnsi="宋体" w:eastAsia="仿宋_GB2312" w:cs="仿宋_GB2312"/>
          <w:b w:val="0"/>
          <w:bCs w:val="0"/>
          <w:i w:val="0"/>
          <w:iCs w:val="0"/>
          <w:color w:val="auto"/>
          <w:sz w:val="32"/>
          <w:szCs w:val="32"/>
          <w:u w:val="none"/>
          <w:lang w:eastAsia="zh-CN"/>
        </w:rPr>
        <w:t>因未及时报告导致</w:t>
      </w:r>
      <w:r>
        <w:rPr>
          <w:rFonts w:hint="eastAsia" w:ascii="宋体" w:hAnsi="宋体" w:eastAsia="仿宋_GB2312" w:cs="仿宋_GB2312"/>
          <w:b w:val="0"/>
          <w:bCs w:val="0"/>
          <w:color w:val="auto"/>
          <w:sz w:val="32"/>
          <w:szCs w:val="32"/>
        </w:rPr>
        <w:t>多发相关待遇费用</w:t>
      </w:r>
      <w:r>
        <w:rPr>
          <w:rFonts w:hint="eastAsia" w:ascii="宋体" w:hAnsi="宋体" w:eastAsia="仿宋_GB2312" w:cs="仿宋_GB2312"/>
          <w:b w:val="0"/>
          <w:bCs w:val="0"/>
          <w:color w:val="auto"/>
          <w:sz w:val="32"/>
          <w:szCs w:val="32"/>
          <w:lang w:eastAsia="zh-CN"/>
        </w:rPr>
        <w:t>的，应当及时退还；存在骗取工伤保险待遇情形的，依照本条例第五十七条的规定处理</w:t>
      </w:r>
      <w:r>
        <w:rPr>
          <w:rFonts w:hint="eastAsia" w:ascii="宋体" w:hAnsi="宋体" w:eastAsia="仿宋_GB2312" w:cs="仿宋_GB2312"/>
          <w:b w:val="0"/>
          <w:bCs w:val="0"/>
          <w:color w:val="auto"/>
          <w:sz w:val="32"/>
          <w:szCs w:val="32"/>
        </w:rPr>
        <w:t>。</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第三十八条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工伤职工有下列情形之一的，停止享受工伤保险待遇：</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（一）丧失享受待遇条件的；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（二）拒不接受劳动能力鉴定的；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（三）拒绝治疗的。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第三十九条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用人单位分立、合并、转让的，承继单位应当承担原用人单位的工伤保险责任；原用人单位已经参加工伤保险的，承继单位应当到当地社会保险经办机构办理工伤保险变更登记。</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企业破产，因分立、合并之外的原因解散，或者终止的，在清算时依法拨付应当由用人单位支付的工伤保险待遇费用，清偿欠缴的工伤保险费及其利息和滞纳金。</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用人单位实行承包经营的，工伤保险责任由职工劳动关系所在单位承担。</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用人单位实行承包经营，使用劳动者的承包方不具备用人单位资格的，由具备用人单位资格的发包方承担工伤保险责任。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非法承包建筑工程发生工伤事故，劳动者的工伤待遇应当由分包方或者承包方承担，分包方或者承包方承担工伤保险责任后有权向发包方追偿。</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职工被借调期间受到工伤事故伤害的，由原用人单位承担工伤保险责任，但原用人单位与借调单位可以约定补偿办法。</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第四十一条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职工所在用人单位未依法缴纳工伤保险费，发生工伤事故的，由用人单位支付工伤保险待遇。</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用人单位不支付工伤保险待遇，工伤职工或者其近亲属可以提出先行支付的申请，经审核符合规定的，从工伤保险基金中先行支付工伤保险待遇项目中应当由工伤保险基金支付的项目。</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从工伤保险基金中先行支付的工伤保险待遇应当由用人单位偿还。用人单位不偿还的，由社会保险经办机构依法向用人单位追偿。</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第五章  工伤保险基金</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第四十二条</w:t>
      </w:r>
      <w:r>
        <w:rPr>
          <w:rFonts w:hint="eastAsia" w:ascii="宋体" w:hAnsi="宋体"/>
          <w:b w:val="0"/>
          <w:bCs w:val="0"/>
          <w:color w:val="auto"/>
          <w:sz w:val="32"/>
          <w:szCs w:val="32"/>
        </w:rPr>
        <w:t xml:space="preserve">  </w:t>
      </w:r>
      <w:r>
        <w:rPr>
          <w:rFonts w:ascii="宋体" w:hAnsi="宋体"/>
          <w:b w:val="0"/>
          <w:bCs w:val="0"/>
          <w:color w:val="auto"/>
          <w:sz w:val="32"/>
          <w:szCs w:val="32"/>
        </w:rPr>
        <w:t>工伤保险基金的构成：</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（一）用人单位缴纳的工伤保险费；</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（二）工伤保险基金的利息；</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（三）滞纳金；</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（四）财政补贴；</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（五）法律、法规规定的其他收入。</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第四十三条</w:t>
      </w:r>
      <w:r>
        <w:rPr>
          <w:rFonts w:hint="eastAsia" w:ascii="宋体" w:hAnsi="宋体"/>
          <w:b w:val="0"/>
          <w:bCs w:val="0"/>
          <w:color w:val="auto"/>
          <w:sz w:val="32"/>
          <w:szCs w:val="32"/>
        </w:rPr>
        <w:t xml:space="preserve">  </w:t>
      </w:r>
      <w:r>
        <w:rPr>
          <w:rFonts w:ascii="宋体" w:hAnsi="宋体"/>
          <w:b w:val="0"/>
          <w:bCs w:val="0"/>
          <w:color w:val="auto"/>
          <w:sz w:val="32"/>
          <w:szCs w:val="32"/>
        </w:rPr>
        <w:t>工伤保险基金根据以支定收、收支平衡的原则筹集。</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社会保险经办机构每年根据用人单位工伤保险费使用、工伤发生率等情况，按照行业差别费率及行业内费率档次确定单位缴费费率。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工伤保险费由用人单位承担，职工个人不缴纳工伤保险费。</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用人单位缴纳工伤保险费的数额为本单位职工工资总额乘以单位缴费费率之积。</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难以按照工资总额缴纳工伤保险费的行业，其缴纳工伤保险费的具体方式按照国家有关规定执行。</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第四十五条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工伤保险</w:t>
      </w:r>
      <w:r>
        <w:rPr>
          <w:rFonts w:hint="eastAsia" w:ascii="宋体" w:hAnsi="宋体" w:eastAsia="仿宋_GB2312" w:cs="仿宋_GB2312"/>
          <w:b w:val="0"/>
          <w:bCs w:val="0"/>
          <w:color w:val="auto"/>
          <w:sz w:val="32"/>
          <w:szCs w:val="32"/>
        </w:rPr>
        <w:t>基金按照国家和省的规定实行省级统筹。</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工伤保险基金按照国家和省的规定建立储备金</w:t>
      </w:r>
      <w:r>
        <w:rPr>
          <w:rFonts w:hint="eastAsia" w:ascii="宋体" w:hAnsi="宋体" w:eastAsia="仿宋_GB2312" w:cs="仿宋_GB2312"/>
          <w:b w:val="0"/>
          <w:bCs w:val="0"/>
          <w:i w:val="0"/>
          <w:iCs w:val="0"/>
          <w:color w:val="auto"/>
          <w:sz w:val="32"/>
          <w:szCs w:val="32"/>
          <w:u w:val="none"/>
        </w:rPr>
        <w:t>，</w:t>
      </w:r>
      <w:r>
        <w:rPr>
          <w:rFonts w:hint="eastAsia" w:ascii="宋体" w:hAnsi="宋体" w:eastAsia="仿宋_GB2312" w:cs="仿宋_GB2312"/>
          <w:b w:val="0"/>
          <w:bCs w:val="0"/>
          <w:color w:val="auto"/>
          <w:sz w:val="32"/>
          <w:szCs w:val="32"/>
        </w:rPr>
        <w:t>用于重大事故的工伤保险待遇支付和基金不敷使用时的调剂</w:t>
      </w:r>
      <w:r>
        <w:rPr>
          <w:rFonts w:hint="eastAsia" w:ascii="宋体" w:hAnsi="宋体" w:eastAsia="仿宋_GB2312" w:cs="仿宋_GB2312"/>
          <w:b w:val="0"/>
          <w:bCs w:val="0"/>
          <w:i w:val="0"/>
          <w:iCs w:val="0"/>
          <w:color w:val="auto"/>
          <w:sz w:val="32"/>
          <w:szCs w:val="32"/>
          <w:u w:val="none"/>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第四十六条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工伤保险基金存入社会保障基金财政专户并按照同期城乡居民储蓄存款利率计息，所得利息全部转入工伤保险基金。</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第四十七条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工伤保险基金用于下列支出项目：</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（一）工伤保险待遇；</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（二）职业康复费用；</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（三）工伤取证费和劳动能力鉴定费；</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（四）工伤预防费。</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ascii="宋体" w:hAnsi="宋体"/>
          <w:b w:val="0"/>
          <w:bCs w:val="0"/>
          <w:color w:val="auto"/>
          <w:sz w:val="32"/>
          <w:szCs w:val="32"/>
        </w:rPr>
        <w:t>前款第二项按照不超过上年度结存的工伤保险基金三分之一的比例，第三项按照</w:t>
      </w:r>
      <w:r>
        <w:rPr>
          <w:rFonts w:hint="eastAsia" w:ascii="宋体" w:hAnsi="宋体" w:eastAsia="仿宋_GB2312" w:cs="仿宋_GB2312"/>
          <w:b w:val="0"/>
          <w:bCs w:val="0"/>
          <w:color w:val="auto"/>
          <w:sz w:val="32"/>
          <w:szCs w:val="32"/>
        </w:rPr>
        <w:t>不超过上年度工伤保险基金实际收缴总额百分之二的比例，由社会保险经办机构于每年九月提出下年度的用款支出计划，报同级社会保险行政部门和财政部门审核，按</w:t>
      </w:r>
      <w:r>
        <w:rPr>
          <w:rFonts w:hint="eastAsia" w:ascii="宋体" w:hAnsi="宋体" w:eastAsia="仿宋_GB2312" w:cs="仿宋_GB2312"/>
          <w:b w:val="0"/>
          <w:bCs w:val="0"/>
          <w:color w:val="auto"/>
          <w:sz w:val="32"/>
          <w:szCs w:val="32"/>
          <w:lang w:eastAsia="zh-CN"/>
        </w:rPr>
        <w:t>照</w:t>
      </w:r>
      <w:r>
        <w:rPr>
          <w:rFonts w:hint="eastAsia" w:ascii="宋体" w:hAnsi="宋体" w:eastAsia="仿宋_GB2312" w:cs="仿宋_GB2312"/>
          <w:b w:val="0"/>
          <w:bCs w:val="0"/>
          <w:color w:val="auto"/>
          <w:sz w:val="32"/>
          <w:szCs w:val="32"/>
        </w:rPr>
        <w:t>社会保险基金预算编制相关程序报批后列入下年度工伤保险基金支出预算，下年度据实列支。</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lang w:eastAsia="zh-CN"/>
        </w:rPr>
      </w:pPr>
      <w:r>
        <w:rPr>
          <w:rFonts w:hint="eastAsia" w:ascii="宋体" w:hAnsi="宋体" w:eastAsia="仿宋_GB2312" w:cs="仿宋_GB2312"/>
          <w:b w:val="0"/>
          <w:bCs w:val="0"/>
          <w:color w:val="auto"/>
          <w:sz w:val="32"/>
          <w:szCs w:val="32"/>
        </w:rPr>
        <w:t>在保证储备金足额留存和本条第一款第一项</w:t>
      </w:r>
      <w:r>
        <w:rPr>
          <w:rFonts w:hint="eastAsia" w:ascii="宋体" w:hAnsi="宋体" w:eastAsia="仿宋_GB2312" w:cs="仿宋_GB2312"/>
          <w:b w:val="0"/>
          <w:bCs w:val="0"/>
          <w:color w:val="auto"/>
          <w:sz w:val="32"/>
          <w:szCs w:val="32"/>
          <w:lang w:eastAsia="zh-CN"/>
        </w:rPr>
        <w:t>至</w:t>
      </w:r>
      <w:r>
        <w:rPr>
          <w:rFonts w:hint="eastAsia" w:ascii="宋体" w:hAnsi="宋体" w:eastAsia="仿宋_GB2312" w:cs="仿宋_GB2312"/>
          <w:b w:val="0"/>
          <w:bCs w:val="0"/>
          <w:color w:val="auto"/>
          <w:sz w:val="32"/>
          <w:szCs w:val="32"/>
        </w:rPr>
        <w:t>第三项规定的费用足额支付的前提下，可以按照不超过上年度工伤保险基金实际收缴总额百分之三的比例，安排使用工伤预防费。工伤预防费用</w:t>
      </w:r>
      <w:r>
        <w:rPr>
          <w:rFonts w:hint="eastAsia" w:ascii="宋体" w:hAnsi="宋体" w:eastAsia="仿宋_GB2312" w:cs="仿宋_GB2312"/>
          <w:b w:val="0"/>
          <w:bCs w:val="0"/>
          <w:i w:val="0"/>
          <w:iCs w:val="0"/>
          <w:color w:val="auto"/>
          <w:sz w:val="32"/>
          <w:szCs w:val="32"/>
          <w:u w:val="none"/>
        </w:rPr>
        <w:t>的</w:t>
      </w:r>
      <w:r>
        <w:rPr>
          <w:rFonts w:hint="eastAsia" w:ascii="宋体" w:hAnsi="宋体" w:eastAsia="仿宋_GB2312" w:cs="仿宋_GB2312"/>
          <w:b w:val="0"/>
          <w:bCs w:val="0"/>
          <w:i w:val="0"/>
          <w:iCs w:val="0"/>
          <w:color w:val="auto"/>
          <w:sz w:val="32"/>
          <w:szCs w:val="32"/>
          <w:u w:val="none"/>
          <w:lang w:eastAsia="zh-CN"/>
        </w:rPr>
        <w:t>安排使</w:t>
      </w:r>
      <w:r>
        <w:rPr>
          <w:rFonts w:hint="eastAsia" w:ascii="宋体" w:hAnsi="宋体" w:eastAsia="仿宋_GB2312" w:cs="仿宋_GB2312"/>
          <w:b w:val="0"/>
          <w:bCs w:val="0"/>
          <w:i w:val="0"/>
          <w:iCs w:val="0"/>
          <w:color w:val="auto"/>
          <w:sz w:val="32"/>
          <w:szCs w:val="32"/>
          <w:u w:val="none"/>
        </w:rPr>
        <w:t>用</w:t>
      </w:r>
      <w:r>
        <w:rPr>
          <w:rFonts w:hint="eastAsia" w:ascii="宋体" w:hAnsi="宋体" w:eastAsia="仿宋_GB2312" w:cs="仿宋_GB2312"/>
          <w:b w:val="0"/>
          <w:bCs w:val="0"/>
          <w:color w:val="auto"/>
          <w:sz w:val="32"/>
          <w:szCs w:val="32"/>
        </w:rPr>
        <w:t>计划</w:t>
      </w:r>
      <w:r>
        <w:rPr>
          <w:rFonts w:hint="eastAsia" w:ascii="宋体" w:hAnsi="宋体" w:eastAsia="仿宋_GB2312" w:cs="仿宋_GB2312"/>
          <w:b w:val="0"/>
          <w:bCs w:val="0"/>
          <w:color w:val="auto"/>
          <w:sz w:val="32"/>
          <w:szCs w:val="32"/>
          <w:lang w:eastAsia="zh-CN"/>
        </w:rPr>
        <w:t>由社会保险行政部门会同卫生健康、应急管理等部门制定</w:t>
      </w:r>
      <w:r>
        <w:rPr>
          <w:rFonts w:hint="eastAsia" w:ascii="宋体" w:hAnsi="宋体" w:eastAsia="仿宋_GB2312" w:cs="仿宋_GB2312"/>
          <w:b w:val="0"/>
          <w:bCs w:val="0"/>
          <w:i w:val="0"/>
          <w:iCs w:val="0"/>
          <w:color w:val="auto"/>
          <w:sz w:val="32"/>
          <w:szCs w:val="32"/>
          <w:u w:val="none"/>
        </w:rPr>
        <w:t>，</w:t>
      </w:r>
      <w:r>
        <w:rPr>
          <w:rFonts w:hint="eastAsia" w:ascii="宋体" w:hAnsi="宋体" w:eastAsia="仿宋_GB2312" w:cs="仿宋_GB2312"/>
          <w:b w:val="0"/>
          <w:bCs w:val="0"/>
          <w:color w:val="auto"/>
          <w:sz w:val="32"/>
          <w:szCs w:val="32"/>
        </w:rPr>
        <w:t>按</w:t>
      </w:r>
      <w:r>
        <w:rPr>
          <w:rFonts w:hint="eastAsia" w:ascii="宋体" w:hAnsi="宋体" w:eastAsia="仿宋_GB2312" w:cs="仿宋_GB2312"/>
          <w:b w:val="0"/>
          <w:bCs w:val="0"/>
          <w:color w:val="auto"/>
          <w:sz w:val="32"/>
          <w:szCs w:val="32"/>
          <w:lang w:eastAsia="zh-CN"/>
        </w:rPr>
        <w:t>照</w:t>
      </w:r>
      <w:r>
        <w:rPr>
          <w:rFonts w:hint="eastAsia" w:ascii="宋体" w:hAnsi="宋体" w:eastAsia="仿宋_GB2312" w:cs="仿宋_GB2312"/>
          <w:b w:val="0"/>
          <w:bCs w:val="0"/>
          <w:color w:val="auto"/>
          <w:sz w:val="32"/>
          <w:szCs w:val="32"/>
        </w:rPr>
        <w:t>社会保险基金预算编制相关程序</w:t>
      </w:r>
      <w:r>
        <w:rPr>
          <w:rFonts w:hint="eastAsia" w:ascii="宋体" w:hAnsi="宋体" w:eastAsia="仿宋_GB2312" w:cs="仿宋_GB2312"/>
          <w:b w:val="0"/>
          <w:bCs w:val="0"/>
          <w:color w:val="auto"/>
          <w:sz w:val="32"/>
          <w:szCs w:val="32"/>
          <w:lang w:eastAsia="zh-CN"/>
        </w:rPr>
        <w:t>报批</w:t>
      </w:r>
      <w:r>
        <w:rPr>
          <w:rFonts w:hint="eastAsia" w:ascii="宋体" w:hAnsi="宋体" w:eastAsia="仿宋_GB2312" w:cs="仿宋_GB2312"/>
          <w:b w:val="0"/>
          <w:bCs w:val="0"/>
          <w:color w:val="auto"/>
          <w:sz w:val="32"/>
          <w:szCs w:val="32"/>
        </w:rPr>
        <w:t>后列入下年度工伤保险</w:t>
      </w:r>
      <w:r>
        <w:rPr>
          <w:rFonts w:hint="eastAsia" w:ascii="宋体" w:hAnsi="宋体" w:eastAsia="仿宋_GB2312" w:cs="仿宋_GB2312"/>
          <w:b w:val="0"/>
          <w:bCs w:val="0"/>
          <w:color w:val="auto"/>
          <w:sz w:val="32"/>
          <w:szCs w:val="32"/>
          <w:lang w:eastAsia="zh-CN"/>
        </w:rPr>
        <w:t>基金</w:t>
      </w:r>
      <w:r>
        <w:rPr>
          <w:rFonts w:hint="eastAsia" w:ascii="宋体" w:hAnsi="宋体" w:eastAsia="仿宋_GB2312" w:cs="仿宋_GB2312"/>
          <w:b w:val="0"/>
          <w:bCs w:val="0"/>
          <w:i w:val="0"/>
          <w:iCs w:val="0"/>
          <w:color w:val="auto"/>
          <w:sz w:val="32"/>
          <w:szCs w:val="32"/>
          <w:u w:val="none"/>
        </w:rPr>
        <w:t>支出</w:t>
      </w:r>
      <w:r>
        <w:rPr>
          <w:rFonts w:hint="eastAsia" w:ascii="宋体" w:hAnsi="宋体" w:eastAsia="仿宋_GB2312" w:cs="仿宋_GB2312"/>
          <w:b w:val="0"/>
          <w:bCs w:val="0"/>
          <w:color w:val="auto"/>
          <w:sz w:val="32"/>
          <w:szCs w:val="32"/>
        </w:rPr>
        <w:t>预算，下年度据实列支。</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工伤预防费、工伤取证费和劳动能力鉴定费作为专项经费管理使用，专项经费管理使用按照国家和省的有关规定执行。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任何单位或者个人不得将工伤保险基金用于投资运营、兴建或者改建办公场所、发放奖金，或者挪作其他用途。</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第六章  监督管理</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5"/>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第四十八条</w:t>
      </w:r>
      <w:r>
        <w:rPr>
          <w:rFonts w:hint="eastAsia" w:ascii="宋体" w:hAnsi="宋体" w:eastAsia="黑体"/>
          <w:b w:val="0"/>
          <w:bCs w:val="0"/>
          <w:color w:val="auto"/>
          <w:sz w:val="32"/>
          <w:szCs w:val="32"/>
        </w:rPr>
        <w:t xml:space="preserve">  </w:t>
      </w:r>
      <w:r>
        <w:rPr>
          <w:rFonts w:hint="eastAsia" w:ascii="宋体" w:hAnsi="宋体" w:eastAsia="仿宋_GB2312" w:cs="仿宋_GB2312"/>
          <w:b w:val="0"/>
          <w:bCs w:val="0"/>
          <w:color w:val="auto"/>
          <w:sz w:val="32"/>
          <w:szCs w:val="32"/>
        </w:rPr>
        <w:t>县级以上人民政府社会保险行政部门、财政部门和审计机关按照各自职责依法对工伤保险基金的收支、管理等情况进行监督。</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各级社会保险经办机构应当建立健全内部审计制度。</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社会保险监督委员会依法对工伤保险基金的收支、管理情况实施社会监督。</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hint="eastAsia" w:ascii="宋体" w:hAnsi="宋体" w:eastAsia="黑体" w:cs="黑体"/>
          <w:b w:val="0"/>
          <w:bCs w:val="0"/>
          <w:color w:val="auto"/>
          <w:sz w:val="32"/>
          <w:szCs w:val="32"/>
        </w:rPr>
        <w:t>第四十九条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工会组织依法维护工伤职工的合法权益，对用人单位的工伤保险工作实行监督。</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职工有权监督用人单位参加工伤保险及缴费情况。用人单位应当向职工如实通告因工伤亡、参加工伤保险和缴费情况。</w:t>
      </w:r>
    </w:p>
    <w:p>
      <w:pPr>
        <w:widowControl w:val="0"/>
        <w:wordWrap/>
        <w:overflowPunct w:val="0"/>
        <w:spacing w:beforeAutospacing="0" w:afterAutospacing="0" w:line="560" w:lineRule="exact"/>
        <w:ind w:left="0" w:leftChars="0" w:right="0" w:firstLine="63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 xml:space="preserve">第五十一条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用人单位和职工有</w:t>
      </w:r>
      <w:r>
        <w:rPr>
          <w:rFonts w:hint="eastAsia" w:ascii="宋体" w:hAnsi="宋体" w:eastAsia="仿宋_GB2312" w:cs="仿宋_GB2312"/>
          <w:b w:val="0"/>
          <w:bCs w:val="0"/>
          <w:color w:val="auto"/>
          <w:sz w:val="32"/>
          <w:szCs w:val="32"/>
        </w:rPr>
        <w:t>权向税务部门和社会保险经办机构查询本单位工伤保险缴费和工伤保险待遇支付情况。税务部门和社会保险经办机构应当提供相应的查询、咨询服务。</w:t>
      </w:r>
    </w:p>
    <w:p>
      <w:pPr>
        <w:widowControl w:val="0"/>
        <w:wordWrap/>
        <w:overflowPunct w:val="0"/>
        <w:spacing w:beforeAutospacing="0" w:afterAutospacing="0" w:line="560" w:lineRule="exact"/>
        <w:ind w:left="0" w:leftChars="0" w:right="0" w:firstLine="601"/>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第五十二条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职工与用人单位发生工伤待遇方面的争议，按照处理劳动争议的有关规定处理。</w:t>
      </w:r>
    </w:p>
    <w:p>
      <w:pPr>
        <w:widowControl w:val="0"/>
        <w:wordWrap/>
        <w:overflowPunct w:val="0"/>
        <w:spacing w:beforeAutospacing="0" w:afterAutospacing="0" w:line="560" w:lineRule="exact"/>
        <w:ind w:left="0" w:leftChars="0" w:right="0" w:firstLine="601"/>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有下列情形之一的，有关单位或者个人可以依法申请行政复议，也可以依法向人民法院提起诉讼：</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（一）申请工伤认定的职工或者其近亲属、该职工所在单位对工伤认定申请不予受理的决定不服的；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（二）申请工伤认定的职工或者其近亲属、该职工所在单位对工伤认定结论不服的；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（三）用人单位对社会保险经办机构确定的单位缴费费率不服的；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（四）签订服务协议的医疗机构、康复机构、辅助器具配置机构认为社会保险经办机构未履行有关协议或者规定的；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（五）工伤职工或者其近亲属对社会保险经办机构核定的工伤保险待遇有异议的。</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第七章  法律责任</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第五十四条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用人单位依</w:t>
      </w:r>
      <w:r>
        <w:rPr>
          <w:rFonts w:hint="eastAsia" w:ascii="宋体" w:hAnsi="宋体" w:eastAsia="仿宋_GB2312" w:cs="仿宋_GB2312"/>
          <w:b w:val="0"/>
          <w:bCs w:val="0"/>
          <w:color w:val="auto"/>
          <w:sz w:val="32"/>
          <w:szCs w:val="32"/>
        </w:rPr>
        <w:t>照本条例规定应当参加工伤保险而未参加或者未按时足额缴纳工伤保险费的，由税务部门会同相关部门责令限期改正，并自欠缴之日起，按日加收万分之五的滞纳金；逾期仍不缴纳的，由税务部门处欠缴数额一倍以上三倍以下的罚款；对其直接负责的主管人员和其他直接责任人员依法给予处罚。</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hint="eastAsia" w:ascii="宋体" w:hAnsi="宋体" w:eastAsia="黑体" w:cs="黑体"/>
          <w:b w:val="0"/>
          <w:bCs w:val="0"/>
          <w:color w:val="auto"/>
          <w:sz w:val="32"/>
          <w:szCs w:val="32"/>
        </w:rPr>
        <w:t>第五十五条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用人单位依照本条例规定应当参加工伤保险而未参加或者未按时缴纳工伤保险费，职工发生工伤的，由该用人单</w:t>
      </w:r>
      <w:r>
        <w:rPr>
          <w:rFonts w:ascii="宋体" w:hAnsi="宋体"/>
          <w:b w:val="0"/>
          <w:bCs w:val="0"/>
          <w:color w:val="auto"/>
          <w:spacing w:val="-6"/>
          <w:sz w:val="32"/>
          <w:szCs w:val="32"/>
        </w:rPr>
        <w:t>位按照本条例规定的工伤保险待遇项目和标准向职工支付费用</w:t>
      </w:r>
      <w:r>
        <w:rPr>
          <w:rFonts w:ascii="宋体" w:hAnsi="宋体"/>
          <w:b w:val="0"/>
          <w:bCs w:val="0"/>
          <w:color w:val="auto"/>
          <w:sz w:val="32"/>
          <w:szCs w:val="32"/>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用人单位按照规定补缴应当缴纳的工伤保险费和滞纳金后，</w:t>
      </w:r>
      <w:r>
        <w:rPr>
          <w:rFonts w:ascii="宋体" w:hAnsi="宋体"/>
          <w:b w:val="0"/>
          <w:bCs w:val="0"/>
          <w:color w:val="auto"/>
          <w:spacing w:val="-6"/>
          <w:sz w:val="32"/>
          <w:szCs w:val="32"/>
        </w:rPr>
        <w:t>由工伤保险基金和用人单位按照本条例的规定支付新发生的费用</w:t>
      </w:r>
      <w:r>
        <w:rPr>
          <w:rFonts w:ascii="宋体" w:hAnsi="宋体"/>
          <w:b w:val="0"/>
          <w:bCs w:val="0"/>
          <w:color w:val="auto"/>
          <w:sz w:val="32"/>
          <w:szCs w:val="32"/>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w:t>
      </w:r>
      <w:r>
        <w:rPr>
          <w:rFonts w:hint="eastAsia" w:ascii="宋体" w:hAnsi="宋体" w:eastAsia="黑体" w:cs="黑体"/>
          <w:b w:val="0"/>
          <w:bCs w:val="0"/>
          <w:color w:val="auto"/>
          <w:sz w:val="32"/>
          <w:szCs w:val="32"/>
          <w:lang w:eastAsia="zh-CN"/>
        </w:rPr>
        <w:t>五十六</w:t>
      </w:r>
      <w:r>
        <w:rPr>
          <w:rFonts w:hint="eastAsia" w:ascii="宋体" w:hAnsi="宋体" w:eastAsia="黑体" w:cs="黑体"/>
          <w:b w:val="0"/>
          <w:bCs w:val="0"/>
          <w:color w:val="auto"/>
          <w:sz w:val="32"/>
          <w:szCs w:val="32"/>
        </w:rPr>
        <w:t>条</w:t>
      </w:r>
      <w:r>
        <w:rPr>
          <w:rFonts w:hint="eastAsia" w:ascii="宋体" w:hAnsi="宋体" w:eastAsia="仿宋_GB2312" w:cs="仿宋_GB2312"/>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用人单位少报职工工资，未足额缴纳工伤保险费，造成工伤职工享受的工伤保险待遇降低的，工伤保险待遇差额部分由用人单位向工伤职工补足。</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第五十七条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工伤职工或者其近亲属骗取工伤保险待遇，医疗机构、康复机构、辅助器具配置机构骗取工伤保险基金支出的，由社会保险行政部门责令退还，处骗取金额二倍以上五倍以下的罚款；构成犯罪的，依法追究刑事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第五十八条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用人单位未按照本条例</w:t>
      </w:r>
      <w:r>
        <w:rPr>
          <w:rFonts w:hint="eastAsia" w:ascii="宋体" w:hAnsi="宋体" w:eastAsia="仿宋_GB2312" w:cs="仿宋_GB2312"/>
          <w:b w:val="0"/>
          <w:bCs w:val="0"/>
          <w:color w:val="auto"/>
          <w:sz w:val="32"/>
          <w:szCs w:val="32"/>
        </w:rPr>
        <w:t>第</w:t>
      </w:r>
      <w:r>
        <w:rPr>
          <w:rFonts w:hint="eastAsia" w:ascii="宋体" w:hAnsi="宋体" w:eastAsia="仿宋_GB2312" w:cs="仿宋_GB2312"/>
          <w:b w:val="0"/>
          <w:bCs w:val="0"/>
          <w:color w:val="auto"/>
          <w:sz w:val="32"/>
          <w:szCs w:val="32"/>
          <w:lang w:eastAsia="zh-CN"/>
        </w:rPr>
        <w:t>十四</w:t>
      </w:r>
      <w:r>
        <w:rPr>
          <w:rFonts w:hint="eastAsia" w:ascii="宋体" w:hAnsi="宋体" w:eastAsia="仿宋_GB2312" w:cs="仿宋_GB2312"/>
          <w:b w:val="0"/>
          <w:bCs w:val="0"/>
          <w:color w:val="auto"/>
          <w:sz w:val="32"/>
          <w:szCs w:val="32"/>
        </w:rPr>
        <w:t>条</w:t>
      </w:r>
      <w:r>
        <w:rPr>
          <w:rFonts w:ascii="宋体" w:hAnsi="宋体"/>
          <w:b w:val="0"/>
          <w:bCs w:val="0"/>
          <w:color w:val="auto"/>
          <w:sz w:val="32"/>
          <w:szCs w:val="32"/>
        </w:rPr>
        <w:t>第一款规定提供证据，或者提供虚假资料的，由社会保险行政部门对其处以二千元以上二万元以下的罚款。</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第五十九条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各级人民政府、有关行政管理部门和社会保险经办机构及其工作人员违反本条例，有下列行为之一的，上级机关应当责令其改正，追回挪用流失款项；有违法所得的，没收违法所得；对直接负责的主管人员和其他直接责任人员依法给予处分；构成犯罪的，依法追究刑事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（一）擅自增加或者减免应当缴纳的工伤保险费及其利息或者滞纳金的；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（二）未按照规定将工伤保险费及其利息或者滞纳金全部存入工伤保险基金专户的；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（三）挪用工伤保险基金的；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pacing w:val="-6"/>
          <w:sz w:val="32"/>
          <w:szCs w:val="32"/>
        </w:rPr>
      </w:pPr>
      <w:r>
        <w:rPr>
          <w:rFonts w:ascii="宋体" w:hAnsi="宋体"/>
          <w:b w:val="0"/>
          <w:bCs w:val="0"/>
          <w:color w:val="auto"/>
          <w:sz w:val="32"/>
          <w:szCs w:val="32"/>
        </w:rPr>
        <w:t>（四）</w:t>
      </w:r>
      <w:r>
        <w:rPr>
          <w:rFonts w:ascii="宋体" w:hAnsi="宋体"/>
          <w:b w:val="0"/>
          <w:bCs w:val="0"/>
          <w:color w:val="auto"/>
          <w:spacing w:val="-6"/>
          <w:sz w:val="32"/>
          <w:szCs w:val="32"/>
        </w:rPr>
        <w:t>未按照规定核定各项工伤保险待遇标准或者领取期限的；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（五）未按照规定上解工伤保险储备金的。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社会保险行政部门工作人员有下列情形之一的，依法给予处分；构成犯罪的，依法追究刑事责任：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（一）无正当理由不受理工伤认定申请，或者弄虚作假将不符合工伤条件的人员认定为工伤职工的；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（二）未妥善保管申请工伤认定的证据材料，致使有关证据灭失的；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（三）收受当事人财物的。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第六十一条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从事劳动能力鉴定的组织或者个人有下列情形之一的，由社会保险行政部门责令改正，处二千元以上一万元以下的罚款；构成犯罪的，依法追究刑事责任：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（一）提供虚假鉴定意见的；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（二）提供虚假诊断证明的；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（三）收受当事人财物的。</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第八章  附则</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第六十二条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中央、省属和军队驻</w:t>
      </w:r>
      <w:r>
        <w:rPr>
          <w:rFonts w:hint="eastAsia" w:ascii="宋体" w:hAnsi="宋体" w:eastAsia="仿宋_GB2312" w:cs="仿宋_GB2312"/>
          <w:b w:val="0"/>
          <w:bCs w:val="0"/>
          <w:color w:val="auto"/>
          <w:sz w:val="32"/>
          <w:szCs w:val="32"/>
        </w:rPr>
        <w:t>穗单位</w:t>
      </w:r>
      <w:r>
        <w:rPr>
          <w:rFonts w:hint="eastAsia" w:ascii="宋体" w:hAnsi="宋体" w:eastAsia="仿宋_GB2312" w:cs="仿宋_GB2312"/>
          <w:b w:val="0"/>
          <w:bCs w:val="0"/>
          <w:color w:val="auto"/>
          <w:sz w:val="32"/>
          <w:szCs w:val="32"/>
          <w:lang w:eastAsia="zh-CN"/>
        </w:rPr>
        <w:t>适用本条例</w:t>
      </w:r>
      <w:r>
        <w:rPr>
          <w:rFonts w:hint="eastAsia" w:ascii="宋体" w:hAnsi="宋体" w:eastAsia="仿宋_GB2312" w:cs="仿宋_GB2312"/>
          <w:b w:val="0"/>
          <w:bCs w:val="0"/>
          <w:i w:val="0"/>
          <w:iCs w:val="0"/>
          <w:color w:val="auto"/>
          <w:sz w:val="32"/>
          <w:szCs w:val="32"/>
          <w:u w:val="none"/>
        </w:rPr>
        <w:t>，</w:t>
      </w:r>
      <w:r>
        <w:rPr>
          <w:rFonts w:hint="eastAsia" w:ascii="宋体" w:hAnsi="宋体" w:eastAsia="仿宋_GB2312" w:cs="仿宋_GB2312"/>
          <w:b w:val="0"/>
          <w:bCs w:val="0"/>
          <w:color w:val="auto"/>
          <w:sz w:val="32"/>
          <w:szCs w:val="32"/>
        </w:rPr>
        <w:t>工伤保险工作按照国家和省的有关规定执行。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公务员和参照公务员法管理的事业单位、社会团体的工作人员参加工伤保险，按照工伤保险有关法律</w:t>
      </w:r>
      <w:r>
        <w:rPr>
          <w:rFonts w:hint="eastAsia" w:ascii="宋体" w:hAnsi="宋体" w:eastAsia="仿宋_GB2312" w:cs="仿宋_GB2312"/>
          <w:b w:val="0"/>
          <w:bCs w:val="0"/>
          <w:color w:val="auto"/>
          <w:sz w:val="32"/>
          <w:szCs w:val="32"/>
          <w:lang w:eastAsia="zh-CN"/>
        </w:rPr>
        <w:t>、</w:t>
      </w:r>
      <w:r>
        <w:rPr>
          <w:rFonts w:hint="eastAsia" w:ascii="宋体" w:hAnsi="宋体" w:eastAsia="仿宋_GB2312" w:cs="仿宋_GB2312"/>
          <w:b w:val="0"/>
          <w:bCs w:val="0"/>
          <w:color w:val="auto"/>
          <w:sz w:val="32"/>
          <w:szCs w:val="32"/>
        </w:rPr>
        <w:t>法规及国家和省的有关规定执行。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劳动者达到法定退休年龄或者已经依法享受基本养老保险待遇的，不适用本条例。</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前款规定的劳动者受聘到用人单位工作期间，因工作原因受到人身伤害的，可以要求用人单位参照本条例规定的工伤保险待遇支付有关费用。双方对损害赔偿存在争议的，可以依法通过民事诉讼方式解决。</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本条例中下列用语的含义：</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cs="仿宋_GB2312"/>
          <w:b w:val="0"/>
          <w:bCs w:val="0"/>
          <w:color w:val="auto"/>
          <w:sz w:val="32"/>
          <w:szCs w:val="32"/>
        </w:rPr>
        <w:t>（一）</w:t>
      </w:r>
      <w:r>
        <w:rPr>
          <w:rFonts w:ascii="宋体" w:hAnsi="宋体"/>
          <w:b w:val="0"/>
          <w:bCs w:val="0"/>
          <w:color w:val="auto"/>
          <w:sz w:val="32"/>
          <w:szCs w:val="32"/>
        </w:rPr>
        <w:t>本人工资，是指工伤职工在本单位因工作遭受事故伤害或者患职业病前十二个月平</w:t>
      </w:r>
      <w:r>
        <w:rPr>
          <w:rFonts w:hint="eastAsia" w:ascii="宋体" w:hAnsi="宋体" w:eastAsia="仿宋_GB2312" w:cs="仿宋_GB2312"/>
          <w:b w:val="0"/>
          <w:bCs w:val="0"/>
          <w:color w:val="auto"/>
          <w:sz w:val="32"/>
          <w:szCs w:val="32"/>
        </w:rPr>
        <w:t>均月缴费工资。本单位为工伤职工缴纳工伤保险费不足十二个月的，以实际月数计算平均月缴费工资。本人工资高于全省上年度职工月平均工资百分之三百的，按照全省上年度职工月平均工资的百分之三百计算；本人工资低于全省上年度职工月平均工资百分之六十的，按照全省上年度职工月平均工资的百分之六十计算。</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（二）原工资福利待遇，是指工伤职工在本单位受工伤前十二个月的平均工资福利待遇。工伤职工在本单位工作不足十二个月的，以实际月数计算平均工资福利待遇。</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用人单位所在地地级以上市职工月平均工资高于全省职工月平均工资的，计算相关工伤保险待遇使用的全省职工月平均工资按照该地级以上市职工月平均工资执行。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用人单位为职工办理工伤保险参保手续次日起，在规定的缴费周期内缴纳工伤保险费的，该参保职工发生工伤，由工伤保险基金按照本条例规定的工伤保险待遇项目和标准支付费用。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cs="Times New Roman"/>
          <w:color w:val="auto"/>
          <w:sz w:val="32"/>
          <w:szCs w:val="32"/>
          <w:lang w:val="en-US" w:eastAsia="zh-CN"/>
        </w:rPr>
      </w:pPr>
      <w:r>
        <w:rPr>
          <w:rFonts w:hint="eastAsia" w:ascii="宋体" w:hAnsi="宋体" w:eastAsia="黑体" w:cs="黑体"/>
          <w:b w:val="0"/>
          <w:bCs w:val="0"/>
          <w:color w:val="auto"/>
          <w:sz w:val="32"/>
          <w:szCs w:val="32"/>
        </w:rPr>
        <w:t>第六十六条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kern w:val="0"/>
          <w:sz w:val="32"/>
          <w:szCs w:val="32"/>
        </w:rPr>
        <w:t>本条例自2012年1月1</w:t>
      </w:r>
      <w:r>
        <w:rPr>
          <w:rFonts w:ascii="宋体" w:hAnsi="宋体"/>
          <w:b w:val="0"/>
          <w:bCs w:val="0"/>
          <w:color w:val="auto"/>
          <w:sz w:val="32"/>
          <w:szCs w:val="32"/>
        </w:rPr>
        <w:t>日起施行。本条例施行前已受到事故伤害或者患职业病的职工尚未完成工伤认定的，按照本条例的规定执行；本条例施行前已完成工伤认定的，本条例施行后发生的工伤保险待遇依照本条例的规定执行。</w:t>
      </w:r>
    </w:p>
    <w:p>
      <w:pPr>
        <w:widowControl w:val="0"/>
        <w:wordWrap/>
        <w:overflowPunct w:val="0"/>
        <w:spacing w:beforeAutospacing="0" w:afterAutospacing="0" w:line="560" w:lineRule="exact"/>
        <w:ind w:firstLine="4800" w:firstLineChars="1500"/>
        <w:jc w:val="both"/>
        <w:textAlignment w:val="auto"/>
        <w:rPr>
          <w:rFonts w:ascii="宋体" w:hAnsi="宋体"/>
          <w:sz w:val="32"/>
          <w:szCs w:val="32"/>
        </w:rPr>
      </w:pPr>
    </w:p>
    <w:p>
      <w:pPr>
        <w:pStyle w:val="35"/>
        <w:widowControl w:val="0"/>
        <w:wordWrap/>
        <w:overflowPunct w:val="0"/>
        <w:adjustRightInd w:val="0"/>
        <w:snapToGrid w:val="0"/>
        <w:spacing w:beforeAutospacing="0" w:afterAutospacing="0" w:line="560" w:lineRule="exact"/>
        <w:ind w:left="0" w:leftChars="0"/>
        <w:jc w:val="center"/>
        <w:textAlignment w:val="auto"/>
        <w:rPr>
          <w:rFonts w:hint="eastAsia" w:ascii="宋体" w:hAnsi="宋体" w:eastAsia="宋体" w:cs="宋体"/>
          <w:b w:val="0"/>
          <w:bCs/>
          <w:color w:val="000000"/>
          <w:sz w:val="32"/>
          <w:szCs w:val="32"/>
        </w:rPr>
      </w:pPr>
      <w:r>
        <w:rPr>
          <w:rFonts w:hint="eastAsia" w:ascii="宋体" w:hAnsi="宋体" w:eastAsia="宋体" w:cs="宋体"/>
          <w:b w:val="0"/>
          <w:bCs/>
          <w:color w:val="000000"/>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5" w:name="_Toc18304"/>
      <w:r>
        <w:rPr>
          <w:rFonts w:hint="eastAsia" w:ascii="宋体" w:hAnsi="宋体" w:eastAsia="宋体" w:cs="宋体"/>
          <w:color w:val="000000"/>
          <w:sz w:val="44"/>
          <w:szCs w:val="44"/>
        </w:rPr>
        <w:t>广东省实施《中华人民共和国消费者</w:t>
      </w:r>
      <w:bookmarkEnd w:id="475"/>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6" w:name="_Toc14857"/>
      <w:r>
        <w:rPr>
          <w:rFonts w:hint="eastAsia" w:ascii="宋体" w:hAnsi="宋体" w:eastAsia="宋体" w:cs="宋体"/>
          <w:color w:val="000000"/>
          <w:sz w:val="44"/>
          <w:szCs w:val="44"/>
        </w:rPr>
        <w:t>权益保护法》办法</w:t>
      </w:r>
      <w:bookmarkEnd w:id="476"/>
    </w:p>
    <w:p>
      <w:pPr>
        <w:pStyle w:val="35"/>
        <w:widowControl w:val="0"/>
        <w:wordWrap/>
        <w:overflowPunct w:val="0"/>
        <w:adjustRightInd w:val="0"/>
        <w:snapToGrid w:val="0"/>
        <w:spacing w:beforeAutospacing="0" w:afterAutospacing="0" w:line="560" w:lineRule="exact"/>
        <w:ind w:left="0" w:leftChars="0"/>
        <w:jc w:val="center"/>
        <w:textAlignment w:val="auto"/>
        <w:rPr>
          <w:rFonts w:hint="eastAsia" w:ascii="宋体" w:hAnsi="宋体" w:eastAsia="宋体" w:cs="宋体"/>
          <w:b w:val="0"/>
          <w:bCs/>
          <w:color w:val="000000"/>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（1999年8月5日广东省第九届人民代表大会常务委员会第十一次会议通过  根据2012年7月26日广东省第十一届人民代表大会常务委员会第三十五次会议《关于修改〈广东省实施〈中华人民共和国消费者权益保护法〉办法〉的决定》修正）</w:t>
      </w:r>
    </w:p>
    <w:p>
      <w:pPr>
        <w:pStyle w:val="37"/>
        <w:widowControl w:val="0"/>
        <w:wordWrap/>
        <w:overflowPunct w:val="0"/>
        <w:adjustRightInd w:val="0"/>
        <w:snapToGrid w:val="0"/>
        <w:spacing w:before="0" w:beforeAutospacing="0" w:after="0" w:afterAutospacing="0" w:line="560" w:lineRule="exact"/>
        <w:jc w:val="both"/>
        <w:textAlignment w:val="auto"/>
        <w:rPr>
          <w:rFonts w:hint="eastAsia" w:ascii="宋体" w:hAnsi="宋体" w:eastAsia="宋体" w:cs="宋体"/>
          <w:b w:val="0"/>
          <w:bCs/>
          <w:color w:val="000000"/>
          <w:sz w:val="32"/>
          <w:szCs w:val="32"/>
        </w:rPr>
      </w:pP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　  </w:t>
      </w:r>
      <w:r>
        <w:rPr>
          <w:rFonts w:hint="eastAsia" w:ascii="宋体" w:hAnsi="宋体" w:eastAsia="黑体" w:cs="黑体"/>
          <w:b w:val="0"/>
          <w:bCs/>
          <w:color w:val="000000"/>
          <w:kern w:val="0"/>
          <w:sz w:val="32"/>
          <w:szCs w:val="32"/>
          <w:lang w:val="en-US" w:eastAsia="zh-CN" w:bidi="ar-SA"/>
        </w:rPr>
        <w:t>第一条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为贯彻实施《中华人民共和国消费者权益保护法》，结合本省实际，制定本办法。</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本办法适用于本省行政区域内的消费者和经营者。</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本办法所称消费者，是指为生活消费需要购买、使用商品或者接受服务的个人和单位。</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本办法所称经营者，是指为消费者提供商品或者服务的生产者、销售者和服务者。</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第三条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各级人民政府负责本办法的组织实施，协调、督促有关行政部门做好保护消费者合法权益的工作。</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各级工商行政管理、物价、</w:t>
      </w:r>
      <w:r>
        <w:rPr>
          <w:rFonts w:hint="eastAsia" w:ascii="宋体" w:hAnsi="宋体" w:eastAsia="仿宋_GB2312" w:cs="仿宋_GB2312"/>
          <w:b w:val="0"/>
          <w:bCs/>
          <w:iCs/>
          <w:color w:val="000000"/>
          <w:sz w:val="32"/>
          <w:szCs w:val="32"/>
        </w:rPr>
        <w:t>技术</w:t>
      </w:r>
      <w:r>
        <w:rPr>
          <w:rFonts w:hint="eastAsia" w:ascii="宋体" w:hAnsi="宋体" w:eastAsia="仿宋_GB2312" w:cs="仿宋_GB2312"/>
          <w:b w:val="0"/>
          <w:bCs/>
          <w:color w:val="000000"/>
          <w:sz w:val="32"/>
          <w:szCs w:val="32"/>
        </w:rPr>
        <w:t>监督、检疫、卫生、农业、建设、旅游、食品药品监督管理等有关行政部门应当依照法律、法规的规定，在各自职责范围内，依法受理和调解消费者申诉，查处损害消费者合法权益的违法行为。</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第四条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各级人民政府及其有关行政部门制定有关消费者权益的政策、规定时，应当通过在新闻媒体公布、召开听证会或者座谈会等形式听取消费者的意见和要求。</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第五条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省、市、县（区）依法成立消费者委员会。消费者委员会依法开展对商品和服务的社会监督，维护消费者的合法权益。各级人民政府应当根据消费者委员会履行法定职能的需要配备必要的人员，拨付必要的经费并纳入财政预算。各有关行政部门应当对消费者委员会履行法定职能给予支持。</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第六条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与消费者进行交易，必须遵循自愿、平等、公平、诚实信用的原则。经营者不得强迫或者欺骗消费者购买商品或者接受服务，没有正当理由，不得拒绝或者延误提供商品和服务；应当听取消费者对其提供的商品或者服务的意见，对消费者的意见及时作出回应，接受消费者的监督。</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第七条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经营者在提供商品或服务时，应当提供必要的技术指导、使用演示或说明书、保修凭证、购货发票或服务单据、商品检验合格证明等，还应当明示服务项目、标明收费价格。</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第八条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国家规定或者经营者与消费者约定包修、包换、包退（以下简称“三包”）的商品，经营者在出售时必须出具“三包”的凭证，并确定具备条件的维修单位。“三包”凭证应当明确注明消费者的权利和义务。</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实行“三包”的商品有质量问题的，自售出之日起七日内，经营者应当根据消费者的要求予以退货、更换或者修理；十五日内，应当根据消费者的要求予以更换或者修理。经营者承诺的时间超出本款规定时限的，依经营者的承诺。</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第九条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经营者按“三包”规定承担退货责任的，应当按照商品的发票价格一次退清货款。</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经营者按“三包”规定承担更换责任的，应当免费为消费者调换同型号同规格的产品，无同型号同规格产品的，经营者应当根据消费者的要求予以退货，并不得收取任何费用。</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经营者按“三包”规定承担修理责任的，应当在二十日内修复，并不得收取任何费用。经营者应当在“三包”凭证上如实记录接受修理日期、维修所占天数、修理部位、故障原因等情况。</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经营者在二十日内未能修复的，可以更换同型号同规格的商品；经营者未更换的，每延期一日按照商品价款百分之零点二的标准赔偿消费者因延误使用该商品的损失，或者提供同类商品供消费者在维修期间使用；经营者在六十日内未能修复或者在包修期内两次修理仍不能正常使用的，应当根据消费者的要求，负责退货或者更换。消费者选择退货的，按照本条第一款执行。</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包修商品在包修期内修理的，其修理部位，从交付使用之日起，重新执行原规定的包修期；其他部位的包修期应当扣除维修占用天数。</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第十条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对实行“三包”的大件商品，应当由经营者负责修理、更换、退货的，经营者应当上门服务或者负责运送；经营者要求消费者运送的，经营者应当承担运输费、误工费、差旅费等合理费用。</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前款所称的大件商品目录以及运输费、误工费、差旅费的具体标准，由省工商行政管理部门会同有关部门规定。</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第十一条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经营者对消费者提出的修理、重作、更换、退货、补足商品数量、退还货款和服务费用或者赔偿损失的要求，应当按规定或者约定履行义务，不得故意拖延或者无理拒绝。</w:t>
      </w:r>
    </w:p>
    <w:p>
      <w:pPr>
        <w:pStyle w:val="37"/>
        <w:widowControl w:val="0"/>
        <w:wordWrap/>
        <w:overflowPunct w:val="0"/>
        <w:adjustRightInd w:val="0"/>
        <w:snapToGrid w:val="0"/>
        <w:spacing w:before="0" w:beforeAutospacing="0" w:after="0" w:afterAutospacing="0" w:line="560" w:lineRule="exact"/>
        <w:ind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以下情形为前款所称的故意拖延或者无理拒绝：</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（一）经营者自接到消费者向其提出履行义务的要求或者行政管理部门、消费者委员会要求处理争议的通知之日起五日内不作答复的；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　　（二）经营者在允诺履行义务后三日内或者在消费者同意的期限内仍不实际履行允诺履行的义务的； </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（三）不履行行政管理部门作出的决定或者消费者委员会作出的调解的。</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第十二条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经营者在经营活动中，应当遵守公平、自愿、诚实信用的原则，不得有下列行为：</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（一）以暴力、威胁、隐瞒、欺骗等手段强迫、诱导消费者购买商品或者服务；</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（二）违背消费者意愿搭售商品或者在销售商品时附加其他条件；</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（三）不向消费者明示经营范围；</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（四）法律、法规禁止的其他行为。</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第十三条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经营者提供商品或者服务，有下列欺诈行为之一的，应当按照消费者的要求增加赔偿其受到的损失，增加赔偿的金额为消费者购买商品的价款或者接受服务的费用的一倍：</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（一）销售掺杂、掺假、以假充真、以次充好、以不合格商品冒充合格商品、短尺少秤、过期、失效、受污染的商品的；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（二）以虚假的清仓价、甩卖价、优惠价、最低价等欺骗性价格销售商品的；</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（三）销售的商品达不到商品说明、实物样品所明示的性能、质量的； </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　　（四）销售国家明令淘汰的商品的； </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（五）作虚假的现场演示或者雇人进行欺骗性的销售诱导的；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（六）销售标有虚假的产地、质量标志、生产许可证、进出口商品检验等标志的商品的；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（七）销售假冒他人注册商标的商品的；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（八）以虚假广告欺骗和误导消费者的；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（九）以虚假的名称和标记从事经营活动的；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（十）以虚假的“有奖销售”、“还本销售”等方式销售商品的；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（十一）骗取消费者预付款而不提供商品或服务的；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（十二）销售应当检验、检疫而未检验、检疫，或者伪造商品检验、检疫结果的商品的；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（十三）其他欺诈行为的。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第十四条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以邮购、电视购物、网上购物方式销售商品的，应当按照约定提供；未约定提供商品时限的，应当在收到消费者的汇款之日起三个工作日内交寄商品。违者，应当按照消费者的要求履行约定或退回货款，并承担消费者因此而产生的合理费用。</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第十五条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从事加工修理业的经营者，应当开具记有加工或修理商品的名称、数量、项目、费用、交货日期等内容的凭证，保证加工修理质量，按期交货，不得有下列行为：</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（一）偷换原材料或者零配件；</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（二）虚列加工或修理项目；</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（三）使用伪劣零配件；</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（四）谎称更换零配件；</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（五）擅自提高收费标准。</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从事加工修理业的经营者，应当建立并执行配件的进货检查验收制度，审验配件供货商的经营资格，验明产品合格证明和产品标识，有效保存进货和质量凭证，存档备查。有关凭证的保存期限不得少于两年。</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第十六条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经营者应当为消费者提供安全的消费环境，对有危险性因素的项目或地方，应当设有警示标牌。</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惊险性娱乐项目，应当制定紧急避难措施，并具有保障消费者生命安全的技术条件、服务设备和必要的救护设施。</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第十七条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美容、美发的经营者，应当明码标价，合理收费、不得价外加价，不得使用伪劣美容、美发用品。从事生活美容的经营者不得从事医疗美容服务，从事医疗美容的经营者应当确保消费者的身体健康和生命安全。</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第十八条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汽车旅客运输业的经营者，应当保证乘客的人身财产安全。有标明发车时间、班次的，必须按时发车。不得故意绕行、兜圈拉客、超载、拒载、中途停运或转运、途中加价，不得擅自调校出租汽车里程计价表。造成消费者损失的，应当赔偿消费者的直接损失。</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从事民航、铁路运输、航运的经营者，应当保证乘客的安全。因故不能准时出发或正点到达的，应当及时告知消费者并妥善处理。</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第十九条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旅游业的经营者，应当与消费者签定旅游合同，在约定的时间内，为消费者办好有关旅游手续，告知消费者安全等注意事项及投保情况，并提供相关的说明资料，不得擅自改变旅游线路、旅游时间、游览景点、食宿标准、交通工具、收费项目等约定条件。违者，应当退还消费者相关的服务费用；造成消费者损失的，应当赔偿消费者的实际损失。</w:t>
      </w:r>
    </w:p>
    <w:p>
      <w:pPr>
        <w:widowControl w:val="0"/>
        <w:wordWrap/>
        <w:overflowPunct w:val="0"/>
        <w:adjustRightInd w:val="0"/>
        <w:snapToGrid w:val="0"/>
        <w:spacing w:beforeAutospacing="0" w:afterAutospacing="0" w:line="560" w:lineRule="exact"/>
        <w:ind w:left="0" w:leftChars="0" w:right="0" w:firstLine="645"/>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rPr>
        <w:t>第二十条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从事有线电视、邮政、电信业、医疗卫生服务业的经营者，应当按照物价部门核定的标准收费，详列计价单位的明细项目并以清单的形式告知消费者。违反规定所收的费用，应当加倍退还消费者。</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第二十一条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从事保管、洗衣业、物流业的经营者，应当妥善保管消费者的财物，按照约定提供服务。造成消费者的财物损坏或者丢失的，应当赔偿消费者的实际损失。</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第二十二条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从事照相冲印业的经营者，造成消费者胶卷、底片损坏或者丢失的，应当按损坏或者丢失胶卷、底片价格的十倍给予赔偿。</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第二十三条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从事商品房开发或代理的经营者，销售商品房时，应当以书面形式向消费者明示商品房的准确地址、建筑和装饰标准、建筑面积、实用面积和公用分摊面积、单价、交货日期、配套设施、产权办理等内容，必须保证商品房达到国家规定的有关质量标准，诚信交易。违者给消费者造成损失的，应当赔偿消费者的实际损失。</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第二十四条</w:t>
      </w:r>
      <w:r>
        <w:rPr>
          <w:rFonts w:hint="eastAsia" w:ascii="宋体" w:hAnsi="宋体" w:eastAsia="仿宋_GB2312" w:cs="仿宋_GB2312"/>
          <w:b w:val="0"/>
          <w:bCs/>
          <w:color w:val="000000"/>
          <w:sz w:val="32"/>
          <w:szCs w:val="32"/>
        </w:rPr>
        <w:t>　从事住宅建筑装饰的经营者，应当与消费者以书面形式约定建筑装饰的项目、数量、标准、价格、施工时限，并按照约定的内容，保证建筑装饰的质量，按时完工，不得偷工减料、价外加价。违反约定条件，必须返工的，应当按照与消费者重新约定的时限完成返工，返工的费用由经营者承担。</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第二十五条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从事饮食业的经营者，提供的食物应当符合卫生的要求，不符合卫生要求给消费者的健康造成损害时，应当赔偿消费者的损失。经营者对所提供的食物和服务，应当事先将价格告知消费者并接受消费者的选择。</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第二十六条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供电、供水、供气的经营者，应当定期对设备进行检查维护，不得限定消费者向其指定的经营者购买商品，不得强制收取预付款，不得擅自增加收费项目或提高收费标准，计量器具应经技术监督部门或者其授权的单位检定合格方能安装使用。因计量不准而多收的费用，应当退还消费者。因所供电、水、气的质量不合格而造成消费者财产损失和人身损害的，应当赔偿消费者的实际损失。</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第二十七条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销售伪劣种子、种苗、肥料、农药、兽药、饲料、种畜禽等农业生产资料，造成农民减产、绝收或者畜禽死亡的，经营者应当赔偿直接损失和可得利益损失。</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第二十八条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消费者与经营者因商品和服务质量发生争议需要进行检测、鉴定的，可以由下列机构进行检测、鉴定，所需费用由责任方承担：</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（一）双方约定的检测、鉴定机构；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（二）国家法定的检测、鉴定机构；</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（三）受理申诉或投诉的行政部门、消费者委员会指定的检测、鉴定机构。</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对于难以检测、鉴定的，经营者应当提供证明自己无过错的证据，不能提供无过错证据的，应当承担责任。</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第二十九条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消费者委员会对消费者的投诉，应当自收到投诉之日起十个工作日内，作出受理或者不予受理的决定并告知投诉人。不予受理的，应当说明原因；决定受理的，应当自受理之日起一个月内调解完毕。需要检测、鉴定的，检测、鉴定时间不计在内。期满未达成调解协议或者达成调解协议后当事人不履行的，消费者委员会应当告知消费者通过其他法定途径解决争议。</w:t>
      </w:r>
    </w:p>
    <w:p>
      <w:pPr>
        <w:pStyle w:val="37"/>
        <w:widowControl w:val="0"/>
        <w:wordWrap/>
        <w:overflowPunct w:val="0"/>
        <w:adjustRightInd w:val="0"/>
        <w:snapToGrid w:val="0"/>
        <w:spacing w:before="0" w:beforeAutospacing="0" w:after="0" w:afterAutospacing="0" w:line="560" w:lineRule="exact"/>
        <w:ind w:left="0" w:leftChars="0" w:right="0" w:firstLine="67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第三十条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行政部门对消费者的申诉或者消费者委员会转交的投诉，应当自收到申诉或者投诉之日起十个工作日内作出受理或者不予受理的决定，并告知申诉人或者消费者委员会。决定受理的，依法应当自受理申诉或者投诉之日起三十个工作日内作出处理决定，对经营者确有违法行为的，应当依法查处。决定不受理的，应当说明理由。消费者或者消费者委员会对行政部门逾期不作出是否受理的决定有异议，或者对行政部门不受理的决定不服的，可依法申请行政复议或者提起行政诉讼。</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kern w:val="0"/>
          <w:sz w:val="32"/>
          <w:szCs w:val="32"/>
          <w:lang w:val="en-US" w:eastAsia="zh-CN" w:bidi="ar-SA"/>
        </w:rPr>
        <w:t>　　</w:t>
      </w:r>
      <w:r>
        <w:rPr>
          <w:rFonts w:hint="eastAsia" w:ascii="宋体" w:hAnsi="宋体" w:eastAsia="黑体" w:cs="黑体"/>
          <w:b w:val="0"/>
          <w:bCs/>
          <w:color w:val="000000"/>
          <w:kern w:val="0"/>
          <w:sz w:val="32"/>
          <w:szCs w:val="32"/>
          <w:lang w:val="en-US" w:eastAsia="zh-CN" w:bidi="ar-SA"/>
        </w:rPr>
        <w:t>第三十一条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经营者提供商品或者服务，造成消费者或其他受害人人身伤害、残疾或死亡的，按照下列规定标准支付赔偿费用：</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（一）医疗费，按照受害人接受治疗所必需的检查费、治疗费、医药费、手术费、住院费等费用计算；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（二）治疗期间的护理费，根据受害人治疗期间的护理需要，按照当地雇请一名护工所需费用计算；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（三）治疗期间的交通费，按照与受害人的身体状况相适应所必需的交通费用计算；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（四）因误工减少的收入，按照受害人因误工减少的实际收入计算；减少的收入难以确认的，以职工年平均工资为标准计算；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（五）残疾者生活自助器具费，按照普及型器具的费用计算；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（六）残疾者生活补助费，根据受害人伤残等级，按照职工年平均工资或者农民年人均纯收入的十倍至五十倍计算；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（七）残疾赔偿金，根据受害人伤残等级，按照职工年平均工资或者农民年人均纯收入的三倍至十倍计算；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（八）完全丧失或部分丧失劳动能力的残疾者扶养的人所必需的生活费，以年平均生活费的百分之三十至百分之一百为标准，对不满十八周岁的，按扶养至十八周岁计算；对无生活能力的，按扶养二十年计算；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（九）丧葬费，按照当地市、县殡葬单位的基本服务项目收费标准计算；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（十）死亡赔偿金，按照年平均生活费的二十倍计算；</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（十一）死者生前扶养的人所必需的生活费，以年平均生活费为标准，对不满十八周岁的，按扶养至十八周岁计算；对无劳动能力的，按扶养二十年计算。</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前款规定的（一）、（二）、（三）、（四）项费用，按治疗的需要及时支付；其余各项费用，应当一次性支付。法律、法规对前款另有规定的，从其规定。</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本条规定的职工年平均工资和农民年人均纯收入是指省人民政府统计部门公布的本省上一年度职工平均工资和农民年人均纯收入。年平均生活费是指省人民政府统计部门公布的本省上一年度城镇居民或农村居民人均生活支出额。</w:t>
      </w:r>
    </w:p>
    <w:p>
      <w:pPr>
        <w:pStyle w:val="37"/>
        <w:widowControl w:val="0"/>
        <w:wordWrap/>
        <w:overflowPunct w:val="0"/>
        <w:adjustRightInd w:val="0"/>
        <w:snapToGrid w:val="0"/>
        <w:spacing w:before="0" w:beforeAutospacing="0" w:after="0" w:afterAutospacing="0" w:line="560" w:lineRule="exact"/>
        <w:ind w:left="0" w:leftChars="0" w:right="0" w:firstLine="67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第三十二条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以暴力或者其他方法公然侮辱或者捏造事实诽谤消费者，搜查消费者的身体及其携带物品，侵害消费者的人格尊严或者侵犯消费者人身自由的，应当停止侵害、恢复名誉、消除影响、赔礼道歉；情节严重的，并应赔偿五万元以上的精神损害。</w:t>
      </w:r>
    </w:p>
    <w:p>
      <w:pPr>
        <w:pStyle w:val="37"/>
        <w:widowControl w:val="0"/>
        <w:wordWrap/>
        <w:overflowPunct w:val="0"/>
        <w:adjustRightInd w:val="0"/>
        <w:snapToGrid w:val="0"/>
        <w:spacing w:before="0" w:beforeAutospacing="0" w:after="0" w:afterAutospacing="0" w:line="560" w:lineRule="exact"/>
        <w:ind w:left="0" w:leftChars="0" w:right="0" w:firstLine="67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第三十三条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经营者违反本办法第十二条的规定，其他法律、法规对违法行为的处罚有规定的，依照法律、法规的规定执行；法律、法规未作规定的，由工商行政管理部门责令其改正，单处或者并处警告、没收违法所得、违法所得一倍以上五倍以下的罚款；没有违法所得的，处以一万元以下的罚款；构成违反治安管理行为的，由公安机关依照《中华人民共和国治安管理处罚法》的规定予以处罚。</w:t>
      </w:r>
    </w:p>
    <w:p>
      <w:pPr>
        <w:pStyle w:val="37"/>
        <w:widowControl w:val="0"/>
        <w:wordWrap/>
        <w:overflowPunct w:val="0"/>
        <w:adjustRightInd w:val="0"/>
        <w:snapToGrid w:val="0"/>
        <w:spacing w:before="0" w:beforeAutospacing="0" w:after="0" w:afterAutospacing="0" w:line="560" w:lineRule="exact"/>
        <w:ind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第三十四条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从事加工修理业的经营者违反本办法第十五条第二款规定的，由</w:t>
      </w:r>
      <w:r>
        <w:rPr>
          <w:rFonts w:hint="eastAsia" w:ascii="宋体" w:hAnsi="宋体" w:eastAsia="仿宋_GB2312" w:cs="仿宋_GB2312"/>
          <w:b w:val="0"/>
          <w:bCs/>
          <w:iCs/>
          <w:color w:val="000000"/>
          <w:sz w:val="32"/>
          <w:szCs w:val="32"/>
        </w:rPr>
        <w:t>技术</w:t>
      </w:r>
      <w:r>
        <w:rPr>
          <w:rFonts w:hint="eastAsia" w:ascii="宋体" w:hAnsi="宋体" w:eastAsia="仿宋_GB2312" w:cs="仿宋_GB2312"/>
          <w:b w:val="0"/>
          <w:bCs/>
          <w:color w:val="000000"/>
          <w:sz w:val="32"/>
          <w:szCs w:val="32"/>
        </w:rPr>
        <w:t>监督、工商行政管理、交通、经济和信息化等部门按照各自职责责令改正；拒不改正的，没收违法所得和违法使用的产品，并处货值金额三倍的罚款。</w:t>
      </w:r>
    </w:p>
    <w:p>
      <w:pPr>
        <w:pStyle w:val="37"/>
        <w:widowControl w:val="0"/>
        <w:wordWrap/>
        <w:overflowPunct w:val="0"/>
        <w:adjustRightInd w:val="0"/>
        <w:snapToGrid w:val="0"/>
        <w:spacing w:before="0" w:beforeAutospacing="0" w:after="0" w:afterAutospacing="0" w:line="560" w:lineRule="exact"/>
        <w:ind w:left="0" w:leftChars="0" w:right="0" w:firstLine="0" w:firstLineChars="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仿宋_GB2312" w:cs="仿宋_GB2312"/>
          <w:b w:val="0"/>
          <w:bCs/>
          <w:color w:val="000000"/>
          <w:kern w:val="0"/>
          <w:sz w:val="32"/>
          <w:szCs w:val="32"/>
          <w:lang w:val="en-US" w:eastAsia="zh-CN" w:bidi="ar-SA"/>
        </w:rPr>
        <w:t>　</w:t>
      </w:r>
      <w:r>
        <w:rPr>
          <w:rFonts w:hint="eastAsia" w:ascii="宋体" w:hAnsi="宋体" w:eastAsia="黑体" w:cs="黑体"/>
          <w:b w:val="0"/>
          <w:bCs/>
          <w:color w:val="000000"/>
          <w:kern w:val="0"/>
          <w:sz w:val="32"/>
          <w:szCs w:val="32"/>
          <w:lang w:val="en-US" w:eastAsia="zh-CN" w:bidi="ar-SA"/>
        </w:rPr>
        <w:t>第三十五条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违反本办法损害消费者合法权益的，由工商行政管理部门或有关行政机关依照法律、法规的规定进行处罚；法律、法规未有规定的，可以根据情节单处或者并处警告、没收违法所得、处以违法所得一倍以上五倍以下的罚款，没有违法所得的，处以一万元以下的罚款，构成犯罪的，依法追究刑事责任。</w:t>
      </w:r>
    </w:p>
    <w:p>
      <w:pPr>
        <w:widowControl w:val="0"/>
        <w:wordWrap/>
        <w:overflowPunct w:val="0"/>
        <w:spacing w:beforeAutospacing="0" w:afterAutospacing="0" w:line="560" w:lineRule="exact"/>
        <w:ind w:left="0" w:leftChars="0" w:right="0" w:firstLine="0" w:firstLineChars="0"/>
        <w:jc w:val="left"/>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kern w:val="0"/>
          <w:sz w:val="32"/>
          <w:szCs w:val="32"/>
          <w:lang w:val="en-US" w:eastAsia="zh-CN"/>
        </w:rPr>
        <w:t xml:space="preserve">    </w:t>
      </w:r>
      <w:r>
        <w:rPr>
          <w:rFonts w:hint="eastAsia" w:ascii="宋体" w:hAnsi="宋体" w:eastAsia="黑体" w:cs="黑体"/>
          <w:b w:val="0"/>
          <w:bCs/>
          <w:color w:val="000000"/>
          <w:kern w:val="0"/>
          <w:sz w:val="32"/>
          <w:szCs w:val="32"/>
        </w:rPr>
        <w:t>第三十六条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本办法自公布之日起施行。1989年6月29日广东省第七届人民代表大会常务委员会第八次会议通过的《广东省保护消费者合法权益条例》同时废止。</w:t>
      </w:r>
    </w:p>
    <w:p>
      <w:pPr>
        <w:widowControl w:val="0"/>
        <w:wordWrap/>
        <w:overflowPunct w:val="0"/>
        <w:spacing w:beforeAutospacing="0" w:afterAutospacing="0" w:line="560" w:lineRule="exact"/>
        <w:ind w:left="0" w:leftChars="0" w:right="0"/>
        <w:textAlignment w:val="auto"/>
        <w:rPr>
          <w:rFonts w:hint="eastAsia" w:ascii="宋体" w:hAnsi="宋体" w:eastAsia="仿宋_GB2312" w:cs="仿宋_GB2312"/>
          <w:b w:val="0"/>
          <w:bCs/>
          <w:sz w:val="32"/>
          <w:szCs w:val="32"/>
        </w:rPr>
      </w:pPr>
    </w:p>
    <w:p>
      <w:pPr>
        <w:pStyle w:val="35"/>
        <w:widowControl w:val="0"/>
        <w:wordWrap/>
        <w:overflowPunct w:val="0"/>
        <w:adjustRightInd w:val="0"/>
        <w:snapToGrid w:val="0"/>
        <w:spacing w:beforeAutospacing="0" w:afterAutospacing="0" w:line="560" w:lineRule="exact"/>
        <w:ind w:left="0" w:leftChars="0" w:right="0" w:firstLine="707" w:firstLineChars="221"/>
        <w:textAlignment w:val="auto"/>
        <w:rPr>
          <w:rFonts w:hint="eastAsia" w:ascii="宋体" w:hAnsi="宋体" w:eastAsia="楷体_GB2312"/>
          <w:b w:val="0"/>
          <w:bCs/>
          <w:sz w:val="32"/>
          <w:szCs w:val="32"/>
        </w:rPr>
      </w:pPr>
    </w:p>
    <w:p>
      <w:pPr>
        <w:pStyle w:val="33"/>
        <w:widowControl w:val="0"/>
        <w:wordWrap/>
        <w:overflowPunct w:val="0"/>
        <w:spacing w:beforeAutospacing="0" w:afterAutospacing="0" w:line="560" w:lineRule="exact"/>
        <w:textAlignment w:val="auto"/>
        <w:rPr>
          <w:rFonts w:hint="eastAsia" w:ascii="宋体" w:hAnsi="宋体" w:eastAsia="仿宋_GB2312" w:cs="仿宋"/>
          <w:b w:val="0"/>
          <w:bCs/>
          <w:sz w:val="32"/>
          <w:szCs w:val="32"/>
        </w:rPr>
      </w:pPr>
    </w:p>
    <w:p>
      <w:pPr>
        <w:pStyle w:val="33"/>
        <w:widowControl w:val="0"/>
        <w:wordWrap/>
        <w:overflowPunct w:val="0"/>
        <w:spacing w:beforeAutospacing="0" w:afterAutospacing="0" w:line="560" w:lineRule="exact"/>
        <w:ind w:left="0" w:leftChars="0" w:firstLine="0" w:firstLineChars="0"/>
        <w:textAlignment w:val="auto"/>
        <w:rPr>
          <w:rFonts w:hint="eastAsia" w:ascii="宋体" w:hAnsi="宋体" w:cs="仿宋_GB2312"/>
          <w:sz w:val="32"/>
          <w:szCs w:val="32"/>
          <w:lang w:eastAsia="zh-CN"/>
        </w:rPr>
      </w:pPr>
    </w:p>
    <w:p>
      <w:pPr>
        <w:pStyle w:val="35"/>
        <w:widowControl w:val="0"/>
        <w:wordWrap/>
        <w:overflowPunct w:val="0"/>
        <w:adjustRightInd w:val="0"/>
        <w:snapToGrid w:val="0"/>
        <w:spacing w:beforeAutospacing="0" w:afterAutospacing="0" w:line="560" w:lineRule="exact"/>
        <w:ind w:left="0" w:leftChars="0" w:firstLine="0" w:firstLineChars="0"/>
        <w:jc w:val="both"/>
        <w:textAlignment w:val="auto"/>
        <w:rPr>
          <w:rFonts w:hint="eastAsia" w:ascii="宋体" w:hAnsi="宋体" w:eastAsia="宋体" w:cs="宋体"/>
          <w:b w:val="0"/>
          <w:bCs/>
          <w:color w:val="000000"/>
          <w:sz w:val="44"/>
          <w:szCs w:val="44"/>
        </w:rPr>
      </w:pPr>
      <w:r>
        <w:rPr>
          <w:rFonts w:hint="eastAsia" w:ascii="宋体" w:hAnsi="宋体" w:eastAsia="宋体" w:cs="宋体"/>
          <w:b w:val="0"/>
          <w:bCs/>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7" w:name="_Toc31248"/>
      <w:r>
        <w:rPr>
          <w:rFonts w:hint="eastAsia" w:ascii="宋体" w:hAnsi="宋体" w:eastAsia="宋体" w:cs="宋体"/>
          <w:color w:val="000000"/>
          <w:sz w:val="44"/>
          <w:szCs w:val="44"/>
        </w:rPr>
        <w:t>广东省实施《中华人民共和国价格法》办法</w:t>
      </w:r>
      <w:bookmarkEnd w:id="477"/>
    </w:p>
    <w:p>
      <w:pPr>
        <w:pStyle w:val="35"/>
        <w:widowControl w:val="0"/>
        <w:wordWrap/>
        <w:overflowPunct w:val="0"/>
        <w:adjustRightInd w:val="0"/>
        <w:snapToGrid w:val="0"/>
        <w:spacing w:beforeAutospacing="0" w:afterAutospacing="0" w:line="560" w:lineRule="exact"/>
        <w:ind w:left="0" w:leftChars="0"/>
        <w:jc w:val="center"/>
        <w:textAlignment w:val="auto"/>
        <w:rPr>
          <w:rFonts w:hint="eastAsia" w:ascii="宋体" w:hAnsi="宋体" w:eastAsia="宋体" w:cs="宋体"/>
          <w:b w:val="0"/>
          <w:bCs/>
          <w:color w:val="000000"/>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（1999年5月21日广东省第九届人民代表大会常务委员会第十次会议通过  2008年3月27日广东省第十一届人民代表大会常务委员会第一次会议修订）</w:t>
      </w:r>
    </w:p>
    <w:p>
      <w:pPr>
        <w:pStyle w:val="35"/>
        <w:widowControl w:val="0"/>
        <w:wordWrap/>
        <w:overflowPunct w:val="0"/>
        <w:adjustRightInd w:val="0"/>
        <w:snapToGrid w:val="0"/>
        <w:spacing w:beforeAutospacing="0" w:afterAutospacing="0" w:line="560" w:lineRule="exact"/>
        <w:ind w:left="0" w:leftChars="0" w:firstLine="642"/>
        <w:jc w:val="center"/>
        <w:textAlignment w:val="auto"/>
        <w:rPr>
          <w:rFonts w:hint="eastAsia" w:ascii="宋体" w:hAnsi="宋体" w:eastAsia="宋体" w:cs="宋体"/>
          <w:b w:val="0"/>
          <w:bCs/>
          <w:sz w:val="32"/>
          <w:szCs w:val="32"/>
        </w:rPr>
      </w:pPr>
    </w:p>
    <w:p>
      <w:pPr>
        <w:pStyle w:val="35"/>
        <w:widowControl w:val="0"/>
        <w:wordWrap/>
        <w:overflowPunct w:val="0"/>
        <w:adjustRightInd w:val="0"/>
        <w:snapToGrid w:val="0"/>
        <w:spacing w:beforeAutospacing="0" w:afterAutospacing="0" w:line="560" w:lineRule="exact"/>
        <w:ind w:left="0" w:leftChars="0" w:firstLine="642"/>
        <w:jc w:val="center"/>
        <w:textAlignment w:val="auto"/>
        <w:rPr>
          <w:rFonts w:hint="eastAsia" w:ascii="宋体" w:hAnsi="宋体" w:eastAsia="宋体" w:cs="宋体"/>
          <w:b w:val="0"/>
          <w:bCs/>
          <w:sz w:val="32"/>
          <w:szCs w:val="32"/>
        </w:rPr>
      </w:pPr>
      <w:r>
        <w:rPr>
          <w:rFonts w:hint="eastAsia" w:ascii="宋体" w:hAnsi="宋体" w:eastAsia="楷体_GB2312"/>
          <w:b w:val="0"/>
          <w:bCs/>
          <w:sz w:val="32"/>
          <w:szCs w:val="32"/>
        </w:rPr>
        <w:t>目    录</w:t>
      </w:r>
    </w:p>
    <w:p>
      <w:pPr>
        <w:pStyle w:val="35"/>
        <w:widowControl w:val="0"/>
        <w:wordWrap/>
        <w:overflowPunct w:val="0"/>
        <w:adjustRightInd w:val="0"/>
        <w:snapToGrid w:val="0"/>
        <w:spacing w:beforeAutospacing="0" w:afterAutospacing="0" w:line="560" w:lineRule="exact"/>
        <w:ind w:left="0" w:leftChars="0" w:firstLine="642"/>
        <w:jc w:val="center"/>
        <w:textAlignment w:val="auto"/>
        <w:rPr>
          <w:rFonts w:hint="eastAsia" w:ascii="宋体" w:hAnsi="宋体" w:eastAsia="宋体" w:cs="宋体"/>
          <w:b w:val="0"/>
          <w:bCs/>
          <w:sz w:val="32"/>
          <w:szCs w:val="32"/>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第二章  经营者的价格行为</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第三章  政府的定价行为</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第四章  价格调控</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第五章  价格服务</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lang w:val="en-US" w:eastAsia="zh-CN"/>
        </w:rPr>
      </w:pPr>
      <w:r>
        <w:rPr>
          <w:rFonts w:hint="eastAsia" w:ascii="宋体" w:hAnsi="宋体" w:eastAsia="楷体_GB2312"/>
          <w:b w:val="0"/>
          <w:bCs/>
          <w:sz w:val="32"/>
          <w:szCs w:val="32"/>
          <w:lang w:val="en-US" w:eastAsia="zh-CN"/>
        </w:rPr>
        <w:t>第六章  价格监督检查</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lang w:val="en-US" w:eastAsia="zh-CN"/>
        </w:rPr>
      </w:pPr>
      <w:r>
        <w:rPr>
          <w:rFonts w:hint="eastAsia" w:ascii="宋体" w:hAnsi="宋体" w:eastAsia="楷体_GB2312"/>
          <w:b w:val="0"/>
          <w:bCs/>
          <w:sz w:val="32"/>
          <w:szCs w:val="32"/>
          <w:lang w:val="en-US" w:eastAsia="zh-CN"/>
        </w:rPr>
        <w:t>第七章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lang w:val="en-US" w:eastAsia="zh-CN"/>
        </w:rPr>
      </w:pPr>
      <w:r>
        <w:rPr>
          <w:rFonts w:hint="eastAsia" w:ascii="宋体" w:hAnsi="宋体" w:eastAsia="楷体_GB2312"/>
          <w:b w:val="0"/>
          <w:bCs/>
          <w:sz w:val="32"/>
          <w:szCs w:val="32"/>
          <w:lang w:val="en-US" w:eastAsia="zh-CN"/>
        </w:rPr>
        <w:t>第八章  附则</w:t>
      </w:r>
    </w:p>
    <w:p>
      <w:pPr>
        <w:pStyle w:val="35"/>
        <w:widowControl w:val="0"/>
        <w:wordWrap/>
        <w:overflowPunct w:val="0"/>
        <w:adjustRightInd w:val="0"/>
        <w:snapToGrid w:val="0"/>
        <w:spacing w:beforeAutospacing="0" w:afterAutospacing="0" w:line="560" w:lineRule="exact"/>
        <w:ind w:left="0" w:leftChars="0" w:right="0"/>
        <w:jc w:val="center"/>
        <w:textAlignment w:val="auto"/>
        <w:outlineLvl w:val="9"/>
        <w:rPr>
          <w:rFonts w:hint="eastAsia" w:ascii="宋体" w:hAnsi="宋体" w:eastAsia="宋体" w:cs="宋体"/>
          <w:b w:val="0"/>
          <w:bCs/>
          <w:sz w:val="32"/>
          <w:szCs w:val="32"/>
        </w:rPr>
      </w:pPr>
    </w:p>
    <w:p>
      <w:pPr>
        <w:widowControl w:val="0"/>
        <w:numPr>
          <w:ilvl w:val="0"/>
          <w:numId w:val="0"/>
        </w:numPr>
        <w:wordWrap/>
        <w:overflowPunct w:val="0"/>
        <w:spacing w:beforeAutospacing="0" w:afterAutospacing="0" w:line="560" w:lineRule="exact"/>
        <w:ind w:leftChars="200" w:right="0"/>
        <w:jc w:val="center"/>
        <w:textAlignment w:val="auto"/>
        <w:outlineLvl w:val="9"/>
        <w:rPr>
          <w:rFonts w:hint="eastAsia" w:ascii="宋体" w:hAnsi="宋体" w:eastAsia="黑体" w:cs="黑体"/>
          <w:b w:val="0"/>
          <w:bCs/>
          <w:color w:val="000000"/>
          <w:sz w:val="32"/>
          <w:szCs w:val="32"/>
          <w:lang w:val="en-US" w:eastAsia="zh-CN"/>
        </w:rPr>
      </w:pPr>
      <w:r>
        <w:rPr>
          <w:rFonts w:hint="eastAsia" w:ascii="宋体" w:hAnsi="宋体" w:eastAsia="黑体" w:cs="黑体"/>
          <w:b w:val="0"/>
          <w:bCs/>
          <w:color w:val="000000"/>
          <w:sz w:val="32"/>
          <w:szCs w:val="32"/>
          <w:lang w:val="en-US" w:eastAsia="zh-CN"/>
        </w:rPr>
        <w:t>第一章  总则</w:t>
      </w:r>
    </w:p>
    <w:p>
      <w:pPr>
        <w:widowControl w:val="0"/>
        <w:numPr>
          <w:ilvl w:val="0"/>
          <w:numId w:val="0"/>
        </w:numPr>
        <w:wordWrap/>
        <w:overflowPunct w:val="0"/>
        <w:spacing w:beforeAutospacing="0" w:afterAutospacing="0" w:line="560" w:lineRule="exact"/>
        <w:ind w:leftChars="200" w:right="0"/>
        <w:jc w:val="both"/>
        <w:textAlignment w:val="auto"/>
        <w:outlineLvl w:val="9"/>
        <w:rPr>
          <w:rFonts w:hint="eastAsia" w:ascii="宋体" w:hAnsi="宋体" w:eastAsia="宋体" w:cs="宋体"/>
          <w:b w:val="0"/>
          <w:bCs/>
          <w:color w:val="000000"/>
          <w:sz w:val="32"/>
          <w:szCs w:val="32"/>
          <w:lang w:val="en-US" w:eastAsia="zh-CN"/>
        </w:rPr>
      </w:pP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第一条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 xml:space="preserve"> 为实施《中华人民共和国价格法》，结合本省实际，制定本办法。</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第二条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 xml:space="preserve"> 本办法适用于本省行政区域内发生的价格行为。</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第三条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 xml:space="preserve"> 经营者的价格行为，应当遵循合法、公平和诚实信用原则。</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政府的价格行为，应当遵循合法、公平、公开和效率的原则，保障公民、法人和其他组织的知情权、参与权、监督权。</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第四条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 xml:space="preserve"> 各级人民政府应当依法履行职责，做好价格工作。</w:t>
      </w:r>
    </w:p>
    <w:p>
      <w:pPr>
        <w:widowControl w:val="0"/>
        <w:wordWrap/>
        <w:overflowPunct w:val="0"/>
        <w:spacing w:beforeAutospacing="0" w:afterAutospacing="0" w:line="560" w:lineRule="exact"/>
        <w:ind w:left="0" w:leftChars="0" w:right="0"/>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    县级以上人民政府价格主管部门负责本行政区域内的价格工作。县级以上人民政府其他有关部门在各自的职责范围内负责有关的价格工作。</w:t>
      </w:r>
    </w:p>
    <w:p>
      <w:pPr>
        <w:widowControl w:val="0"/>
        <w:wordWrap/>
        <w:overflowPunct w:val="0"/>
        <w:spacing w:beforeAutospacing="0" w:afterAutospacing="0" w:line="560" w:lineRule="exact"/>
        <w:ind w:left="0" w:leftChars="0" w:right="0"/>
        <w:textAlignment w:val="auto"/>
        <w:outlineLvl w:val="9"/>
        <w:rPr>
          <w:rFonts w:hint="eastAsia" w:ascii="宋体" w:hAnsi="宋体" w:eastAsia="宋体" w:cs="宋体"/>
          <w:b w:val="0"/>
          <w:bCs/>
          <w:color w:val="000000"/>
          <w:sz w:val="32"/>
          <w:szCs w:val="32"/>
        </w:rPr>
      </w:pPr>
    </w:p>
    <w:p>
      <w:pPr>
        <w:widowControl w:val="0"/>
        <w:numPr>
          <w:ilvl w:val="0"/>
          <w:numId w:val="0"/>
        </w:numPr>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 xml:space="preserve">第二章 </w:t>
      </w:r>
      <w:r>
        <w:rPr>
          <w:rFonts w:hint="eastAsia" w:ascii="宋体" w:hAnsi="宋体" w:eastAsia="黑体" w:cs="黑体"/>
          <w:b w:val="0"/>
          <w:bCs/>
          <w:color w:val="000000"/>
          <w:sz w:val="32"/>
          <w:szCs w:val="32"/>
        </w:rPr>
        <w:t xml:space="preserve"> 经营者的价格行为</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第五条</w:t>
      </w:r>
      <w:r>
        <w:rPr>
          <w:rFonts w:hint="eastAsia" w:ascii="宋体" w:hAnsi="宋体" w:eastAsia="仿宋_GB2312" w:cs="仿宋_GB2312"/>
          <w:b w:val="0"/>
          <w:bCs/>
          <w:color w:val="000000"/>
          <w:sz w:val="32"/>
          <w:szCs w:val="32"/>
        </w:rPr>
        <w:t xml:space="preserve">  商品价格和服务价格，除依法适用政府指导价或者政府定价外，实行市场调节价，由经营者依法自主制定。</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对关系群众切身利益的实行市场调节价的重要商品价格或者服务价格，政府价格主管部门可以会同相关部门制定并公布价格行为规则，引导、规范经营者依法自主定价。</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第六条</w:t>
      </w:r>
      <w:r>
        <w:rPr>
          <w:rFonts w:hint="eastAsia" w:ascii="宋体" w:hAnsi="宋体" w:eastAsia="仿宋_GB2312" w:cs="仿宋_GB2312"/>
          <w:b w:val="0"/>
          <w:bCs/>
          <w:color w:val="000000"/>
          <w:sz w:val="32"/>
          <w:szCs w:val="32"/>
        </w:rPr>
        <w:t xml:space="preserve">  经营者应当依法按照政府价格主管部门的规定实行明码标价和收费公示，做到价签价目齐全、标价内容真实明确。</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降价销售商品和提供服务，经营者应当使用降价标价签、价目表，如实标明降价原因、原价和现价；妥善保留降价前记录或者核定价格的资料，以便查证。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一项服务包括多个项目和标准的，经营者应当明确标示每一个项目和标准，不得混合标价。</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第七条</w:t>
      </w:r>
      <w:r>
        <w:rPr>
          <w:rFonts w:hint="eastAsia" w:ascii="宋体" w:hAnsi="宋体" w:eastAsia="仿宋_GB2312" w:cs="仿宋_GB2312"/>
          <w:b w:val="0"/>
          <w:bCs/>
          <w:color w:val="000000"/>
          <w:sz w:val="32"/>
          <w:szCs w:val="32"/>
        </w:rPr>
        <w:t xml:space="preserve"> </w:t>
      </w:r>
      <w:r>
        <w:rPr>
          <w:rFonts w:hint="eastAsia" w:ascii="宋体" w:hAnsi="宋体" w:eastAsia="仿宋_GB2312" w:cs="仿宋_GB2312"/>
          <w:b w:val="0"/>
          <w:bCs/>
          <w:iCs/>
          <w:color w:val="000000"/>
          <w:sz w:val="32"/>
          <w:szCs w:val="32"/>
        </w:rPr>
        <w:t xml:space="preserve"> 经营者不得以协议、决定或者其他协同行为相互串通，统一确定、维持、变更价格，或者通过限制商品的生产数量或者销售数量操纵价格，损害消费者和其他经营者的合法权益。</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iCs/>
          <w:color w:val="000000"/>
          <w:sz w:val="32"/>
          <w:szCs w:val="32"/>
        </w:rPr>
      </w:pPr>
      <w:r>
        <w:rPr>
          <w:rFonts w:hint="eastAsia" w:ascii="宋体" w:hAnsi="宋体" w:eastAsia="黑体" w:cs="黑体"/>
          <w:b w:val="0"/>
          <w:bCs/>
          <w:color w:val="000000"/>
          <w:sz w:val="32"/>
          <w:szCs w:val="32"/>
        </w:rPr>
        <w:t>第八条</w:t>
      </w:r>
      <w:r>
        <w:rPr>
          <w:rFonts w:hint="eastAsia" w:ascii="宋体" w:hAnsi="宋体" w:eastAsia="仿宋_GB2312" w:cs="仿宋_GB2312"/>
          <w:b w:val="0"/>
          <w:bCs/>
          <w:color w:val="000000"/>
          <w:sz w:val="32"/>
          <w:szCs w:val="32"/>
        </w:rPr>
        <w:t xml:space="preserve">  </w:t>
      </w:r>
      <w:r>
        <w:rPr>
          <w:rFonts w:hint="eastAsia" w:ascii="宋体" w:hAnsi="宋体" w:eastAsia="仿宋_GB2312" w:cs="仿宋_GB2312"/>
          <w:b w:val="0"/>
          <w:bCs/>
          <w:iCs/>
          <w:color w:val="000000"/>
          <w:sz w:val="32"/>
          <w:szCs w:val="32"/>
        </w:rPr>
        <w:t>除依法降价处理的鲜活商品、季节性商品、积压商品等商品外，经营者不得以排挤竞争对手或者独占市场为目的从事下列行为，扰乱正常的生产经营秩序，损害其他经营者的合法权益：</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以低于自身生产、经营成本的价格销售商品或者提供服务；</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采取回扣、补贴、赠送等方式使商品或者服务的实际价格低于自身生产、经营成本。</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第九条</w:t>
      </w:r>
      <w:r>
        <w:rPr>
          <w:rFonts w:hint="eastAsia" w:ascii="宋体" w:hAnsi="宋体" w:eastAsia="仿宋_GB2312" w:cs="仿宋_GB2312"/>
          <w:b w:val="0"/>
          <w:bCs/>
          <w:color w:val="000000"/>
          <w:sz w:val="32"/>
          <w:szCs w:val="32"/>
        </w:rPr>
        <w:t xml:space="preserve">  经营者不得有下列哄抬价格的行为：</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捏造、散布涨价信息，导致价格大幅度上涨；</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w:t>
      </w:r>
      <w:r>
        <w:rPr>
          <w:rFonts w:hint="eastAsia" w:ascii="宋体" w:hAnsi="宋体" w:cs="仿宋_GB2312"/>
          <w:b w:val="0"/>
          <w:bCs/>
          <w:color w:val="000000"/>
          <w:sz w:val="32"/>
          <w:szCs w:val="32"/>
          <w:lang w:eastAsia="zh-CN"/>
        </w:rPr>
        <w:t>（二）</w:t>
      </w:r>
      <w:r>
        <w:rPr>
          <w:rFonts w:hint="eastAsia" w:ascii="宋体" w:hAnsi="宋体" w:eastAsia="仿宋_GB2312" w:cs="仿宋_GB2312"/>
          <w:b w:val="0"/>
          <w:bCs/>
          <w:color w:val="000000"/>
          <w:sz w:val="32"/>
          <w:szCs w:val="32"/>
        </w:rPr>
        <w:t>囤积居奇，导致商品供不应求而出现价格大幅度上涨；</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w:t>
      </w:r>
      <w:r>
        <w:rPr>
          <w:rFonts w:hint="eastAsia" w:ascii="宋体" w:hAnsi="宋体" w:cs="仿宋_GB2312"/>
          <w:b w:val="0"/>
          <w:bCs/>
          <w:color w:val="000000"/>
          <w:sz w:val="32"/>
          <w:szCs w:val="32"/>
          <w:lang w:eastAsia="zh-CN"/>
        </w:rPr>
        <w:t>（三）</w:t>
      </w:r>
      <w:r>
        <w:rPr>
          <w:rFonts w:hint="eastAsia" w:ascii="宋体" w:hAnsi="宋体" w:eastAsia="仿宋_GB2312" w:cs="仿宋_GB2312"/>
          <w:b w:val="0"/>
          <w:bCs/>
          <w:color w:val="000000"/>
          <w:sz w:val="32"/>
          <w:szCs w:val="32"/>
        </w:rPr>
        <w:t>利用自然灾害、突发公共安全事件，在一些地区或行业大幅度提高价格。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第十条</w:t>
      </w:r>
      <w:r>
        <w:rPr>
          <w:rFonts w:hint="eastAsia" w:ascii="宋体" w:hAnsi="宋体" w:eastAsia="仿宋_GB2312" w:cs="仿宋_GB2312"/>
          <w:b w:val="0"/>
          <w:bCs/>
          <w:color w:val="000000"/>
          <w:sz w:val="32"/>
          <w:szCs w:val="32"/>
        </w:rPr>
        <w:t xml:space="preserve">  经营者不得利用虚假的、欺骗性的或者其他使人误解的价格手段欺骗、诱导消费者或者其他经营者与其进行交易。</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第十一条</w:t>
      </w:r>
      <w:r>
        <w:rPr>
          <w:rFonts w:hint="eastAsia" w:ascii="宋体" w:hAnsi="宋体" w:eastAsia="仿宋_GB2312" w:cs="仿宋_GB2312"/>
          <w:b w:val="0"/>
          <w:bCs/>
          <w:color w:val="000000"/>
          <w:sz w:val="32"/>
          <w:szCs w:val="32"/>
        </w:rPr>
        <w:t xml:space="preserve">  经营者收购、销售商品或者提供服务，不得有下列变相提高价格或者压低价格的行为：</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抬高等级销售商品或者收取费用；</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降低服务标准，减少服务内容；</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以假充真，以次充好；</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偷工减料，短尺少秤；</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（五）</w:t>
      </w:r>
      <w:r>
        <w:rPr>
          <w:rFonts w:hint="eastAsia" w:ascii="宋体" w:hAnsi="宋体" w:eastAsia="仿宋_GB2312" w:cs="仿宋_GB2312"/>
          <w:b w:val="0"/>
          <w:bCs/>
          <w:color w:val="000000"/>
          <w:sz w:val="32"/>
          <w:szCs w:val="32"/>
        </w:rPr>
        <w:t>压低等级收购商品。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第十二条</w:t>
      </w:r>
      <w:r>
        <w:rPr>
          <w:rFonts w:hint="eastAsia" w:ascii="宋体" w:hAnsi="宋体" w:eastAsia="仿宋_GB2312" w:cs="仿宋_GB2312"/>
          <w:b w:val="0"/>
          <w:bCs/>
          <w:color w:val="000000"/>
          <w:sz w:val="32"/>
          <w:szCs w:val="32"/>
        </w:rPr>
        <w:t xml:space="preserve">  行业组织应当配合政府价格主管部门依法开展行业价格管理、协调工作。</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行业组织向政府价格主管部门或者其他有定价权的管理部门提出本行业制定、实施政府指导价、政府定价的建议；指导本行业经营者的自主定价行为；协调本行业的价格争议；引导、鼓励本行业的非会员单位参与行业的价格自律。</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第十三条</w:t>
      </w:r>
      <w:r>
        <w:rPr>
          <w:rFonts w:hint="eastAsia" w:ascii="宋体" w:hAnsi="宋体" w:eastAsia="仿宋_GB2312" w:cs="仿宋_GB2312"/>
          <w:b w:val="0"/>
          <w:bCs/>
          <w:color w:val="000000"/>
          <w:sz w:val="32"/>
          <w:szCs w:val="32"/>
        </w:rPr>
        <w:t xml:space="preserve">  行业组织不得利用其优势地位和条件，从事下列价格违法行为，损害消费者、经营者的合法价格权益和社会公共利益：</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组织本行业的经营者相互串通，操纵市场价格；</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捏造、散布涨价信息以及利用其他手段哄抬价格，推动商品价格过高上涨。</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第三章  政府的定价行为</w:t>
      </w:r>
    </w:p>
    <w:p>
      <w:pPr>
        <w:widowControl w:val="0"/>
        <w:wordWrap/>
        <w:overflowPunct w:val="0"/>
        <w:spacing w:beforeAutospacing="0" w:afterAutospacing="0" w:line="560" w:lineRule="exact"/>
        <w:jc w:val="center"/>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第十四条</w:t>
      </w:r>
      <w:r>
        <w:rPr>
          <w:rFonts w:hint="eastAsia" w:ascii="宋体" w:hAnsi="宋体" w:eastAsia="仿宋_GB2312" w:cs="仿宋_GB2312"/>
          <w:b w:val="0"/>
          <w:bCs/>
          <w:color w:val="000000"/>
          <w:sz w:val="32"/>
          <w:szCs w:val="32"/>
        </w:rPr>
        <w:t xml:space="preserve">  下列商品价格和服务价格，政府在必要时可以实行政府指导价或者政府定价：</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与国民经济、社会发展和人民生活关系重大的极少数商品价格；</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资源稀缺的少数商品价格；</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自然垄断经营及其他带有保护、垄断性质的商品和服务价格；</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重要的公用事业价格和公益性服务价格。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第十五条</w:t>
      </w:r>
      <w:r>
        <w:rPr>
          <w:rFonts w:hint="eastAsia" w:ascii="宋体" w:hAnsi="宋体" w:eastAsia="仿宋_GB2312" w:cs="仿宋_GB2312"/>
          <w:b w:val="0"/>
          <w:bCs/>
          <w:color w:val="000000"/>
          <w:sz w:val="32"/>
          <w:szCs w:val="32"/>
        </w:rPr>
        <w:t xml:space="preserve">  政府指导价、政府定价的定价权限和具体适用范围，以中央定价目录和地方定价目录为依据。</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省人民政府价格主管部门应当按照中央定价目录规定的定价权限和具体适用范围，制定、调整地方定价目录，经省人民政府审核同意，报国务院价格主管部门审定后公布实施。</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尚未列入地方定价目录，但有下列情形之一的，应当实行政府指导价或者政府定价，并及时列入地方定价目录：</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法律、行政法规规定实行政府指导价或者政府定价的；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新列入中央定价目录的；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国务院或者国务院价格主管部门规定实行政府指导价或者政府定价的。</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第十六条</w:t>
      </w:r>
      <w:r>
        <w:rPr>
          <w:rFonts w:hint="eastAsia" w:ascii="宋体" w:hAnsi="宋体" w:eastAsia="仿宋_GB2312" w:cs="仿宋_GB2312"/>
          <w:b w:val="0"/>
          <w:bCs/>
          <w:color w:val="000000"/>
          <w:sz w:val="32"/>
          <w:szCs w:val="32"/>
        </w:rPr>
        <w:t xml:space="preserve">  制定、调整政府指导价、政府定价，应当依据有关商品或者服务的社会平均成本、市场供求状况、国民经济与社会发展要求以及社会承受能力，并有利于节约资源、保护环境、促进技术创新。</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对关系群众切身利益的公用事业、公益性服务、自然垄断经营的商品或者服务价格，制定、调整政府指导价、政府定价时还应当严格控制其利润率水平。</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第十七条</w:t>
      </w:r>
      <w:r>
        <w:rPr>
          <w:rFonts w:hint="eastAsia" w:ascii="宋体" w:hAnsi="宋体" w:eastAsia="仿宋_GB2312" w:cs="仿宋_GB2312"/>
          <w:b w:val="0"/>
          <w:bCs/>
          <w:color w:val="000000"/>
          <w:sz w:val="32"/>
          <w:szCs w:val="32"/>
        </w:rPr>
        <w:t xml:space="preserve">  制定、调整政府指导价、政府定价，应当充分考虑低收入群体的利益，可以采取实施价格优惠等形式予以扶助。</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第十八条</w:t>
      </w:r>
      <w:r>
        <w:rPr>
          <w:rFonts w:hint="eastAsia" w:ascii="宋体" w:hAnsi="宋体" w:eastAsia="仿宋_GB2312" w:cs="仿宋_GB2312"/>
          <w:b w:val="0"/>
          <w:bCs/>
          <w:color w:val="000000"/>
          <w:sz w:val="32"/>
          <w:szCs w:val="32"/>
        </w:rPr>
        <w:t xml:space="preserve">  制定、调整政府指导价、政府定价时，政府价格主管部门应当进行价格、成本调查，听取社会意见。制定、调整价格的决定应当向社会公告。</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第十九条</w:t>
      </w:r>
      <w:r>
        <w:rPr>
          <w:rFonts w:hint="eastAsia" w:ascii="宋体" w:hAnsi="宋体" w:eastAsia="仿宋_GB2312" w:cs="仿宋_GB2312"/>
          <w:b w:val="0"/>
          <w:bCs/>
          <w:color w:val="000000"/>
          <w:sz w:val="32"/>
          <w:szCs w:val="32"/>
        </w:rPr>
        <w:t xml:space="preserve">  对依法纳入成本监审目录管理的商品价格和服务价格，政府价格主管部门应当进行定价成本监审，实行制定价格前监审和定期监审。</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第二十条</w:t>
      </w:r>
      <w:r>
        <w:rPr>
          <w:rFonts w:hint="eastAsia" w:ascii="宋体" w:hAnsi="宋体" w:eastAsia="仿宋_GB2312" w:cs="仿宋_GB2312"/>
          <w:b w:val="0"/>
          <w:bCs/>
          <w:color w:val="000000"/>
          <w:sz w:val="32"/>
          <w:szCs w:val="32"/>
        </w:rPr>
        <w:t xml:space="preserve">  接受定价成本监审的经营者应当按照规定提供有关商品或者服务的成本资料，并对成本资料的合法性、真实性负责。</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经营者无正当理由拒绝、迟延提供成本资料，或者提供虚假成本资料的，县级以上人民政府价格主管部门应当责令其改正。对逾期不改正的，不予成本监审或者中止当次成本监审，并不予制定、调整价格；确需调低价格的，可予以同地区或者相类似地区同行业的较低成本为依据调整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第二十一条</w:t>
      </w:r>
      <w:r>
        <w:rPr>
          <w:rFonts w:hint="eastAsia" w:ascii="宋体" w:hAnsi="宋体" w:eastAsia="仿宋_GB2312" w:cs="仿宋_GB2312"/>
          <w:b w:val="0"/>
          <w:bCs/>
          <w:color w:val="000000"/>
          <w:sz w:val="32"/>
          <w:szCs w:val="32"/>
        </w:rPr>
        <w:t xml:space="preserve">  对依法实行价格听证目录管理的关系群众切身利益的公用事业价格、公益性服务价格和自然垄断经营的商品价格和服务价格，政府价格主管部门应当进行价格听证。 </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 xml:space="preserve">第二十二条 </w:t>
      </w:r>
      <w:r>
        <w:rPr>
          <w:rFonts w:hint="eastAsia" w:ascii="宋体" w:hAnsi="宋体" w:eastAsia="仿宋_GB2312" w:cs="仿宋_GB2312"/>
          <w:b w:val="0"/>
          <w:bCs/>
          <w:color w:val="000000"/>
          <w:sz w:val="32"/>
          <w:szCs w:val="32"/>
        </w:rPr>
        <w:t xml:space="preserve"> 价格听证采取听证会形式，由政府价格主管部门组织，就制定、调整价格的必要性、可行性、合理性进行论证。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听证代表应当具有广泛性、代表性，由消费者、经营者、国家机关和社会团体等代表以及相关的经济、技术、法律等方面的专家、学者组成。消费者代表的比例不得少于三分之一，其中应当有低收入群体的代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听证会应当公开进行。政府价格主管部门应当向社会公开听证方案、定价成本监审结论及其依据、听证代表名单以及听证结果。</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第二十三条</w:t>
      </w:r>
      <w:r>
        <w:rPr>
          <w:rFonts w:hint="eastAsia" w:ascii="宋体" w:hAnsi="宋体" w:eastAsia="仿宋_GB2312" w:cs="仿宋_GB2312"/>
          <w:b w:val="0"/>
          <w:bCs/>
          <w:color w:val="000000"/>
          <w:sz w:val="32"/>
          <w:szCs w:val="32"/>
        </w:rPr>
        <w:t xml:space="preserve">  </w:t>
      </w:r>
      <w:r>
        <w:rPr>
          <w:rFonts w:hint="eastAsia" w:ascii="宋体" w:hAnsi="宋体" w:eastAsia="仿宋_GB2312" w:cs="仿宋_GB2312"/>
          <w:b w:val="0"/>
          <w:bCs/>
          <w:iCs/>
          <w:color w:val="000000"/>
          <w:sz w:val="32"/>
          <w:szCs w:val="32"/>
        </w:rPr>
        <w:t>价格决策部门应当</w:t>
      </w:r>
      <w:r>
        <w:rPr>
          <w:rFonts w:hint="eastAsia" w:ascii="宋体" w:hAnsi="宋体" w:eastAsia="仿宋_GB2312" w:cs="仿宋_GB2312"/>
          <w:b w:val="0"/>
          <w:bCs/>
          <w:color w:val="000000"/>
          <w:sz w:val="32"/>
          <w:szCs w:val="32"/>
        </w:rPr>
        <w:t>对听证会的意见进行分析，并作为价格决策的依据之一。</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听证会代表多数不同意定价方案或者对定价方案有较大分歧时，价格决策部门应当协调申请人调整方案，必要时由政府价格主管部门再次组织听证。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需要提请本级人民政府或者上级价格决策部门批准的最终定价方案，凡经听证会论证的，上报时应当同时提交听证纪要、听证会笔录和有关材料。 </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第二十四条</w:t>
      </w:r>
      <w:r>
        <w:rPr>
          <w:rFonts w:hint="eastAsia" w:ascii="宋体" w:hAnsi="宋体" w:eastAsia="仿宋_GB2312" w:cs="仿宋_GB2312"/>
          <w:b w:val="0"/>
          <w:bCs/>
          <w:color w:val="000000"/>
          <w:sz w:val="32"/>
          <w:szCs w:val="32"/>
        </w:rPr>
        <w:t xml:space="preserve">  省人民政府价格主管部门和其他有定价权的主管部门以及经省人民政府授权的市、县人民政府应当对制定、调整的政府指导价、政府定价进行跟踪调查和评估，根据本办法第十六条所列定价依据和社会各方面反映，按照规定的定价权限和程序适时调整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第二十五条</w:t>
      </w:r>
      <w:r>
        <w:rPr>
          <w:rFonts w:hint="eastAsia" w:ascii="宋体" w:hAnsi="宋体" w:eastAsia="仿宋_GB2312" w:cs="仿宋_GB2312"/>
          <w:b w:val="0"/>
          <w:bCs/>
          <w:color w:val="000000"/>
          <w:sz w:val="32"/>
          <w:szCs w:val="32"/>
        </w:rPr>
        <w:t xml:space="preserve">  实行政府指导价、政府定价的商品或者服务，在一定时期内质量明显下降或者功能部分缺失的，政府价格主管部门和其他有定价权的管理部门应当及时采取临时降低价格措施，保证价格与质量相符。</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第二十六条</w:t>
      </w:r>
      <w:r>
        <w:rPr>
          <w:rFonts w:hint="eastAsia" w:ascii="宋体" w:hAnsi="宋体" w:eastAsia="仿宋_GB2312" w:cs="仿宋_GB2312"/>
          <w:b w:val="0"/>
          <w:bCs/>
          <w:color w:val="000000"/>
          <w:sz w:val="32"/>
          <w:szCs w:val="32"/>
        </w:rPr>
        <w:t xml:space="preserve">  对实行政府指导价、政府定价的服务项目，政府价格主管部门应当免费向经营者发放收费证明。收费证明包括收费项目、收费标准、收费批准依据、服务内容、服务质量标准等内容。</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经营者应当向政府价格主管部门领取收费证明，并将收费证明在经营场所或者缴费地点的显著位置公示，接受社会监督。</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第四章  价格调控</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第二十七条</w:t>
      </w:r>
      <w:r>
        <w:rPr>
          <w:rFonts w:hint="eastAsia" w:ascii="宋体" w:hAnsi="宋体" w:eastAsia="仿宋_GB2312" w:cs="仿宋_GB2312"/>
          <w:b w:val="0"/>
          <w:bCs/>
          <w:color w:val="000000"/>
          <w:sz w:val="32"/>
          <w:szCs w:val="32"/>
        </w:rPr>
        <w:t xml:space="preserve">  省人民政府应当根据本省经济社会发展需要和社会承受能力，确定市场价格总水平调控目标，综合运用价格、财政、投资等政策和措施予以实现。</w:t>
      </w:r>
    </w:p>
    <w:p>
      <w:pPr>
        <w:widowControl w:val="0"/>
        <w:wordWrap/>
        <w:overflowPunct w:val="0"/>
        <w:spacing w:beforeAutospacing="0" w:afterAutospacing="0" w:line="560" w:lineRule="exact"/>
        <w:ind w:firstLine="800" w:firstLineChars="25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县级以上人民政府应当积极采取措施稳定市场价格总水平和关系国计民生的重要商品价格或者服务价格，对价格监测反映的重大问题及时研究、分析，制定调控措施。</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第二十八条</w:t>
      </w:r>
      <w:r>
        <w:rPr>
          <w:rFonts w:hint="eastAsia" w:ascii="宋体" w:hAnsi="宋体" w:eastAsia="仿宋_GB2312" w:cs="仿宋_GB2312"/>
          <w:b w:val="0"/>
          <w:bCs/>
          <w:color w:val="000000"/>
          <w:sz w:val="32"/>
          <w:szCs w:val="32"/>
        </w:rPr>
        <w:t xml:space="preserve">  县级以上人民政府应当建立、健全稳定价格应急机制，严格执行稳定价格应急预案。稳定价格应急预案由省人民政府价格主管部门会同有关主管部门制定，报省人民政府批准实施。</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第二十九条</w:t>
      </w:r>
      <w:r>
        <w:rPr>
          <w:rFonts w:hint="eastAsia" w:ascii="宋体" w:hAnsi="宋体" w:eastAsia="仿宋_GB2312" w:cs="仿宋_GB2312"/>
          <w:b w:val="0"/>
          <w:bCs/>
          <w:color w:val="000000"/>
          <w:sz w:val="32"/>
          <w:szCs w:val="32"/>
        </w:rPr>
        <w:t xml:space="preserve">  当重要商品或者服务价格显著上涨或者有可能显著上涨，需要采取限定差价率或者利润率、规定限价、实行提价申报制度和调价备案制度等价格干预措施的，县级以上人民政府应当逐级上报省人民政府决定。紧急情况下，可直接上报省人民政府决定。省人民政府采取上述干预措施的，应当报国务院备案。</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第三十条</w:t>
      </w:r>
      <w:r>
        <w:rPr>
          <w:rFonts w:hint="eastAsia" w:ascii="宋体" w:hAnsi="宋体" w:eastAsia="仿宋_GB2312" w:cs="仿宋_GB2312"/>
          <w:b w:val="0"/>
          <w:bCs/>
          <w:color w:val="000000"/>
          <w:sz w:val="32"/>
          <w:szCs w:val="32"/>
        </w:rPr>
        <w:t xml:space="preserve">  当市场价格总水平出现剧烈波动等异常状态，需要在全省范围内或者部分区域内采取临时集中定价权限、部分或者全面冻结价格的紧急措施的，由省人民政府报国务院批准后实施。</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第三十一条</w:t>
      </w:r>
      <w:r>
        <w:rPr>
          <w:rFonts w:hint="eastAsia" w:ascii="宋体" w:hAnsi="宋体" w:eastAsia="仿宋_GB2312" w:cs="仿宋_GB2312"/>
          <w:b w:val="0"/>
          <w:bCs/>
          <w:color w:val="000000"/>
          <w:sz w:val="32"/>
          <w:szCs w:val="32"/>
        </w:rPr>
        <w:t xml:space="preserve">  县级以上人民政府价格主管部门应当依法做好商品价格和服务价格的跟踪、采集、分析、预测、预警等工作，定期向社会公布重要商品价格和服务价格变动情况。</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第三十二条</w:t>
      </w:r>
      <w:r>
        <w:rPr>
          <w:rFonts w:hint="eastAsia" w:ascii="宋体" w:hAnsi="宋体" w:eastAsia="仿宋_GB2312" w:cs="仿宋_GB2312"/>
          <w:b w:val="0"/>
          <w:bCs/>
          <w:color w:val="000000"/>
          <w:sz w:val="32"/>
          <w:szCs w:val="32"/>
        </w:rPr>
        <w:t xml:space="preserve">  省人民政府价格主管部门应当根据国家规定，制定本省价格监测目录和价格监测报告制度。</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第三十三条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县级以上人民政府价格主管部门应当根据价格监测报告制度，选定价格监测定点单位；根据临时监测或者应急监测需要，确定临时监测单位。</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价格监测定点单位和临时监测单位应当按照价格监测报告制度的规定报送价格监测资料，不得拒绝提供或者迟延提供，不得伪造、篡改、虚报、瞒报价格监测资料。</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第三十四条</w:t>
      </w:r>
      <w:r>
        <w:rPr>
          <w:rFonts w:hint="eastAsia" w:ascii="宋体" w:hAnsi="宋体" w:eastAsia="仿宋_GB2312" w:cs="仿宋_GB2312"/>
          <w:b w:val="0"/>
          <w:bCs/>
          <w:color w:val="000000"/>
          <w:sz w:val="32"/>
          <w:szCs w:val="32"/>
        </w:rPr>
        <w:t xml:space="preserve">  县级以上人民政府可以依法设立价格调节基金，调控价格，稳定市场。</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价格调节基金适用于以下情形：</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对因执行政府依法采取的价格干预措施、紧急措施而受到经济损失的经营者给予适当价格补偿；</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为平抑基本生活必需品价格的异常波动而给予经营者适当价格补贴、贷款贴息等价格扶持；</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对因基本生活必需品价格大幅度上涨而影响基本生活的低收入群体给予临时价格补贴；</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经省、地级以上市人民政府批准的其他用途。</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价格调节基金征收、使用、管理的具体办法，由省人民政府自本办法实施之日起一年内制定。</w:t>
      </w:r>
    </w:p>
    <w:p>
      <w:pPr>
        <w:widowControl w:val="0"/>
        <w:wordWrap/>
        <w:overflowPunct w:val="0"/>
        <w:spacing w:beforeAutospacing="0" w:afterAutospacing="0" w:line="560" w:lineRule="exact"/>
        <w:ind w:firstLine="63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第三十五条</w:t>
      </w:r>
      <w:r>
        <w:rPr>
          <w:rFonts w:hint="eastAsia" w:ascii="宋体" w:hAnsi="宋体" w:eastAsia="仿宋_GB2312" w:cs="仿宋_GB2312"/>
          <w:b w:val="0"/>
          <w:bCs/>
          <w:color w:val="000000"/>
          <w:sz w:val="32"/>
          <w:szCs w:val="32"/>
        </w:rPr>
        <w:t xml:space="preserve">  县级以上人民政府可以建立重要商品储备制度，保障重要商品的供应，调控价格，稳定市场。</w:t>
      </w:r>
    </w:p>
    <w:p>
      <w:pPr>
        <w:widowControl w:val="0"/>
        <w:wordWrap/>
        <w:overflowPunct w:val="0"/>
        <w:spacing w:beforeAutospacing="0" w:afterAutospacing="0" w:line="560" w:lineRule="exact"/>
        <w:ind w:firstLine="63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重要商品储备的具体品种和数量，按照国家和省的有关规定确定。</w:t>
      </w:r>
    </w:p>
    <w:p>
      <w:pPr>
        <w:widowControl w:val="0"/>
        <w:wordWrap/>
        <w:overflowPunct w:val="0"/>
        <w:spacing w:beforeAutospacing="0" w:afterAutospacing="0" w:line="560" w:lineRule="exact"/>
        <w:ind w:firstLine="63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需要动用重要商品储备的，由县级以上人民政府有关部门提出储备商品动用安排方案并按照国家和省的有关规定确定。</w:t>
      </w:r>
    </w:p>
    <w:p>
      <w:pPr>
        <w:widowControl w:val="0"/>
        <w:wordWrap/>
        <w:overflowPunct w:val="0"/>
        <w:spacing w:beforeAutospacing="0" w:afterAutospacing="0" w:line="560" w:lineRule="exact"/>
        <w:ind w:firstLine="630"/>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第五章  价格服务</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 xml:space="preserve">第三十六条 </w:t>
      </w:r>
      <w:r>
        <w:rPr>
          <w:rFonts w:hint="eastAsia" w:ascii="宋体" w:hAnsi="宋体" w:eastAsia="仿宋_GB2312" w:cs="仿宋_GB2312"/>
          <w:b w:val="0"/>
          <w:bCs/>
          <w:color w:val="000000"/>
          <w:sz w:val="32"/>
          <w:szCs w:val="32"/>
        </w:rPr>
        <w:t xml:space="preserve"> 县级以上人民政府价格主管部门应当建立、健全价格服务制度，提供优质、便捷、高效的价格服务。</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县级以上人民政府价格主管部门应当逐步建立经营者价格诚信档案，免费向社会公众提供经营者诚信资料查询，引导经营者诚信自律。</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县级以上人民政府价格主管部门应当建立、健全重大价格政策新闻发布制度，及时向社会公众通报价格政策的重大调整。</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第三十七条</w:t>
      </w:r>
      <w:r>
        <w:rPr>
          <w:rFonts w:hint="eastAsia" w:ascii="宋体" w:hAnsi="宋体" w:eastAsia="仿宋_GB2312" w:cs="仿宋_GB2312"/>
          <w:b w:val="0"/>
          <w:bCs/>
          <w:color w:val="000000"/>
          <w:sz w:val="32"/>
          <w:szCs w:val="32"/>
        </w:rPr>
        <w:t xml:space="preserve">  县级以上人民政府价格主管部门应当逐步建立价格信息化系统，及时公布定价目录、听证目录、成本监审目录等重要价格管理依据，并公示政府指导价、政府定价的项目、标准、依据等，发布本地区重要商品和服务的价格信息，引导生产、流通和消费，向社会提供价格政策咨询。</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第三十八条</w:t>
      </w:r>
      <w:r>
        <w:rPr>
          <w:rFonts w:hint="eastAsia" w:ascii="宋体" w:hAnsi="宋体" w:eastAsia="仿宋_GB2312" w:cs="仿宋_GB2312"/>
          <w:b w:val="0"/>
          <w:bCs/>
          <w:color w:val="000000"/>
          <w:sz w:val="32"/>
          <w:szCs w:val="32"/>
        </w:rPr>
        <w:t xml:space="preserve">  县级以上人民政府价格主管部门负有对本地区的价格争议进行协调处理的责任，发挥在处理消费者、经营者、行业组织之间发生价格争议时的调解作用。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第三十九条</w:t>
      </w:r>
      <w:r>
        <w:rPr>
          <w:rFonts w:hint="eastAsia" w:ascii="宋体" w:hAnsi="宋体" w:eastAsia="仿宋_GB2312" w:cs="仿宋_GB2312"/>
          <w:b w:val="0"/>
          <w:bCs/>
          <w:color w:val="000000"/>
          <w:sz w:val="32"/>
          <w:szCs w:val="32"/>
        </w:rPr>
        <w:t xml:space="preserve">  县级以上人民政府价格主管部门的价格鉴证机构接受司法机关、行政执法机关的委托，对刑事案件、行政执法案件所涉及的价格不明或者价格难以确定的有形财产和无形财产的价格进行鉴证。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价格鉴证机构应当按照国家和省规定的计价标准、程序和方法进行涉案财产</w:t>
      </w:r>
      <w:r>
        <w:rPr>
          <w:rFonts w:hint="eastAsia" w:ascii="宋体" w:hAnsi="宋体" w:eastAsia="仿宋_GB2312" w:cs="仿宋_GB2312"/>
          <w:b w:val="0"/>
          <w:bCs/>
          <w:iCs/>
          <w:color w:val="000000"/>
          <w:sz w:val="32"/>
          <w:szCs w:val="32"/>
        </w:rPr>
        <w:t>价格鉴证</w:t>
      </w:r>
      <w:r>
        <w:rPr>
          <w:rFonts w:hint="eastAsia" w:ascii="宋体" w:hAnsi="宋体" w:eastAsia="仿宋_GB2312" w:cs="仿宋_GB2312"/>
          <w:b w:val="0"/>
          <w:bCs/>
          <w:color w:val="000000"/>
          <w:sz w:val="32"/>
          <w:szCs w:val="32"/>
        </w:rPr>
        <w:t>，除国家另有规定外，不得收取任何鉴证费用。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第四十条</w:t>
      </w:r>
      <w:r>
        <w:rPr>
          <w:rFonts w:hint="eastAsia" w:ascii="宋体" w:hAnsi="宋体" w:eastAsia="仿宋_GB2312" w:cs="仿宋_GB2312"/>
          <w:b w:val="0"/>
          <w:bCs/>
          <w:color w:val="000000"/>
          <w:sz w:val="32"/>
          <w:szCs w:val="32"/>
        </w:rPr>
        <w:t xml:space="preserve">  委托机关依法向原价格鉴证机构提出重新鉴证或者向上级人民政府价格主管部门的价格鉴证机构提出复核鉴证的，接受重新鉴证或者复核鉴证的价格鉴证机构，应当自接受委托之日起七个工作日内向委托机关提交鉴证结论。价格鉴证机构与委托机关另有约定的除外。</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第六章  价格监督检查</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第四十一条</w:t>
      </w:r>
      <w:r>
        <w:rPr>
          <w:rFonts w:hint="eastAsia" w:ascii="宋体" w:hAnsi="宋体" w:eastAsia="仿宋_GB2312" w:cs="仿宋_GB2312"/>
          <w:b w:val="0"/>
          <w:bCs/>
          <w:color w:val="000000"/>
          <w:sz w:val="32"/>
          <w:szCs w:val="32"/>
        </w:rPr>
        <w:t xml:space="preserve">  县级以上人民政府价格主管部门依法对价格活动进行监督检查，有权询问当事人或者有关人员，查询、复制与价格违法行为有关的账簿、单据、凭证、文件、计算机储存信息等资料。有关当事人应当如实反映情况，提供有关资料。任何单位和个人不得拒绝、妨碍和干扰行政执法活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第四十二条</w:t>
      </w:r>
      <w:r>
        <w:rPr>
          <w:rFonts w:hint="eastAsia" w:ascii="宋体" w:hAnsi="宋体" w:eastAsia="仿宋_GB2312" w:cs="仿宋_GB2312"/>
          <w:b w:val="0"/>
          <w:bCs/>
          <w:color w:val="000000"/>
          <w:sz w:val="32"/>
          <w:szCs w:val="32"/>
        </w:rPr>
        <w:t xml:space="preserve">  县级以上人民政府价格主管部门及其工作人员不得将依法取得的资料或者了解的情况用于价格监督管理以外的任何其他目的，不得泄露当事人的商业秘密。</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第四十三条</w:t>
      </w:r>
      <w:r>
        <w:rPr>
          <w:rFonts w:hint="eastAsia" w:ascii="宋体" w:hAnsi="宋体" w:eastAsia="仿宋_GB2312" w:cs="仿宋_GB2312"/>
          <w:b w:val="0"/>
          <w:bCs/>
          <w:color w:val="000000"/>
          <w:sz w:val="32"/>
          <w:szCs w:val="32"/>
        </w:rPr>
        <w:t xml:space="preserve">  有下列情形之一的，政府价格主管部门可以对相关经营者、行业协会，采取公告、会议、书面、约谈等方式给予提醒告诫：</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重要商品和服务价格显著上涨或者有可能显著上涨时；</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市场价格总水平出现剧烈波动等异常状态时；</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出现社会集中反映强烈的价格、收费问题时；</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节假日或者重大活动期间。</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对经提醒告诫仍未规范价格行为，并违反价格法律法规的，价格主管部门可以依法查处，从重处罚。</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第四十四条</w:t>
      </w:r>
      <w:r>
        <w:rPr>
          <w:rFonts w:hint="eastAsia" w:ascii="宋体" w:hAnsi="宋体" w:eastAsia="仿宋_GB2312" w:cs="仿宋_GB2312"/>
          <w:b w:val="0"/>
          <w:bCs/>
          <w:color w:val="000000"/>
          <w:sz w:val="32"/>
          <w:szCs w:val="32"/>
        </w:rPr>
        <w:t xml:space="preserve">  县级以上人民政府价格主管部门应当建立对价格违法行为的价格举报制度，充分发挥群众、社会组织和新闻舆论的价格监督作用。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对损害消费者、经营者合法权益和社会公共利益的价格行为，任何单位和个人均有权向县级以上人民政府价格主管部门进行检举和控告，接受举报的价格主管部门应当进行登记和回复。</w:t>
      </w:r>
    </w:p>
    <w:p>
      <w:pPr>
        <w:widowControl w:val="0"/>
        <w:wordWrap/>
        <w:overflowPunct w:val="0"/>
        <w:spacing w:beforeAutospacing="0" w:afterAutospacing="0" w:line="560" w:lineRule="exact"/>
        <w:textAlignment w:val="auto"/>
        <w:rPr>
          <w:rFonts w:hint="eastAsia" w:ascii="宋体" w:hAnsi="宋体" w:eastAsia="宋体" w:cs="宋体"/>
          <w:b w:val="0"/>
          <w:bCs/>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第七章  法律责任</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17" w:firstLineChars="193"/>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第四十五条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经营者违反本办法第六条规定的，由县级以上人民政府价格主管部门责令改正，没收违法所得，可以并处五千元以下的罚款。</w:t>
      </w:r>
    </w:p>
    <w:p>
      <w:pPr>
        <w:widowControl w:val="0"/>
        <w:wordWrap/>
        <w:overflowPunct w:val="0"/>
        <w:spacing w:beforeAutospacing="0" w:afterAutospacing="0" w:line="560" w:lineRule="exact"/>
        <w:ind w:firstLine="617" w:firstLineChars="193"/>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第四十六条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经营者违反本办法第七条、第八条、第九条、第十条、第十一条规定的，由县级以上人民政府价格主管部门责令改正，没收违法所得，可以并处违法所得五倍以下的罚款；没有违法所得的，按照下列规定处以罚款；情节严重的，责令停业整顿，或者由工商行政管理机关吊销营业执照：</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违反本办法第七条、第八条规定的，处十万元以上一百万元以下的罚款；</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 xml:space="preserve">违反本办法第九条、第十条规定的，处五万元以上五十万元以下的罚款； </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违反本办法第十一条规定的，处二万元以上二十万元以下的罚款。</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 xml:space="preserve">第四十七条 </w:t>
      </w:r>
      <w:r>
        <w:rPr>
          <w:rFonts w:hint="eastAsia" w:ascii="宋体" w:hAnsi="宋体" w:eastAsia="仿宋_GB2312" w:cs="仿宋_GB2312"/>
          <w:b w:val="0"/>
          <w:bCs/>
          <w:color w:val="000000"/>
          <w:sz w:val="32"/>
          <w:szCs w:val="32"/>
        </w:rPr>
        <w:t xml:space="preserve"> 经营者违反本办法第二十条、第三十三条第二款规定，有下列行为之一的，由县级以上人民政府价格主管部门按照下列规定予以处罚：</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拒绝提供或者迟延提供有关资料的，责令其限期改正，给予警告，逾期不改正的，可以根据情节轻重，处二千元以上一万元以下罚款；</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伪造、篡改、虚报、瞒报有关资料的，处一万元以上五万元以下罚款。</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第四十八条</w:t>
      </w:r>
      <w:r>
        <w:rPr>
          <w:rFonts w:hint="eastAsia" w:ascii="宋体" w:hAnsi="宋体" w:eastAsia="仿宋_GB2312" w:cs="仿宋_GB2312"/>
          <w:b w:val="0"/>
          <w:bCs/>
          <w:color w:val="000000"/>
          <w:sz w:val="32"/>
          <w:szCs w:val="32"/>
        </w:rPr>
        <w:t xml:space="preserve">  行业组织违反本办法第十三条规定的，县级以上人民政府价格主管部门可以处十万元以上五十万元以下的罚款，情节严重的，社会团体登记管理机关可以依法撤销登记。</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第四十九条</w:t>
      </w:r>
      <w:r>
        <w:rPr>
          <w:rFonts w:hint="eastAsia" w:ascii="宋体" w:hAnsi="宋体" w:eastAsia="仿宋_GB2312" w:cs="仿宋_GB2312"/>
          <w:b w:val="0"/>
          <w:bCs/>
          <w:color w:val="000000"/>
          <w:sz w:val="32"/>
          <w:szCs w:val="32"/>
        </w:rPr>
        <w:t xml:space="preserve">  各级政府及其主管部门有下列行为之一的，由上级机关责令改正，并可以通报批评；对直接负责的主管人员和其他直接责任人员依法给予处分；构成犯罪的，依法追究刑事责任：</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超越定价权限和范围擅自制定、调整价格的；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违反定价程序制定、调整价格的；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不执行法定的价格干预措施、紧急措施的；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不按规定进行价格监测的；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（五）</w:t>
      </w:r>
      <w:r>
        <w:rPr>
          <w:rFonts w:hint="eastAsia" w:ascii="宋体" w:hAnsi="宋体" w:eastAsia="仿宋_GB2312" w:cs="仿宋_GB2312"/>
          <w:b w:val="0"/>
          <w:bCs/>
          <w:color w:val="000000"/>
          <w:sz w:val="32"/>
          <w:szCs w:val="32"/>
        </w:rPr>
        <w:t>泄露国家秘密和当事人的商业秘密的；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（六）</w:t>
      </w:r>
      <w:r>
        <w:rPr>
          <w:rFonts w:hint="eastAsia" w:ascii="宋体" w:hAnsi="宋体" w:eastAsia="仿宋_GB2312" w:cs="仿宋_GB2312"/>
          <w:b w:val="0"/>
          <w:bCs/>
          <w:color w:val="000000"/>
          <w:sz w:val="32"/>
          <w:szCs w:val="32"/>
        </w:rPr>
        <w:t>其他不依法履行监督管理职责的。</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第八章  附则</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第五十条</w:t>
      </w:r>
      <w:r>
        <w:rPr>
          <w:rFonts w:hint="eastAsia" w:ascii="宋体" w:hAnsi="宋体" w:eastAsia="仿宋_GB2312" w:cs="仿宋_GB2312"/>
          <w:b w:val="0"/>
          <w:bCs/>
          <w:color w:val="000000"/>
          <w:sz w:val="32"/>
          <w:szCs w:val="32"/>
        </w:rPr>
        <w:t xml:space="preserve">  本办法所称政府指导价，是指政府价格主管部门或者其他有关主管部门按照定价权限和范围，规定基准价、浮动幅度(含最高限价、最低限价，以及差价率、利润率），依法指导经营者制定的价格。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本办法所称政府定价，是指政府价格主管部门或者其他有关主管部门按照定价权限和范围，依法制定的价格。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本办法所称定价成本监审，是指制定政府指导价、政府定价过程中，政府价格主管部门在调查、核算、审核经营者成本基础上，核定定价成本的行为。</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第五十一条</w:t>
      </w:r>
      <w:r>
        <w:rPr>
          <w:rFonts w:hint="eastAsia" w:ascii="宋体" w:hAnsi="宋体" w:eastAsia="仿宋_GB2312" w:cs="仿宋_GB2312"/>
          <w:b w:val="0"/>
          <w:bCs/>
          <w:color w:val="000000"/>
          <w:sz w:val="32"/>
          <w:szCs w:val="32"/>
        </w:rPr>
        <w:t xml:space="preserve">  行政事业性收费适用其他有关法律、法规和《广东省行政事业性收费管理条例》。</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第五十二条</w:t>
      </w:r>
      <w:r>
        <w:rPr>
          <w:rFonts w:hint="eastAsia" w:ascii="宋体" w:hAnsi="宋体" w:eastAsia="仿宋_GB2312" w:cs="仿宋_GB2312"/>
          <w:b w:val="0"/>
          <w:bCs/>
          <w:color w:val="000000"/>
          <w:sz w:val="32"/>
          <w:szCs w:val="32"/>
        </w:rPr>
        <w:t xml:space="preserve">  本办法自2008年7月1日起施行。</w:t>
      </w:r>
    </w:p>
    <w:p>
      <w:pPr>
        <w:pStyle w:val="35"/>
        <w:widowControl w:val="0"/>
        <w:wordWrap/>
        <w:overflowPunct w:val="0"/>
        <w:adjustRightInd w:val="0"/>
        <w:snapToGrid w:val="0"/>
        <w:spacing w:beforeAutospacing="0" w:afterAutospacing="0" w:line="560" w:lineRule="exact"/>
        <w:ind w:left="0" w:leftChars="0" w:firstLine="707" w:firstLineChars="221"/>
        <w:textAlignment w:val="auto"/>
        <w:rPr>
          <w:rFonts w:hint="eastAsia" w:ascii="宋体" w:hAnsi="宋体" w:eastAsia="楷体_GB2312"/>
          <w:b w:val="0"/>
          <w:bCs/>
          <w:sz w:val="32"/>
          <w:szCs w:val="32"/>
        </w:rPr>
      </w:pPr>
    </w:p>
    <w:p>
      <w:pPr>
        <w:pStyle w:val="35"/>
        <w:widowControl w:val="0"/>
        <w:wordWrap/>
        <w:overflowPunct w:val="0"/>
        <w:adjustRightInd w:val="0"/>
        <w:snapToGrid w:val="0"/>
        <w:spacing w:beforeAutospacing="0" w:afterAutospacing="0" w:line="560" w:lineRule="exact"/>
        <w:ind w:left="0" w:leftChars="0"/>
        <w:jc w:val="both"/>
        <w:textAlignment w:val="auto"/>
        <w:outlineLvl w:val="9"/>
        <w:rPr>
          <w:rFonts w:hint="eastAsia" w:ascii="宋体" w:hAnsi="宋体" w:eastAsia="宋体" w:cs="宋体"/>
          <w:bCs/>
          <w:color w:val="000000"/>
          <w:sz w:val="32"/>
          <w:szCs w:val="32"/>
        </w:rPr>
      </w:pPr>
    </w:p>
    <w:p>
      <w:pPr>
        <w:pStyle w:val="35"/>
        <w:widowControl w:val="0"/>
        <w:wordWrap/>
        <w:overflowPunct w:val="0"/>
        <w:adjustRightInd w:val="0"/>
        <w:snapToGrid w:val="0"/>
        <w:spacing w:beforeAutospacing="0" w:afterAutospacing="0" w:line="560" w:lineRule="exact"/>
        <w:ind w:left="0" w:leftChars="0"/>
        <w:jc w:val="center"/>
        <w:textAlignment w:val="auto"/>
        <w:outlineLvl w:val="9"/>
        <w:rPr>
          <w:rFonts w:hint="eastAsia" w:ascii="宋体" w:hAnsi="宋体" w:eastAsia="宋体" w:cs="宋体"/>
          <w:bCs/>
          <w:color w:val="000000"/>
          <w:sz w:val="32"/>
          <w:szCs w:val="32"/>
        </w:rPr>
      </w:pPr>
    </w:p>
    <w:p>
      <w:pPr>
        <w:pStyle w:val="35"/>
        <w:widowControl w:val="0"/>
        <w:wordWrap/>
        <w:overflowPunct w:val="0"/>
        <w:adjustRightInd w:val="0"/>
        <w:snapToGrid w:val="0"/>
        <w:spacing w:beforeAutospacing="0" w:afterAutospacing="0" w:line="560" w:lineRule="exact"/>
        <w:ind w:left="0" w:leftChars="0"/>
        <w:jc w:val="center"/>
        <w:textAlignment w:val="auto"/>
        <w:outlineLvl w:val="9"/>
        <w:rPr>
          <w:rFonts w:hint="eastAsia" w:ascii="宋体" w:hAnsi="宋体" w:eastAsia="宋体" w:cs="宋体"/>
          <w:bCs/>
          <w:color w:val="000000"/>
          <w:sz w:val="32"/>
          <w:szCs w:val="32"/>
        </w:rPr>
      </w:pPr>
      <w:r>
        <w:rPr>
          <w:rFonts w:hint="eastAsia" w:ascii="宋体" w:hAnsi="宋体" w:eastAsia="宋体" w:cs="宋体"/>
          <w:bCs/>
          <w:color w:val="000000"/>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8" w:name="_Toc25940"/>
      <w:r>
        <w:rPr>
          <w:rFonts w:hint="eastAsia" w:ascii="宋体" w:hAnsi="宋体" w:eastAsia="宋体" w:cs="宋体"/>
          <w:color w:val="000000"/>
          <w:sz w:val="44"/>
          <w:szCs w:val="44"/>
        </w:rPr>
        <w:t>广东省产品质量监督条例</w:t>
      </w:r>
      <w:bookmarkEnd w:id="478"/>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（1993年11月16日广东省第八届人民代表大会常务委员会第五次会议通过</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根据1997年12月1日广东省第八届人民代表大会常务委员会第三十二次会议《关于修改〈广东省产品质量监督条例〉有关条文的决定》第一次修正</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根据2010年7月23日广东省第十一届人民代表大会常务委员会第二十次会议《关于修改部分地方性法规的决定》第二次修正</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根据2014年9月25日广东省第十二届人民代表大会常务委员会第十一次会议《关于修改〈广东省商品房预售管理条例〉等二十七项地方性法规的决定》第三次修正）</w:t>
      </w:r>
    </w:p>
    <w:p>
      <w:pPr>
        <w:pStyle w:val="35"/>
        <w:widowControl w:val="0"/>
        <w:wordWrap/>
        <w:overflowPunct w:val="0"/>
        <w:adjustRightInd w:val="0"/>
        <w:snapToGrid w:val="0"/>
        <w:spacing w:beforeAutospacing="0" w:afterAutospacing="0" w:line="560" w:lineRule="exact"/>
        <w:ind w:left="0" w:leftChars="0" w:firstLine="642"/>
        <w:jc w:val="center"/>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642"/>
        <w:jc w:val="center"/>
        <w:textAlignment w:val="auto"/>
        <w:outlineLvl w:val="9"/>
        <w:rPr>
          <w:rFonts w:hint="eastAsia" w:ascii="宋体" w:hAnsi="宋体" w:eastAsia="宋体" w:cs="宋体"/>
          <w:bCs/>
          <w:sz w:val="32"/>
          <w:szCs w:val="32"/>
        </w:rPr>
      </w:pPr>
      <w:r>
        <w:rPr>
          <w:rFonts w:hint="eastAsia" w:ascii="宋体" w:hAnsi="宋体" w:eastAsia="楷体_GB2312"/>
          <w:bCs/>
          <w:sz w:val="32"/>
          <w:szCs w:val="32"/>
        </w:rPr>
        <w:t>目    录</w:t>
      </w:r>
    </w:p>
    <w:p>
      <w:pPr>
        <w:pStyle w:val="35"/>
        <w:widowControl w:val="0"/>
        <w:wordWrap/>
        <w:overflowPunct w:val="0"/>
        <w:adjustRightInd w:val="0"/>
        <w:snapToGrid w:val="0"/>
        <w:spacing w:beforeAutospacing="0" w:afterAutospacing="0" w:line="560" w:lineRule="exact"/>
        <w:ind w:left="0" w:leftChars="0" w:firstLine="642"/>
        <w:jc w:val="center"/>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第二章  责任和义务</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第三章  行政监督</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第四章  社会监督</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第五章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第六章  附则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宋体" w:cs="宋体"/>
          <w:bCs/>
          <w:sz w:val="32"/>
          <w:szCs w:val="32"/>
          <w:lang w:val="en-US" w:eastAsia="zh-CN"/>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rPr>
        <w:t>第一章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宋体" w:cs="宋体"/>
          <w:bCs/>
          <w:sz w:val="32"/>
          <w:szCs w:val="32"/>
        </w:rPr>
      </w:pP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bCs/>
          <w:kern w:val="2"/>
          <w:sz w:val="32"/>
          <w:szCs w:val="32"/>
          <w:lang w:val="en-US" w:eastAsia="zh-CN" w:bidi="ar-SA"/>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bCs/>
          <w:kern w:val="2"/>
          <w:sz w:val="32"/>
          <w:szCs w:val="32"/>
          <w:lang w:val="en-US" w:eastAsia="zh-CN" w:bidi="ar-SA"/>
        </w:rPr>
        <w:t>为了加强对产品质量的监督，明确产品质量责任，保护用户、消费者的合法权益，维护社会经济秩序，根据《中华人民共和国产品质量法》等法律、法规，结合本省实际情况，制定本条例。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在本省行政区域内从事产品生产、销售活动，必须遵守本条例。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本条例所称的产品，是指经过加工、制作并用于销售的产品。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建设工程不适用本条例规定。但用于建设工程中的建筑材料、装饰材料，以及在建筑物内使用的、能保持其原有特性和用途的产品适用本条例规定。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省人民政府技术监督管理部门负责组织、协调全省的产品质量监督工作；考核认可产品质量监督检验机构；调解、仲裁产品质量纠纷；查处重大产品质量违法案件。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市、县人民政府技术监督管理部门负责本行政区域内的产品质量监督工作；调解、仲裁产品质量纠纷；查处产品质量违法案件。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第四条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各级工商、卫生、医药、商检等行政管理部门和各行业主管部门应依照有关法律、法规的规定，在各自职责范围内相互配合，做好产品质量监督工作。</w:t>
      </w: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责任和义务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第五条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生产者生产或销售者销售的产品，其质量、标识、包装必须符合《产品质量法》及有关法律、法规规定的要求。不得生产、销售假冒伪劣商品。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第六条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生产单位的质量检验机构及其质量检验人员或受企业委托代行出厂检验的质量检验机构及其质量检验人员应当对产品质量检验负责，不得为不合格产品签发合格证。</w:t>
      </w:r>
    </w:p>
    <w:p>
      <w:pPr>
        <w:widowControl w:val="0"/>
        <w:wordWrap/>
        <w:overflowPunct w:val="0"/>
        <w:adjustRightInd/>
        <w:snapToGrid/>
        <w:spacing w:beforeAutospacing="0" w:afterAutospacing="0" w:line="560" w:lineRule="exact"/>
        <w:ind w:left="0" w:leftChars="0" w:right="0" w:firstLine="480" w:firstLineChars="15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第七条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产品的监制者应对被监制产品负责，保证产品质量符合规定的要求。</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第八条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销售单位的采购人员不得采购违反本条例第五条规定的产品，销售单位必须在进货时检查验收。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第九条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产品质量达不到规定标准，但仍有使用价值并符合安全、卫生要求的，必须在产品或其包装的明显部位标明“处理品”、“次品”或“等外品”字样，方可出厂或销售。</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失去使用价值的产品、影响人体健康和危及人身、财产安全的产品，不得销售，并应予以销毁。</w:t>
      </w:r>
    </w:p>
    <w:p>
      <w:pPr>
        <w:widowControl w:val="0"/>
        <w:wordWrap/>
        <w:overflowPunct w:val="0"/>
        <w:adjustRightInd/>
        <w:snapToGrid/>
        <w:spacing w:beforeAutospacing="0" w:afterAutospacing="0" w:line="560" w:lineRule="exact"/>
        <w:ind w:left="0" w:leftChars="0" w:right="0" w:firstLine="480" w:firstLineChars="15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销售者销售的进口产品应符合《产品质量法》的相关规定。对关系人体健康和人身、财产安全的产品，应当附有中文说明书；限期使用的产品应当用中文或阿拉伯数字注明失效日期；用进口散件组装或分装的产品应在产品或其包装上用中文注明组装或分装厂的厂名、厂址。</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cs="仿宋_GB2312"/>
          <w:b w:val="0"/>
          <w:bCs/>
          <w:sz w:val="32"/>
          <w:szCs w:val="32"/>
          <w:lang w:val="en-US" w:eastAsia="zh-CN"/>
        </w:rPr>
        <w:t xml:space="preserve">    </w:t>
      </w:r>
      <w:r>
        <w:rPr>
          <w:rFonts w:hint="eastAsia" w:ascii="宋体" w:hAnsi="宋体" w:eastAsia="黑体" w:cs="黑体"/>
          <w:b w:val="0"/>
          <w:bCs/>
          <w:sz w:val="32"/>
          <w:szCs w:val="32"/>
        </w:rPr>
        <w:t>第十一条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以代销或联营等形式销售产品者，承担与本条例规定的销售者同样的产品质量责任和义务。</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第十二条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场地或者设备的提供者不得纵容、庇护使用者生产、销售违反本条例第五条规定的产品，发现违法行为的，应当立即向主管部门或其他有关部门举报。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印制者承接印制注册商标标识、名优标志、认证标志或者含以上所列标识、标志的包装物和铭牌时，应当查验有关证明文件，并复印留存。委托人不能提供证明文件的，印制者不得承接印制。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印制者不得将印制的前款所述标识、标志、包装物和铭牌提供给非委托人。</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第十四条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广告经营者和报刊、广播电台、电视台应当按照法律、法规的有关规定，查验有关广告产品的质量证明，审查广告内容。不得代理、设计、制作、发布虚假广告。</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行政监督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第十五条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政府对产品质量的监督，实行以监督抽查为主要方式的监督检查制度，对重点产品同时实行定期监督检验制度。法律、法规对产品质量监督检查另有规定的，依照有关法律、法规的规定执行。</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第十六条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监督抽查工作由省人民政府技术监督管理部门组织、协调。县级以上人民政府技术监督管理部门可在本行政区域内组织抽查。所需经费由同级财政拨款。</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各级人民政府有关主管部门组织的抽查，其计划应报同级人民政府技术监督管理部门协调。抽查所需经费在部门自有资金中开支。</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第十七条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定期监督检验工作由各级人民政府技术监督管理部门组织实施。定期监督检验产品目录和检验周期由省人民政府技术监督管理部门会同省有关主管部门制定并予以公布。定期监督检验按国家规定收取检验费。</w:t>
      </w:r>
    </w:p>
    <w:p>
      <w:pPr>
        <w:widowControl w:val="0"/>
        <w:wordWrap/>
        <w:overflowPunct w:val="0"/>
        <w:adjustRightInd/>
        <w:snapToGrid/>
        <w:spacing w:beforeAutospacing="0" w:afterAutospacing="0" w:line="560" w:lineRule="exact"/>
        <w:ind w:left="0" w:leftChars="0" w:right="0" w:firstLine="480" w:firstLineChars="15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第十八条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法定产品质量监督检验机构承担产品质量监督检验任务，应按照技术监督管理部门的有效文件或委托书的要求对产品进行抽样检验，抽样数量应符合标准或有效文件的规定。已抽取的样品在检验前应妥善保管，保持其质量的原有状况。</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第十九条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产品质量监督检验的依据是国家标准、行业标准、地方标准或经备案的企业标准（含转化成企业标准的国外标准）、经济合同中有关质量的条款和以产品说明、实物样品等方式表明的产品质量状况。</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承担监督检验任务的检验机构应按技术监督管理部门下达的有效文件或委托书规定的期限上报检验结果。下达监督检验任务的技术监督管理部门应在接到检验结果之日起七日内将结果通知被检者。</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被检者对检验结果有异议的，可在接到检验结果通知书之日起十五日内向下达监督检验任务的技术监督管理部门或其上一级技术监督管理部门申请复验。经复验证实原检验结果有误的，应即改正并免收复验的检验费；原检验结果正确的，应予维持并由申请复验者承担复验的检验费。</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产品质量监督抽查的结果应当公布。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对经检查证明产品有质量问题的生产者、销售者，根据情节轻重，依法予以处理。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对生产产品不合格的企业，责令限期整改并实行质量跟踪制度。整改后，须由企业报实施监督检查的技术监督管理部门对首批产品进行抽样检验，经检验合格后，产品方可出厂。</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各级工商行政管理部门在商标管理和市场管理中，负有对产品质量、标识、包装进行监督，查处假冒伪劣商品的职责。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各级工商行政管理部门应依照国家有关广告管理的规定，严格审查广告内容的真实性。</w:t>
      </w:r>
    </w:p>
    <w:p>
      <w:pPr>
        <w:widowControl w:val="0"/>
        <w:wordWrap/>
        <w:overflowPunct w:val="0"/>
        <w:adjustRightInd/>
        <w:snapToGrid/>
        <w:spacing w:beforeAutospacing="0" w:afterAutospacing="0" w:line="560" w:lineRule="exact"/>
        <w:ind w:left="0" w:leftChars="0" w:right="0" w:firstLine="480" w:firstLineChars="15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行政执法人员在进行产品质量监督时，应有两人以上参加，并出示行政执法证件和佩戴执法徽章，使用国家或本省统一的执法文书、罚没收据，严格按规定的程序执法。</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第二十四条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行政执法人员在进行产品质量监督时，有权行使下列职权：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（一）查阅、复制有关的发票、账册、凭证、文件、业务函电和其他资料，用照相、录音、录像等手段取得所需的证明材料；</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（二）进入产品存放地和仓库检查产品；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（三）对有严重质量问题或有严重质量问题重大嫌疑的产品进行封存、扣押；</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（四）对违反产品标识规定等情节较轻的违法行为、罚款金额在五百元以下的，进行现场处罚。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行政执法人员对当事人正当的技术秘密和商业秘密，应当保密。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 xml:space="preserve"> 第二十五条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对实施封存或扣押的产品，应在十五日内作出鉴定结论。因办案需要延长封存或扣押期限的，应在期满前向上一级技术监督管理部门申请批准，并通知被封存或扣押产品的单位。延长期限一般不得超过三十日。因案情复杂需再延长期限的，应报省人民政府技术监督管理部门审批。</w:t>
      </w:r>
    </w:p>
    <w:p>
      <w:pPr>
        <w:widowControl w:val="0"/>
        <w:wordWrap/>
        <w:overflowPunct w:val="0"/>
        <w:adjustRightInd/>
        <w:snapToGrid/>
        <w:spacing w:beforeAutospacing="0" w:afterAutospacing="0" w:line="560" w:lineRule="exact"/>
        <w:ind w:left="0" w:leftChars="0" w:right="0" w:firstLine="320" w:firstLineChars="1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 xml:space="preserve"> 第二十六条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行政执法人员进行现场处罚时应制作现场处罚决定书和作现场笔录。现场笔录应当记载当事人的基本情况、主要违法事实、处罚内容，并由行政执法人员和当事人或见证人签名。</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firstLine="480" w:firstLineChars="15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rPr>
        <w:t>第四章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社会监督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第二十七条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用户、消费者就产品质量问题向产品的生产者、销售者查询时，生产者、销售者应在接到来信、来访之日起十五日内答复；用户、消费者因产品质量问题受到损害时，有权要求销售者或生产者按规定负责修理、更换、退货或者赔偿损失，交涉无效的，可向有关部门或用户、消费者组织申诉，或者依法向质量仲裁机构申请仲裁，也可以直接向人民法院起诉。</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第二十八条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任何单位和个人发现生产、销售假冒伪劣商品的，有权向有关部门举报。有关部门应当为举报人保密。对举报有功的单位和个人，有关部门应当予以奖励。</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第二十九条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各行业的同业组织负有对本行业产品质量进行监督的职责，督促企业依法生产、经营，保证产品质量。</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用户、消费者组织应依法对产品生产、销售进行监督，受理用户、消费者就产品质量问题的投诉，协同行政管理部门对产品质量进行监督检查。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新闻单位应利用新闻工具揭露生产、销售假冒伪劣商品的违法行为，经常性地向用户、消费者介绍产品质量知识，宣传国家和省有关产品质量监督管理的法律、法规。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firstLine="480" w:firstLineChars="150"/>
        <w:jc w:val="center"/>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第五章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法律责任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销售者在产品中掺杂、掺假，以假充真，以次充好，或者以不合格产品冒充合格产品的，责令停止生产或销售；没收违法所得，并处违法生产、销售产品货值金额百分之五十以上三倍以下的罚款，可以吊销营业执照；构成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销售者伪造产品的产地或者伪造、冒用他人的厂名、厂址、认证标志、名优标志等质量标志的，责令公开改正，没收违法所得，并处违法生产、销售产品货值金额等值以下的罚款，情节严重的，吊销营业执照。</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第三十四条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产品标识不符合《产品质量法》相关规定的，责令改正；有包装的产品不符合《产品质量法》相关规定，情节严重的，可以责令停止生产或销售，并处违法生产、销售产品货值金额百分之三十以下的罚款。</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第三十五条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生产者、销售者不按国家有关规定负责产品的修理、更换、退货和赔偿的，责令限期改正；拒不改正的，责令赔偿损失，可处违法所得一倍以上五倍以下的罚款，没有违法所得的，处以一万元以下的罚款。</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第三十六条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广告经营者和报刊、广播电台、电视台违反本条例第十四条规定的，责令停止发布广告并公开更正，没收该广告的广告费收入，处以该广告费一倍以上五倍以下的罚款，情节严重的，吊销广告经营许可证。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第三十七条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销售者擅自启封、转移、销毁或销售被封存的产品的，处以封存产品总值一倍以上五倍以下的罚款，并可对责任人处以一千元以上五千元以下的罚款；情节严重，扰乱公共秩序的，由公安机关依照《中华人民共和国治安管理处罚法》的相关规定处罚。</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第三十八条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本条例规定的吊销营业执照的行政处罚由工商行政管理部门决定，其他行政处罚由技术监督管理部门或者工</w:t>
      </w:r>
      <w:r>
        <w:rPr>
          <w:rFonts w:hint="eastAsia" w:ascii="宋体" w:hAnsi="宋体" w:eastAsia="仿宋_GB2312" w:cs="仿宋_GB2312"/>
          <w:b w:val="0"/>
          <w:bCs/>
          <w:spacing w:val="-6"/>
          <w:sz w:val="32"/>
          <w:szCs w:val="32"/>
        </w:rPr>
        <w:t>商行政管理部门按照国务院规定的职权范围决定。法律、法规对行使行政处罚权的机关另有规定的，依照有关法律、法规的规定执行。</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第三十九条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当事人对行政处罚决定不服的，可以依照《产品质量法》的相关规定申请复议或向人民法院起诉。当事人逾期不申请复议也不向人民法院起诉，又不履行处罚决定的，由作出处罚决定的机关责令其限期缴纳罚款，逾期每日按罚款数额的百分之三加处罚款，可按规定程序冻结其银行存款，并可申请人民法院强制执行。</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第四十条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产品质量监督抽样检验人员违反本条例第十八条规定的，由其所在单位给予行政处分；伪造检验数据或者伪造检验结论的，按照《产品质量法》的相关规定处理。</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第四十一条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行政执法人员违反本条例第二十三条规定的，由其所在单位给予行政处分，并可由颁证机关收回行政执法证件和执法徽章。</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行政执法人员在封存、扣押产品时滥用职权，使生产者或销售者的合法权益受到损害的，由其所在单位承担赔偿责任并对责任人给予行政处分。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第四十二条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国家工作人员有下列情况之一的，由其所在单位或者上级机关给予行政处分；构成犯罪的，依法追究刑事责任：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（一）利用职权，包庇有本条例所列违法行为的单位或者个人的；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（二）负有追查责任的国家工作人员玩忽职守、徇私舞弊，对有本条例所列违法行为的单位或者个人，不履行法律规定的追究职责的；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（三）滥用职权、假公济私，对检举、揭发本条例所列违法行为的举报人实行报复陷害的；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（四）利用职权、职务，以说情等方式干扰和妨碍行政执法人员依照本条例执行公务的。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numPr>
          <w:ilvl w:val="0"/>
          <w:numId w:val="19"/>
        </w:numPr>
        <w:wordWrap/>
        <w:overflowPunct w:val="0"/>
        <w:adjustRightInd/>
        <w:snapToGrid/>
        <w:spacing w:beforeAutospacing="0" w:afterAutospacing="0" w:line="560" w:lineRule="exact"/>
        <w:ind w:left="0" w:leftChars="0" w:right="0" w:firstLine="480" w:firstLineChars="15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附则</w:t>
      </w:r>
    </w:p>
    <w:p>
      <w:pPr>
        <w:widowControl w:val="0"/>
        <w:numPr>
          <w:ilvl w:val="0"/>
          <w:numId w:val="0"/>
        </w:numPr>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宋体" w:cs="宋体"/>
          <w:b w:val="0"/>
          <w:bCs/>
          <w:sz w:val="32"/>
          <w:szCs w:val="32"/>
        </w:rPr>
      </w:pPr>
    </w:p>
    <w:p>
      <w:pPr>
        <w:pStyle w:val="37"/>
        <w:widowControl w:val="0"/>
        <w:wordWrap/>
        <w:overflowPunct w:val="0"/>
        <w:spacing w:before="0" w:beforeAutospacing="0" w:after="0" w:afterAutospacing="0" w:line="560" w:lineRule="exact"/>
        <w:jc w:val="center"/>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cs="仿宋_GB2312"/>
          <w:b w:val="0"/>
          <w:bCs/>
          <w:sz w:val="32"/>
          <w:szCs w:val="32"/>
          <w:lang w:val="en-US" w:eastAsia="zh-CN"/>
        </w:rPr>
        <w:t xml:space="preserve"> </w:t>
      </w:r>
      <w:r>
        <w:rPr>
          <w:rFonts w:hint="eastAsia" w:ascii="宋体" w:hAnsi="宋体" w:eastAsia="黑体" w:cs="黑体"/>
          <w:b w:val="0"/>
          <w:bCs/>
          <w:sz w:val="32"/>
          <w:szCs w:val="32"/>
        </w:rPr>
        <w:t>第四十三条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本条例自颁布之日起施行。</w:t>
      </w:r>
    </w:p>
    <w:p>
      <w:pPr>
        <w:wordWrap/>
        <w:spacing w:line="560" w:lineRule="exact"/>
        <w:textAlignment w:val="auto"/>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br w:type="page"/>
      </w:r>
    </w:p>
    <w:p>
      <w:pPr>
        <w:widowControl w:val="0"/>
        <w:wordWrap/>
        <w:adjustRightInd/>
        <w:snapToGrid/>
        <w:spacing w:line="590" w:lineRule="exact"/>
        <w:ind w:left="0" w:leftChars="0" w:right="0" w:firstLine="0" w:firstLineChars="0"/>
        <w:jc w:val="center"/>
        <w:textAlignment w:val="auto"/>
        <w:outlineLvl w:val="9"/>
        <w:rPr>
          <w:rFonts w:hint="eastAsia" w:ascii="宋体" w:hAnsi="宋体" w:eastAsia="宋体" w:cs="宋体"/>
          <w:sz w:val="32"/>
          <w:szCs w:val="32"/>
        </w:rPr>
      </w:pPr>
      <w:bookmarkStart w:id="479" w:name="_Toc22448"/>
      <w:bookmarkStart w:id="480" w:name="_Toc12635"/>
    </w:p>
    <w:p>
      <w:pPr>
        <w:widowControl w:val="0"/>
        <w:wordWrap/>
        <w:adjustRightInd/>
        <w:snapToGrid/>
        <w:spacing w:line="590" w:lineRule="exact"/>
        <w:ind w:left="0" w:leftChars="0" w:right="0" w:firstLine="0" w:firstLineChars="0"/>
        <w:jc w:val="center"/>
        <w:textAlignment w:val="auto"/>
        <w:outlineLvl w:val="9"/>
        <w:rPr>
          <w:rFonts w:hint="eastAsia" w:ascii="宋体" w:hAnsi="宋体" w:eastAsia="宋体" w:cs="宋体"/>
          <w:sz w:val="32"/>
          <w:szCs w:val="32"/>
        </w:rPr>
      </w:pPr>
    </w:p>
    <w:p>
      <w:pPr>
        <w:tabs>
          <w:tab w:val="left" w:pos="7380"/>
          <w:tab w:val="left" w:pos="7560"/>
        </w:tabs>
        <w:wordWrap w:val="0"/>
        <w:spacing w:line="590" w:lineRule="exact"/>
        <w:jc w:val="center"/>
        <w:rPr>
          <w:rFonts w:hint="eastAsia" w:ascii="宋体" w:hAnsi="宋体" w:eastAsia="宋体" w:cs="宋体"/>
          <w:sz w:val="44"/>
          <w:szCs w:val="32"/>
        </w:rPr>
      </w:pPr>
      <w:r>
        <w:rPr>
          <w:rFonts w:hint="eastAsia" w:ascii="宋体" w:hAnsi="宋体" w:eastAsia="宋体" w:cs="宋体"/>
          <w:sz w:val="44"/>
          <w:szCs w:val="32"/>
        </w:rPr>
        <w:t>广东省水污染防治条例</w:t>
      </w:r>
    </w:p>
    <w:p>
      <w:pPr>
        <w:pStyle w:val="7"/>
        <w:widowControl w:val="0"/>
        <w:wordWrap/>
        <w:adjustRightInd/>
        <w:snapToGrid/>
        <w:spacing w:line="590" w:lineRule="exact"/>
        <w:ind w:left="0" w:leftChars="0" w:right="0" w:firstLine="640" w:firstLineChars="200"/>
        <w:jc w:val="left"/>
        <w:textAlignment w:val="auto"/>
        <w:outlineLvl w:val="9"/>
        <w:rPr>
          <w:rFonts w:hint="eastAsia" w:ascii="楷体_GB2312" w:hAnsi="楷体_GB2312" w:eastAsia="楷体_GB2312" w:cs="楷体_GB2312"/>
          <w:color w:val="auto"/>
        </w:rPr>
      </w:pPr>
    </w:p>
    <w:p>
      <w:pPr>
        <w:pStyle w:val="7"/>
        <w:widowControl w:val="0"/>
        <w:wordWrap/>
        <w:adjustRightInd/>
        <w:snapToGrid/>
        <w:spacing w:line="590" w:lineRule="exact"/>
        <w:ind w:left="640" w:leftChars="200" w:right="640" w:rightChars="200" w:firstLine="0" w:firstLineChars="0"/>
        <w:jc w:val="left"/>
        <w:textAlignment w:val="auto"/>
        <w:outlineLvl w:val="9"/>
        <w:rPr>
          <w:rFonts w:hint="eastAsia" w:ascii="宋体" w:hAnsi="宋体" w:eastAsia="楷体_GB2312" w:cs="楷体_GB2312"/>
          <w:color w:val="auto"/>
        </w:rPr>
      </w:pPr>
      <w:r>
        <w:rPr>
          <w:rFonts w:hint="eastAsia" w:ascii="宋体" w:hAnsi="宋体" w:eastAsia="楷体_GB2312" w:cs="楷体_GB2312"/>
          <w:color w:val="auto"/>
        </w:rPr>
        <w:t>（20</w:t>
      </w:r>
      <w:r>
        <w:rPr>
          <w:rFonts w:hint="eastAsia" w:ascii="宋体" w:hAnsi="宋体" w:eastAsia="楷体_GB2312" w:cs="楷体_GB2312"/>
          <w:color w:val="auto"/>
          <w:lang w:val="en-US" w:eastAsia="zh-CN"/>
        </w:rPr>
        <w:t>20</w:t>
      </w:r>
      <w:r>
        <w:rPr>
          <w:rFonts w:hint="eastAsia" w:ascii="宋体" w:hAnsi="宋体" w:eastAsia="楷体_GB2312" w:cs="楷体_GB2312"/>
          <w:color w:val="auto"/>
        </w:rPr>
        <w:t>年11月2</w:t>
      </w:r>
      <w:r>
        <w:rPr>
          <w:rFonts w:hint="eastAsia" w:ascii="宋体" w:hAnsi="宋体" w:eastAsia="楷体_GB2312" w:cs="楷体_GB2312"/>
          <w:color w:val="auto"/>
          <w:lang w:val="en-US" w:eastAsia="zh-CN"/>
        </w:rPr>
        <w:t>7</w:t>
      </w:r>
      <w:r>
        <w:rPr>
          <w:rFonts w:hint="eastAsia" w:ascii="宋体" w:hAnsi="宋体" w:eastAsia="楷体_GB2312" w:cs="楷体_GB2312"/>
          <w:color w:val="auto"/>
        </w:rPr>
        <w:t>日广东省第十三届人民代表大会常务委员会第</w:t>
      </w:r>
      <w:r>
        <w:rPr>
          <w:rFonts w:hint="eastAsia" w:ascii="宋体" w:hAnsi="宋体" w:eastAsia="楷体_GB2312" w:cs="楷体_GB2312"/>
          <w:color w:val="auto"/>
          <w:lang w:eastAsia="zh-CN"/>
        </w:rPr>
        <w:t>二十六</w:t>
      </w:r>
      <w:r>
        <w:rPr>
          <w:rFonts w:hint="eastAsia" w:ascii="宋体" w:hAnsi="宋体" w:eastAsia="楷体_GB2312" w:cs="楷体_GB2312"/>
          <w:color w:val="auto"/>
        </w:rPr>
        <w:t>次会议通过）</w:t>
      </w:r>
    </w:p>
    <w:p>
      <w:pPr>
        <w:pStyle w:val="7"/>
        <w:rPr>
          <w:rFonts w:hint="eastAsia"/>
        </w:rPr>
      </w:pPr>
    </w:p>
    <w:p>
      <w:pPr>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目    录</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第一章  总则</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第二章  水污染防治的规划和标准</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第三章  水污染防治的监督管理</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第四章  水污染防治措施</w:t>
      </w:r>
    </w:p>
    <w:p>
      <w:pPr>
        <w:widowControl w:val="0"/>
        <w:wordWrap/>
        <w:adjustRightInd/>
        <w:snapToGrid/>
        <w:spacing w:line="240" w:lineRule="auto"/>
        <w:ind w:left="0" w:leftChars="0" w:right="0" w:firstLine="1280" w:firstLineChars="4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第一节  工业水污染防治</w:t>
      </w:r>
    </w:p>
    <w:p>
      <w:pPr>
        <w:widowControl w:val="0"/>
        <w:wordWrap/>
        <w:adjustRightInd/>
        <w:snapToGrid/>
        <w:spacing w:line="240" w:lineRule="auto"/>
        <w:ind w:left="0" w:leftChars="0" w:right="0" w:firstLine="1280" w:firstLineChars="4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第二节  城镇水污染防治</w:t>
      </w:r>
    </w:p>
    <w:p>
      <w:pPr>
        <w:widowControl w:val="0"/>
        <w:wordWrap/>
        <w:adjustRightInd/>
        <w:snapToGrid/>
        <w:spacing w:line="240" w:lineRule="auto"/>
        <w:ind w:left="0" w:leftChars="0" w:right="0" w:firstLine="1280" w:firstLineChars="4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第三节  农业和农村水污染防治</w:t>
      </w:r>
    </w:p>
    <w:p>
      <w:pPr>
        <w:widowControl w:val="0"/>
        <w:wordWrap/>
        <w:adjustRightInd/>
        <w:snapToGrid/>
        <w:spacing w:line="240" w:lineRule="auto"/>
        <w:ind w:left="0" w:leftChars="0" w:right="0" w:firstLine="1280" w:firstLineChars="4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第四节  船舶水污染防治</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第五章  饮用水水源保护和流域特别规定</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第六章  区域水污染防治协作</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第七章  风险防范与事故应急处置</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第八章  法律责任</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第九章  附则</w:t>
      </w:r>
    </w:p>
    <w:p>
      <w:pPr>
        <w:pStyle w:val="7"/>
        <w:spacing w:line="590" w:lineRule="exact"/>
        <w:ind w:firstLine="0" w:firstLineChars="0"/>
        <w:jc w:val="center"/>
        <w:rPr>
          <w:rFonts w:hint="eastAsia" w:ascii="仿宋_GB2312" w:hAnsi="仿宋_GB2312" w:eastAsia="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第一章  总则</w:t>
      </w:r>
    </w:p>
    <w:p>
      <w:pPr>
        <w:spacing w:line="590" w:lineRule="exact"/>
        <w:rPr>
          <w:rFonts w:hint="eastAsia" w:ascii="仿宋_GB2312" w:hAnsi="仿宋_GB2312"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第一条</w:t>
      </w:r>
      <w:r>
        <w:rPr>
          <w:rFonts w:hint="eastAsia" w:ascii="仿宋_GB2312" w:hAnsi="仿宋_GB2312" w:cs="仿宋_GB2312"/>
          <w:color w:val="auto"/>
        </w:rPr>
        <w:t xml:space="preserve">  为了保护和改善环境，防治水污染，保护水生态，保障饮用水安全，维护公众健康，推进生态文明建设，促进经济社会可持续发展，根据《中华人民共和国环境保护法》《中华人民共和国水污染防治法》等法律法规，结合本省实际，制定本条例。</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第二条</w:t>
      </w:r>
      <w:r>
        <w:rPr>
          <w:rFonts w:hint="eastAsia" w:ascii="仿宋_GB2312" w:hAnsi="仿宋_GB2312" w:cs="仿宋_GB2312"/>
          <w:color w:val="auto"/>
        </w:rPr>
        <w:t xml:space="preserve">  本条例适用于本省行政区域内的江河、湖泊、运河、渠道、水库等地表水体和地下水体的污染防治。</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海洋污染防治适用《中华人民共和国海洋环境保护法》等有关法律法规规定。</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第三条</w:t>
      </w:r>
      <w:r>
        <w:rPr>
          <w:rFonts w:hint="eastAsia" w:ascii="仿宋_GB2312" w:hAnsi="仿宋_GB2312" w:cs="仿宋_GB2312"/>
          <w:color w:val="auto"/>
        </w:rPr>
        <w:t xml:space="preserve">  水污染防治应当坚持预防为主、防治结合、综合治理、公众参与、损害担责的原则，优先保护饮用水水源，严格控制工业污染、城镇生活污染，防治农业农村污染、船舶污染，积极推进生态环境治理工程建设，预防、控制和减少水环境污染和生态破坏。</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第四条</w:t>
      </w:r>
      <w:r>
        <w:rPr>
          <w:rFonts w:hint="eastAsia" w:ascii="仿宋_GB2312" w:hAnsi="仿宋_GB2312" w:cs="仿宋_GB2312"/>
          <w:color w:val="auto"/>
        </w:rPr>
        <w:t xml:space="preserve">  各级人民政府对本行政区域内的水环境质量负责。</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县级以上人民政府应当将水环境保护工作纳入国民经济和社会发展规划，加强对水污染防治的资金保障，采取有效对策和措施，保护和改善水环境质量。</w:t>
      </w:r>
    </w:p>
    <w:p>
      <w:pPr>
        <w:spacing w:line="590" w:lineRule="exact"/>
        <w:ind w:firstLine="612" w:firstLineChars="200"/>
        <w:rPr>
          <w:rFonts w:hint="eastAsia" w:ascii="仿宋_GB2312" w:hAnsi="仿宋_GB2312" w:cs="仿宋_GB2312"/>
          <w:color w:val="auto"/>
          <w:spacing w:val="-7"/>
        </w:rPr>
      </w:pPr>
      <w:r>
        <w:rPr>
          <w:rFonts w:hint="eastAsia" w:ascii="仿宋_GB2312" w:hAnsi="仿宋_GB2312" w:cs="仿宋_GB2312"/>
          <w:color w:val="auto"/>
          <w:spacing w:val="-7"/>
        </w:rPr>
        <w:t>乡镇人民政府、街道办事处应当做好本区域的水污染防治工作，基层群众性自治组织应当协助做好本区域的水污染防治工作。</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第五条</w:t>
      </w:r>
      <w:r>
        <w:rPr>
          <w:rFonts w:hint="eastAsia" w:ascii="仿宋_GB2312" w:hAnsi="仿宋_GB2312" w:cs="仿宋_GB2312"/>
          <w:color w:val="auto"/>
        </w:rPr>
        <w:t xml:space="preserve">  县级以上生态环境主管部门对本行政区域内的水污染防治工作实施统一监督管理。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发展改革、工业和信息化、财政、自然资源、住房和城乡建设、交通运输、水行政、农业农村、卫生健康、城市管理执法等主管部门以及海事管理机构，在各自职责范围内对水污染防治实施监督管理。</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第六条</w:t>
      </w:r>
      <w:r>
        <w:rPr>
          <w:rFonts w:hint="eastAsia" w:ascii="仿宋_GB2312" w:hAnsi="仿宋_GB2312" w:cs="仿宋_GB2312"/>
          <w:color w:val="auto"/>
        </w:rPr>
        <w:t xml:space="preserve">  本省建立省、市、县、镇、村五级河长湖长体系，设立总河长及各江河、湖泊的河长湖长，分级分段组织领导本行政区域内江河、湖泊的水资源保护、水安全保障、水污染防治、水环境治理、水生态修复、水域岸线管理等工作，促进水环境质量改善。</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第七条</w:t>
      </w:r>
      <w:r>
        <w:rPr>
          <w:rFonts w:hint="eastAsia" w:ascii="仿宋_GB2312" w:hAnsi="仿宋_GB2312" w:cs="仿宋_GB2312"/>
          <w:color w:val="auto"/>
        </w:rPr>
        <w:t xml:space="preserve">  县级以上人民政府应当建立完善水环境保护目标责任制和考核评价制度，将水环境保护目标完成情况和水污染防治重点工作完成情况，纳入对本级人民政府有关部门和下一级人民政府及其负责人考核评价的内容，考核结果向社会公开。</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第八条</w:t>
      </w:r>
      <w:r>
        <w:rPr>
          <w:rFonts w:hint="eastAsia" w:ascii="仿宋_GB2312" w:hAnsi="仿宋_GB2312" w:cs="仿宋_GB2312"/>
          <w:color w:val="auto"/>
        </w:rPr>
        <w:t xml:space="preserve">  排放水污染物的企业事业单位和其他生产经营者应当承担水污染防治主体责任，防止、减少水环境污染和生态破坏，对所造成的损害依法承担责任。</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第九条</w:t>
      </w:r>
      <w:r>
        <w:rPr>
          <w:rFonts w:hint="eastAsia" w:ascii="仿宋_GB2312" w:hAnsi="仿宋_GB2312" w:cs="仿宋_GB2312"/>
          <w:color w:val="auto"/>
        </w:rPr>
        <w:t xml:space="preserve">  县级以上人民政府应当支持水污染防治的科学技术和装备的研究开发与推广应用，加强饮用水安全保障、流域综合治理与生态修复、城市水环境综合治理、农业农村水污染防治、地下水污染防控、节水技术和装备等方面的科学技术研究、成果转化和推广应用，提高水污染防治的科学技术水平。</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第十条</w:t>
      </w:r>
      <w:r>
        <w:rPr>
          <w:rFonts w:hint="eastAsia" w:ascii="仿宋_GB2312" w:hAnsi="仿宋_GB2312" w:cs="仿宋_GB2312"/>
          <w:color w:val="auto"/>
        </w:rPr>
        <w:t xml:space="preserve">  县级以上生态环境主管部门和县级以上人民政府其他负有水污染防治监督管理职责的部门，应当依法公开水环境信息，完善公众参与程序，为公众参与和监督水污染防治提供便利。</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地级以上市人民政府生态环境主管部门确定的重点排污单位应当按照规定公开有关排污信息，接受社会监督。</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第十一条</w:t>
      </w:r>
      <w:r>
        <w:rPr>
          <w:rFonts w:hint="eastAsia" w:ascii="仿宋_GB2312" w:hAnsi="仿宋_GB2312" w:cs="仿宋_GB2312"/>
          <w:color w:val="auto"/>
        </w:rPr>
        <w:t xml:space="preserve">  公民、法人和其他组织都有保护水环境的义务，依法享有获取水环境信息、参与和监督水污染防治的权利，有权向生态环境主管部门或者其他负有水污染防治监督管理职责的部门举报污染损害水环境的行为。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各级人民政府及其有关部门应当加强水环境保护的宣传教育，增强公众水环境保护意识，拓展公众参与水环境保护渠道，充分听取公众对重大决策的意见，引导公众依法参与水环境保护。</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鼓励和支持基层群众性自治组织、社会组织和志愿者依法开展水环境保护宣传、监督等活动。</w:t>
      </w:r>
    </w:p>
    <w:p>
      <w:pPr>
        <w:spacing w:line="590" w:lineRule="exact"/>
        <w:ind w:firstLine="640" w:firstLineChars="200"/>
        <w:rPr>
          <w:rFonts w:hint="eastAsia" w:ascii="仿宋_GB2312" w:hAnsi="仿宋_GB2312" w:cs="仿宋_GB2312"/>
          <w:color w:val="auto"/>
          <w:szCs w:val="32"/>
        </w:rPr>
      </w:pPr>
      <w:r>
        <w:rPr>
          <w:rFonts w:hint="eastAsia" w:ascii="黑体" w:hAnsi="仿宋_GB2312" w:eastAsia="黑体" w:cs="仿宋_GB2312"/>
          <w:color w:val="auto"/>
          <w:szCs w:val="32"/>
        </w:rPr>
        <w:t>第十二条</w:t>
      </w:r>
      <w:r>
        <w:rPr>
          <w:rFonts w:hint="eastAsia" w:ascii="仿宋_GB2312" w:hAnsi="仿宋_GB2312" w:cs="仿宋_GB2312"/>
          <w:color w:val="auto"/>
          <w:szCs w:val="32"/>
        </w:rPr>
        <w:t xml:space="preserve">  支持</w:t>
      </w:r>
      <w:r>
        <w:rPr>
          <w:rFonts w:hint="eastAsia" w:ascii="仿宋_GB2312" w:hAnsi="黑体" w:cs="黑体"/>
          <w:color w:val="auto"/>
          <w:szCs w:val="32"/>
        </w:rPr>
        <w:t>符合法律规定的</w:t>
      </w:r>
      <w:r>
        <w:rPr>
          <w:rFonts w:hint="eastAsia" w:ascii="仿宋_GB2312" w:hAnsi="仿宋_GB2312" w:cs="仿宋_GB2312"/>
          <w:color w:val="auto"/>
          <w:szCs w:val="32"/>
        </w:rPr>
        <w:t>机关和</w:t>
      </w:r>
      <w:r>
        <w:rPr>
          <w:rFonts w:hint="eastAsia" w:ascii="仿宋_GB2312" w:hAnsi="黑体" w:cs="黑体"/>
          <w:color w:val="auto"/>
          <w:szCs w:val="32"/>
        </w:rPr>
        <w:t>有关</w:t>
      </w:r>
      <w:r>
        <w:rPr>
          <w:rFonts w:hint="eastAsia" w:ascii="仿宋_GB2312" w:hAnsi="仿宋_GB2312" w:cs="仿宋_GB2312"/>
          <w:color w:val="auto"/>
          <w:szCs w:val="32"/>
        </w:rPr>
        <w:t>组织依法对污染水环境、破坏水生态等损害社会公共利益的行为提起公益诉讼。</w:t>
      </w:r>
    </w:p>
    <w:p>
      <w:pPr>
        <w:pStyle w:val="7"/>
        <w:spacing w:line="590" w:lineRule="exact"/>
        <w:ind w:firstLine="632"/>
        <w:rPr>
          <w:rFonts w:hint="eastAsia" w:ascii="仿宋_GB2312" w:hAnsi="仿宋_GB2312" w:eastAsia="仿宋_GB2312" w:cs="仿宋_GB2312"/>
          <w:color w:val="auto"/>
        </w:rPr>
      </w:pPr>
      <w:r>
        <w:rPr>
          <w:rFonts w:hint="eastAsia" w:ascii="仿宋_GB2312" w:hAnsi="仿宋_GB2312" w:eastAsia="仿宋_GB2312" w:cs="仿宋_GB2312"/>
          <w:color w:val="auto"/>
        </w:rPr>
        <w:t>生态环境等有关部门和法律援助机构依照公益诉讼有关规定对有关机关和组织依法提起公益诉讼给予支持。</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鼓励法律服务机构和律师为水污染损害诉讼中的受害人提供公益法律服务。</w:t>
      </w:r>
    </w:p>
    <w:p>
      <w:pPr>
        <w:spacing w:line="590" w:lineRule="exact"/>
        <w:ind w:firstLine="640" w:firstLineChars="200"/>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第二章  水污染防治的规划和标准</w:t>
      </w:r>
    </w:p>
    <w:p>
      <w:pPr>
        <w:spacing w:line="590" w:lineRule="exact"/>
        <w:ind w:firstLine="640" w:firstLineChars="200"/>
        <w:rPr>
          <w:rFonts w:hint="eastAsia" w:ascii="仿宋_GB2312" w:hAnsi="仿宋_GB2312"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第十三条</w:t>
      </w:r>
      <w:r>
        <w:rPr>
          <w:rFonts w:hint="eastAsia" w:ascii="仿宋_GB2312" w:hAnsi="仿宋_GB2312" w:cs="仿宋_GB2312"/>
          <w:color w:val="auto"/>
        </w:rPr>
        <w:t xml:space="preserve">  省人民政府生态环境主管部门应当会同有关部门根据水资源禀赋、环境容量等情况以及国土空间规划，编制全省水功能区划，确定水体环境功能和水环境质量目标，报省人民政府批准后实施。经批准的水功能区划是制定水污染防治规划的依据。</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未纳入全省水功能区划的水体，由地级以上市人民政府生态环境主管部门根据水环境保护的需要，会同同级有关部门编制其水功能区划，并与国家、省水功能区划确定的水体环境功能和水环境质量目标以及同级国土空间规划相衔接，报同级人民政府批准后实施，并报省人民政府生态环境主管部门和水行政主管部门备案。</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水功能区划的调整，应当按照原编制程序执行。</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第十四条</w:t>
      </w:r>
      <w:r>
        <w:rPr>
          <w:rFonts w:hint="eastAsia" w:ascii="仿宋_GB2312" w:hAnsi="仿宋_GB2312" w:cs="仿宋_GB2312"/>
          <w:color w:val="auto"/>
        </w:rPr>
        <w:t xml:space="preserve">  县级以上人民政府应当根据国家或者省依法批准的流域水污染防治规划，组织制定本行政区域的水污染防治规划。</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县级以上人民政府在制定国土空间规划时，应当统筹水污染防治规划的空间布局和需求。进行各类开发建设活动，应当符合水污染防治规划的要求。</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饮用水水源保护、城镇生活污水处理、农业农村污染防治、船舶污染防治、水资源开发利用、河涌整治等专项规划或者方案，应当与水污染防治规划相互衔接。</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县级以上人民政府应当组织有关部门对水污染防治规划执行情况进行监督检查。</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第十五条</w:t>
      </w:r>
      <w:r>
        <w:rPr>
          <w:rFonts w:hint="eastAsia" w:ascii="仿宋_GB2312" w:hAnsi="仿宋_GB2312" w:cs="仿宋_GB2312"/>
          <w:color w:val="auto"/>
        </w:rPr>
        <w:t xml:space="preserve">  未达到水污染防治规划确定的水环境质量改善目标要求的有关地级以上市、县级人民政府，应当制定限期达标规划，并采取措施按期达标。限期达标规划在实施期间应当根据水环境质量目标完成情况动态修编。限期达标规划应当报上一级人民政府备案，并向社会公开。</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跨行政区域的限期达标规划由所在地人民政府协商制定。协商不成的，由上一级人民政府协调制定。</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第十六条</w:t>
      </w:r>
      <w:r>
        <w:rPr>
          <w:rFonts w:hint="eastAsia" w:ascii="仿宋_GB2312" w:hAnsi="仿宋_GB2312" w:cs="仿宋_GB2312"/>
          <w:color w:val="auto"/>
        </w:rPr>
        <w:t xml:space="preserve">  省人民政府可以根据水环境保护的需要，对国家水环境质量标准中未作规定的项目，制定本省地方水环境质量标准。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省人民政府对国家水污染物排放标准中未作规定的项目，可以制定本省地方水污染物排放标准；对国家水污染物排放标准中已作规定的项目，可以制定严于国家水污染物排放标准的本省地方水污染物排放标准。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本省地方水环境质量标准和水污染物排放标准应当报国务院生态环境主管部门备案。</w:t>
      </w:r>
    </w:p>
    <w:p>
      <w:pPr>
        <w:spacing w:line="590" w:lineRule="exact"/>
        <w:ind w:firstLine="640" w:firstLineChars="200"/>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第三章  水污染防治的监督管理</w:t>
      </w:r>
    </w:p>
    <w:p>
      <w:pPr>
        <w:spacing w:line="590" w:lineRule="exact"/>
        <w:ind w:firstLine="640" w:firstLineChars="200"/>
        <w:rPr>
          <w:rFonts w:hint="eastAsia" w:ascii="仿宋_GB2312" w:hAnsi="仿宋_GB2312"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第十七条</w:t>
      </w:r>
      <w:r>
        <w:rPr>
          <w:rFonts w:hint="eastAsia" w:ascii="仿宋_GB2312" w:hAnsi="仿宋_GB2312" w:cs="仿宋_GB2312"/>
          <w:color w:val="auto"/>
        </w:rPr>
        <w:t xml:space="preserve">  新建、改建、扩建直接或者间接向水体排放污染物的建设项目和其他水上设施，应当符合生态环境准入清单要求，并依法进行环境影响评价。</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省、地级以上市人民政府生态环境主管部门在审批环境影响评价文件时，对可能影响防洪、通航、渔业及河堤安全的，应当征求水行政、交通运输、农业农村等主管部门和海事管理机构的意见；对跨行政区域水体水质可能造成较大影响的，应当征求相关县级以上人民政府或者有关部门意见。</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第十八条</w:t>
      </w:r>
      <w:r>
        <w:rPr>
          <w:rFonts w:hint="eastAsia" w:ascii="仿宋_GB2312" w:hAnsi="仿宋_GB2312" w:cs="仿宋_GB2312"/>
          <w:color w:val="auto"/>
        </w:rPr>
        <w:t xml:space="preserve">  本省实行重点水污染物排放总量控制制度。</w:t>
      </w:r>
    </w:p>
    <w:p>
      <w:pPr>
        <w:spacing w:line="590" w:lineRule="exact"/>
        <w:ind w:firstLine="640" w:firstLineChars="200"/>
        <w:rPr>
          <w:rFonts w:hint="eastAsia" w:ascii="仿宋_GB2312" w:hAnsi="黑体" w:cs="黑体"/>
          <w:color w:val="auto"/>
        </w:rPr>
      </w:pPr>
      <w:r>
        <w:rPr>
          <w:rFonts w:hint="eastAsia" w:ascii="仿宋_GB2312" w:hAnsi="仿宋_GB2312" w:cs="仿宋_GB2312"/>
          <w:color w:val="auto"/>
        </w:rPr>
        <w:t>地级以上市人民政府</w:t>
      </w:r>
      <w:r>
        <w:rPr>
          <w:rFonts w:hint="eastAsia" w:ascii="仿宋_GB2312" w:hAnsi="黑体" w:cs="黑体"/>
          <w:color w:val="auto"/>
        </w:rPr>
        <w:t>应当</w:t>
      </w:r>
      <w:r>
        <w:rPr>
          <w:rFonts w:hint="eastAsia" w:ascii="仿宋_GB2312" w:hAnsi="仿宋_GB2312" w:cs="仿宋_GB2312"/>
          <w:color w:val="auto"/>
        </w:rPr>
        <w:t>根据国家和省下达的重点水污染物排放总量控制指标，结合本行政区域水环境改善要求及水污染防治工作的需要，</w:t>
      </w:r>
      <w:r>
        <w:rPr>
          <w:rFonts w:hint="eastAsia" w:ascii="仿宋_GB2312" w:hAnsi="黑体" w:cs="黑体"/>
          <w:color w:val="auto"/>
        </w:rPr>
        <w:t>控制和削减本行政区域的重点水污染物排放总量。</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第十九条</w:t>
      </w:r>
      <w:r>
        <w:rPr>
          <w:rFonts w:hint="eastAsia" w:ascii="仿宋_GB2312" w:hAnsi="仿宋_GB2312" w:cs="仿宋_GB2312"/>
          <w:color w:val="auto"/>
        </w:rPr>
        <w:t xml:space="preserve">  对超过重点水污染物排放总量控制指标或者未完成水环境质量改善目标的地区，省人民政府生态环境主管部门应当会同有关部门约谈该地区人民政府的主要负责人，并暂停审批该地区新增重点水污染物排放总量的建设项目环境影响评价文件。约谈情况应当向社会公开。</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被暂停审批的地区应当制订整改方案，削减区域内重点水污染物排放总量，限期达到水环境质量改善目标。</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第二十条</w:t>
      </w:r>
      <w:r>
        <w:rPr>
          <w:rFonts w:hint="eastAsia" w:ascii="仿宋_GB2312" w:hAnsi="仿宋_GB2312" w:cs="仿宋_GB2312"/>
          <w:color w:val="auto"/>
        </w:rPr>
        <w:t xml:space="preserve">  本省根据国家有关规定，对直接或者间接向水体排放废水、污水的企业事业单位和其他生产经营者实行排污许可管理。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实行排污许可管理的企业事业单位和其他生产经营者，应当按照规定向生态环境主管部门申领排污许可证，并按照排污许可证载明的排放水污染物种类、浓度、总量和排污口位置、排放去向等要求排放水污染物。排放水污染物不得超过国家或者地方规定的水污染物排放标准和重点水污染物排放总量控制指标。</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排污单位执行更加严格的水污染物排放浓度限值或者重点水污染物排放总量控制指标的，应当在排污许可证副本中规定。</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禁止企业事业单位和其他生产经营者未依法取得排污许可证或者违反排污许可证的规定排放水污染物。</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第二十一条</w:t>
      </w:r>
      <w:r>
        <w:rPr>
          <w:rFonts w:hint="eastAsia" w:ascii="仿宋_GB2312" w:hAnsi="仿宋_GB2312" w:cs="仿宋_GB2312"/>
          <w:color w:val="auto"/>
        </w:rPr>
        <w:t xml:space="preserve">  向水体排放污染物的企业事业单位和其他生产经营者，应当按照国家和省的规定设置和管理排污口，并按照规定在排污口安装标志牌。</w:t>
      </w:r>
    </w:p>
    <w:p>
      <w:pPr>
        <w:spacing w:line="590" w:lineRule="exact"/>
        <w:ind w:firstLine="640" w:firstLineChars="200"/>
        <w:rPr>
          <w:rFonts w:hint="eastAsia"/>
        </w:rPr>
      </w:pPr>
      <w:r>
        <w:rPr>
          <w:rFonts w:hint="eastAsia"/>
        </w:rPr>
        <w:t>地表水Ⅰ、Ⅱ类水域，以及Ⅲ类水域中的保护区、游泳区，禁止新建排污口</w:t>
      </w:r>
      <w:r>
        <w:rPr>
          <w:rFonts w:hint="eastAsia"/>
          <w:lang w:eastAsia="zh-CN"/>
        </w:rPr>
        <w:t>，</w:t>
      </w:r>
      <w:r>
        <w:rPr>
          <w:rFonts w:hint="eastAsia"/>
        </w:rPr>
        <w:t>已建成的排污口</w:t>
      </w:r>
      <w:r>
        <w:rPr>
          <w:rFonts w:hint="eastAsia" w:hAnsi="黑体" w:cs="黑体"/>
        </w:rPr>
        <w:t>应当实行污染物总量控制且</w:t>
      </w:r>
      <w:r>
        <w:rPr>
          <w:rFonts w:hint="eastAsia"/>
        </w:rPr>
        <w:t>不得增加污染物排放量；饮用水水源保护区内已建的排污口应当</w:t>
      </w:r>
      <w:r>
        <w:rPr>
          <w:rFonts w:hint="eastAsia" w:hAnsi="黑体" w:cs="黑体"/>
        </w:rPr>
        <w:t>依法</w:t>
      </w:r>
      <w:r>
        <w:rPr>
          <w:rFonts w:hint="eastAsia"/>
        </w:rPr>
        <w:t>拆除。</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在江河、湖泊新建、改建或者扩建排污口的，排污单位应当向有管辖权的生态环境主管部门或者流域生态环境监督管理机构申请。县级以上生态环境主管部门应当按照管理权限对排污口的设置、审批及排污情况建立档案，会同有关部门组织开展排污口核查、整治和规范化管理，加强对排污口的监督管理。</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第二十二条</w:t>
      </w:r>
      <w:r>
        <w:rPr>
          <w:rFonts w:hint="eastAsia" w:ascii="仿宋_GB2312" w:hAnsi="仿宋_GB2312" w:cs="仿宋_GB2312"/>
          <w:color w:val="auto"/>
        </w:rPr>
        <w:t xml:space="preserve">  排污单位应当按照经批准或者备案的环境影响评价文件要求建设水污染防治设施。水污染防治设施应当与主体工程同时设计、同时施工、同时投入使用。</w:t>
      </w:r>
    </w:p>
    <w:p>
      <w:pPr>
        <w:spacing w:line="590" w:lineRule="exact"/>
        <w:ind w:firstLine="640" w:firstLineChars="200"/>
        <w:rPr>
          <w:rFonts w:hint="eastAsia" w:eastAsia="宋体"/>
        </w:rPr>
      </w:pPr>
      <w:r>
        <w:rPr>
          <w:rFonts w:hint="eastAsia"/>
        </w:rPr>
        <w:t>排污单位应当保障水污染防治设施正常运行，不得擅自闲置或者拆除；确需闲置</w:t>
      </w:r>
      <w:r>
        <w:rPr>
          <w:rFonts w:hint="eastAsia" w:ascii="黑体" w:hAnsi="黑体" w:cs="黑体"/>
        </w:rPr>
        <w:t>、拆除</w:t>
      </w:r>
      <w:r>
        <w:rPr>
          <w:rFonts w:hint="eastAsia"/>
        </w:rPr>
        <w:t>的，应当提前十五日向所在地生态环境主管部门书面申请，经批准后方可闲置</w:t>
      </w:r>
      <w:r>
        <w:rPr>
          <w:rFonts w:hint="eastAsia" w:ascii="黑体" w:hAnsi="黑体" w:cs="黑体"/>
        </w:rPr>
        <w:t>、拆除</w:t>
      </w:r>
      <w:r>
        <w:rPr>
          <w:rFonts w:hint="eastAsia"/>
        </w:rPr>
        <w:t>。不能正常运行的，排污单位应当按照有关规定立即停止排放污染物，</w:t>
      </w:r>
      <w:r>
        <w:rPr>
          <w:rFonts w:hint="eastAsia" w:hAnsi="黑体"/>
        </w:rPr>
        <w:t>经</w:t>
      </w:r>
      <w:r>
        <w:rPr>
          <w:rFonts w:hint="eastAsia"/>
        </w:rPr>
        <w:t>采取措施达到国家或者地方规定的排放标准</w:t>
      </w:r>
      <w:r>
        <w:rPr>
          <w:rFonts w:hint="eastAsia" w:hAnsi="黑体" w:cs="黑体"/>
        </w:rPr>
        <w:t>后</w:t>
      </w:r>
      <w:r>
        <w:rPr>
          <w:rFonts w:hint="eastAsia"/>
        </w:rPr>
        <w:t>方可排放，并及时向所在地生态环境主管部门报告。</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鼓励排污单位委托第三方治理单位运营水污染防治设施。第三方治理单位按照有关法律、法规以及排污单位的委托要求，承担污染治理责任。排污单位应当对第三方治理单位的运营管理进行监督。</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第二十三条</w:t>
      </w:r>
      <w:r>
        <w:rPr>
          <w:rFonts w:hint="eastAsia" w:ascii="仿宋_GB2312" w:hAnsi="仿宋_GB2312" w:cs="仿宋_GB2312"/>
          <w:color w:val="auto"/>
        </w:rPr>
        <w:t xml:space="preserve">  实行排污许可管理的企业事业单位和其他生产经营者应当按照国家有关规定和监测规范，对所排放的水污染物自行监测，并保存原始监测记录，不得擅自调整监测点位，对监测数据的真实性和准确性负责；不具备监测能力的，应当委托有资质的环境监测机构进行监测。</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重点排污单位还应当按照规定安装水污染物排放自动监测设备，保证自动监测设备正常运行，定期对自动监测设备开展质量控制和质量保证工作，确保自动监测数据完整、有效，并与生态环境主管部门的监控设备联网。</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环境监测机构和开展自行监测的排污单位应当按照环境监测规范从事环境监测活动，不得</w:t>
      </w:r>
      <w:r>
        <w:rPr>
          <w:rFonts w:hint="eastAsia" w:ascii="黑体" w:hAnsi="黑体" w:cs="黑体"/>
          <w:color w:val="auto"/>
        </w:rPr>
        <w:t>有</w:t>
      </w:r>
      <w:r>
        <w:rPr>
          <w:rFonts w:hint="eastAsia" w:ascii="仿宋_GB2312" w:hAnsi="仿宋_GB2312" w:cs="仿宋_GB2312"/>
          <w:color w:val="auto"/>
        </w:rPr>
        <w:t>隐瞒、伪造、篡改环境监测数据等</w:t>
      </w:r>
      <w:r>
        <w:rPr>
          <w:rFonts w:hint="eastAsia" w:ascii="黑体" w:hAnsi="黑体" w:cs="黑体"/>
          <w:color w:val="auto"/>
        </w:rPr>
        <w:t>弄虚作假行为</w:t>
      </w:r>
      <w:r>
        <w:rPr>
          <w:rFonts w:hint="eastAsia" w:ascii="仿宋_GB2312" w:hAnsi="仿宋_GB2312" w:cs="仿宋_GB2312"/>
          <w:color w:val="auto"/>
        </w:rPr>
        <w:t>。任何单位和个人不得伪造或者篡改环境监测机构的环境监测报告。</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生态环境主管部门应当对排污单位污染物排放状况实施环境执法监测，对排污单位自行监测情况开展监督检查。</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第二十四条</w:t>
      </w:r>
      <w:r>
        <w:rPr>
          <w:rFonts w:hint="eastAsia" w:ascii="仿宋_GB2312" w:hAnsi="仿宋_GB2312" w:cs="仿宋_GB2312"/>
          <w:color w:val="auto"/>
        </w:rPr>
        <w:t xml:space="preserve">  省人民政府生态环境主管部门制定全省水环境监测方案，统一规划水环境质量监测断面和点位的设置，建立完善全省互联互通的水环境监测网络和预警机制。</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生态环境主管部门统一发布本行政区域的水环境状况信息。</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县级以上生态环境主管部门和县级以上人民政府其他负有水污染防治监督管理职责的主管部门应当建立水环境信息共享机制，避免重复监测。县级以上人民政府有关部门应当为生态环境主管部门开展生态环境监测活动提供相关数据支持。</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第二十五条</w:t>
      </w:r>
      <w:r>
        <w:rPr>
          <w:rFonts w:hint="eastAsia" w:ascii="仿宋_GB2312" w:hAnsi="仿宋_GB2312" w:cs="仿宋_GB2312"/>
          <w:color w:val="auto"/>
        </w:rPr>
        <w:t xml:space="preserve">  县级以上人民政府应当完善水资源管理和节约用水机制，开发、利用和调节、调度水资源时，应当统筹兼顾，维持江河的合理流量和湖泊、水库以及地下水体的合理水位，保障基本生态用水，维护水体的生态功能。</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因过量开采地下水导致水质恶化不宜继续开采的，县级以上人民政府应当采取措施，停止或者限制开采地下水。</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县级以上人民政府应当加强山水林田湖草系统治理，组织开展江河、湖泊、水库、湿地保护与修复，因地制宜建设人工湿地、水源涵养林、沿河沿湖植被缓冲带和隔离带等生态环境治理与保护工程，提高水体自净能力和水环境质量，提升流域生态环境承载力。</w:t>
      </w:r>
    </w:p>
    <w:p>
      <w:pPr>
        <w:pStyle w:val="7"/>
        <w:spacing w:line="590" w:lineRule="exact"/>
        <w:ind w:firstLine="632"/>
        <w:rPr>
          <w:rFonts w:hint="eastAsia" w:ascii="仿宋_GB2312" w:hAnsi="仿宋_GB2312" w:eastAsia="仿宋_GB2312" w:cs="仿宋_GB2312"/>
          <w:color w:val="auto"/>
        </w:rPr>
      </w:pPr>
      <w:r>
        <w:rPr>
          <w:rFonts w:hint="eastAsia" w:ascii="黑体" w:hAnsi="黑体" w:eastAsia="黑体" w:cs="仿宋_GB2312"/>
          <w:color w:val="auto"/>
        </w:rPr>
        <w:t>第二十六条</w:t>
      </w:r>
      <w:r>
        <w:rPr>
          <w:rFonts w:hint="eastAsia" w:ascii="仿宋_GB2312" w:hAnsi="仿宋_GB2312" w:eastAsia="仿宋_GB2312" w:cs="仿宋_GB2312"/>
          <w:color w:val="auto"/>
        </w:rPr>
        <w:t xml:space="preserve">  县级以上人民政府应当采取控源截污、垃圾清理、清淤疏浚、生态修复等措施，加强黑臭水体整治，并定期向社会公布治理情况。</w:t>
      </w:r>
    </w:p>
    <w:p>
      <w:pPr>
        <w:spacing w:line="590" w:lineRule="exact"/>
        <w:ind w:firstLine="640" w:firstLineChars="200"/>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第四章  水污染防治措施</w:t>
      </w:r>
    </w:p>
    <w:p>
      <w:pPr>
        <w:spacing w:line="590" w:lineRule="exact"/>
        <w:jc w:val="center"/>
        <w:outlineLvl w:val="1"/>
        <w:rPr>
          <w:rFonts w:hint="eastAsia" w:ascii="仿宋_GB2312" w:hAnsi="仿宋_GB2312" w:cs="仿宋_GB2312"/>
          <w:color w:val="auto"/>
          <w:szCs w:val="32"/>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第一节  工业水污染防治</w:t>
      </w:r>
    </w:p>
    <w:p>
      <w:pPr>
        <w:shd w:val="clear" w:color="auto" w:fill="FFFFFF"/>
        <w:spacing w:line="590" w:lineRule="exact"/>
        <w:rPr>
          <w:rFonts w:hint="eastAsia" w:ascii="黑体" w:hAnsi="黑体" w:eastAsia="黑体" w:cs="仿宋_GB2312"/>
          <w:color w:val="auto"/>
          <w:kern w:val="0"/>
          <w:szCs w:val="32"/>
        </w:rPr>
      </w:pPr>
    </w:p>
    <w:p>
      <w:pPr>
        <w:spacing w:line="590" w:lineRule="exact"/>
        <w:ind w:firstLine="640" w:firstLineChars="200"/>
        <w:rPr>
          <w:rFonts w:hint="eastAsia" w:ascii="黑体" w:hAnsi="黑体" w:eastAsia="黑体"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二十七</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县级以上人民政府应当根据国土空间规划和本行政区域的资源环境承载能力与水环境质量目标等要求，合理规划工业布局，规范工业集聚区及其污水集中处理设施建设，引导工业企业入驻工业集聚区。严格控制高污染项目的建设，鼓励和支持无污染或者轻污染产业的发展。</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二十八</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排放工业废水的企业应当采取有效措施，收集和处理产生的全部生产废水，防止污染水环境。未依法领取污水排入排水管网许可证的，不得直接向生活污水管网与处理系统排放工业废水。含有毒有害水污染物的工业废水应当分类收集和处理，不得稀释排放。</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按照规定或者环境影响评价文件和审批意见的要求需要进行初期雨水收集的企业，应当对初期雨水进行收集处理，达标后方可排放。</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经批准设立的工业集聚区应当按照规定建成污水集中处理设施并安装水污染物排放自动监测设备。未完成污水集中处理设施建设的，暂停审批和核准其增加水污染物排放的建设项目。</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向工业集聚区污水集中处理设施或者城镇污水集中处理设施排放工业废水的，应当按照有关规定进行预处理，达到集中处理设施处理工艺要求后方可以排放。</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二十九</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企业应当采用原材料利用效率高、污染物排放量少的清洁工艺，并加强管理，</w:t>
      </w:r>
      <w:r>
        <w:rPr>
          <w:rFonts w:hint="eastAsia" w:ascii="仿宋_GB2312" w:hAnsi="黑体" w:cs="黑体"/>
          <w:color w:val="auto"/>
          <w:szCs w:val="32"/>
        </w:rPr>
        <w:t>按照规定实施清洁生产审核，</w:t>
      </w:r>
      <w:r>
        <w:rPr>
          <w:rFonts w:hint="eastAsia" w:ascii="仿宋_GB2312" w:hAnsi="仿宋_GB2312" w:cs="仿宋_GB2312"/>
          <w:color w:val="auto"/>
          <w:szCs w:val="32"/>
        </w:rPr>
        <w:t>从源头上减少水污染物的产生。</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县级以上人民政府</w:t>
      </w:r>
      <w:r>
        <w:rPr>
          <w:rFonts w:hint="eastAsia" w:ascii="仿宋_GB2312" w:hAnsi="黑体" w:cs="黑体"/>
          <w:color w:val="auto"/>
          <w:szCs w:val="32"/>
        </w:rPr>
        <w:t>应当鼓励企业实行清洁生产，</w:t>
      </w:r>
      <w:r>
        <w:rPr>
          <w:rFonts w:hint="eastAsia" w:ascii="仿宋_GB2312" w:hAnsi="仿宋_GB2312" w:cs="仿宋_GB2312"/>
          <w:color w:val="auto"/>
          <w:szCs w:val="32"/>
        </w:rPr>
        <w:t>对为减少水污染进行技术改造或者转产的企业，通过财政、金融、土地使用、能源供应、政府采购等措施予以扶持。</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 xml:space="preserve"> </w:t>
      </w: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第二节  城镇水污染防治</w:t>
      </w:r>
    </w:p>
    <w:p>
      <w:pPr>
        <w:shd w:val="clear" w:color="auto" w:fill="FFFFFF"/>
        <w:spacing w:line="590" w:lineRule="exact"/>
        <w:ind w:firstLine="482"/>
        <w:jc w:val="center"/>
        <w:rPr>
          <w:rFonts w:hint="eastAsia" w:ascii="仿宋_GB2312" w:hAnsi="仿宋_GB2312" w:cs="仿宋_GB2312"/>
          <w:color w:val="auto"/>
          <w:kern w:val="0"/>
          <w:szCs w:val="32"/>
        </w:rPr>
      </w:pPr>
      <w:r>
        <w:rPr>
          <w:rFonts w:hint="eastAsia" w:ascii="仿宋_GB2312" w:hAnsi="仿宋_GB2312" w:cs="仿宋_GB2312"/>
          <w:color w:val="auto"/>
          <w:kern w:val="0"/>
          <w:szCs w:val="32"/>
        </w:rPr>
        <w:t xml:space="preserve"> </w:t>
      </w:r>
    </w:p>
    <w:p>
      <w:pPr>
        <w:spacing w:line="590" w:lineRule="exact"/>
        <w:ind w:firstLine="640" w:firstLineChars="200"/>
        <w:rPr>
          <w:rFonts w:hint="eastAsia" w:ascii="仿宋_GB2312" w:hAnsi="仿宋_GB2312" w:cs="仿宋_GB2312"/>
          <w:color w:val="auto"/>
          <w:szCs w:val="32"/>
        </w:rPr>
      </w:pPr>
      <w:r>
        <w:rPr>
          <w:rFonts w:hint="eastAsia" w:ascii="黑体" w:hAnsi="仿宋_GB2312" w:eastAsia="黑体" w:cs="仿宋_GB2312"/>
          <w:color w:val="auto"/>
          <w:szCs w:val="32"/>
        </w:rPr>
        <w:t>第</w:t>
      </w:r>
      <w:r>
        <w:rPr>
          <w:rFonts w:hint="eastAsia" w:ascii="黑体" w:hAnsi="仿宋_GB2312" w:eastAsia="黑体" w:cs="仿宋_GB2312"/>
          <w:color w:val="auto"/>
        </w:rPr>
        <w:t>三十</w:t>
      </w:r>
      <w:r>
        <w:rPr>
          <w:rFonts w:hint="eastAsia" w:ascii="黑体" w:hAnsi="仿宋_GB2312" w:eastAsia="黑体" w:cs="仿宋_GB2312"/>
          <w:color w:val="auto"/>
          <w:szCs w:val="32"/>
        </w:rPr>
        <w:t>条</w:t>
      </w:r>
      <w:r>
        <w:rPr>
          <w:rFonts w:hint="eastAsia" w:ascii="仿宋_GB2312" w:hAnsi="仿宋_GB2312" w:cs="仿宋_GB2312"/>
          <w:color w:val="auto"/>
          <w:szCs w:val="32"/>
        </w:rPr>
        <w:t xml:space="preserve">  县级以上人民政府应当根据国土空间规划和水污染防治规划，编制本行政区域的城镇污水处理设施建设规划，通过财政预算和其他渠道筹集资金，统筹建设城镇污水集中处理设施和配套管网，保证城镇污水集中处理设施的处理能力与城镇污水产生量相适应，配套管网建设满</w:t>
      </w:r>
      <w:r>
        <w:rPr>
          <w:rFonts w:hint="eastAsia" w:ascii="仿宋_GB2312" w:hAnsi="仿宋_GB2312" w:cs="仿宋_GB2312"/>
          <w:color w:val="auto"/>
          <w:spacing w:val="-6"/>
          <w:szCs w:val="32"/>
        </w:rPr>
        <w:t>足城镇发展规模需要并正常运行，提高城镇污水的收集率和处理率。</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污水集中处理设施的排污口位置设置应当符合水功能区划、水资源保护规划和防洪规划的要求。</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在城镇排水与污水处理设施覆盖范围外的企业事业单位和其他生产经营者、旅游区、居住小区等，应当采取有效措施收集和处理产生的生活污水，并达标排放。</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三十一</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新区建设和旧城区改造，应当同步规划建设污水、雨水收集管网，实行雨污分流。在有条件的地区，应当逐步推进初期雨水调蓄处理和利用，减少水污染。</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已实行雨污分流的区域，不得向雨水收集口、雨水管道排放污水。尚未实行雨污分流的区域，应当按照要求逐步进行雨污分流改造；难以改造的，应当采取沿河截污、调蓄和治理等措施，防止污染水环境。</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三十二</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向城镇污水集中处理设施排放水污染物，应当符合国家或者地方规定的水污染物排放标准。县级以上人民政府城镇排水主管部门应当加强对排水户的排放口设置、连接管网、预处理设施和水质、水量监测设施建设和运行的指导和监督。城镇排水主管部门委托的排水监测机构应当对排水户排放污水的水质和水量进行监测，并建立排水监测档案。</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城镇污水集中处理设施运营单位应当保证污水处理设施的正常运行，并对出水水质负责。城镇污水集中处理设施运营单位应当为进出水自动监测系统的安全运行提供保障条件。县级以上人民政府城镇排水主管部门应当对城镇污水集中处理设施运营情况进行监督和考核，生态环境主管部门应当依法对城镇污水集中处理设施的出水水质和水量进行监督检查。</w:t>
      </w:r>
    </w:p>
    <w:p>
      <w:pPr>
        <w:numPr>
          <w:ilvl w:val="0"/>
          <w:numId w:val="0"/>
        </w:numPr>
        <w:spacing w:line="590" w:lineRule="exact"/>
        <w:ind w:firstLine="640" w:firstLineChars="200"/>
        <w:rPr>
          <w:rFonts w:hint="eastAsia" w:ascii="仿宋_GB2312" w:hAnsi="仿宋_GB2312" w:cs="仿宋_GB2312"/>
          <w:color w:val="auto"/>
          <w:szCs w:val="32"/>
        </w:rPr>
      </w:pPr>
      <w:r>
        <w:rPr>
          <w:rFonts w:hint="eastAsia" w:ascii="仿宋_GB2312"/>
          <w:color w:val="auto"/>
          <w:szCs w:val="32"/>
        </w:rPr>
        <w:t>医疗机构、学校、科研院所、企业等单位的实验室、检验室、化验室等产生的有毒有害废水，应当按照有关规定收集处置，不得违法倾倒、排放。</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鼓励、支持污水处理厂进行尾水深度处理，提高再生水回用率，减少水污染。</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第三十三条</w:t>
      </w:r>
      <w:r>
        <w:rPr>
          <w:rFonts w:hint="eastAsia" w:ascii="仿宋_GB2312" w:hAnsi="仿宋_GB2312" w:cs="仿宋_GB2312"/>
          <w:color w:val="auto"/>
          <w:szCs w:val="32"/>
        </w:rPr>
        <w:t xml:space="preserve">  县级以上人民政府应当鼓励污水再生利用，在资金、技术等方面扶持再生水利用项目，进行城镇新区建设、旧城改造和市政基础设施建设时，配套建设再生水利用设施。</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工业生产、城市绿化、道路清扫、车辆冲洗、建筑施工以及生态景观等，应当优先使用再生水。有条件使用再生水的单位，应当优先使用再生水。</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 xml:space="preserve"> </w:t>
      </w: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第三节  农业和农村水污染防治</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 xml:space="preserve"> </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第三十四条</w:t>
      </w:r>
      <w:r>
        <w:rPr>
          <w:rFonts w:hint="eastAsia" w:ascii="仿宋_GB2312" w:hAnsi="仿宋_GB2312" w:cs="仿宋_GB2312"/>
          <w:color w:val="auto"/>
          <w:szCs w:val="32"/>
        </w:rPr>
        <w:t xml:space="preserve">  县级以上人民政府应当统筹规划农村环境基础设施建设，加强农村人居环境综合整治，采用集中与分散相结合的模式建设和完善农村污水、垃圾收集和处理设施，实施农村厕所改造，因地制宜实施雨污分流，将有条件的农村和城镇周边村庄纳入城镇污水、垃圾处理体系，并做好资金保障。</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农田建设、土地开发整理应当达到相关环境保护要求。饮用水水源保护区、重要水库汇水区等区域应当建设生态沟渠、生态净化塘、地表径流集蓄池等设施，净化农田排水及地表径流。</w:t>
      </w:r>
    </w:p>
    <w:p>
      <w:pPr>
        <w:spacing w:line="590" w:lineRule="exact"/>
        <w:ind w:firstLine="616" w:firstLineChars="200"/>
        <w:rPr>
          <w:rFonts w:hint="eastAsia" w:ascii="黑体" w:hAnsi="黑体" w:eastAsia="黑体" w:cs="仿宋_GB2312"/>
          <w:color w:val="auto"/>
          <w:spacing w:val="-6"/>
          <w:szCs w:val="32"/>
        </w:rPr>
      </w:pPr>
      <w:r>
        <w:rPr>
          <w:rFonts w:hint="eastAsia" w:ascii="仿宋_GB2312" w:hAnsi="仿宋_GB2312" w:cs="仿宋_GB2312"/>
          <w:color w:val="auto"/>
          <w:spacing w:val="-6"/>
          <w:szCs w:val="32"/>
        </w:rPr>
        <w:t>在农村地区从事生产加工、旅游、餐饮等经营活动，应当按照国家和省的规定排放污水。县级以上人民政府有关主管部门应当指导和监督生产经营者采取有效水污染防治措施，减少水污染。</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第三十五条</w:t>
      </w:r>
      <w:r>
        <w:rPr>
          <w:rFonts w:hint="eastAsia" w:ascii="仿宋_GB2312" w:hAnsi="仿宋_GB2312" w:cs="仿宋_GB2312"/>
          <w:color w:val="auto"/>
          <w:szCs w:val="32"/>
        </w:rPr>
        <w:t xml:space="preserve">  县级以上人民政府有关主管部门应当按照法律法规和国家有关规定，依法科学划定禁养区，报同级人民政府批准后实施，并向社会公布。</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畜禽养殖场、养殖小区应当依法对畜禽养殖废弃物实施综合利用和无害化处理。养殖专业户、畜禽散养户应当采取有效措施，防止畜禽粪便、污水渗漏、溢流、散落。委托农户进行畜禽养殖的企业事业单位和其他生产经营者应当在委托时明确畜禽粪便、污水处置要求，并指导农户对畜禽粪便、污水采取有效污染防治措施。</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省人民政府有关主管部门应当根据水产养殖污染防治的需要，制定本省地方水产养殖尾水排放标准。从事水产养殖应当保护水域生态环境，科学确定养殖密度，合理投饵和科学使用药物，实施环境激素类化学品淘汰、替代、限制等措施，以及养殖尾水达标排放或者资源化利用，防止污染水环境。鼓励采取生态健康养殖模式。</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第三十六条</w:t>
      </w:r>
      <w:r>
        <w:rPr>
          <w:rFonts w:hint="eastAsia" w:ascii="仿宋_GB2312" w:hAnsi="仿宋_GB2312" w:cs="仿宋_GB2312"/>
          <w:color w:val="auto"/>
          <w:szCs w:val="32"/>
        </w:rPr>
        <w:t xml:space="preserve">  县级以上人民政府应当优化农业种植业结构和发展布局，推动生态农业发展。</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县级以上人民政府农业农村主管部门</w:t>
      </w:r>
      <w:r>
        <w:rPr>
          <w:rFonts w:hint="eastAsia" w:ascii="仿宋_GB2312" w:hAnsi="黑体" w:cs="黑体"/>
          <w:color w:val="auto"/>
          <w:szCs w:val="32"/>
        </w:rPr>
        <w:t>和其他有关部门</w:t>
      </w:r>
      <w:r>
        <w:rPr>
          <w:rFonts w:hint="eastAsia" w:ascii="仿宋_GB2312" w:hAnsi="仿宋_GB2312" w:cs="仿宋_GB2312"/>
          <w:color w:val="auto"/>
          <w:szCs w:val="32"/>
        </w:rPr>
        <w:t>应当</w:t>
      </w:r>
      <w:r>
        <w:rPr>
          <w:rFonts w:hint="eastAsia" w:ascii="仿宋_GB2312" w:hAnsi="黑体" w:cs="黑体"/>
          <w:color w:val="auto"/>
          <w:szCs w:val="32"/>
        </w:rPr>
        <w:t>指导农业生产者科学、合理施用化肥和农药，推广精准施肥、节水灌溉技术和高效低毒低残留农药，组织开展病虫害统一预防、统一治理，</w:t>
      </w:r>
      <w:r>
        <w:rPr>
          <w:rFonts w:hint="eastAsia" w:ascii="仿宋_GB2312" w:hAnsi="仿宋_GB2312" w:cs="仿宋_GB2312"/>
          <w:color w:val="auto"/>
          <w:szCs w:val="32"/>
        </w:rPr>
        <w:t>加强对生产、销售、使用农药和处置过期失效农药及农药包装物的综合监督管理，防止污染水环境。</w:t>
      </w:r>
    </w:p>
    <w:p>
      <w:pPr>
        <w:pStyle w:val="7"/>
        <w:spacing w:line="590" w:lineRule="exact"/>
        <w:ind w:firstLine="632"/>
        <w:rPr>
          <w:rFonts w:hint="eastAsia" w:ascii="仿宋_GB2312" w:hAnsi="黑体" w:eastAsia="仿宋_GB2312" w:cs="黑体"/>
          <w:color w:val="auto"/>
          <w:szCs w:val="32"/>
        </w:rPr>
      </w:pPr>
      <w:r>
        <w:rPr>
          <w:rFonts w:hint="eastAsia" w:ascii="仿宋_GB2312" w:hAnsi="黑体" w:eastAsia="仿宋_GB2312" w:cs="黑体"/>
          <w:color w:val="auto"/>
          <w:szCs w:val="32"/>
        </w:rPr>
        <w:t>县级以上人民政府农业农村主管部门应当引导有关单位和其他生产经营者依法收集、贮存、运输、利用、处置农业固体废物，加强对秸秆等农业废弃物综合利用的监督管理，防止污染水环境。</w:t>
      </w:r>
    </w:p>
    <w:p>
      <w:pPr>
        <w:spacing w:line="590" w:lineRule="exact"/>
        <w:ind w:firstLine="640" w:firstLineChars="200"/>
        <w:rPr>
          <w:rFonts w:hint="eastAsia" w:ascii="仿宋_GB2312" w:hAnsi="仿宋_GB2312" w:cs="仿宋_GB2312"/>
          <w:color w:val="auto"/>
          <w:szCs w:val="32"/>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第四节  船舶水污染防治</w:t>
      </w:r>
    </w:p>
    <w:p>
      <w:pPr>
        <w:spacing w:line="590" w:lineRule="exact"/>
        <w:ind w:firstLine="640" w:firstLineChars="200"/>
        <w:rPr>
          <w:rFonts w:hint="eastAsia" w:ascii="黑体" w:hAnsi="黑体" w:eastAsia="黑体" w:cs="仿宋_GB2312"/>
          <w:color w:val="auto"/>
          <w:szCs w:val="32"/>
        </w:rPr>
      </w:pP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szCs w:val="32"/>
        </w:rPr>
        <w:t>第三十七条</w:t>
      </w:r>
      <w:r>
        <w:rPr>
          <w:rFonts w:hint="eastAsia" w:ascii="仿宋_GB2312" w:hAnsi="仿宋_GB2312" w:cs="仿宋_GB2312"/>
          <w:color w:val="auto"/>
          <w:szCs w:val="32"/>
        </w:rPr>
        <w:t xml:space="preserve">  航行、停泊、作业的船舶，应当配备符合国家有关规范、标准以及所在水域排放标准或者要求的污染防治设备、器材，</w:t>
      </w:r>
      <w:r>
        <w:rPr>
          <w:rFonts w:hint="eastAsia" w:ascii="仿宋_GB2312" w:hAnsi="仿宋_GB2312" w:cs="仿宋_GB2312"/>
          <w:color w:val="auto"/>
        </w:rPr>
        <w:t>不得违反规定向水体排放污染物。船舶装用污水储存设施暂存污水并将其排往岸上接收设施处理的，除应急旁通管路外不得设置其他可以将污水直接排入水体的外排口。船舶航经饮用水水源保护区等特殊排放要求区域时，应当保证其污水外排口全程处于有效锁闭状态。不符合排放规定的船舶污染物应当交由港口、码头、装卸站或者有资质的单位接收处理，并按照规定在相应的船舶文书中记录。船舶污染物接收单证和相关记录文书应当按照规定保存备查。</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船舶使用的燃料应当符合有关法律法规和标准要求，鼓励船舶使用清洁能源。在具有饮用水水源功能的湖泊和水库航行、停泊、作业的船舶，应当优先使用清洁能源，防止污染水环境。</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第三十八条</w:t>
      </w:r>
      <w:r>
        <w:rPr>
          <w:rFonts w:hint="eastAsia" w:ascii="仿宋_GB2312" w:hAnsi="仿宋_GB2312" w:cs="仿宋_GB2312"/>
          <w:color w:val="auto"/>
          <w:szCs w:val="32"/>
        </w:rPr>
        <w:t xml:space="preserve">  港口、码头、装卸站和船舶修造厂所在地的地级以上市、县级人民政府应当统筹规划建设船舶污染物、废弃物的接收、转运及处理处置设施。</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港口、码头、装卸站和船舶修造厂应当具备足够的船舶污染物、废弃物的接收能力，并按照规定处置污染物。新建、改建、扩建港口、码头、装卸站和船舶修造厂，应当配套建设相应的船舶污染物、废弃物的接收设施，并做好与城市市政公共处理设施的衔接。现有港口、码头、装卸站和船舶修造厂应当逐步配套建设相应的船舶污染物、废弃物的接收设施；尚未建成接收设施的，应当委托经备案符合船舶污染物、废弃物接收资质的专业单位负责接收。</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从事船舶污染物、废弃物接收作业，或者从事装载油类、污染危害性货物船舱清洗作业的单位，应当具备与其运营规模相适应的接收处理能力。</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第三十九条</w:t>
      </w:r>
      <w:r>
        <w:rPr>
          <w:rFonts w:hint="eastAsia" w:ascii="仿宋_GB2312" w:hAnsi="仿宋_GB2312" w:cs="仿宋_GB2312"/>
          <w:color w:val="auto"/>
          <w:szCs w:val="32"/>
        </w:rPr>
        <w:t xml:space="preserve">  县级以上人民政府应当组织交通运输、生态环境、住房城乡建设、农业农村、市场监督管理等部门及海事管理机构建立船舶水上污染防治执法联动机制，对船舶污染实行全程监督管理。</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县级以上人民政府农业农村、水行政、能源主管部门和海事管理机构应当按照职责，加强对渔业船舶、趸船和洗砂船、旅游</w:t>
      </w:r>
      <w:r>
        <w:rPr>
          <w:rFonts w:hint="eastAsia" w:ascii="仿宋_GB2312" w:hAnsi="仿宋_GB2312" w:cs="仿宋_GB2312"/>
          <w:color w:val="auto"/>
          <w:spacing w:val="-6"/>
          <w:szCs w:val="32"/>
        </w:rPr>
        <w:t>船和从事成品油供应的水上加油船及其有关作业活动的监督管理。</w:t>
      </w:r>
    </w:p>
    <w:p>
      <w:pPr>
        <w:spacing w:line="590" w:lineRule="exact"/>
        <w:ind w:firstLine="640" w:firstLineChars="200"/>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第五章  饮用水水源保护和流域特别规定</w:t>
      </w:r>
    </w:p>
    <w:p>
      <w:pPr>
        <w:spacing w:line="590" w:lineRule="exact"/>
        <w:jc w:val="center"/>
        <w:rPr>
          <w:rFonts w:hint="eastAsia" w:ascii="仿宋_GB2312" w:hAnsi="仿宋_GB2312"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w:t>
      </w:r>
      <w:r>
        <w:rPr>
          <w:rFonts w:hint="eastAsia" w:ascii="黑体" w:hAnsi="仿宋_GB2312" w:eastAsia="黑体" w:cs="仿宋_GB2312"/>
          <w:color w:val="auto"/>
          <w:szCs w:val="32"/>
        </w:rPr>
        <w:t>四十</w:t>
      </w:r>
      <w:r>
        <w:rPr>
          <w:rFonts w:hint="eastAsia" w:ascii="黑体" w:hAnsi="仿宋_GB2312" w:eastAsia="黑体" w:cs="仿宋_GB2312"/>
          <w:color w:val="auto"/>
        </w:rPr>
        <w:t>条</w:t>
      </w:r>
      <w:r>
        <w:rPr>
          <w:rFonts w:hint="eastAsia" w:ascii="仿宋_GB2312" w:hAnsi="仿宋_GB2312" w:cs="仿宋_GB2312"/>
          <w:color w:val="auto"/>
        </w:rPr>
        <w:t xml:space="preserve">  饮用水水源保护区分为一级保护区和二级保护区；必要时，可以在饮用水水源保护区外围划定一定的区域作为准保护区。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饮用水水源保护区的划定，由有关地级以上市、县级人民政府根据当地国土空间规划、供水现状和规划，按照国家和省的有关规定提出划定方案，报省人民政府批准。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跨地级以上市建设作为饮用水水源的异地引水工程，应当在取水口和非完全封闭式饮用水输水河道或者渠道一定范围内的水域和陆域划定饮用水水源保护区。</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有关地级以上市、县级人民政府可以根据保护饮用水水源的实际需要，在确保饮用水安全的前提下，提出饮用水水源保护区调整方案，按饮用水水源保护区划定程序报批。</w:t>
      </w:r>
    </w:p>
    <w:p>
      <w:pPr>
        <w:spacing w:line="590" w:lineRule="exact"/>
        <w:ind w:firstLine="640" w:firstLineChars="200"/>
        <w:rPr>
          <w:rFonts w:hint="eastAsia"/>
        </w:rPr>
      </w:pPr>
      <w:r>
        <w:rPr>
          <w:rFonts w:hint="eastAsia" w:ascii="黑体" w:hAnsi="黑体" w:eastAsia="黑体"/>
        </w:rPr>
        <w:t>第</w:t>
      </w:r>
      <w:r>
        <w:rPr>
          <w:rFonts w:hint="eastAsia" w:ascii="黑体" w:hAnsi="黑体" w:eastAsia="黑体"/>
          <w:szCs w:val="32"/>
        </w:rPr>
        <w:t>四十一</w:t>
      </w:r>
      <w:r>
        <w:rPr>
          <w:rFonts w:hint="eastAsia" w:ascii="黑体" w:hAnsi="黑体" w:eastAsia="黑体"/>
        </w:rPr>
        <w:t>条</w:t>
      </w:r>
      <w:r>
        <w:rPr>
          <w:rFonts w:hint="eastAsia"/>
        </w:rPr>
        <w:t xml:space="preserve">  县级以上人民政府应当合理安排、布局农村饮用水水源，加强农村饮用水水源的保护和治理，做好水质检测和卫生防护等工作，有条件的地区可以采取城镇供水管网延伸或者建设跨村、跨乡镇联片集中供水工程等方式，发展规模集中供水，推动形成城乡一体化的饮用水</w:t>
      </w:r>
      <w:r>
        <w:rPr>
          <w:rFonts w:hint="eastAsia" w:ascii="黑体" w:hAnsi="黑体" w:cs="黑体"/>
        </w:rPr>
        <w:t>水</w:t>
      </w:r>
      <w:r>
        <w:rPr>
          <w:rFonts w:hint="eastAsia"/>
        </w:rPr>
        <w:t>源保护机制。</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新建、改建、扩建的农村集中供水工程，应当同步开展饮用水水源保护区的划定工作。</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四十二</w:t>
      </w:r>
      <w:r>
        <w:rPr>
          <w:rFonts w:hint="eastAsia" w:ascii="黑体" w:hAnsi="黑体" w:eastAsia="黑体" w:cs="仿宋_GB2312"/>
          <w:color w:val="auto"/>
        </w:rPr>
        <w:t>条</w:t>
      </w:r>
      <w:r>
        <w:rPr>
          <w:rFonts w:hint="eastAsia" w:ascii="仿宋_GB2312" w:hAnsi="仿宋_GB2312" w:cs="仿宋_GB2312"/>
          <w:color w:val="auto"/>
        </w:rPr>
        <w:t xml:space="preserve">  饮用水水源保护区的划定或者调整方案经批准后，有关地方人民政府应当组织开展饮用水水源保护区规范化建设，在饮用水水源保护区边界设立明确的地理界标和明显的警示标志，在饮用水水源一级保护区周边人类活动频繁的区域设置隔离防护设施，在取水口周围安装监控设备。</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任何单位和个人不得拆除、覆盖、擅自移动、涂改和损坏饮</w:t>
      </w:r>
      <w:r>
        <w:rPr>
          <w:rFonts w:hint="eastAsia" w:ascii="仿宋_GB2312" w:hAnsi="仿宋_GB2312" w:cs="仿宋_GB2312"/>
          <w:color w:val="auto"/>
          <w:spacing w:val="-6"/>
        </w:rPr>
        <w:t>用水水源保护区地理界标、警示标志、隔离防护设施或者监控设备。</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四十三</w:t>
      </w:r>
      <w:r>
        <w:rPr>
          <w:rFonts w:hint="eastAsia" w:ascii="黑体" w:hAnsi="黑体" w:eastAsia="黑体" w:cs="仿宋_GB2312"/>
          <w:color w:val="auto"/>
        </w:rPr>
        <w:t>条</w:t>
      </w:r>
      <w:r>
        <w:rPr>
          <w:rFonts w:hint="eastAsia" w:ascii="仿宋_GB2312" w:hAnsi="仿宋_GB2312" w:cs="仿宋_GB2312"/>
          <w:color w:val="auto"/>
        </w:rPr>
        <w:t xml:space="preserve">  </w:t>
      </w:r>
      <w:r>
        <w:rPr>
          <w:rFonts w:hint="eastAsia" w:ascii="仿宋_GB2312" w:hAnsi="黑体" w:cs="黑体"/>
          <w:color w:val="auto"/>
        </w:rPr>
        <w:t>在</w:t>
      </w:r>
      <w:r>
        <w:rPr>
          <w:rFonts w:hint="eastAsia" w:ascii="仿宋_GB2312" w:hAnsi="仿宋_GB2312" w:cs="仿宋_GB2312"/>
          <w:color w:val="auto"/>
        </w:rPr>
        <w:t>饮用水水源保护区内禁止下列行为：</w:t>
      </w:r>
    </w:p>
    <w:p>
      <w:pPr>
        <w:spacing w:line="590" w:lineRule="exact"/>
        <w:ind w:firstLine="640" w:firstLineChars="200"/>
        <w:rPr>
          <w:rFonts w:hint="eastAsia" w:ascii="仿宋_GB2312" w:hAnsi="黑体" w:cs="黑体"/>
          <w:color w:val="auto"/>
        </w:rPr>
      </w:pPr>
      <w:r>
        <w:rPr>
          <w:rFonts w:hint="eastAsia" w:ascii="仿宋_GB2312" w:hAnsi="黑体" w:cs="黑体"/>
          <w:color w:val="auto"/>
        </w:rPr>
        <w:t>（一）设置排污口；</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二</w:t>
      </w:r>
      <w:r>
        <w:rPr>
          <w:rFonts w:hint="eastAsia" w:ascii="仿宋_GB2312" w:hAnsi="仿宋_GB2312" w:cs="仿宋_GB2312"/>
          <w:color w:val="auto"/>
        </w:rPr>
        <w:t>）设置油类及其他有毒有害物品的储存罐、仓库、堆栈和废弃物回收场、加工场；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三</w:t>
      </w:r>
      <w:r>
        <w:rPr>
          <w:rFonts w:hint="eastAsia" w:ascii="仿宋_GB2312" w:hAnsi="仿宋_GB2312" w:cs="仿宋_GB2312"/>
          <w:color w:val="auto"/>
        </w:rPr>
        <w:t>）排放、倾倒、堆放、处置剧毒物品、放射性物质以及油类、酸碱类物质、工业废渣、生活垃圾、医疗废物及其他废弃物；</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四</w:t>
      </w:r>
      <w:r>
        <w:rPr>
          <w:rFonts w:hint="eastAsia" w:ascii="仿宋_GB2312" w:hAnsi="仿宋_GB2312" w:cs="仿宋_GB2312"/>
          <w:color w:val="auto"/>
        </w:rPr>
        <w:t>）从事船舶制造、修理、拆解作业；</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五</w:t>
      </w:r>
      <w:r>
        <w:rPr>
          <w:rFonts w:hint="eastAsia" w:ascii="仿宋_GB2312" w:hAnsi="仿宋_GB2312" w:cs="仿宋_GB2312"/>
          <w:color w:val="auto"/>
        </w:rPr>
        <w:t xml:space="preserve">）利用码头等设施或者船舶装卸油类、垃圾、粪便、煤、有毒有害物品； </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六</w:t>
      </w:r>
      <w:r>
        <w:rPr>
          <w:rFonts w:hint="eastAsia" w:ascii="仿宋_GB2312" w:hAnsi="仿宋_GB2312" w:cs="仿宋_GB2312"/>
          <w:color w:val="auto"/>
        </w:rPr>
        <w:t>）利用船舶运输剧毒物品、危险废物以及国家规定禁止运输的其他危险化学品；</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七</w:t>
      </w:r>
      <w:r>
        <w:rPr>
          <w:rFonts w:hint="eastAsia" w:ascii="仿宋_GB2312" w:hAnsi="仿宋_GB2312" w:cs="仿宋_GB2312"/>
          <w:color w:val="auto"/>
        </w:rPr>
        <w:t>）运输剧毒物品的车辆通行；</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八</w:t>
      </w:r>
      <w:r>
        <w:rPr>
          <w:rFonts w:hint="eastAsia" w:ascii="仿宋_GB2312" w:hAnsi="仿宋_GB2312" w:cs="仿宋_GB2312"/>
          <w:color w:val="auto"/>
        </w:rPr>
        <w:t>）其他污染饮用水水源的行为。</w:t>
      </w:r>
    </w:p>
    <w:p>
      <w:pPr>
        <w:pStyle w:val="7"/>
        <w:spacing w:line="590" w:lineRule="exact"/>
        <w:ind w:firstLine="632"/>
        <w:rPr>
          <w:rFonts w:hint="eastAsia" w:ascii="仿宋_GB2312" w:hAnsi="仿宋_GB2312" w:eastAsia="仿宋_GB2312" w:cs="仿宋_GB2312"/>
          <w:color w:val="auto"/>
        </w:rPr>
      </w:pPr>
      <w:r>
        <w:rPr>
          <w:rFonts w:hint="eastAsia" w:ascii="仿宋_GB2312" w:hAnsi="仿宋_GB2312" w:eastAsia="仿宋_GB2312" w:cs="仿宋_GB2312"/>
          <w:color w:val="auto"/>
        </w:rPr>
        <w:t>除前款规定外，饮用水水源一级保护区内还</w:t>
      </w:r>
      <w:r>
        <w:rPr>
          <w:rFonts w:hint="eastAsia" w:ascii="仿宋_GB2312" w:hAnsi="黑体" w:eastAsia="仿宋_GB2312" w:cs="黑体"/>
          <w:color w:val="auto"/>
        </w:rPr>
        <w:t>不得停泊与保护水源无关的船舶、木排、竹排，</w:t>
      </w:r>
      <w:r>
        <w:rPr>
          <w:rFonts w:hint="eastAsia" w:ascii="仿宋_GB2312" w:hAnsi="仿宋_GB2312" w:eastAsia="仿宋_GB2312" w:cs="仿宋_GB2312"/>
          <w:color w:val="auto"/>
        </w:rPr>
        <w:t>不得从事</w:t>
      </w:r>
      <w:r>
        <w:rPr>
          <w:rFonts w:hint="eastAsia" w:ascii="仿宋_GB2312" w:hAnsi="黑体" w:eastAsia="仿宋_GB2312" w:cs="黑体"/>
          <w:color w:val="auto"/>
        </w:rPr>
        <w:t>网箱养殖、旅游、游泳、垂钓、</w:t>
      </w:r>
      <w:r>
        <w:rPr>
          <w:rFonts w:hint="eastAsia" w:ascii="仿宋_GB2312" w:hAnsi="仿宋_GB2312" w:eastAsia="仿宋_GB2312" w:cs="仿宋_GB2312"/>
          <w:color w:val="auto"/>
        </w:rPr>
        <w:t>放养畜禽活动</w:t>
      </w:r>
      <w:r>
        <w:rPr>
          <w:rFonts w:hint="eastAsia" w:ascii="仿宋_GB2312" w:hAnsi="黑体" w:eastAsia="仿宋_GB2312" w:cs="黑体"/>
          <w:color w:val="auto"/>
        </w:rPr>
        <w:t>或者其他可能污染饮用水水体的活动</w:t>
      </w:r>
      <w:r>
        <w:rPr>
          <w:rFonts w:hint="eastAsia" w:ascii="仿宋_GB2312" w:hAnsi="仿宋_GB2312" w:eastAsia="仿宋_GB2312" w:cs="仿宋_GB2312"/>
          <w:color w:val="auto"/>
        </w:rPr>
        <w:t>。</w:t>
      </w:r>
    </w:p>
    <w:p>
      <w:pPr>
        <w:pStyle w:val="7"/>
        <w:spacing w:line="590" w:lineRule="exact"/>
        <w:ind w:firstLine="632"/>
        <w:rPr>
          <w:rFonts w:hint="eastAsia" w:ascii="黑体" w:hAnsi="黑体" w:eastAsia="黑体"/>
          <w:color w:val="auto"/>
        </w:rPr>
      </w:pPr>
      <w:r>
        <w:rPr>
          <w:rFonts w:hint="eastAsia" w:ascii="仿宋_GB2312" w:hAnsi="黑体" w:eastAsia="仿宋_GB2312" w:cs="黑体"/>
          <w:color w:val="auto"/>
        </w:rPr>
        <w:t>在饮用水水源二级保护区内从事网箱养殖、旅游等活动的，应当按照规定采取措施，防止污染饮用水水体。</w:t>
      </w:r>
    </w:p>
    <w:p>
      <w:pPr>
        <w:pStyle w:val="7"/>
        <w:spacing w:line="590" w:lineRule="exact"/>
        <w:ind w:firstLine="632"/>
        <w:rPr>
          <w:rFonts w:hint="eastAsia" w:ascii="仿宋_GB2312" w:hAnsi="仿宋_GB2312" w:eastAsia="仿宋_GB2312" w:cs="仿宋_GB2312"/>
          <w:color w:val="auto"/>
        </w:rPr>
      </w:pPr>
      <w:r>
        <w:rPr>
          <w:rFonts w:hint="eastAsia" w:ascii="黑体" w:hAnsi="黑体" w:eastAsia="黑体" w:cs="仿宋_GB2312"/>
          <w:color w:val="auto"/>
        </w:rPr>
        <w:t>第四十四条</w:t>
      </w:r>
      <w:r>
        <w:rPr>
          <w:rFonts w:hint="eastAsia" w:ascii="仿宋_GB2312" w:hAnsi="仿宋_GB2312" w:eastAsia="仿宋_GB2312" w:cs="仿宋_GB2312"/>
          <w:color w:val="auto"/>
        </w:rPr>
        <w:t xml:space="preserve">  禁止在饮用水水源一级保护区内新建、改建、扩建与供水设施和保护水源无关的建设项目</w:t>
      </w:r>
      <w:r>
        <w:rPr>
          <w:rFonts w:hint="eastAsia" w:ascii="仿宋_GB2312" w:hAnsi="黑体" w:eastAsia="仿宋_GB2312" w:cs="黑体"/>
          <w:color w:val="auto"/>
        </w:rPr>
        <w:t>；已建成的与供水设施和保护水源无关的建设项目由县级以上人民政府责令拆除或者关闭</w:t>
      </w:r>
      <w:r>
        <w:rPr>
          <w:rFonts w:hint="eastAsia" w:ascii="仿宋_GB2312" w:hAnsi="仿宋_GB2312" w:eastAsia="仿宋_GB2312" w:cs="仿宋_GB2312"/>
          <w:color w:val="auto"/>
        </w:rPr>
        <w:t>。</w:t>
      </w:r>
    </w:p>
    <w:p>
      <w:pPr>
        <w:pStyle w:val="7"/>
        <w:spacing w:line="590" w:lineRule="exact"/>
        <w:ind w:firstLine="632"/>
        <w:rPr>
          <w:rFonts w:hint="eastAsia" w:ascii="黑体" w:hAnsi="黑体" w:eastAsia="黑体" w:cs="仿宋_GB2312"/>
          <w:color w:val="auto"/>
        </w:rPr>
      </w:pPr>
      <w:r>
        <w:rPr>
          <w:rFonts w:hint="eastAsia" w:ascii="仿宋_GB2312" w:hAnsi="仿宋_GB2312" w:eastAsia="仿宋_GB2312" w:cs="仿宋_GB2312"/>
          <w:color w:val="auto"/>
        </w:rPr>
        <w:t>禁止在饮用水水源二级保护区内新建、改建、扩建排放污染物的建设项目</w:t>
      </w:r>
      <w:r>
        <w:rPr>
          <w:rFonts w:hint="eastAsia" w:ascii="仿宋_GB2312" w:hAnsi="黑体" w:eastAsia="仿宋_GB2312" w:cs="黑体"/>
          <w:color w:val="auto"/>
        </w:rPr>
        <w:t>；已建成的排放污染物的建设项目由县级以上人民政府责令拆除或者关闭；不排放污染物的建设项目，除与供水设施和保护水源有关的外，</w:t>
      </w:r>
      <w:r>
        <w:rPr>
          <w:rFonts w:hint="eastAsia" w:ascii="仿宋_GB2312" w:hAnsi="仿宋_GB2312" w:eastAsia="仿宋_GB2312" w:cs="仿宋_GB2312"/>
          <w:color w:val="auto"/>
        </w:rPr>
        <w:t>应当尽量避让饮用水水源二级保护区</w:t>
      </w:r>
      <w:r>
        <w:rPr>
          <w:rFonts w:hint="eastAsia" w:ascii="仿宋_GB2312" w:hAnsi="黑体" w:eastAsia="仿宋_GB2312" w:cs="黑体"/>
          <w:color w:val="auto"/>
        </w:rPr>
        <w:t>；经组织论证确实无法避让的，应当依法严格审批。</w:t>
      </w:r>
      <w:r>
        <w:rPr>
          <w:rFonts w:hint="eastAsia" w:ascii="仿宋_GB2312" w:hAnsi="仿宋_GB2312" w:eastAsia="仿宋_GB2312" w:cs="仿宋_GB2312"/>
          <w:color w:val="auto"/>
        </w:rPr>
        <w:t>经依法批准的建设项目，应当严格落实工程设计</w:t>
      </w:r>
      <w:r>
        <w:rPr>
          <w:rFonts w:hint="eastAsia" w:ascii="仿宋_GB2312" w:hAnsi="黑体" w:eastAsia="仿宋_GB2312" w:cs="黑体"/>
          <w:color w:val="auto"/>
        </w:rPr>
        <w:t>方案，并根据项目类型和环境风险防控需要，提高</w:t>
      </w:r>
      <w:r>
        <w:rPr>
          <w:rFonts w:hint="eastAsia" w:ascii="仿宋_GB2312" w:hAnsi="仿宋_GB2312" w:eastAsia="仿宋_GB2312" w:cs="仿宋_GB2312"/>
          <w:color w:val="auto"/>
        </w:rPr>
        <w:t>施工和运营期间的环境风险防控、突发环境事件应急处置等各项措施</w:t>
      </w:r>
      <w:r>
        <w:rPr>
          <w:rFonts w:hint="eastAsia" w:ascii="仿宋_GB2312" w:hAnsi="黑体" w:eastAsia="仿宋_GB2312" w:cs="黑体"/>
          <w:color w:val="auto"/>
        </w:rPr>
        <w:t>的等级。有关主管部门应当</w:t>
      </w:r>
      <w:r>
        <w:rPr>
          <w:rFonts w:hint="eastAsia" w:ascii="仿宋_GB2312" w:hAnsi="仿宋_GB2312" w:eastAsia="仿宋_GB2312" w:cs="仿宋_GB2312"/>
          <w:color w:val="auto"/>
        </w:rPr>
        <w:t>加强</w:t>
      </w:r>
      <w:r>
        <w:rPr>
          <w:rFonts w:hint="eastAsia" w:ascii="仿宋_GB2312" w:hAnsi="黑体" w:eastAsia="仿宋_GB2312" w:cs="黑体"/>
          <w:color w:val="auto"/>
        </w:rPr>
        <w:t>对建设项目施工、运营期间</w:t>
      </w:r>
      <w:r>
        <w:rPr>
          <w:rFonts w:hint="eastAsia" w:ascii="仿宋_GB2312" w:hAnsi="仿宋_GB2312" w:eastAsia="仿宋_GB2312" w:cs="仿宋_GB2312"/>
          <w:color w:val="auto"/>
        </w:rPr>
        <w:t>环境风险预警和防控工作</w:t>
      </w:r>
      <w:r>
        <w:rPr>
          <w:rFonts w:hint="eastAsia" w:ascii="仿宋_GB2312" w:hAnsi="黑体" w:eastAsia="仿宋_GB2312" w:cs="黑体"/>
          <w:color w:val="auto"/>
        </w:rPr>
        <w:t>的监督和指导</w:t>
      </w:r>
      <w:r>
        <w:rPr>
          <w:rFonts w:hint="eastAsia" w:ascii="仿宋_GB2312" w:hAnsi="仿宋_GB2312" w:eastAsia="仿宋_GB2312" w:cs="仿宋_GB2312"/>
          <w:color w:val="auto"/>
        </w:rPr>
        <w:t>。</w:t>
      </w:r>
    </w:p>
    <w:p>
      <w:pPr>
        <w:spacing w:line="590" w:lineRule="exact"/>
        <w:ind w:firstLine="640" w:firstLineChars="200"/>
        <w:rPr>
          <w:rFonts w:hint="eastAsia" w:eastAsia="宋体"/>
        </w:rPr>
      </w:pPr>
      <w:r>
        <w:rPr>
          <w:rFonts w:hint="eastAsia" w:ascii="黑体" w:hAnsi="黑体" w:eastAsia="黑体"/>
        </w:rPr>
        <w:t>第</w:t>
      </w:r>
      <w:r>
        <w:rPr>
          <w:rFonts w:hint="eastAsia" w:ascii="黑体" w:hAnsi="黑体" w:eastAsia="黑体"/>
          <w:szCs w:val="32"/>
        </w:rPr>
        <w:t>四十五</w:t>
      </w:r>
      <w:r>
        <w:rPr>
          <w:rFonts w:hint="eastAsia" w:ascii="黑体" w:hAnsi="黑体" w:eastAsia="黑体"/>
        </w:rPr>
        <w:t>条</w:t>
      </w:r>
      <w:r>
        <w:rPr>
          <w:rFonts w:hint="eastAsia"/>
        </w:rPr>
        <w:t xml:space="preserve">  单一</w:t>
      </w:r>
      <w:r>
        <w:rPr>
          <w:rFonts w:hint="eastAsia" w:ascii="黑体" w:hAnsi="黑体" w:cs="黑体"/>
        </w:rPr>
        <w:t>饮用水</w:t>
      </w:r>
      <w:r>
        <w:rPr>
          <w:rFonts w:hint="eastAsia"/>
        </w:rPr>
        <w:t>水源供水城市的人民政府应当建设应急水源或者备用水源，有条件的地区可以开展区域联网供水。确定为应急水源或者备用水源的，应当划定饮用水水源保护区，配备供水设施，并采取措施加强保护。</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四十六</w:t>
      </w:r>
      <w:r>
        <w:rPr>
          <w:rFonts w:hint="eastAsia" w:ascii="黑体" w:hAnsi="黑体" w:eastAsia="黑体" w:cs="仿宋_GB2312"/>
          <w:color w:val="auto"/>
        </w:rPr>
        <w:t>条</w:t>
      </w:r>
      <w:r>
        <w:rPr>
          <w:rFonts w:hint="eastAsia" w:ascii="仿宋_GB2312" w:hAnsi="仿宋_GB2312" w:cs="仿宋_GB2312"/>
          <w:color w:val="auto"/>
        </w:rPr>
        <w:t xml:space="preserve">  县级以上人民政府可以依法征用或者租用饮用水水源保护区内的土地，用于涵养饮用水水源。严格限制饮用水水源汇水区内的生态保护与水源涵养区域变更土地利用方式。</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因划定或者调整饮用水水源保护区，对饮用水水源保护区内的公民、法人和其他组织的合法权益造成损害的，有关人民政府应当依法予以补偿。</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四十七</w:t>
      </w:r>
      <w:r>
        <w:rPr>
          <w:rFonts w:hint="eastAsia" w:ascii="黑体" w:hAnsi="黑体" w:eastAsia="黑体" w:cs="仿宋_GB2312"/>
          <w:color w:val="auto"/>
        </w:rPr>
        <w:t>条</w:t>
      </w:r>
      <w:r>
        <w:rPr>
          <w:rFonts w:hint="eastAsia" w:ascii="仿宋_GB2312" w:hAnsi="仿宋_GB2312" w:cs="仿宋_GB2312"/>
          <w:color w:val="auto"/>
        </w:rPr>
        <w:t xml:space="preserve">  县级以上人民政府应当组织生态环境、供水、卫生健康等主管部门，监测和评估本行政区域内饮用水水源、供水单位供水和用户水龙头出水的水质等饮用水安全状况。</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县级以上人民政府有关部门应当至少每季度向社会公开一次饮用水安全状况信息。</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四十八</w:t>
      </w:r>
      <w:r>
        <w:rPr>
          <w:rFonts w:hint="eastAsia" w:ascii="黑体" w:hAnsi="黑体" w:eastAsia="黑体" w:cs="仿宋_GB2312"/>
          <w:color w:val="auto"/>
        </w:rPr>
        <w:t>条</w:t>
      </w:r>
      <w:r>
        <w:rPr>
          <w:rFonts w:hint="eastAsia" w:ascii="仿宋_GB2312" w:hAnsi="仿宋_GB2312" w:cs="仿宋_GB2312"/>
          <w:color w:val="auto"/>
        </w:rPr>
        <w:t xml:space="preserve">  在异地引水工程的管理和保护范围内，不得从事危及工程安全运行的爆破、打井、采石、陡坡开荒、排放或者堆放污染物等活动。</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任何单位和个人不得侵占或者损毁输水管道、阀门、泵站等异地引水工程设施。</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禁止在未采取加固措施的输水管道上方行驶或者停放车辆以及大量堆放砂石、砖瓦、金属、木材等物品，禁止在异地引水工程管理范围内敷设可能对输水管道及其附属设施产生侵蚀的管道或者其他构筑物以及种植根系发达、可能损坏输水管道防腐层的植物。</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rPr>
        <w:t>第</w:t>
      </w:r>
      <w:r>
        <w:rPr>
          <w:rFonts w:hint="eastAsia" w:ascii="黑体" w:hAnsi="黑体" w:eastAsia="黑体" w:cs="仿宋_GB2312"/>
          <w:color w:val="auto"/>
          <w:szCs w:val="32"/>
        </w:rPr>
        <w:t>四十九</w:t>
      </w:r>
      <w:r>
        <w:rPr>
          <w:rFonts w:hint="eastAsia" w:ascii="黑体" w:hAnsi="黑体" w:eastAsia="黑体" w:cs="仿宋_GB2312"/>
          <w:color w:val="auto"/>
        </w:rPr>
        <w:t>条</w:t>
      </w:r>
      <w:r>
        <w:rPr>
          <w:rFonts w:hint="eastAsia" w:ascii="仿宋_GB2312" w:hAnsi="仿宋_GB2312" w:cs="仿宋_GB2312"/>
          <w:color w:val="auto"/>
        </w:rPr>
        <w:t xml:space="preserve">  </w:t>
      </w:r>
      <w:r>
        <w:rPr>
          <w:rFonts w:hint="eastAsia" w:ascii="仿宋_GB2312" w:hAnsi="仿宋_GB2312" w:cs="仿宋_GB2312"/>
          <w:color w:val="auto"/>
          <w:szCs w:val="32"/>
        </w:rPr>
        <w:t>禁止在江河、湖泊、运河、渠道、水库最高水位线以下的滩地和岸坡堆放、存贮固体废弃物和其他污染物。</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禁止在东江干流和一级支流两岸最高水位线水平外延五百米范围内新建废弃物堆放场和处理场。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禁止在西江干流、一级支流两岸及</w:t>
      </w:r>
      <w:r>
        <w:rPr>
          <w:rFonts w:hint="eastAsia" w:ascii="黑体" w:hAnsi="黑体" w:cs="黑体"/>
          <w:color w:val="auto"/>
        </w:rPr>
        <w:t>流域内</w:t>
      </w:r>
      <w:r>
        <w:rPr>
          <w:rFonts w:hint="eastAsia" w:ascii="仿宋_GB2312" w:hAnsi="仿宋_GB2312" w:cs="仿宋_GB2312"/>
          <w:color w:val="auto"/>
        </w:rPr>
        <w:t>湖泊、水库最高水位线水平外延五百米范围内新建、扩建废弃物堆放场和处理场。</w:t>
      </w:r>
    </w:p>
    <w:p>
      <w:pPr>
        <w:pStyle w:val="7"/>
        <w:spacing w:line="590" w:lineRule="exact"/>
        <w:ind w:firstLine="632"/>
        <w:rPr>
          <w:rFonts w:hint="eastAsia" w:ascii="黑体" w:hAnsi="黑体" w:eastAsia="仿宋_GB2312" w:cs="黑体"/>
        </w:rPr>
      </w:pPr>
      <w:r>
        <w:rPr>
          <w:rFonts w:hint="eastAsia" w:ascii="黑体" w:hAnsi="黑体" w:eastAsia="仿宋_GB2312" w:cs="黑体"/>
        </w:rPr>
        <w:t>禁止在韩江干流和一级、二级支流两岸最高水位线水平外延五百米范围内新建废弃物堆放场和处理场。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已有的堆放场和处理场应当采取有效的防治污染措施，危及水体水质安全的，由县级以上人民政府责令限期搬迁。</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w:t>
      </w:r>
      <w:r>
        <w:rPr>
          <w:rFonts w:hint="eastAsia" w:ascii="黑体" w:hAnsi="仿宋_GB2312" w:eastAsia="黑体" w:cs="仿宋_GB2312"/>
          <w:color w:val="auto"/>
          <w:szCs w:val="32"/>
        </w:rPr>
        <w:t>五十</w:t>
      </w:r>
      <w:r>
        <w:rPr>
          <w:rFonts w:hint="eastAsia" w:ascii="黑体" w:hAnsi="仿宋_GB2312" w:eastAsia="黑体" w:cs="仿宋_GB2312"/>
          <w:color w:val="auto"/>
        </w:rPr>
        <w:t>条</w:t>
      </w:r>
      <w:r>
        <w:rPr>
          <w:rFonts w:hint="eastAsia" w:ascii="仿宋_GB2312" w:hAnsi="仿宋_GB2312" w:cs="仿宋_GB2312"/>
          <w:color w:val="auto"/>
        </w:rPr>
        <w:t xml:space="preserve">  新建、改建、扩建的项目应当符合国家产业政策规定。</w:t>
      </w:r>
    </w:p>
    <w:p>
      <w:pPr>
        <w:spacing w:line="590" w:lineRule="exact"/>
        <w:ind w:firstLine="640" w:firstLineChars="200"/>
        <w:rPr>
          <w:rFonts w:hint="eastAsia" w:ascii="仿宋_GB2312" w:hAnsi="仿宋_GB2312" w:cs="仿宋_GB2312"/>
          <w:color w:val="auto"/>
        </w:rPr>
      </w:pPr>
      <w:r>
        <w:rPr>
          <w:rFonts w:hint="eastAsia" w:ascii="黑体" w:hAnsi="黑体" w:cs="黑体"/>
          <w:color w:val="auto"/>
        </w:rPr>
        <w:t>在东江流域内，</w:t>
      </w:r>
      <w:r>
        <w:rPr>
          <w:rFonts w:hint="eastAsia" w:ascii="仿宋_GB2312" w:hAnsi="仿宋_GB2312" w:cs="仿宋_GB2312"/>
          <w:color w:val="auto"/>
        </w:rPr>
        <w:t>除国家产业政策规定的禁止项目外，还禁止新建农药、铬盐、钛白粉</w:t>
      </w:r>
      <w:r>
        <w:rPr>
          <w:rFonts w:hint="eastAsia" w:ascii="黑体" w:hAnsi="黑体" w:cs="黑体"/>
          <w:color w:val="auto"/>
        </w:rPr>
        <w:t>生产项目，禁止新建</w:t>
      </w:r>
      <w:r>
        <w:rPr>
          <w:rFonts w:hint="eastAsia" w:ascii="仿宋_GB2312" w:hAnsi="仿宋_GB2312" w:cs="仿宋_GB2312"/>
          <w:color w:val="auto"/>
        </w:rPr>
        <w:t>稀土分离、炼砒、炼铍、纸浆制造</w:t>
      </w:r>
      <w:r>
        <w:rPr>
          <w:rFonts w:hint="eastAsia" w:ascii="黑体" w:hAnsi="黑体" w:cs="黑体"/>
          <w:color w:val="auto"/>
        </w:rPr>
        <w:t>、</w:t>
      </w:r>
      <w:r>
        <w:rPr>
          <w:rFonts w:hint="eastAsia" w:ascii="仿宋_GB2312" w:hAnsi="仿宋_GB2312" w:cs="仿宋_GB2312"/>
          <w:color w:val="auto"/>
        </w:rPr>
        <w:t>氰化法提炼产品、开采和冶炼放射性矿产及其他严重污染水环境的</w:t>
      </w:r>
      <w:r>
        <w:rPr>
          <w:rFonts w:hint="eastAsia" w:ascii="黑体" w:hAnsi="黑体" w:cs="黑体"/>
          <w:color w:val="auto"/>
        </w:rPr>
        <w:t>项目</w:t>
      </w:r>
      <w:r>
        <w:rPr>
          <w:rFonts w:hint="eastAsia" w:ascii="仿宋_GB2312" w:hAnsi="仿宋_GB2312" w:cs="仿宋_GB2312"/>
          <w:color w:val="auto"/>
        </w:rPr>
        <w:t>；严格控制新建造纸、制革、味精、电镀、漂染、印染、炼油、发酵酿造、非放射性矿产冶炼以及使用含汞、砷、镉、铬、铅为原料的项目。禁止在东江水系岸边和水上拆船。</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北江流域实行重金属污染物排放总量控制，严格控制新建涉重金属排放的项目，新建、改建、扩建的项目严格实行重金属等特征污染物排放减量置换。</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第五十一条</w:t>
      </w:r>
      <w:r>
        <w:rPr>
          <w:rFonts w:hint="eastAsia" w:ascii="仿宋_GB2312" w:hAnsi="仿宋_GB2312" w:cs="仿宋_GB2312"/>
          <w:color w:val="auto"/>
        </w:rPr>
        <w:t xml:space="preserve">  县级以上人民政府应当加大保护和改善水环境、防治水污染的财政投入。</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省人民政府应当每年从财政预算中安排东江水系水质保护专项资金，用作上、中游水系水质保护经费。水质保护经费的使用管理办法由省人民政府规定。</w:t>
      </w:r>
    </w:p>
    <w:p>
      <w:pPr>
        <w:pStyle w:val="7"/>
        <w:spacing w:line="590" w:lineRule="exact"/>
        <w:ind w:firstLine="632"/>
        <w:rPr>
          <w:rFonts w:hint="eastAsia" w:ascii="仿宋_GB2312" w:hAnsi="仿宋_GB2312" w:eastAsia="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第六章  区域水污染防治协作</w:t>
      </w:r>
    </w:p>
    <w:p>
      <w:pPr>
        <w:spacing w:line="590" w:lineRule="exact"/>
        <w:ind w:firstLine="640" w:firstLineChars="200"/>
        <w:rPr>
          <w:rFonts w:hint="eastAsia" w:ascii="黑体" w:hAnsi="黑体" w:eastAsia="黑体"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五十二</w:t>
      </w:r>
      <w:r>
        <w:rPr>
          <w:rFonts w:hint="eastAsia" w:ascii="黑体" w:hAnsi="黑体" w:eastAsia="黑体" w:cs="仿宋_GB2312"/>
          <w:color w:val="auto"/>
        </w:rPr>
        <w:t>条</w:t>
      </w:r>
      <w:r>
        <w:rPr>
          <w:rFonts w:hint="eastAsia" w:ascii="仿宋_GB2312" w:hAnsi="仿宋_GB2312" w:cs="仿宋_GB2312"/>
          <w:color w:val="auto"/>
        </w:rPr>
        <w:t xml:space="preserve">  省人民政府应当加强省际间水质保护的协调、合作，共同预防和治理水污染、保护水环境。</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省人民政府生态环境主管部门应当建立完善与相邻省级人民政府生态环境主管部门的联动工作机制，加强水环境信息交流和共享，依法开展生态环境监测、执法、应急处置等合作，共同处理跨省突发水环境事件以及水污染纠纷，协调解决跨省重大水环境问题。</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五十三</w:t>
      </w:r>
      <w:r>
        <w:rPr>
          <w:rFonts w:hint="eastAsia" w:ascii="黑体" w:hAnsi="黑体" w:eastAsia="黑体" w:cs="仿宋_GB2312"/>
          <w:color w:val="auto"/>
        </w:rPr>
        <w:t>条</w:t>
      </w:r>
      <w:r>
        <w:rPr>
          <w:rFonts w:hint="eastAsia" w:ascii="仿宋_GB2312" w:hAnsi="仿宋_GB2312" w:cs="仿宋_GB2312"/>
          <w:color w:val="auto"/>
        </w:rPr>
        <w:t xml:space="preserve">  省人民政府应当建立完善省内重点流域、重点区域水污染防治协作机制，组织相关地级以上市人民政府共同研究解决水污染防治的重大事项。</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有关地级以上市、县级人民政府应当建立跨行政区域水污染联防联控机制，协同开展跨行政区域水污染防治工作，实施统一监测、共同治理、联合执法、应急联动，加强共享水环境信息，协调处理跨行政区域的水污染纠纷。</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跨流域水资源调配工程沿线的</w:t>
      </w:r>
      <w:r>
        <w:rPr>
          <w:rFonts w:hint="eastAsia" w:ascii="黑体" w:hAnsi="黑体" w:cs="黑体"/>
          <w:color w:val="auto"/>
        </w:rPr>
        <w:t>地级以上市、</w:t>
      </w:r>
      <w:r>
        <w:rPr>
          <w:rFonts w:hint="eastAsia" w:ascii="仿宋_GB2312" w:hAnsi="仿宋_GB2312" w:cs="仿宋_GB2312"/>
          <w:color w:val="auto"/>
        </w:rPr>
        <w:t>县级人民政府应当加强水污染防治，共同做好水质保障工作。</w:t>
      </w: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五十四</w:t>
      </w:r>
      <w:r>
        <w:rPr>
          <w:rFonts w:hint="eastAsia" w:ascii="黑体" w:hAnsi="黑体" w:eastAsia="黑体" w:cs="仿宋_GB2312"/>
          <w:color w:val="auto"/>
        </w:rPr>
        <w:t>条</w:t>
      </w:r>
      <w:r>
        <w:rPr>
          <w:rFonts w:hint="eastAsia" w:ascii="仿宋_GB2312" w:hAnsi="仿宋_GB2312" w:cs="仿宋_GB2312"/>
          <w:color w:val="auto"/>
        </w:rPr>
        <w:t xml:space="preserve">  省人民政府和粤港澳大湾区内地级以上市人民政府应当推动构建粤港澳水污染防治的统筹协调机制，实施重要江河水质提升工程，保障珠三角以及港澳供水安全，推进重污染河流系统治理，加强与港澳地区交接河流的污染整治。</w:t>
      </w:r>
    </w:p>
    <w:p>
      <w:pPr>
        <w:spacing w:line="590" w:lineRule="exact"/>
        <w:ind w:firstLine="640" w:firstLineChars="200"/>
        <w:jc w:val="left"/>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五十五</w:t>
      </w:r>
      <w:r>
        <w:rPr>
          <w:rFonts w:hint="eastAsia" w:ascii="黑体" w:hAnsi="黑体" w:eastAsia="黑体" w:cs="仿宋_GB2312"/>
          <w:color w:val="auto"/>
        </w:rPr>
        <w:t>条</w:t>
      </w:r>
      <w:r>
        <w:rPr>
          <w:rFonts w:hint="eastAsia" w:ascii="仿宋_GB2312" w:hAnsi="仿宋_GB2312" w:cs="仿宋_GB2312"/>
          <w:color w:val="auto"/>
        </w:rPr>
        <w:t xml:space="preserve">  省人民政府和粤港澳大湾区内地级以上市人民政府应当推动建立大湾区生态环境交流合作机制和平台，加强与港澳地区水资源保护、水污染治理、水生态保护等技术交流和合作。</w:t>
      </w: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五十六</w:t>
      </w:r>
      <w:r>
        <w:rPr>
          <w:rFonts w:hint="eastAsia" w:ascii="黑体" w:hAnsi="黑体" w:eastAsia="黑体" w:cs="仿宋_GB2312"/>
          <w:color w:val="auto"/>
        </w:rPr>
        <w:t>条</w:t>
      </w:r>
      <w:r>
        <w:rPr>
          <w:rFonts w:hint="eastAsia" w:ascii="仿宋_GB2312" w:hAnsi="仿宋_GB2312" w:cs="仿宋_GB2312"/>
          <w:color w:val="auto"/>
        </w:rPr>
        <w:t xml:space="preserve">  地级以上市、县级人民政府应当确保河流交接断面水质达到控制目标要求。水质未达到控制目标要求的，责任方应当采取有效措施，限期达标。以河流中心线为行政区划界限的共有河段，由相邻地级以上市、县级人民政府共同承担保护责任，采取有效措施，确保水质达到目标要求。</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五十七</w:t>
      </w:r>
      <w:r>
        <w:rPr>
          <w:rFonts w:hint="eastAsia" w:ascii="黑体" w:hAnsi="黑体" w:eastAsia="黑体" w:cs="仿宋_GB2312"/>
          <w:color w:val="auto"/>
        </w:rPr>
        <w:t>条</w:t>
      </w:r>
      <w:r>
        <w:rPr>
          <w:rFonts w:hint="eastAsia" w:ascii="仿宋_GB2312" w:hAnsi="仿宋_GB2312" w:cs="仿宋_GB2312"/>
          <w:color w:val="auto"/>
        </w:rPr>
        <w:t xml:space="preserve">  省人民政府应当推</w:t>
      </w:r>
      <w:r>
        <w:rPr>
          <w:rFonts w:hint="eastAsia" w:ascii="仿宋_GB2312" w:hAnsi="黑体" w:cs="黑体"/>
          <w:color w:val="auto"/>
        </w:rPr>
        <w:t>进</w:t>
      </w:r>
      <w:r>
        <w:rPr>
          <w:rFonts w:hint="eastAsia" w:ascii="仿宋_GB2312" w:hAnsi="仿宋_GB2312" w:cs="仿宋_GB2312"/>
          <w:color w:val="auto"/>
        </w:rPr>
        <w:t>水环境生态补偿制度和标准体系</w:t>
      </w:r>
      <w:r>
        <w:rPr>
          <w:rFonts w:hint="eastAsia" w:ascii="仿宋_GB2312" w:hAnsi="黑体" w:cs="黑体"/>
          <w:color w:val="auto"/>
        </w:rPr>
        <w:t>建设</w:t>
      </w:r>
      <w:r>
        <w:rPr>
          <w:rFonts w:hint="eastAsia" w:ascii="仿宋_GB2312" w:hAnsi="仿宋_GB2312" w:cs="仿宋_GB2312"/>
          <w:color w:val="auto"/>
        </w:rPr>
        <w:t>，通过资金补偿、对口协作、产业转移、人才培训、共建园区等方式，推动受益地区与上游地区、受水地区和供水地区建立生态补偿关系。发挥财政资金的引导和带动作用，鼓励引入社会资本参与生态保护补偿工作。</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县级以上人民政府及有关主管部门应当加强对重点湿地的保护，鼓励农民退耕退养还湿地，对纳入保护范围、具有水源涵养功能的湿地按面积和水质状况向土地使用权人支付生态补偿费。</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有关人民政府应当落实生态保护补偿资金，确保其用于生态保护补偿，不得截留、占用、挪用。</w:t>
      </w:r>
    </w:p>
    <w:p>
      <w:pPr>
        <w:spacing w:line="590" w:lineRule="exact"/>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第七章  风险防范与事故应急处置</w:t>
      </w:r>
    </w:p>
    <w:p>
      <w:pPr>
        <w:spacing w:line="590" w:lineRule="exact"/>
        <w:jc w:val="center"/>
        <w:rPr>
          <w:rFonts w:hint="eastAsia" w:ascii="黑体" w:hAnsi="黑体" w:eastAsia="黑体" w:cs="仿宋_GB2312"/>
          <w:color w:val="auto"/>
          <w:szCs w:val="32"/>
        </w:rPr>
      </w:pPr>
      <w:r>
        <w:rPr>
          <w:rFonts w:hint="eastAsia" w:ascii="仿宋_GB2312" w:hAnsi="仿宋_GB2312" w:cs="仿宋_GB2312"/>
          <w:color w:val="auto"/>
          <w:szCs w:val="32"/>
        </w:rPr>
        <w:t xml:space="preserve"> </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第五</w:t>
      </w:r>
      <w:r>
        <w:rPr>
          <w:rFonts w:hint="eastAsia" w:ascii="黑体" w:hAnsi="黑体" w:eastAsia="黑体" w:cs="仿宋_GB2312"/>
          <w:color w:val="auto"/>
        </w:rPr>
        <w:t>十八</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县级以上人民政府应当组织相关部门加强对以饮用水</w:t>
      </w:r>
      <w:r>
        <w:rPr>
          <w:rFonts w:hint="eastAsia" w:ascii="仿宋_GB2312" w:hAnsi="仿宋_GB2312" w:cs="仿宋_GB2312"/>
          <w:color w:val="auto"/>
          <w:szCs w:val="32"/>
          <w:lang w:eastAsia="zh-CN"/>
        </w:rPr>
        <w:t>水</w:t>
      </w:r>
      <w:r>
        <w:rPr>
          <w:rFonts w:hint="eastAsia" w:ascii="仿宋_GB2312" w:hAnsi="仿宋_GB2312" w:cs="仿宋_GB2312"/>
          <w:color w:val="auto"/>
          <w:szCs w:val="32"/>
        </w:rPr>
        <w:t>源功能为主的江河、湖泊、水库风险源排查，制定风险控制对策，构建风险防范体系。</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县级以上人民政府及相关主管部门应当加强水环境应急能力标准化建设，配备应急监测设备和装备，提高区域水污染事故预警能力。</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第五十九条</w:t>
      </w:r>
      <w:r>
        <w:rPr>
          <w:rFonts w:hint="eastAsia" w:ascii="仿宋_GB2312" w:hAnsi="仿宋_GB2312" w:cs="仿宋_GB2312"/>
          <w:color w:val="auto"/>
          <w:szCs w:val="32"/>
        </w:rPr>
        <w:t xml:space="preserve">  县级以上生态环境主管部门和县级以上人民政府负有水污染防治监督管理职责的部门应当按照各自职责对排污口、水污染防治设施进行环境安全监督检查。</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可能发生水污染事故的企业事业单位应当按照国家和省有关规定开展环境安全隐患排查和水污染事故风险评估，采取有效措施，防控环境风险。</w:t>
      </w:r>
    </w:p>
    <w:p>
      <w:pPr>
        <w:spacing w:line="590" w:lineRule="exact"/>
        <w:ind w:firstLine="640" w:firstLineChars="200"/>
        <w:rPr>
          <w:rFonts w:hint="eastAsia" w:ascii="仿宋_GB2312" w:hAnsi="仿宋_GB2312" w:cs="仿宋_GB2312"/>
          <w:color w:val="auto"/>
          <w:szCs w:val="32"/>
        </w:rPr>
      </w:pPr>
      <w:r>
        <w:rPr>
          <w:rFonts w:hint="eastAsia" w:ascii="黑体" w:hAnsi="仿宋_GB2312" w:eastAsia="黑体" w:cs="仿宋_GB2312"/>
          <w:color w:val="auto"/>
          <w:szCs w:val="32"/>
        </w:rPr>
        <w:t>第六十条</w:t>
      </w:r>
      <w:r>
        <w:rPr>
          <w:rFonts w:hint="eastAsia" w:ascii="仿宋_GB2312" w:hAnsi="仿宋_GB2312" w:cs="仿宋_GB2312"/>
          <w:color w:val="auto"/>
          <w:szCs w:val="32"/>
        </w:rPr>
        <w:t xml:space="preserve">  因突发性污染事件造成或者可能造成水污染的，有关企业事业单位、负有水污染防治监督管理职责的部门以及相关人民政府应当按照国家和省的有关规定及时报告。对可能造成跨行政区域水体污染的，事件发生地人民政府应当及时通报可能受到污染区域的人民政府。</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突发性污染事件发生后，有关企业事业单位应当立即启动本单位的应急方案，采取隔离等应急措施，防止水污染物进入水体。相关人民政府及其有关部门应当启动应急预案，实施应急监测，采取应急措施，做好应急处置和调查处理工作。</w:t>
      </w:r>
    </w:p>
    <w:p>
      <w:pPr>
        <w:spacing w:line="590" w:lineRule="exact"/>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第八章  法律责任</w:t>
      </w:r>
    </w:p>
    <w:p>
      <w:pPr>
        <w:spacing w:line="590" w:lineRule="exact"/>
        <w:jc w:val="center"/>
        <w:rPr>
          <w:rFonts w:hint="eastAsia" w:ascii="黑体" w:hAnsi="黑体" w:eastAsia="黑体" w:cs="仿宋_GB2312"/>
          <w:color w:val="auto"/>
        </w:rPr>
      </w:pP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六十一</w:t>
      </w:r>
      <w:r>
        <w:rPr>
          <w:rFonts w:hint="eastAsia" w:ascii="黑体" w:hAnsi="黑体" w:eastAsia="黑体" w:cs="仿宋_GB2312"/>
          <w:color w:val="auto"/>
        </w:rPr>
        <w:t>条</w:t>
      </w:r>
      <w:r>
        <w:rPr>
          <w:rFonts w:hint="eastAsia" w:ascii="仿宋_GB2312" w:hAnsi="仿宋_GB2312" w:cs="仿宋_GB2312"/>
          <w:color w:val="auto"/>
        </w:rPr>
        <w:t xml:space="preserve">  违反本条例规定，法律、行政法规</w:t>
      </w:r>
      <w:r>
        <w:rPr>
          <w:rFonts w:hint="eastAsia" w:ascii="仿宋_GB2312" w:hAnsi="黑体" w:cs="黑体"/>
          <w:color w:val="auto"/>
        </w:rPr>
        <w:t>已</w:t>
      </w:r>
      <w:r>
        <w:rPr>
          <w:rFonts w:hint="eastAsia" w:ascii="仿宋_GB2312" w:hAnsi="仿宋_GB2312" w:cs="仿宋_GB2312"/>
          <w:color w:val="auto"/>
        </w:rPr>
        <w:t>有</w:t>
      </w:r>
      <w:r>
        <w:rPr>
          <w:rFonts w:hint="eastAsia" w:ascii="仿宋_GB2312" w:hAnsi="黑体" w:cs="黑体"/>
          <w:color w:val="auto"/>
        </w:rPr>
        <w:t>行政</w:t>
      </w:r>
      <w:r>
        <w:rPr>
          <w:rFonts w:hint="eastAsia" w:ascii="仿宋_GB2312" w:hAnsi="仿宋_GB2312" w:cs="仿宋_GB2312"/>
          <w:color w:val="auto"/>
        </w:rPr>
        <w:t>处罚规定的，从其规定</w:t>
      </w:r>
      <w:r>
        <w:rPr>
          <w:rFonts w:hint="eastAsia" w:ascii="仿宋_GB2312" w:hAnsi="黑体" w:cs="黑体"/>
          <w:color w:val="auto"/>
        </w:rPr>
        <w:t>；造成损失的，应当依法承担民事责任；构成犯罪的，依法追究刑事责任</w:t>
      </w:r>
      <w:r>
        <w:rPr>
          <w:rFonts w:hint="eastAsia" w:ascii="仿宋_GB2312" w:hAnsi="仿宋_GB2312" w:cs="仿宋_GB2312"/>
          <w:color w:val="auto"/>
        </w:rPr>
        <w:t>。</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第六十二条</w:t>
      </w:r>
      <w:r>
        <w:rPr>
          <w:rFonts w:hint="eastAsia" w:ascii="仿宋_GB2312" w:hAnsi="仿宋_GB2312" w:cs="仿宋_GB2312"/>
          <w:color w:val="auto"/>
        </w:rPr>
        <w:t xml:space="preserve">  违反本条例第二十一条第二款规定，在地表水Ⅰ、Ⅱ类水域和Ⅲ类水域中的保护区、游泳区新建排污口的，由所在地生态环境主管部门责令限期拆除，处二万元以上十万元以下的罚款；逾期不拆除的，处十万元以上五十万元以下的罚款；情节严重的，可以责令停产整治。</w:t>
      </w:r>
    </w:p>
    <w:p>
      <w:pPr>
        <w:pStyle w:val="7"/>
        <w:spacing w:line="590" w:lineRule="exact"/>
        <w:ind w:firstLine="632"/>
        <w:rPr>
          <w:rFonts w:hint="eastAsia" w:ascii="黑体" w:hAnsi="黑体" w:eastAsia="黑体" w:cs="仿宋_GB2312"/>
          <w:color w:val="auto"/>
        </w:rPr>
      </w:pPr>
      <w:r>
        <w:rPr>
          <w:rFonts w:hint="eastAsia" w:ascii="仿宋_GB2312" w:hAnsi="仿宋_GB2312" w:eastAsia="仿宋_GB2312" w:cs="仿宋_GB2312"/>
          <w:color w:val="auto"/>
        </w:rPr>
        <w:t>违反本条例第二十一条第三款规定，未经生态环境主管部门或者流域生态环境监督管理机构同意，擅自在江河、湖泊新建、改建或者扩建排污口的，由有管辖权的生态环境主管部门或者流域生态环境监督管理机构依据职权，责令限期拆除，处二万元以上十万元以下的罚款；逾期不拆除的，强制拆除，所需费用由违法者承担，处十万元以上五十万元以下的罚款；情节严重的，可以责令停产整治。</w:t>
      </w: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六十三</w:t>
      </w:r>
      <w:r>
        <w:rPr>
          <w:rFonts w:hint="eastAsia" w:ascii="黑体" w:hAnsi="黑体" w:eastAsia="黑体" w:cs="仿宋_GB2312"/>
          <w:color w:val="auto"/>
        </w:rPr>
        <w:t>条</w:t>
      </w:r>
      <w:r>
        <w:rPr>
          <w:rFonts w:hint="eastAsia" w:ascii="仿宋_GB2312" w:hAnsi="仿宋_GB2312" w:cs="仿宋_GB2312"/>
          <w:color w:val="auto"/>
        </w:rPr>
        <w:t xml:space="preserve">  环境监测机构违反本条例第二十三条第三款规定，未按照环境监测规范从事环境监测活动，造成监测数据失实的，由所在地生态环境主管部门责令改正，并可处二万元以上五万元以下的罚款；有隐瞒、伪造、篡改环境监测数据等弄虚作假行为的，由所在地生态环境主管部门责令改正，处十万元以上二十万元以下的罚款。</w:t>
      </w: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六十四</w:t>
      </w:r>
      <w:r>
        <w:rPr>
          <w:rFonts w:hint="eastAsia" w:ascii="黑体" w:hAnsi="黑体" w:eastAsia="黑体" w:cs="仿宋_GB2312"/>
          <w:color w:val="auto"/>
        </w:rPr>
        <w:t>条</w:t>
      </w:r>
      <w:r>
        <w:rPr>
          <w:rFonts w:hint="eastAsia" w:ascii="仿宋_GB2312" w:hAnsi="仿宋_GB2312" w:cs="仿宋_GB2312"/>
          <w:color w:val="auto"/>
        </w:rPr>
        <w:t xml:space="preserve">  违反本条例第四十二条第二款规定，拆除、覆盖、擅自移动饮用水水源保护区地理界标、警示标志、隔离防护设施或者监控设备的，由饮用水水源保护区所在地生态环境主管部门责令改正，处二千元以上一万元以下的罚款。</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六十五</w:t>
      </w:r>
      <w:r>
        <w:rPr>
          <w:rFonts w:hint="eastAsia" w:ascii="黑体" w:hAnsi="黑体" w:eastAsia="黑体" w:cs="仿宋_GB2312"/>
          <w:color w:val="auto"/>
        </w:rPr>
        <w:t>条</w:t>
      </w:r>
      <w:r>
        <w:rPr>
          <w:rFonts w:hint="eastAsia" w:ascii="仿宋_GB2312" w:hAnsi="仿宋_GB2312" w:cs="仿宋_GB2312"/>
          <w:color w:val="auto"/>
        </w:rPr>
        <w:t xml:space="preserve">  违反本条例第四十三条第一款规定，按照以下规定处罚：</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一）在饮用水水源保护区内设置油类及其他有毒有害物品的储存罐、仓库、堆栈和废弃物回收场、加工场的，由所在地生态环境主管部门责令停止违法行为，处十万元以上一百万元以下的罚款，并报经有批准权的人民政府批准，责令拆除或者关闭。</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二）在饮用水水源保护区内排放、倾倒、处置、堆放剧毒物品、油类、酸碱类、放射性固体废物，或者排放含有高放射性、中放射性物质的废水的，由所在地生态环境主管部门责令限期采取治理措施，消除污染，并处十万元以上一百万元以下的罚款；逾期不采取治理措施的，生态环境主管部门可以依法指定有治理能力的单位代为治理，所需费用由违法者承担；情节严重的，报经有批准权的人民政府批准，责令停业、关闭。</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三）在饮用水水源保护区内排放、倾倒、处置、堆放工业废渣、生活垃圾、医疗废物及其他废弃物，或者违反国家有关规定、标准排放含有低放射性物质的废水的，由所在地生态环境主管部门责令限期采取治理措施，消除污染，并处二万元以上二十万元以下的罚款；逾期不采取治理措施的，生态环境主管部门可以依法指定有治理能力的单位代为治理，所需费用由违法者承担；情节严重的，报经有批准权的人民政府批准，责令停业、关闭。</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（四）在饮用水水源保护区内从事船舶制造、修理、拆解作业，由所在地生态环境主管部门责令停止违法行为，处二万元以上五万元以下的罚款。</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仿宋_GB2312" w:cs="仿宋_GB2312"/>
          <w:color w:val="auto"/>
          <w:szCs w:val="32"/>
        </w:rPr>
        <w:t>五</w:t>
      </w:r>
      <w:r>
        <w:rPr>
          <w:rFonts w:hint="eastAsia" w:ascii="仿宋_GB2312" w:hAnsi="仿宋_GB2312" w:cs="仿宋_GB2312"/>
          <w:color w:val="auto"/>
        </w:rPr>
        <w:t>）在饮用水水源保护区内利用码头等设施或者船舶装卸油类、垃圾、粪便、煤、有毒有害物品的，由所在地生态环境主管部门责令停止违法行为，处五万元以上二十万元以下</w:t>
      </w:r>
      <w:r>
        <w:rPr>
          <w:rFonts w:hint="eastAsia" w:ascii="仿宋_GB2312" w:hAnsi="仿宋_GB2312" w:cs="仿宋_GB2312"/>
          <w:color w:val="auto"/>
          <w:szCs w:val="32"/>
        </w:rPr>
        <w:t>的</w:t>
      </w:r>
      <w:r>
        <w:rPr>
          <w:rFonts w:hint="eastAsia" w:ascii="仿宋_GB2312" w:hAnsi="仿宋_GB2312" w:cs="仿宋_GB2312"/>
          <w:color w:val="auto"/>
        </w:rPr>
        <w:t>罚款。</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仿宋_GB2312" w:cs="仿宋_GB2312"/>
          <w:color w:val="auto"/>
          <w:szCs w:val="32"/>
        </w:rPr>
        <w:t>六</w:t>
      </w:r>
      <w:r>
        <w:rPr>
          <w:rFonts w:hint="eastAsia" w:ascii="仿宋_GB2312" w:hAnsi="仿宋_GB2312" w:cs="仿宋_GB2312"/>
          <w:color w:val="auto"/>
        </w:rPr>
        <w:t>）在饮用水水源保护区利用船舶运输剧毒物品、危险废物以及国家规定禁止运输的其他危险化学品的，由海事管理机构责令改正，处十万元以上二十万元以下的罚款。</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（七）运输剧毒物品的车辆在饮用水水源保护区内通行的，由公安机关依法给予处罚。</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违反本条例第四十三条第二款规定，在饮用水水源一级保护区内停泊与保护水源无关的船舶</w:t>
      </w:r>
      <w:r>
        <w:rPr>
          <w:rFonts w:hint="eastAsia" w:ascii="仿宋_GB2312" w:hAnsi="仿宋_GB2312" w:cs="仿宋_GB2312"/>
          <w:color w:val="auto"/>
          <w:szCs w:val="32"/>
        </w:rPr>
        <w:t>、木排、竹排</w:t>
      </w:r>
      <w:r>
        <w:rPr>
          <w:rFonts w:hint="eastAsia" w:ascii="仿宋_GB2312" w:hAnsi="仿宋_GB2312" w:cs="仿宋_GB2312"/>
          <w:color w:val="auto"/>
        </w:rPr>
        <w:t>的，由海事管理机构</w:t>
      </w:r>
      <w:r>
        <w:rPr>
          <w:rFonts w:hint="eastAsia" w:ascii="仿宋_GB2312" w:hAnsi="仿宋_GB2312" w:cs="仿宋_GB2312"/>
          <w:color w:val="auto"/>
          <w:szCs w:val="32"/>
        </w:rPr>
        <w:t>、农业农村主管部门或者其他负有水污染防治监督管理职责的部门</w:t>
      </w:r>
      <w:r>
        <w:rPr>
          <w:rFonts w:hint="eastAsia" w:ascii="仿宋_GB2312" w:hAnsi="仿宋_GB2312" w:cs="仿宋_GB2312"/>
          <w:color w:val="auto"/>
        </w:rPr>
        <w:t>责令改正，可以处二千元以下的罚款。</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六十六</w:t>
      </w:r>
      <w:r>
        <w:rPr>
          <w:rFonts w:hint="eastAsia" w:ascii="黑体" w:hAnsi="黑体" w:eastAsia="黑体" w:cs="仿宋_GB2312"/>
          <w:color w:val="auto"/>
        </w:rPr>
        <w:t>条</w:t>
      </w:r>
      <w:r>
        <w:rPr>
          <w:rFonts w:hint="eastAsia" w:ascii="仿宋_GB2312" w:hAnsi="仿宋_GB2312" w:cs="仿宋_GB2312"/>
          <w:color w:val="auto"/>
        </w:rPr>
        <w:t xml:space="preserve">  违反本条例第四十八条第一款规定，在异地引水工程的管理和保护范围内，从事爆破、打井、采石、陡坡开荒、排放或者堆放污染物等活动，危害异地引水工程安全的，由县级以上人民政府水行政主管部门责令其立即停止违法行为，恢复原状或者依法赔偿损失，并对个人处一千元罚款，对单位处二万元以上五万元以下的罚款，对单位直接负责的主管人员和其他直接责任人员处二千元以上五千元以下的罚款。</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违反本条例第四十八条第二款规定，侵占、损毁输水管道、阀门、泵站等异地引水工程设施的，由县级以上人民政府水行政主管部门责令停止违法行为，恢复原状或者赔偿损失，并对个人处一千元罚款，对单位处一万元以上五万元以下的罚款，对单位直接负责的主管人员和其他直接责任人员处二千元以上五千元以下的罚款。</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违反本条例第四十八条第三款规定，在未采取加固措施的输水管道上方行驶或者停放车辆以及大量堆放砂石、砖瓦、金属、木材等物品，在异地引水工程管理范围内敷设可能对输水管道及其附属设施产生侵蚀的管道或者其他构筑物以及种植根系发达、可能损坏输水管道防腐层的植物，危害异地引水工程安全的，由县级以上人民政府水行政主管部门责令停止违法行为，恢复原状或者赔偿损失，并对个人处一千元罚款，对单位处二万元以上五万元以下的罚款，对单位直接负责的主管人员和其他直接责任人员处二千元以上五千元以下的罚款。</w:t>
      </w:r>
    </w:p>
    <w:p>
      <w:pPr>
        <w:spacing w:line="590" w:lineRule="exact"/>
        <w:rPr>
          <w:rFonts w:hint="eastAsia" w:ascii="仿宋_GB2312" w:hAnsi="仿宋_GB2312" w:cs="仿宋_GB2312"/>
          <w:color w:val="auto"/>
          <w:kern w:val="44"/>
          <w:szCs w:val="32"/>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第九章  附则</w:t>
      </w:r>
    </w:p>
    <w:p>
      <w:pPr>
        <w:spacing w:line="590" w:lineRule="exact"/>
        <w:jc w:val="center"/>
        <w:rPr>
          <w:rFonts w:hint="eastAsia" w:ascii="黑体" w:hAnsi="黑体" w:eastAsia="黑体"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六十七</w:t>
      </w:r>
      <w:r>
        <w:rPr>
          <w:rFonts w:hint="eastAsia" w:ascii="黑体" w:hAnsi="黑体" w:eastAsia="黑体" w:cs="仿宋_GB2312"/>
          <w:color w:val="auto"/>
        </w:rPr>
        <w:t>条</w:t>
      </w:r>
      <w:r>
        <w:rPr>
          <w:rFonts w:hint="eastAsia" w:ascii="仿宋_GB2312" w:hAnsi="仿宋_GB2312" w:cs="仿宋_GB2312"/>
          <w:color w:val="auto"/>
        </w:rPr>
        <w:t xml:space="preserve">  本条例下列用语的含义：</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（一）东江流域是指从广东省龙川县合河坝至出海口的东江干流及其全部支流在广东省境内的集雨面积；</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（二）西江流域是指从广东省封开县与广西壮族自治区梧州市河流交接断面至佛山市三水区思贤滘的西江干流及其全部支流在本省境内的集雨面积；</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（三）韩江流域是指韩江干流、梅江、汀江、梅潭河本省境内河段的集雨面积；</w:t>
      </w:r>
    </w:p>
    <w:p>
      <w:pPr>
        <w:pStyle w:val="7"/>
        <w:spacing w:line="590" w:lineRule="exact"/>
        <w:ind w:firstLine="632"/>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（四）北江流域是指从广东省韶关市沙洲尾至佛山市三水区思贤滘的北江干流及其全部支流在本省境内的集雨面积</w:t>
      </w:r>
      <w:r>
        <w:rPr>
          <w:rFonts w:hint="eastAsia" w:ascii="仿宋_GB2312" w:hAnsi="仿宋_GB2312" w:eastAsia="仿宋_GB2312" w:cs="仿宋_GB2312"/>
          <w:color w:val="auto"/>
          <w:lang w:eastAsia="zh-CN"/>
        </w:rPr>
        <w:t>；</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（五）最高水位线是指河道、湖泊、水库五十年一遇的洪水水位线。</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第六十八条</w:t>
      </w:r>
      <w:r>
        <w:rPr>
          <w:rFonts w:hint="eastAsia" w:ascii="仿宋_GB2312" w:hAnsi="仿宋_GB2312" w:cs="仿宋_GB2312"/>
          <w:color w:val="auto"/>
        </w:rPr>
        <w:t xml:space="preserve">  本条例自</w:t>
      </w:r>
      <w:r>
        <w:rPr>
          <w:rFonts w:hint="eastAsia" w:ascii="宋体" w:hAnsi="宋体" w:eastAsia="宋体" w:cs="宋体"/>
          <w:color w:val="auto"/>
        </w:rPr>
        <w:t>2021</w:t>
      </w:r>
      <w:r>
        <w:rPr>
          <w:rFonts w:hint="eastAsia" w:ascii="仿宋_GB2312" w:hAnsi="仿宋_GB2312" w:cs="仿宋_GB2312"/>
          <w:color w:val="auto"/>
        </w:rPr>
        <w:t>年</w:t>
      </w:r>
      <w:r>
        <w:rPr>
          <w:rFonts w:hint="eastAsia" w:ascii="宋体" w:hAnsi="宋体" w:eastAsia="宋体" w:cs="宋体"/>
          <w:color w:val="auto"/>
        </w:rPr>
        <w:t>1</w:t>
      </w:r>
      <w:r>
        <w:rPr>
          <w:rFonts w:hint="eastAsia" w:ascii="仿宋_GB2312" w:hAnsi="仿宋_GB2312" w:cs="仿宋_GB2312"/>
          <w:color w:val="auto"/>
        </w:rPr>
        <w:t>月</w:t>
      </w:r>
      <w:r>
        <w:rPr>
          <w:rFonts w:hint="eastAsia" w:ascii="宋体" w:hAnsi="宋体" w:eastAsia="宋体" w:cs="宋体"/>
          <w:color w:val="auto"/>
        </w:rPr>
        <w:t>1</w:t>
      </w:r>
      <w:r>
        <w:rPr>
          <w:rFonts w:hint="eastAsia" w:ascii="仿宋_GB2312" w:hAnsi="仿宋_GB2312" w:cs="仿宋_GB2312"/>
          <w:color w:val="auto"/>
        </w:rPr>
        <w:t>日起施行。《广东省跨行政区域河流交接断面水质保护管理条例》《广东省饮用水源水质保护条例》《广东省东江水系水质保护条例》《广东省韩江流域水质保护条例》《广东省西江水系水质保护条例》同时废止。</w:t>
      </w: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widowControl w:val="0"/>
        <w:wordWrap/>
        <w:adjustRightInd/>
        <w:snapToGrid w:val="0"/>
        <w:spacing w:line="560" w:lineRule="exac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广东省粮食安全保障条例</w:t>
      </w:r>
    </w:p>
    <w:p>
      <w:pPr>
        <w:widowControl w:val="0"/>
        <w:wordWrap/>
        <w:adjustRightInd/>
        <w:snapToGrid/>
        <w:spacing w:line="560" w:lineRule="exact"/>
        <w:ind w:left="640" w:leftChars="200" w:right="640" w:rightChars="200" w:firstLine="0" w:firstLineChars="0"/>
        <w:jc w:val="left"/>
        <w:textAlignment w:val="auto"/>
        <w:outlineLvl w:val="9"/>
        <w:rPr>
          <w:rFonts w:hint="eastAsia" w:ascii="宋体" w:hAnsi="宋体" w:eastAsia="楷体_GB2312" w:cs="楷体_GB2312"/>
          <w:color w:val="000000"/>
          <w:sz w:val="32"/>
          <w:szCs w:val="32"/>
          <w:lang w:eastAsia="zh-CN"/>
        </w:rPr>
      </w:pPr>
    </w:p>
    <w:p>
      <w:pPr>
        <w:widowControl w:val="0"/>
        <w:wordWrap/>
        <w:adjustRightInd/>
        <w:snapToGrid/>
        <w:spacing w:line="560" w:lineRule="exact"/>
        <w:ind w:left="640" w:leftChars="200" w:right="640" w:rightChars="200" w:firstLine="0" w:firstLineChars="0"/>
        <w:jc w:val="both"/>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（2009年3月31日广东省第十一届人民代表大会常务委员会第十次会议通过  根据2014年9月25日广东省第十二届人民代表大会常务委员会第十一次会议《关于修改〈广东省商品房预售管理条例〉等二十七项地方性法规的决定》第一次修正  根据2020年9月29日广东省第十三届人民代表大会常务委员会第二十五次会议《关于修改〈广东省林地保护管理条例〉等十六项地方性法规的决定》第二次修正）</w:t>
      </w:r>
    </w:p>
    <w:p>
      <w:pPr>
        <w:pStyle w:val="7"/>
        <w:widowControl w:val="0"/>
        <w:wordWrap/>
        <w:adjustRightInd/>
        <w:spacing w:line="560" w:lineRule="exact"/>
        <w:textAlignment w:val="auto"/>
        <w:outlineLvl w:val="9"/>
        <w:rPr>
          <w:rFonts w:hint="eastAsia" w:ascii="宋体" w:hAnsi="宋体" w:eastAsia="楷体_GB2312" w:cs="楷体_GB2312"/>
          <w:color w:val="000000"/>
          <w:sz w:val="32"/>
          <w:szCs w:val="32"/>
          <w:lang w:eastAsia="zh-CN"/>
        </w:rPr>
      </w:pPr>
    </w:p>
    <w:p>
      <w:pPr>
        <w:widowControl w:val="0"/>
        <w:wordWrap/>
        <w:adjustRightInd/>
        <w:spacing w:line="560" w:lineRule="exact"/>
        <w:jc w:val="center"/>
        <w:textAlignment w:val="auto"/>
        <w:outlineLvl w:val="9"/>
        <w:rPr>
          <w:rFonts w:hint="eastAsia" w:ascii="宋体" w:hAnsi="宋体" w:eastAsia="楷体_GB2312" w:cs="楷体_GB2312"/>
          <w:color w:val="000000"/>
          <w:sz w:val="32"/>
          <w:szCs w:val="32"/>
        </w:rPr>
      </w:pPr>
      <w:r>
        <w:rPr>
          <w:rFonts w:hint="eastAsia" w:ascii="宋体" w:hAnsi="宋体" w:eastAsia="楷体_GB2312" w:cs="楷体_GB2312"/>
          <w:color w:val="000000"/>
          <w:sz w:val="32"/>
          <w:szCs w:val="32"/>
        </w:rPr>
        <w:t>目    录</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第一章  总则</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第二章  生产与经营</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第三章  储备与管理</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第四章  调控与应急</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第五章  法律责任</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第六章  附则</w:t>
      </w:r>
    </w:p>
    <w:p>
      <w:pPr>
        <w:pStyle w:val="7"/>
        <w:widowControl w:val="0"/>
        <w:wordWrap/>
        <w:adjustRightInd/>
        <w:spacing w:line="560" w:lineRule="exact"/>
        <w:textAlignment w:val="auto"/>
        <w:outlineLvl w:val="9"/>
        <w:rPr>
          <w:rFonts w:hint="eastAsia" w:ascii="宋体" w:hAnsi="宋体"/>
          <w:color w:val="000000"/>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第一章  总</w:t>
      </w:r>
      <w:r>
        <w:rPr>
          <w:rFonts w:hint="eastAsia" w:ascii="宋体" w:hAnsi="宋体" w:eastAsia="黑体" w:cs="仿宋_GB2312"/>
          <w:color w:val="000000"/>
          <w:sz w:val="32"/>
          <w:szCs w:val="32"/>
          <w:lang w:val="en-US" w:eastAsia="zh-CN"/>
        </w:rPr>
        <w:t xml:space="preserve">  </w:t>
      </w:r>
      <w:r>
        <w:rPr>
          <w:rFonts w:hint="eastAsia" w:ascii="宋体" w:hAnsi="宋体" w:eastAsia="黑体" w:cs="仿宋_GB2312"/>
          <w:color w:val="000000"/>
          <w:sz w:val="32"/>
          <w:szCs w:val="32"/>
        </w:rPr>
        <w:t>则</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第一条</w:t>
      </w:r>
      <w:r>
        <w:rPr>
          <w:rFonts w:hint="eastAsia" w:ascii="宋体" w:hAnsi="宋体" w:eastAsia="仿宋_GB2312" w:cs="仿宋"/>
          <w:color w:val="000000"/>
          <w:sz w:val="32"/>
          <w:szCs w:val="32"/>
        </w:rPr>
        <w:t xml:space="preserve">  为保障粮食安全，满足人民生活需要，维护社会稳定，根据有关法律法规，结合本省实际，制定本条例。</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第二条</w:t>
      </w:r>
      <w:r>
        <w:rPr>
          <w:rFonts w:hint="eastAsia" w:ascii="宋体" w:hAnsi="宋体" w:eastAsia="仿宋_GB2312" w:cs="仿宋"/>
          <w:color w:val="000000"/>
          <w:sz w:val="32"/>
          <w:szCs w:val="32"/>
        </w:rPr>
        <w:t xml:space="preserve">  本条例适用于本省行政区域内从事粮食生产、经营、储备以及调控、应急等粮食安全保障的活动。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本条例所称粮食安全保障是指保证粮食供求基本平衡，市场粮食价格基本稳定，居民生活和社会生产对粮食的需求得到基本满足，粮食质量安全符合国家规定。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本条例所称粮食，是指稻谷、小麦、玉米、杂粮及其成品粮。</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粮食的质量安全，按照有关法律、法规的规定执行。</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第三条</w:t>
      </w:r>
      <w:r>
        <w:rPr>
          <w:rFonts w:hint="eastAsia" w:ascii="宋体" w:hAnsi="宋体" w:eastAsia="仿宋_GB2312" w:cs="仿宋"/>
          <w:color w:val="000000"/>
          <w:sz w:val="32"/>
          <w:szCs w:val="32"/>
        </w:rPr>
        <w:t xml:space="preserve">  县级以上人民政府负责本行政区域粮食安全保障工作。</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部门主管本行政区域粮食安全保障的行政管理工作。</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县级以上人民政府</w:t>
      </w:r>
      <w:r>
        <w:rPr>
          <w:rFonts w:hint="eastAsia" w:ascii="宋体" w:hAnsi="宋体" w:eastAsia="仿宋_GB2312" w:cs="黑体"/>
          <w:color w:val="000000"/>
          <w:sz w:val="32"/>
          <w:szCs w:val="32"/>
        </w:rPr>
        <w:t>发展改革、</w:t>
      </w:r>
      <w:r>
        <w:rPr>
          <w:rFonts w:hint="eastAsia" w:ascii="宋体" w:hAnsi="宋体" w:eastAsia="仿宋_GB2312" w:cs="仿宋"/>
          <w:color w:val="000000"/>
          <w:sz w:val="32"/>
          <w:szCs w:val="32"/>
        </w:rPr>
        <w:t>财政、</w:t>
      </w:r>
      <w:r>
        <w:rPr>
          <w:rFonts w:hint="eastAsia" w:ascii="宋体" w:hAnsi="宋体" w:eastAsia="仿宋_GB2312" w:cs="黑体"/>
          <w:color w:val="000000"/>
          <w:sz w:val="32"/>
          <w:szCs w:val="32"/>
        </w:rPr>
        <w:t>自然资源</w:t>
      </w:r>
      <w:r>
        <w:rPr>
          <w:rFonts w:hint="eastAsia" w:ascii="宋体" w:hAnsi="宋体" w:eastAsia="仿宋_GB2312" w:cs="仿宋"/>
          <w:color w:val="000000"/>
          <w:sz w:val="32"/>
          <w:szCs w:val="32"/>
        </w:rPr>
        <w:t>、农业</w:t>
      </w:r>
      <w:r>
        <w:rPr>
          <w:rFonts w:hint="eastAsia" w:ascii="宋体" w:hAnsi="宋体" w:eastAsia="仿宋_GB2312" w:cs="黑体"/>
          <w:color w:val="000000"/>
          <w:sz w:val="32"/>
          <w:szCs w:val="32"/>
        </w:rPr>
        <w:t>农村</w:t>
      </w:r>
      <w:r>
        <w:rPr>
          <w:rFonts w:hint="eastAsia" w:ascii="宋体" w:hAnsi="宋体" w:eastAsia="仿宋_GB2312" w:cs="仿宋"/>
          <w:color w:val="000000"/>
          <w:sz w:val="32"/>
          <w:szCs w:val="32"/>
        </w:rPr>
        <w:t>、</w:t>
      </w:r>
      <w:r>
        <w:rPr>
          <w:rFonts w:hint="eastAsia" w:ascii="宋体" w:hAnsi="宋体" w:eastAsia="仿宋_GB2312" w:cs="黑体"/>
          <w:color w:val="000000"/>
          <w:sz w:val="32"/>
          <w:szCs w:val="32"/>
        </w:rPr>
        <w:t>市场监督管理</w:t>
      </w:r>
      <w:r>
        <w:rPr>
          <w:rFonts w:hint="eastAsia" w:ascii="宋体" w:hAnsi="宋体" w:eastAsia="仿宋_GB2312" w:cs="仿宋"/>
          <w:color w:val="000000"/>
          <w:sz w:val="32"/>
          <w:szCs w:val="32"/>
        </w:rPr>
        <w:t>等部门按照各自职责，做好粮食安全保障的相关工作。</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第四条</w:t>
      </w:r>
      <w:r>
        <w:rPr>
          <w:rFonts w:hint="eastAsia" w:ascii="宋体" w:hAnsi="宋体" w:eastAsia="仿宋_GB2312" w:cs="仿宋"/>
          <w:color w:val="000000"/>
          <w:sz w:val="32"/>
          <w:szCs w:val="32"/>
        </w:rPr>
        <w:t xml:space="preserve">  县级以上人民政府应当建立、健全粮食安全保障和监督管理责任制。</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县级以上人民政府应当制定粮食生产、流通、储备的发展规划，维护统一、开放、竞争、有序的粮食市场。</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第五条</w:t>
      </w:r>
      <w:r>
        <w:rPr>
          <w:rFonts w:hint="eastAsia" w:ascii="宋体" w:hAnsi="宋体" w:eastAsia="仿宋_GB2312" w:cs="仿宋"/>
          <w:color w:val="000000"/>
          <w:sz w:val="32"/>
          <w:szCs w:val="32"/>
        </w:rPr>
        <w:t xml:space="preserve">  对为粮食安全保障做出突出贡献的单位和个人，应当给予奖励。</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任何单位和个人都有权对粮食安全保障监督管理工作提出意见和建议，对危害粮食安全保障的行为向有关部门检举、控告。</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第二章  生产与经营</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第六条</w:t>
      </w:r>
      <w:r>
        <w:rPr>
          <w:rFonts w:hint="eastAsia" w:ascii="宋体" w:hAnsi="宋体" w:eastAsia="仿宋_GB2312" w:cs="仿宋"/>
          <w:color w:val="000000"/>
          <w:sz w:val="32"/>
          <w:szCs w:val="32"/>
        </w:rPr>
        <w:t xml:space="preserve">  县级以上人民政府应当严格执行耕地保护制度，加强农田基础设施建设，对基本农田依法实行特殊保护，确保粮食生产的播种面积达到省人民政府下达的指标，促进粮食生产稳定发展。</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第七条</w:t>
      </w:r>
      <w:r>
        <w:rPr>
          <w:rFonts w:hint="eastAsia" w:ascii="宋体" w:hAnsi="宋体" w:eastAsia="仿宋_GB2312" w:cs="仿宋"/>
          <w:color w:val="000000"/>
          <w:sz w:val="32"/>
          <w:szCs w:val="32"/>
        </w:rPr>
        <w:t xml:space="preserve">  县级以上人民政府采取发布信息、调控储备和给予种粮者种粮补贴等方式，引导和鼓励粮食生产。可能发生粮食严重紧缺情形时，经省人民政府批准，县级以上人民政府可以依法将当期生产其他经济作物的基本农田用于恢复粮食生产，并组织落实种子、肥料等生产资料。</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第八条</w:t>
      </w:r>
      <w:r>
        <w:rPr>
          <w:rFonts w:hint="eastAsia" w:ascii="宋体" w:hAnsi="宋体" w:eastAsia="仿宋_GB2312" w:cs="仿宋"/>
          <w:color w:val="000000"/>
          <w:sz w:val="32"/>
          <w:szCs w:val="32"/>
        </w:rPr>
        <w:t xml:space="preserve">  县级以上人民政府应当加大对粮食生产、储存、加工的科技投入，鼓励研究和推广应用先进的科学技术，提高粮食产量，提升粮食储存、加工品质。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第九条</w:t>
      </w:r>
      <w:r>
        <w:rPr>
          <w:rFonts w:hint="eastAsia" w:ascii="宋体" w:hAnsi="宋体" w:eastAsia="仿宋_GB2312" w:cs="仿宋"/>
          <w:color w:val="000000"/>
          <w:sz w:val="32"/>
          <w:szCs w:val="32"/>
        </w:rPr>
        <w:t xml:space="preserve">  县级以上人民政府应当采取多种形式，鼓励社会资金投资建设粮食生产和流通基础设施。</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鼓励粮食经营者到外地投资建设粮食生产基地，与粮食产区建立长期粮食产销合作关系，发展粮食产业化经营。</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第十条</w:t>
      </w:r>
      <w:r>
        <w:rPr>
          <w:rFonts w:hint="eastAsia" w:ascii="宋体" w:hAnsi="宋体" w:eastAsia="仿宋_GB2312" w:cs="仿宋"/>
          <w:color w:val="000000"/>
          <w:sz w:val="32"/>
          <w:szCs w:val="32"/>
        </w:rPr>
        <w:t xml:space="preserve">  从事粮食收购、加工、运输、储存、销售的经营者，应当依法向</w:t>
      </w:r>
      <w:r>
        <w:rPr>
          <w:rFonts w:hint="eastAsia" w:ascii="宋体" w:hAnsi="宋体" w:eastAsia="仿宋_GB2312" w:cs="黑体"/>
          <w:color w:val="000000"/>
          <w:sz w:val="32"/>
          <w:szCs w:val="32"/>
        </w:rPr>
        <w:t>市场监督</w:t>
      </w:r>
      <w:r>
        <w:rPr>
          <w:rFonts w:hint="eastAsia" w:ascii="宋体" w:hAnsi="宋体" w:eastAsia="仿宋_GB2312" w:cs="仿宋"/>
          <w:color w:val="000000"/>
          <w:sz w:val="32"/>
          <w:szCs w:val="32"/>
        </w:rPr>
        <w:t>管理部门办理登记手续。</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i/>
          <w:iCs/>
          <w:color w:val="000000"/>
          <w:sz w:val="32"/>
          <w:szCs w:val="32"/>
          <w:u w:val="single"/>
        </w:rPr>
      </w:pPr>
      <w:r>
        <w:rPr>
          <w:rFonts w:hint="eastAsia" w:ascii="宋体" w:hAnsi="宋体" w:eastAsia="仿宋_GB2312" w:cs="仿宋"/>
          <w:color w:val="000000"/>
          <w:sz w:val="32"/>
          <w:szCs w:val="32"/>
        </w:rPr>
        <w:t>从事粮食收购的经营者，应当依法申请取得粮食收购资格许可。</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第十一条</w:t>
      </w:r>
      <w:r>
        <w:rPr>
          <w:rFonts w:hint="eastAsia" w:ascii="宋体" w:hAnsi="宋体" w:eastAsia="仿宋_GB2312" w:cs="仿宋"/>
          <w:color w:val="000000"/>
          <w:sz w:val="32"/>
          <w:szCs w:val="32"/>
        </w:rPr>
        <w:t xml:space="preserve">  从事粮食收购、加工、销售的经营者，其粮食库存量应当符合国家和省的有关规定。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第十二条</w:t>
      </w:r>
      <w:r>
        <w:rPr>
          <w:rFonts w:hint="eastAsia" w:ascii="宋体" w:hAnsi="宋体" w:eastAsia="仿宋_GB2312" w:cs="仿宋"/>
          <w:color w:val="000000"/>
          <w:sz w:val="32"/>
          <w:szCs w:val="32"/>
        </w:rPr>
        <w:t xml:space="preserve">  从事粮食收购、加工、运输、储存、销售的经营者，应当严格执行国家有关粮食价格、质量安全等规定。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第十三条</w:t>
      </w:r>
      <w:r>
        <w:rPr>
          <w:rFonts w:hint="eastAsia" w:ascii="宋体" w:hAnsi="宋体" w:eastAsia="仿宋_GB2312" w:cs="仿宋"/>
          <w:color w:val="000000"/>
          <w:sz w:val="32"/>
          <w:szCs w:val="32"/>
        </w:rPr>
        <w:t xml:space="preserve">  从事粮食收购、加工、储存、销售的粮食经营者，应当建立粮食经营台账，如实记录粮食的名称、规格、数量、质量、流向、供货商及其联系方式、进货时间等内容。粮食经营者保留粮食经营台账的期限不得少于三年。</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第十四条</w:t>
      </w:r>
      <w:r>
        <w:rPr>
          <w:rFonts w:hint="eastAsia" w:ascii="宋体" w:hAnsi="宋体" w:eastAsia="仿宋_GB2312" w:cs="仿宋"/>
          <w:color w:val="000000"/>
          <w:sz w:val="32"/>
          <w:szCs w:val="32"/>
        </w:rPr>
        <w:t xml:space="preserve">  从事粮食储存的经营者，应当遵守以下规定：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（一）执行国家和省的粮食储存管理制度、标准和技术规范；</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（二）对政府委托储存的粮食实行专仓储存、专人保管、专账记载，确保储存粮食数量真实、质量良好、储存安全；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（三）超过国家和省规定正常储存年限的粮食，出库前应当经有资质的粮食质量检验机构进行质量鉴定。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第三章  储备与管理</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第十五条</w:t>
      </w:r>
      <w:r>
        <w:rPr>
          <w:rFonts w:hint="eastAsia" w:ascii="宋体" w:hAnsi="宋体" w:eastAsia="仿宋_GB2312" w:cs="仿宋"/>
          <w:color w:val="000000"/>
          <w:sz w:val="32"/>
          <w:szCs w:val="32"/>
        </w:rPr>
        <w:t xml:space="preserve">  县级以上人民政府实行分级负责的政府粮食储备制度。</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政府储备粮的收储、轮换、动用，实行计划管理。县级以上人民政府粮食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部门应当按照有关规定及时下达政府储备粮的收储、轮换、动用计划。</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第十六条</w:t>
      </w:r>
      <w:r>
        <w:rPr>
          <w:rFonts w:hint="eastAsia" w:ascii="宋体" w:hAnsi="宋体" w:eastAsia="仿宋_GB2312" w:cs="仿宋"/>
          <w:color w:val="000000"/>
          <w:sz w:val="32"/>
          <w:szCs w:val="32"/>
        </w:rPr>
        <w:t xml:space="preserve">  根据国务院有关规定和本省粮食市场调控的实际需要，省人民政府核定省和市（不含县级市，下同）人民政府的政府储备粮规模，市人民政府核定县级人民政府的政府储备粮规模。</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县级以上人民政府应当按照核定规模，组织落实本级政府的政府储备粮储备，并根据政府储备粮储存年限规定和品质变化情况按时或者定期进行轮换更新。</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第十七条</w:t>
      </w:r>
      <w:r>
        <w:rPr>
          <w:rFonts w:hint="eastAsia" w:ascii="宋体" w:hAnsi="宋体" w:eastAsia="仿宋_GB2312" w:cs="仿宋"/>
          <w:color w:val="000000"/>
          <w:sz w:val="32"/>
          <w:szCs w:val="32"/>
        </w:rPr>
        <w:t xml:space="preserve">  县级以上人民政府的政府储备粮，由本级人民政府直属粮库储存，需要委托其他具备条件的粮食企业承储的，应当通过招标的方式确定。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承储政府储备粮的企业，应当具备下列基本条件：</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（一）仓库容量达到国家和省规定的标准；</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（二）具有粮食保管、通风、进出仓、虫害防治等仓储设施，并符合国家和省规定的技术规范；</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（三）具备符合国家和省规定的粮食质量检测能力和对粮食储存温度、水分、虫害状况等监测条件；</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（四）有</w:t>
      </w:r>
      <w:r>
        <w:rPr>
          <w:rFonts w:hint="eastAsia" w:ascii="宋体" w:hAnsi="宋体" w:eastAsia="仿宋_GB2312" w:cs="黑体"/>
          <w:color w:val="000000"/>
          <w:sz w:val="32"/>
          <w:szCs w:val="32"/>
        </w:rPr>
        <w:t>经过专业培训</w:t>
      </w:r>
      <w:r>
        <w:rPr>
          <w:rFonts w:hint="eastAsia" w:ascii="宋体" w:hAnsi="宋体" w:eastAsia="仿宋_GB2312" w:cs="仿宋"/>
          <w:color w:val="000000"/>
          <w:sz w:val="32"/>
          <w:szCs w:val="32"/>
        </w:rPr>
        <w:t>的粮食保管、质量检验等管理技术人员；</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（五）经营管理和信誉良好，没有违法违规经营记录。</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第十八条</w:t>
      </w:r>
      <w:r>
        <w:rPr>
          <w:rFonts w:hint="eastAsia" w:ascii="宋体" w:hAnsi="宋体" w:eastAsia="仿宋_GB2312" w:cs="仿宋"/>
          <w:color w:val="000000"/>
          <w:sz w:val="32"/>
          <w:szCs w:val="32"/>
        </w:rPr>
        <w:t xml:space="preserve">  县级以上人民政府的政府储备粮收储和轮换应当由同级粮食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部门会同有关部门采取公开招标、竞价方式进行，招标、竞价底价由</w:t>
      </w:r>
      <w:r>
        <w:rPr>
          <w:rFonts w:hint="eastAsia" w:ascii="宋体" w:hAnsi="宋体" w:eastAsia="仿宋_GB2312" w:cs="黑体"/>
          <w:color w:val="000000"/>
          <w:sz w:val="32"/>
          <w:szCs w:val="32"/>
        </w:rPr>
        <w:t>财政</w:t>
      </w:r>
      <w:r>
        <w:rPr>
          <w:rFonts w:hint="eastAsia" w:ascii="宋体" w:hAnsi="宋体" w:eastAsia="仿宋_GB2312" w:cs="仿宋"/>
          <w:color w:val="000000"/>
          <w:sz w:val="32"/>
          <w:szCs w:val="32"/>
        </w:rPr>
        <w:t>部门会同有关部门制定；采取其他方式的，应当报同级人民政府批准。</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第十九条</w:t>
      </w:r>
      <w:r>
        <w:rPr>
          <w:rFonts w:hint="eastAsia" w:ascii="宋体" w:hAnsi="宋体" w:eastAsia="仿宋_GB2312" w:cs="仿宋"/>
          <w:color w:val="000000"/>
          <w:sz w:val="32"/>
          <w:szCs w:val="32"/>
        </w:rPr>
        <w:t xml:space="preserve">  县级以上人民政府的政府储备粮未经本级人民政府批准，任何单位和个人不得动用，但上级人民政府根据粮食市场调控与应急的需要调用下级人民政府储备粮的除外。</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有下列情形之一的，可以动用政府储备粮：</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（一）本行政区域市场粮食供给明显紧张，或者市场粮食价格出现异常波动；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（二）发生重大自然灾害或者其他突发公共事件，需要动用政府储备粮应急的；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（三）县级以上人民政府认为需要动用政府储备粮的其他情形。</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第二十条</w:t>
      </w:r>
      <w:r>
        <w:rPr>
          <w:rFonts w:hint="eastAsia" w:ascii="宋体" w:hAnsi="宋体" w:eastAsia="仿宋_GB2312" w:cs="仿宋"/>
          <w:color w:val="000000"/>
          <w:sz w:val="32"/>
          <w:szCs w:val="32"/>
        </w:rPr>
        <w:t xml:space="preserve">  需要动用政府储备粮，采取县、市、省逐级动用原则。市、县人民政府需要动用上一级人民政府储备粮的，应当向上一级人民政府申请，经批准后实施。</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第二十一条</w:t>
      </w:r>
      <w:r>
        <w:rPr>
          <w:rFonts w:hint="eastAsia" w:ascii="宋体" w:hAnsi="宋体" w:eastAsia="仿宋_GB2312" w:cs="仿宋"/>
          <w:color w:val="000000"/>
          <w:sz w:val="32"/>
          <w:szCs w:val="32"/>
        </w:rPr>
        <w:t xml:space="preserve">  承储政府储备粮的企业应当健全财务制度，按照规定使用财政资金，保证财务数据真实、准确、完整，并接受政府储备粮所属人民政府财政部门的监督。</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第二十二条</w:t>
      </w:r>
      <w:r>
        <w:rPr>
          <w:rFonts w:hint="eastAsia" w:ascii="宋体" w:hAnsi="宋体" w:eastAsia="仿宋_GB2312" w:cs="仿宋"/>
          <w:color w:val="000000"/>
          <w:sz w:val="32"/>
          <w:szCs w:val="32"/>
        </w:rPr>
        <w:t xml:space="preserve">  承储政府储备粮的企业不得有下列行为：</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（一）虚报、瞒报政府储备粮数量的；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（二）在政府储备粮中掺杂使假、以次充好的；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（三）擅自变换政府储备粮品种、变更政府储备粮储存地点的；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（四）违规销售政府储备粮的；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（五）延误轮换、管理不善或者其他原因造成政府储备粮霉坏、变质的；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（六）利用政府储备粮及其贷款资金从事与政府储备粮业务无关的经营活动的；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（七）擅自更改储备粮入库成本的；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（八）以政府储备粮对外担保或者抵偿债务的；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（九）其他对政府储备粮数量、质量和储存安全造成影响的。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第二十三条</w:t>
      </w:r>
      <w:r>
        <w:rPr>
          <w:rFonts w:hint="eastAsia" w:ascii="宋体" w:hAnsi="宋体" w:eastAsia="仿宋_GB2312" w:cs="仿宋"/>
          <w:color w:val="000000"/>
          <w:sz w:val="32"/>
          <w:szCs w:val="32"/>
        </w:rPr>
        <w:t xml:space="preserve">  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部门应当加强对政府储备粮的数量、质量以及收储、轮换、动用的监督检查，确保政府储备粮规模落实、数量真实、质量良好和储存安全。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第二十四条</w:t>
      </w:r>
      <w:r>
        <w:rPr>
          <w:rFonts w:hint="eastAsia" w:ascii="宋体" w:hAnsi="宋体" w:eastAsia="仿宋_GB2312" w:cs="仿宋"/>
          <w:color w:val="000000"/>
          <w:sz w:val="32"/>
          <w:szCs w:val="32"/>
        </w:rPr>
        <w:t xml:space="preserve">  政府储备粮因不可抗力造成损失的，由所属人民政府按规定予以核销。</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第二十五条</w:t>
      </w:r>
      <w:r>
        <w:rPr>
          <w:rFonts w:hint="eastAsia" w:ascii="宋体" w:hAnsi="宋体" w:eastAsia="仿宋_GB2312" w:cs="仿宋"/>
          <w:color w:val="000000"/>
          <w:sz w:val="32"/>
          <w:szCs w:val="32"/>
        </w:rPr>
        <w:t xml:space="preserve">  县级以上人民政府应当根据社会发展和粮食安全保障的需要，每年安排专项资金用于政府直属储备粮库及其配套设施的建设和维修。</w:t>
      </w:r>
    </w:p>
    <w:p>
      <w:pPr>
        <w:widowControl w:val="0"/>
        <w:wordWrap/>
        <w:adjustRightInd/>
        <w:snapToGrid w:val="0"/>
        <w:spacing w:line="560" w:lineRule="exact"/>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第四章  调控与应急</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第二十六条</w:t>
      </w:r>
      <w:r>
        <w:rPr>
          <w:rFonts w:hint="eastAsia" w:ascii="宋体" w:hAnsi="宋体" w:eastAsia="仿宋_GB2312" w:cs="仿宋"/>
          <w:color w:val="000000"/>
          <w:sz w:val="32"/>
          <w:szCs w:val="32"/>
        </w:rPr>
        <w:t xml:space="preserve">  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部门应当会同</w:t>
      </w:r>
      <w:r>
        <w:rPr>
          <w:rFonts w:hint="eastAsia" w:ascii="宋体" w:hAnsi="宋体" w:eastAsia="仿宋_GB2312" w:cs="黑体"/>
          <w:color w:val="000000"/>
          <w:sz w:val="32"/>
          <w:szCs w:val="32"/>
        </w:rPr>
        <w:t>发展改革</w:t>
      </w:r>
      <w:r>
        <w:rPr>
          <w:rFonts w:hint="eastAsia" w:ascii="宋体" w:hAnsi="宋体" w:eastAsia="仿宋_GB2312" w:cs="仿宋"/>
          <w:color w:val="000000"/>
          <w:sz w:val="32"/>
          <w:szCs w:val="32"/>
        </w:rPr>
        <w:t>等有关部门对本行政区域粮食市场形势进行监测、分析和预警，及时提出粮食市场调控和应急保障措施，报本级人民政府批准后组织实施。</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第二十七条</w:t>
      </w:r>
      <w:r>
        <w:rPr>
          <w:rFonts w:hint="eastAsia" w:ascii="宋体" w:hAnsi="宋体" w:eastAsia="仿宋_GB2312" w:cs="仿宋"/>
          <w:color w:val="000000"/>
          <w:sz w:val="32"/>
          <w:szCs w:val="32"/>
        </w:rPr>
        <w:t xml:space="preserve">  县级以上人民政府应当采取动用政府储备粮等有效手段调节市场粮食供求。</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第二十八条</w:t>
      </w:r>
      <w:r>
        <w:rPr>
          <w:rFonts w:hint="eastAsia" w:ascii="宋体" w:hAnsi="宋体" w:eastAsia="仿宋_GB2312" w:cs="仿宋"/>
          <w:color w:val="000000"/>
          <w:sz w:val="32"/>
          <w:szCs w:val="32"/>
        </w:rPr>
        <w:t xml:space="preserve">  省人民政府应当根据市场粮食价格波动情况，依法采取价格干预措施，稳定市场粮食价格，保护粮食生产者、经营者、消费者的利益。</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第二十九条</w:t>
      </w:r>
      <w:r>
        <w:rPr>
          <w:rFonts w:hint="eastAsia" w:ascii="宋体" w:hAnsi="宋体" w:eastAsia="仿宋_GB2312" w:cs="仿宋"/>
          <w:color w:val="000000"/>
          <w:sz w:val="32"/>
          <w:szCs w:val="32"/>
        </w:rPr>
        <w:t xml:space="preserve">  县级以上人民政府实行粮食风险基金制度，粮食风险基金列入本级财政预算。</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省粮食风险基金规模按照国务院有关规定落实，市、县粮食风险基金规模由上一级人民政府核定。县级以上人民政府应当按照核定的规模落实资金，制定本级政府粮食风险基金管理办法，加强对粮食风险基金的监督管理，防止挤占、截留、挪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粮食风险基金按规定用于种粮直接补贴、政府储备粮利息费用开支和轮换差价补贴、粮食政策性挂账核销等。</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第三十条</w:t>
      </w:r>
      <w:r>
        <w:rPr>
          <w:rFonts w:hint="eastAsia" w:ascii="宋体" w:hAnsi="宋体" w:eastAsia="仿宋_GB2312" w:cs="仿宋"/>
          <w:color w:val="000000"/>
          <w:sz w:val="32"/>
          <w:szCs w:val="32"/>
        </w:rPr>
        <w:t xml:space="preserve">  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部门应当会同有关部门制定本行政区域的粮食应急预案，报本级人民政府批准，并报上一级人民政府备案。</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发生重大自然灾害、突发公共事件或者其他因素引发粮食市场异常波动和供求失衡时，粮食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部门应当及时向本级人民政府报告，按规定提请启动粮食应急预案。</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第三十一条</w:t>
      </w:r>
      <w:r>
        <w:rPr>
          <w:rFonts w:hint="eastAsia" w:ascii="宋体" w:hAnsi="宋体" w:eastAsia="仿宋_GB2312" w:cs="仿宋"/>
          <w:color w:val="000000"/>
          <w:sz w:val="32"/>
          <w:szCs w:val="32"/>
        </w:rPr>
        <w:t xml:space="preserve">  粮食应急预案启动后，所有粮食经营者必须按要求承担应急任务，服从政府的统一安排和调度，保证应急工作的需要。</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第三十二条</w:t>
      </w:r>
      <w:r>
        <w:rPr>
          <w:rFonts w:hint="eastAsia" w:ascii="宋体" w:hAnsi="宋体" w:eastAsia="仿宋_GB2312" w:cs="仿宋"/>
          <w:color w:val="000000"/>
          <w:sz w:val="32"/>
          <w:szCs w:val="32"/>
        </w:rPr>
        <w:t xml:space="preserve">  有关单位和粮食生产、经营者因承担粮食应急任务遭受损失的，下达粮食应急任务的人民政府应当依法给予补偿。</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第三十三条</w:t>
      </w:r>
      <w:r>
        <w:rPr>
          <w:rFonts w:hint="eastAsia" w:ascii="宋体" w:hAnsi="宋体" w:eastAsia="仿宋_GB2312" w:cs="仿宋"/>
          <w:color w:val="000000"/>
          <w:sz w:val="32"/>
          <w:szCs w:val="32"/>
        </w:rPr>
        <w:t xml:space="preserve">  县级以上人民政府应当建立低收入群体和受灾居（村）民粮食供应救济制度，保障其基本的粮食需要。</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第五章  法律责任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第三十四条</w:t>
      </w:r>
      <w:r>
        <w:rPr>
          <w:rFonts w:hint="eastAsia" w:ascii="宋体" w:hAnsi="宋体" w:eastAsia="仿宋_GB2312" w:cs="仿宋"/>
          <w:color w:val="000000"/>
          <w:sz w:val="32"/>
          <w:szCs w:val="32"/>
        </w:rPr>
        <w:t xml:space="preserve">  县级以上人民政府未按照本条例规定落实粮食安全保障责任，有下列情形之一的，由上级人民政府通报批评，对政府主要负责人、负有责任的主管人员和其他直接责任人员依法给予处分；构成犯罪的，依法追究刑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（一）未采取措施保护基本农田，致使粮食播种面积未达到当年省人民政府下达的指标的；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（二）粮食储备和粮食风险基金未达到上级人民政府核定规模的；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（三）挤占、截留、挪用粮食风险基金的；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（四）出现粮食紧急情况时没有及时采取有效措施，造成粮食价格异常波动、粮食抢购等社会不稳定事件的；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（五）未按照规定核销因不可抗力造成的政府储备粮损失超过半年以上，给承储政府储备粮的企业增加经济负担的；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（六）玩忽职守、滥用职权等渎职行为的。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第三十五条</w:t>
      </w:r>
      <w:r>
        <w:rPr>
          <w:rFonts w:hint="eastAsia" w:ascii="宋体" w:hAnsi="宋体" w:eastAsia="仿宋_GB2312" w:cs="仿宋"/>
          <w:color w:val="000000"/>
          <w:sz w:val="32"/>
          <w:szCs w:val="32"/>
        </w:rPr>
        <w:t xml:space="preserve">  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或者其他有关部门及其工作人员违反本条例规定，有下列情形之一的，由本级人民政府或者上级人民政府有关部门视情节轻重，责令改正，通报批评，并对主要负责人、负有责任的主管人员和其他直接责任人员依法给予处分；构成犯罪的，依法追究刑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（一）未按照本条例规定履行监督检查职责，对违法行为不及时制止和处理的；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（二）委托不具备条件的企业承储政府储备粮的；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（三）未按照规定及时下达政府储备粮收储计划，造成政府粮食储备规模不落实的；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（四）未按照规定及时下达政府储备粮轮换计划，造成政府储备粮霉坏、变质的；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（五）未按照规定及时落实粮食市场调控措施或者粮食价格干预措施，造成粮食市场和社会不稳定的；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（六）挤占、截留、挪用粮食风险基金的；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（七）玩忽职守、滥用职权等渎职行为的。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第三十六条</w:t>
      </w:r>
      <w:r>
        <w:rPr>
          <w:rFonts w:hint="eastAsia" w:ascii="宋体" w:hAnsi="宋体" w:eastAsia="仿宋_GB2312" w:cs="仿宋"/>
          <w:color w:val="000000"/>
          <w:sz w:val="32"/>
          <w:szCs w:val="32"/>
        </w:rPr>
        <w:t xml:space="preserve">  承储政府储备粮的企业违反本条例第二十一条规定，未健全财务制度，或者未按照规定使用财政资金的，由政府储备粮所属人民政府财政部门责令其限期改正；有违法所得的，依法予以没收，并处以五万元以上十万元以下的罚款；构成犯罪的，依法追究刑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第三十七条</w:t>
      </w:r>
      <w:r>
        <w:rPr>
          <w:rFonts w:hint="eastAsia" w:ascii="宋体" w:hAnsi="宋体" w:eastAsia="仿宋_GB2312" w:cs="仿宋"/>
          <w:color w:val="000000"/>
          <w:sz w:val="32"/>
          <w:szCs w:val="32"/>
        </w:rPr>
        <w:t xml:space="preserve">  承储政府储备粮的企业违反本条例第二十二条规定的，由政府储备粮所属人民政府粮食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责令其限期改正；有违法所得的，依法予以没收。对违规销售政府储备粮的，视情节轻重并处以出库粮食价值一倍以上五倍以下的罚款。对其他违法行为，并处以五万元以上十万元以下的罚款；构成犯罪的，依法追究刑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第三十八条</w:t>
      </w:r>
      <w:r>
        <w:rPr>
          <w:rFonts w:hint="eastAsia" w:ascii="宋体" w:hAnsi="宋体" w:eastAsia="仿宋_GB2312" w:cs="仿宋"/>
          <w:color w:val="000000"/>
          <w:sz w:val="32"/>
          <w:szCs w:val="32"/>
        </w:rPr>
        <w:t xml:space="preserve">  粮食经营者违反本条例第三十一条规定，无正当理由拒不承担或者拖延承担粮食应急任务，由县级以上人民政府粮食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部门给予警告并责令改正。</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第六章  附</w:t>
      </w:r>
      <w:r>
        <w:rPr>
          <w:rFonts w:hint="eastAsia" w:ascii="宋体" w:hAnsi="宋体" w:eastAsia="黑体" w:cs="仿宋_GB2312"/>
          <w:color w:val="000000"/>
          <w:sz w:val="32"/>
          <w:szCs w:val="32"/>
          <w:lang w:val="en-US" w:eastAsia="zh-CN"/>
        </w:rPr>
        <w:t xml:space="preserve">  </w:t>
      </w:r>
      <w:r>
        <w:rPr>
          <w:rFonts w:hint="eastAsia" w:ascii="宋体" w:hAnsi="宋体" w:eastAsia="黑体" w:cs="仿宋_GB2312"/>
          <w:color w:val="000000"/>
          <w:sz w:val="32"/>
          <w:szCs w:val="32"/>
        </w:rPr>
        <w:t>则</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spacing w:line="560" w:lineRule="exact"/>
        <w:ind w:firstLine="640" w:firstLineChars="200"/>
      </w:pPr>
      <w:r>
        <w:rPr>
          <w:rFonts w:hint="eastAsia" w:ascii="宋体" w:hAnsi="宋体" w:eastAsia="黑体" w:cs="仿宋"/>
          <w:color w:val="000000"/>
          <w:sz w:val="32"/>
          <w:szCs w:val="32"/>
        </w:rPr>
        <w:t>第三十九条</w:t>
      </w:r>
      <w:r>
        <w:rPr>
          <w:rFonts w:hint="eastAsia" w:ascii="宋体" w:hAnsi="宋体" w:eastAsia="仿宋_GB2312" w:cs="仿宋"/>
          <w:color w:val="000000"/>
          <w:sz w:val="32"/>
          <w:szCs w:val="32"/>
        </w:rPr>
        <w:t xml:space="preserve">  本条例自2009年7月1日起施行。</w:t>
      </w: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widowControl w:val="0"/>
        <w:wordWrap/>
        <w:adjustRightInd w:val="0"/>
        <w:snapToGrid/>
        <w:spacing w:before="0" w:beforeLines="0" w:after="0" w:afterLines="0" w:line="590" w:lineRule="exact"/>
        <w:ind w:right="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广东省城乡生活垃圾管理条例</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rPr>
      </w:pP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仿宋_GB2312"/>
          <w:lang w:eastAsia="zh-CN"/>
        </w:rPr>
      </w:pPr>
      <w:r>
        <w:rPr>
          <w:rFonts w:hint="eastAsia" w:ascii="宋体" w:hAnsi="宋体" w:eastAsia="楷体_GB2312" w:cs="楷体_GB2312"/>
        </w:rPr>
        <w:t>（2015年9月25日广东省第十二届人民代表大会常务委员会第二十次会议通过</w:t>
      </w:r>
      <w:r>
        <w:rPr>
          <w:rFonts w:hint="eastAsia" w:ascii="宋体" w:hAnsi="宋体" w:eastAsia="楷体_GB2312" w:cs="楷体_GB2312"/>
          <w:lang w:val="en-US" w:eastAsia="zh-CN"/>
        </w:rPr>
        <w:t xml:space="preserve">  </w:t>
      </w:r>
      <w:r>
        <w:rPr>
          <w:rFonts w:hint="eastAsia" w:ascii="宋体" w:hAnsi="宋体" w:eastAsia="楷体_GB2312" w:cs="楷体_GB2312"/>
        </w:rPr>
        <w:t>20</w:t>
      </w:r>
      <w:r>
        <w:rPr>
          <w:rFonts w:hint="eastAsia" w:ascii="宋体" w:hAnsi="宋体" w:eastAsia="楷体_GB2312" w:cs="楷体_GB2312"/>
          <w:lang w:val="en-US" w:eastAsia="zh-CN"/>
        </w:rPr>
        <w:t>20</w:t>
      </w:r>
      <w:r>
        <w:rPr>
          <w:rFonts w:hint="eastAsia" w:ascii="宋体" w:hAnsi="宋体" w:eastAsia="楷体_GB2312" w:cs="楷体_GB2312"/>
        </w:rPr>
        <w:t>年</w:t>
      </w:r>
      <w:r>
        <w:rPr>
          <w:rFonts w:hint="eastAsia" w:ascii="宋体" w:hAnsi="宋体" w:eastAsia="楷体_GB2312" w:cs="楷体_GB2312"/>
          <w:lang w:val="en-US" w:eastAsia="zh-CN"/>
        </w:rPr>
        <w:t>11</w:t>
      </w:r>
      <w:r>
        <w:rPr>
          <w:rFonts w:hint="eastAsia" w:ascii="宋体" w:hAnsi="宋体" w:eastAsia="楷体_GB2312" w:cs="楷体_GB2312"/>
        </w:rPr>
        <w:t>月</w:t>
      </w:r>
      <w:r>
        <w:rPr>
          <w:rFonts w:hint="eastAsia" w:ascii="宋体" w:hAnsi="宋体" w:eastAsia="楷体_GB2312" w:cs="楷体_GB2312"/>
          <w:lang w:val="en-US" w:eastAsia="zh-CN"/>
        </w:rPr>
        <w:t>27</w:t>
      </w:r>
      <w:r>
        <w:rPr>
          <w:rFonts w:hint="eastAsia" w:ascii="宋体" w:hAnsi="宋体" w:eastAsia="楷体_GB2312" w:cs="楷体_GB2312"/>
        </w:rPr>
        <w:t>日广东省第十三届人民代表大会常务委员会第</w:t>
      </w:r>
      <w:r>
        <w:rPr>
          <w:rFonts w:hint="eastAsia" w:ascii="宋体" w:hAnsi="宋体" w:eastAsia="楷体_GB2312" w:cs="楷体_GB2312"/>
          <w:lang w:eastAsia="zh-CN"/>
        </w:rPr>
        <w:t>二十六</w:t>
      </w:r>
      <w:r>
        <w:rPr>
          <w:rFonts w:hint="eastAsia" w:ascii="宋体" w:hAnsi="宋体" w:eastAsia="楷体_GB2312" w:cs="楷体_GB2312"/>
        </w:rPr>
        <w:t>次会议</w:t>
      </w:r>
      <w:r>
        <w:rPr>
          <w:rFonts w:hint="eastAsia" w:ascii="宋体" w:hAnsi="宋体" w:eastAsia="楷体_GB2312" w:cs="楷体_GB2312"/>
          <w:lang w:eastAsia="zh-CN"/>
        </w:rPr>
        <w:t>修订</w:t>
      </w:r>
      <w:r>
        <w:rPr>
          <w:rFonts w:hint="eastAsia" w:ascii="宋体" w:hAnsi="宋体" w:eastAsia="楷体_GB2312" w:cs="楷体_GB2312"/>
        </w:rPr>
        <w:t>）</w:t>
      </w: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仿宋_GB2312" w:cs="仿宋_GB2312"/>
          <w:sz w:val="32"/>
          <w:highlight w:val="none"/>
          <w:lang w:val="en-US" w:eastAsia="zh-CN"/>
        </w:rPr>
      </w:pPr>
    </w:p>
    <w:p>
      <w:pPr>
        <w:widowControl w:val="0"/>
        <w:wordWrap/>
        <w:overflowPunct w:val="0"/>
        <w:adjustRightInd w:val="0"/>
        <w:snapToGrid/>
        <w:spacing w:line="590" w:lineRule="exact"/>
        <w:ind w:right="0"/>
        <w:jc w:val="center"/>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目    录</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第一章  总则</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第二章  源头减量</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第三章  分类投放</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第四章  分类收集、运输与处理</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第五章  设施建设与保障</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第六章  监督管理</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第七章  法律责任</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第八章  附则</w:t>
      </w: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第一章  总  则</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第一条</w:t>
      </w:r>
      <w:r>
        <w:rPr>
          <w:rFonts w:hint="eastAsia" w:ascii="宋体" w:hAnsi="宋体" w:eastAsia="仿宋_GB2312" w:cs="仿宋_GB2312"/>
          <w:sz w:val="32"/>
          <w:highlight w:val="none"/>
          <w:lang w:val="en-US" w:eastAsia="zh-CN"/>
        </w:rPr>
        <w:t xml:space="preserve">  为了规范城乡生活垃圾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理，控制污染，保护环境，</w:t>
      </w:r>
      <w:r>
        <w:rPr>
          <w:rFonts w:hint="eastAsia" w:ascii="宋体" w:hAnsi="宋体" w:eastAsia="仿宋_GB2312" w:cs="黑体"/>
          <w:sz w:val="32"/>
          <w:highlight w:val="none"/>
          <w:lang w:val="en-US" w:eastAsia="zh-CN"/>
        </w:rPr>
        <w:t>推</w:t>
      </w:r>
      <w:r>
        <w:rPr>
          <w:rFonts w:hint="eastAsia" w:ascii="宋体" w:hAnsi="宋体" w:eastAsia="仿宋_GB2312" w:cs="仿宋_GB2312"/>
          <w:sz w:val="32"/>
          <w:highlight w:val="none"/>
          <w:lang w:val="en-US" w:eastAsia="zh-CN"/>
        </w:rPr>
        <w:t>进生态文明建设</w:t>
      </w:r>
      <w:r>
        <w:rPr>
          <w:rFonts w:hint="eastAsia" w:ascii="宋体" w:hAnsi="宋体" w:eastAsia="仿宋_GB2312" w:cs="黑体"/>
          <w:i w:val="0"/>
          <w:iCs w:val="0"/>
          <w:sz w:val="32"/>
          <w:highlight w:val="none"/>
          <w:u w:val="none"/>
          <w:lang w:val="en-US" w:eastAsia="zh-CN"/>
        </w:rPr>
        <w:t>，</w:t>
      </w:r>
      <w:r>
        <w:rPr>
          <w:rFonts w:hint="eastAsia" w:ascii="宋体" w:hAnsi="宋体" w:eastAsia="仿宋_GB2312" w:cs="黑体"/>
          <w:sz w:val="32"/>
          <w:highlight w:val="none"/>
          <w:lang w:val="en-US" w:eastAsia="zh-CN"/>
        </w:rPr>
        <w:t>促进</w:t>
      </w:r>
      <w:r>
        <w:rPr>
          <w:rFonts w:hint="eastAsia" w:ascii="宋体" w:hAnsi="宋体" w:eastAsia="仿宋_GB2312" w:cs="仿宋_GB2312"/>
          <w:sz w:val="32"/>
          <w:highlight w:val="none"/>
          <w:lang w:val="en-US" w:eastAsia="zh-CN"/>
        </w:rPr>
        <w:t>经济社会可持续发展，根据《中华人民共和国固体废物污染环境防治法》《城市市容和环境卫生管理条例》等有关法律、行政法规，结合本省实际，制定本条例。</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第二条</w:t>
      </w:r>
      <w:r>
        <w:rPr>
          <w:rFonts w:hint="eastAsia" w:ascii="宋体" w:hAnsi="宋体" w:eastAsia="仿宋_GB2312" w:cs="仿宋_GB2312"/>
          <w:sz w:val="32"/>
          <w:highlight w:val="none"/>
          <w:lang w:val="en-US" w:eastAsia="zh-CN"/>
        </w:rPr>
        <w:t xml:space="preserve">  本条例适用于本省行政区域内城乡生活垃圾的源头减量、投放、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收集、运输、处</w:t>
      </w:r>
      <w:r>
        <w:rPr>
          <w:rFonts w:hint="eastAsia" w:ascii="宋体" w:hAnsi="宋体" w:eastAsia="仿宋_GB2312" w:cs="黑体"/>
          <w:sz w:val="32"/>
          <w:highlight w:val="none"/>
          <w:lang w:val="en-US" w:eastAsia="zh-CN"/>
        </w:rPr>
        <w:t>理及相关管理</w:t>
      </w:r>
      <w:r>
        <w:rPr>
          <w:rFonts w:hint="eastAsia" w:ascii="宋体" w:hAnsi="宋体" w:eastAsia="仿宋_GB2312" w:cs="仿宋_GB2312"/>
          <w:sz w:val="32"/>
          <w:highlight w:val="none"/>
          <w:lang w:val="en-US" w:eastAsia="zh-CN"/>
        </w:rPr>
        <w:t>等活动。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本条例所称生活垃圾，是指在日常生活中或者为日常生活提供服务的活动中产生的固体废物</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以及法律、行政法规规定视为生活垃圾的固体废物。</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第三条</w:t>
      </w:r>
      <w:r>
        <w:rPr>
          <w:rFonts w:hint="eastAsia" w:ascii="宋体" w:hAnsi="宋体" w:eastAsia="仿宋_GB2312" w:cs="仿宋_GB2312"/>
          <w:sz w:val="32"/>
          <w:highlight w:val="none"/>
          <w:lang w:val="en-US" w:eastAsia="zh-CN"/>
        </w:rPr>
        <w:t xml:space="preserve">  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w:t>
      </w:r>
      <w:r>
        <w:rPr>
          <w:rFonts w:hint="eastAsia" w:ascii="宋体" w:hAnsi="宋体" w:eastAsia="仿宋_GB2312" w:cs="黑体"/>
          <w:sz w:val="32"/>
          <w:highlight w:val="none"/>
          <w:lang w:val="en-US" w:eastAsia="zh-CN"/>
        </w:rPr>
        <w:t>坚持政府推动、</w:t>
      </w:r>
      <w:r>
        <w:rPr>
          <w:rFonts w:hint="eastAsia" w:ascii="宋体" w:hAnsi="宋体" w:eastAsia="仿宋_GB2312" w:cs="仿宋_GB2312"/>
          <w:sz w:val="32"/>
          <w:highlight w:val="none"/>
          <w:lang w:val="en-US" w:eastAsia="zh-CN"/>
        </w:rPr>
        <w:t>城乡统筹、属地管理、</w:t>
      </w:r>
      <w:r>
        <w:rPr>
          <w:rFonts w:hint="eastAsia" w:ascii="宋体" w:hAnsi="宋体" w:eastAsia="仿宋_GB2312" w:cs="仿宋_GB2312"/>
          <w:i w:val="0"/>
          <w:iCs w:val="0"/>
          <w:sz w:val="32"/>
          <w:highlight w:val="none"/>
          <w:u w:val="none"/>
          <w:lang w:val="en-US" w:eastAsia="zh-CN"/>
        </w:rPr>
        <w:t>全民参与、</w:t>
      </w:r>
      <w:r>
        <w:rPr>
          <w:rFonts w:hint="eastAsia" w:ascii="宋体" w:hAnsi="宋体" w:eastAsia="仿宋_GB2312" w:cs="仿宋_GB2312"/>
          <w:sz w:val="32"/>
          <w:highlight w:val="none"/>
          <w:lang w:val="en-US" w:eastAsia="zh-CN"/>
        </w:rPr>
        <w:t>因地制宜、</w:t>
      </w:r>
      <w:r>
        <w:rPr>
          <w:rFonts w:hint="eastAsia" w:ascii="宋体" w:hAnsi="宋体" w:eastAsia="仿宋_GB2312" w:cs="黑体"/>
          <w:sz w:val="32"/>
          <w:highlight w:val="none"/>
          <w:lang w:val="en-US" w:eastAsia="zh-CN"/>
        </w:rPr>
        <w:t>简便易行</w:t>
      </w:r>
      <w:r>
        <w:rPr>
          <w:rFonts w:hint="eastAsia" w:ascii="宋体" w:hAnsi="宋体" w:eastAsia="仿宋_GB2312" w:cs="仿宋_GB2312"/>
          <w:sz w:val="32"/>
          <w:highlight w:val="none"/>
          <w:lang w:val="en-US" w:eastAsia="zh-CN"/>
        </w:rPr>
        <w:t>的原则，实行减量化、资源化、无害化控制和管理。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第四条</w:t>
      </w:r>
      <w:r>
        <w:rPr>
          <w:rFonts w:hint="eastAsia" w:ascii="宋体" w:hAnsi="宋体" w:eastAsia="仿宋_GB2312" w:cs="仿宋_GB2312"/>
          <w:sz w:val="32"/>
          <w:highlight w:val="none"/>
          <w:lang w:val="en-US" w:eastAsia="zh-CN"/>
        </w:rPr>
        <w:t xml:space="preserve">  县级以上人民政府应当将城乡生活垃圾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理工作纳入国民经济与社会发展规划，制定城乡生活垃圾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理目标，落实城乡生活垃圾源头减量、投放、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的保障措施。</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乡镇人民政府、街道办事处负责本区</w:t>
      </w:r>
      <w:r>
        <w:rPr>
          <w:rFonts w:hint="eastAsia" w:ascii="宋体" w:hAnsi="宋体" w:eastAsia="仿宋_GB2312" w:cs="黑体"/>
          <w:sz w:val="32"/>
          <w:highlight w:val="none"/>
          <w:lang w:val="en-US" w:eastAsia="zh-CN"/>
        </w:rPr>
        <w:t>域</w:t>
      </w:r>
      <w:r>
        <w:rPr>
          <w:rFonts w:hint="eastAsia" w:ascii="宋体" w:hAnsi="宋体" w:eastAsia="仿宋_GB2312" w:cs="仿宋_GB2312"/>
          <w:sz w:val="32"/>
          <w:highlight w:val="none"/>
          <w:lang w:val="en-US" w:eastAsia="zh-CN"/>
        </w:rPr>
        <w:t>内城乡生活垃圾的</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理工作</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村民委员会、居民委员会</w:t>
      </w:r>
      <w:r>
        <w:rPr>
          <w:rFonts w:hint="eastAsia" w:ascii="宋体" w:hAnsi="宋体" w:eastAsia="仿宋_GB2312" w:cs="黑体"/>
          <w:i w:val="0"/>
          <w:iCs w:val="0"/>
          <w:sz w:val="32"/>
          <w:highlight w:val="none"/>
          <w:u w:val="none"/>
          <w:lang w:val="en-US" w:eastAsia="zh-CN"/>
        </w:rPr>
        <w:t>协助</w:t>
      </w:r>
      <w:r>
        <w:rPr>
          <w:rFonts w:hint="eastAsia" w:ascii="宋体" w:hAnsi="宋体" w:eastAsia="仿宋_GB2312" w:cs="黑体"/>
          <w:sz w:val="32"/>
          <w:highlight w:val="none"/>
          <w:lang w:val="en-US" w:eastAsia="zh-CN"/>
        </w:rPr>
        <w:t>做好</w:t>
      </w:r>
      <w:r>
        <w:rPr>
          <w:rFonts w:hint="eastAsia" w:ascii="宋体" w:hAnsi="宋体" w:eastAsia="仿宋_GB2312" w:cs="仿宋_GB2312"/>
          <w:sz w:val="32"/>
          <w:highlight w:val="none"/>
          <w:lang w:val="en-US" w:eastAsia="zh-CN"/>
        </w:rPr>
        <w:t>生活垃圾</w:t>
      </w:r>
      <w:r>
        <w:rPr>
          <w:rFonts w:hint="eastAsia" w:ascii="宋体" w:hAnsi="宋体" w:eastAsia="仿宋_GB2312" w:cs="黑体"/>
          <w:sz w:val="32"/>
          <w:highlight w:val="none"/>
          <w:lang w:val="en-US" w:eastAsia="zh-CN"/>
        </w:rPr>
        <w:t>源头减量、分类</w:t>
      </w:r>
      <w:r>
        <w:rPr>
          <w:rFonts w:hint="eastAsia" w:ascii="宋体" w:hAnsi="宋体" w:eastAsia="仿宋_GB2312" w:cs="仿宋_GB2312"/>
          <w:i w:val="0"/>
          <w:iCs w:val="0"/>
          <w:sz w:val="32"/>
          <w:highlight w:val="none"/>
          <w:u w:val="none"/>
          <w:lang w:val="en-US" w:eastAsia="zh-CN"/>
        </w:rPr>
        <w:t>投放</w:t>
      </w:r>
      <w:r>
        <w:rPr>
          <w:rFonts w:hint="eastAsia" w:ascii="宋体" w:hAnsi="宋体" w:eastAsia="仿宋_GB2312" w:cs="黑体"/>
          <w:i w:val="0"/>
          <w:iCs w:val="0"/>
          <w:sz w:val="32"/>
          <w:highlight w:val="none"/>
          <w:u w:val="none"/>
          <w:lang w:val="en-US" w:eastAsia="zh-CN"/>
        </w:rPr>
        <w:t>等的</w:t>
      </w:r>
      <w:r>
        <w:rPr>
          <w:rFonts w:hint="eastAsia" w:ascii="黑体" w:hAnsi="黑体" w:eastAsia="仿宋_GB2312" w:cs="黑体"/>
          <w:i w:val="0"/>
          <w:iCs w:val="0"/>
          <w:sz w:val="32"/>
          <w:highlight w:val="none"/>
          <w:u w:val="none"/>
          <w:lang w:val="en-US" w:eastAsia="zh-CN"/>
        </w:rPr>
        <w:t>组织、</w:t>
      </w:r>
      <w:r>
        <w:rPr>
          <w:rFonts w:hint="eastAsia" w:ascii="宋体" w:hAnsi="宋体" w:eastAsia="仿宋_GB2312" w:cs="黑体"/>
          <w:i w:val="0"/>
          <w:iCs w:val="0"/>
          <w:sz w:val="32"/>
          <w:highlight w:val="none"/>
          <w:u w:val="none"/>
          <w:lang w:val="en-US" w:eastAsia="zh-CN"/>
        </w:rPr>
        <w:t>宣传、引导</w:t>
      </w:r>
      <w:r>
        <w:rPr>
          <w:rFonts w:hint="eastAsia" w:ascii="宋体" w:hAnsi="宋体" w:eastAsia="仿宋_GB2312" w:cs="仿宋_GB2312"/>
          <w:sz w:val="32"/>
          <w:highlight w:val="none"/>
          <w:lang w:val="en-US" w:eastAsia="zh-CN"/>
        </w:rPr>
        <w:t>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第五条</w:t>
      </w:r>
      <w:r>
        <w:rPr>
          <w:rFonts w:hint="eastAsia" w:ascii="宋体" w:hAnsi="宋体" w:eastAsia="仿宋_GB2312" w:cs="仿宋_GB2312"/>
          <w:sz w:val="32"/>
          <w:highlight w:val="none"/>
          <w:lang w:val="en-US" w:eastAsia="zh-CN"/>
        </w:rPr>
        <w:t xml:space="preserve">  省人民政府住房城乡建设主管部门</w:t>
      </w:r>
      <w:r>
        <w:rPr>
          <w:rFonts w:hint="eastAsia" w:ascii="宋体" w:hAnsi="宋体" w:eastAsia="仿宋_GB2312" w:cs="黑体"/>
          <w:sz w:val="32"/>
          <w:highlight w:val="none"/>
          <w:lang w:val="en-US" w:eastAsia="zh-CN"/>
        </w:rPr>
        <w:t>负责</w:t>
      </w:r>
      <w:r>
        <w:rPr>
          <w:rFonts w:hint="eastAsia" w:ascii="宋体" w:hAnsi="宋体" w:eastAsia="仿宋_GB2312" w:cs="仿宋_GB2312"/>
          <w:sz w:val="32"/>
          <w:highlight w:val="none"/>
          <w:lang w:val="en-US" w:eastAsia="zh-CN"/>
        </w:rPr>
        <w:t>指导</w:t>
      </w:r>
      <w:r>
        <w:rPr>
          <w:rFonts w:hint="eastAsia" w:ascii="宋体" w:hAnsi="宋体" w:eastAsia="仿宋_GB2312" w:cs="仿宋_GB2312"/>
          <w:i w:val="0"/>
          <w:iCs w:val="0"/>
          <w:sz w:val="32"/>
          <w:highlight w:val="none"/>
          <w:u w:val="none"/>
          <w:lang w:val="en-US" w:eastAsia="zh-CN"/>
        </w:rPr>
        <w:t>全</w:t>
      </w:r>
      <w:r>
        <w:rPr>
          <w:rFonts w:hint="eastAsia" w:ascii="宋体" w:hAnsi="宋体" w:eastAsia="仿宋_GB2312" w:cs="仿宋_GB2312"/>
          <w:sz w:val="32"/>
          <w:highlight w:val="none"/>
          <w:lang w:val="en-US" w:eastAsia="zh-CN"/>
        </w:rPr>
        <w:t>省城乡生活垃圾</w:t>
      </w:r>
      <w:r>
        <w:rPr>
          <w:rFonts w:hint="eastAsia" w:ascii="宋体" w:hAnsi="宋体" w:eastAsia="仿宋_GB2312" w:cs="仿宋_GB2312"/>
          <w:i w:val="0"/>
          <w:iCs w:val="0"/>
          <w:sz w:val="32"/>
          <w:highlight w:val="none"/>
          <w:lang w:val="en-US" w:eastAsia="zh-CN"/>
        </w:rPr>
        <w:t>的</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color w:val="auto"/>
          <w:sz w:val="32"/>
          <w:highlight w:val="none"/>
          <w:lang w:val="en-US" w:eastAsia="zh-CN"/>
        </w:rPr>
        <w:t>地级以上</w:t>
      </w:r>
      <w:r>
        <w:rPr>
          <w:rFonts w:hint="eastAsia" w:ascii="宋体" w:hAnsi="宋体" w:eastAsia="仿宋_GB2312" w:cs="仿宋_GB2312"/>
          <w:color w:val="auto"/>
          <w:sz w:val="32"/>
          <w:highlight w:val="none"/>
          <w:lang w:val="en-US" w:eastAsia="zh-CN"/>
        </w:rPr>
        <w:t>市</w:t>
      </w:r>
      <w:r>
        <w:rPr>
          <w:rFonts w:hint="eastAsia" w:ascii="宋体" w:hAnsi="宋体" w:eastAsia="仿宋_GB2312" w:cs="仿宋_GB2312"/>
          <w:i w:val="0"/>
          <w:iCs w:val="0"/>
          <w:color w:val="auto"/>
          <w:sz w:val="32"/>
          <w:highlight w:val="none"/>
          <w:u w:val="none"/>
          <w:lang w:val="en-US" w:eastAsia="zh-CN"/>
        </w:rPr>
        <w:t>、</w:t>
      </w:r>
      <w:r>
        <w:rPr>
          <w:rFonts w:hint="eastAsia" w:ascii="宋体" w:hAnsi="宋体" w:eastAsia="仿宋_GB2312" w:cs="仿宋_GB2312"/>
          <w:color w:val="auto"/>
          <w:sz w:val="32"/>
          <w:highlight w:val="none"/>
          <w:lang w:val="en-US" w:eastAsia="zh-CN"/>
        </w:rPr>
        <w:t>县</w:t>
      </w:r>
      <w:r>
        <w:rPr>
          <w:rFonts w:hint="eastAsia" w:ascii="宋体" w:hAnsi="宋体" w:eastAsia="仿宋_GB2312" w:cs="黑体"/>
          <w:color w:val="auto"/>
          <w:sz w:val="32"/>
          <w:highlight w:val="none"/>
          <w:lang w:val="en-US" w:eastAsia="zh-CN"/>
        </w:rPr>
        <w:t>级</w:t>
      </w:r>
      <w:r>
        <w:rPr>
          <w:rFonts w:hint="eastAsia" w:ascii="宋体" w:hAnsi="宋体" w:eastAsia="仿宋_GB2312" w:cs="仿宋_GB2312"/>
          <w:sz w:val="32"/>
          <w:highlight w:val="none"/>
          <w:lang w:val="en-US" w:eastAsia="zh-CN"/>
        </w:rPr>
        <w:t>人民政府环境卫生主管部门负责本行政区域内城</w:t>
      </w:r>
      <w:r>
        <w:rPr>
          <w:rFonts w:hint="eastAsia" w:ascii="宋体" w:hAnsi="宋体" w:eastAsia="仿宋_GB2312" w:cs="仿宋_GB2312"/>
          <w:i w:val="0"/>
          <w:iCs w:val="0"/>
          <w:sz w:val="32"/>
          <w:highlight w:val="none"/>
          <w:u w:val="none"/>
          <w:lang w:val="en-US" w:eastAsia="zh-CN"/>
        </w:rPr>
        <w:t>乡</w:t>
      </w:r>
      <w:r>
        <w:rPr>
          <w:rFonts w:hint="eastAsia" w:ascii="宋体" w:hAnsi="宋体" w:eastAsia="仿宋_GB2312" w:cs="仿宋_GB2312"/>
          <w:sz w:val="32"/>
          <w:highlight w:val="none"/>
          <w:lang w:val="en-US" w:eastAsia="zh-CN"/>
        </w:rPr>
        <w:t>生活垃圾</w:t>
      </w:r>
      <w:r>
        <w:rPr>
          <w:rFonts w:hint="eastAsia" w:ascii="宋体" w:hAnsi="宋体" w:eastAsia="仿宋_GB2312" w:cs="仿宋_GB2312"/>
          <w:i w:val="0"/>
          <w:iCs w:val="0"/>
          <w:sz w:val="32"/>
          <w:highlight w:val="none"/>
          <w:u w:val="none"/>
          <w:lang w:val="en-US" w:eastAsia="zh-CN"/>
        </w:rPr>
        <w:t>的</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县级以上人民政府农业农村主管部门负责指导农村生活垃圾分类工作和村庄保洁长效机制建设。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县级以上人民政府发展改革、生态环境、商务、市场监管等有关部门按照职责分工协同做好城乡生活垃圾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理的相关工作。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color w:val="auto"/>
          <w:sz w:val="32"/>
          <w:highlight w:val="none"/>
          <w:lang w:val="en-US" w:eastAsia="zh-CN"/>
        </w:rPr>
      </w:pPr>
      <w:r>
        <w:rPr>
          <w:rFonts w:hint="eastAsia" w:ascii="宋体" w:hAnsi="宋体" w:eastAsia="黑体" w:cs="仿宋_GB2312"/>
          <w:sz w:val="32"/>
          <w:highlight w:val="none"/>
          <w:lang w:val="en-US" w:eastAsia="zh-CN"/>
        </w:rPr>
        <w:t>第六条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color w:val="auto"/>
          <w:sz w:val="32"/>
          <w:highlight w:val="none"/>
          <w:lang w:val="en-US" w:eastAsia="zh-CN"/>
        </w:rPr>
        <w:t>本省推行城乡生活垃圾分类制度。</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县级以上人民政府应当</w:t>
      </w:r>
      <w:r>
        <w:rPr>
          <w:rFonts w:hint="eastAsia" w:ascii="宋体" w:hAnsi="宋体" w:eastAsia="仿宋_GB2312" w:cs="仿宋_GB2312"/>
          <w:sz w:val="32"/>
          <w:highlight w:val="none"/>
          <w:lang w:val="en-US" w:eastAsia="zh-CN"/>
        </w:rPr>
        <w:t>加快建立分类投放、分类收集、分类运输、分类处理的生活垃圾管理系统</w:t>
      </w:r>
      <w:r>
        <w:rPr>
          <w:rFonts w:hint="eastAsia" w:ascii="宋体" w:hAnsi="宋体" w:eastAsia="仿宋_GB2312" w:cs="黑体"/>
          <w:sz w:val="32"/>
          <w:highlight w:val="none"/>
          <w:lang w:val="en-US" w:eastAsia="zh-CN"/>
        </w:rPr>
        <w:t>，实现生活垃圾分类制度有效覆盖，推进生活垃圾源头减量、资源化利用和无害化处理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第七条</w:t>
      </w:r>
      <w:r>
        <w:rPr>
          <w:rFonts w:hint="eastAsia" w:ascii="宋体" w:hAnsi="宋体" w:eastAsia="仿宋_GB2312" w:cs="仿宋_GB2312"/>
          <w:sz w:val="32"/>
          <w:highlight w:val="none"/>
          <w:lang w:val="en-US" w:eastAsia="zh-CN"/>
        </w:rPr>
        <w:t xml:space="preserve">  产生生活垃圾的单位、家庭和个人应当依法履行生活垃圾源头减量和分类投放义务，</w:t>
      </w:r>
      <w:r>
        <w:rPr>
          <w:rFonts w:hint="eastAsia" w:ascii="宋体" w:hAnsi="宋体" w:eastAsia="仿宋_GB2312" w:cs="黑体"/>
          <w:sz w:val="32"/>
          <w:highlight w:val="none"/>
          <w:lang w:val="en-US" w:eastAsia="zh-CN"/>
        </w:rPr>
        <w:t>承担生活垃圾产生者责任，</w:t>
      </w:r>
      <w:r>
        <w:rPr>
          <w:rFonts w:hint="eastAsia" w:ascii="宋体" w:hAnsi="宋体" w:eastAsia="仿宋_GB2312" w:cs="仿宋_GB2312"/>
          <w:sz w:val="32"/>
          <w:highlight w:val="none"/>
          <w:lang w:val="en-US" w:eastAsia="zh-CN"/>
        </w:rPr>
        <w:t>按照规定缴纳生活垃圾处理费。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各级人民政府应当加强生活垃圾</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的宣传教育，增强公众生活垃圾减量、分类意识，</w:t>
      </w:r>
      <w:r>
        <w:rPr>
          <w:rFonts w:hint="eastAsia" w:ascii="宋体" w:hAnsi="宋体" w:eastAsia="仿宋_GB2312" w:cs="黑体"/>
          <w:sz w:val="32"/>
          <w:highlight w:val="none"/>
          <w:lang w:val="en-US" w:eastAsia="zh-CN"/>
        </w:rPr>
        <w:t>教育引导社会公众养成生活垃圾分类习惯，</w:t>
      </w:r>
      <w:r>
        <w:rPr>
          <w:rFonts w:hint="eastAsia" w:ascii="宋体" w:hAnsi="宋体" w:eastAsia="仿宋_GB2312" w:cs="仿宋_GB2312"/>
          <w:sz w:val="32"/>
          <w:highlight w:val="none"/>
          <w:lang w:val="en-US" w:eastAsia="zh-CN"/>
        </w:rPr>
        <w:t>鼓励公众参与生活垃圾</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的监督活动。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县级以上人民政府教育主管部门应当把生活垃圾源头减量、分类、回收利用和无害化处</w:t>
      </w:r>
      <w:r>
        <w:rPr>
          <w:rFonts w:hint="eastAsia" w:ascii="宋体" w:hAnsi="宋体" w:eastAsia="仿宋_GB2312" w:cs="仿宋_GB2312"/>
          <w:i w:val="0"/>
          <w:iCs w:val="0"/>
          <w:sz w:val="32"/>
          <w:highlight w:val="none"/>
          <w:u w:val="none"/>
          <w:lang w:val="en-US" w:eastAsia="zh-CN"/>
        </w:rPr>
        <w:t>理</w:t>
      </w:r>
      <w:r>
        <w:rPr>
          <w:rFonts w:hint="eastAsia" w:ascii="宋体" w:hAnsi="宋体" w:eastAsia="仿宋_GB2312" w:cs="仿宋_GB2312"/>
          <w:sz w:val="32"/>
          <w:highlight w:val="none"/>
          <w:lang w:val="en-US" w:eastAsia="zh-CN"/>
        </w:rPr>
        <w:t>等知识作为学校教育和社会实践内容。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szCs w:val="22"/>
          <w:highlight w:val="none"/>
          <w:lang w:val="en-US" w:eastAsia="zh-CN"/>
        </w:rPr>
      </w:pPr>
      <w:r>
        <w:rPr>
          <w:rFonts w:hint="eastAsia" w:ascii="宋体" w:hAnsi="宋体" w:eastAsia="仿宋_GB2312" w:cs="黑体"/>
          <w:sz w:val="32"/>
          <w:highlight w:val="none"/>
          <w:lang w:val="en-US" w:eastAsia="zh-CN"/>
        </w:rPr>
        <w:t>各类</w:t>
      </w:r>
      <w:r>
        <w:rPr>
          <w:rFonts w:hint="eastAsia" w:ascii="宋体" w:hAnsi="宋体" w:eastAsia="仿宋_GB2312" w:cs="仿宋_GB2312"/>
          <w:sz w:val="32"/>
          <w:highlight w:val="none"/>
          <w:lang w:val="en-US" w:eastAsia="zh-CN"/>
        </w:rPr>
        <w:t>媒体应当开展生活垃圾</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的公益宣传。</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鼓励志愿服务组织和志愿者开展生活垃圾</w:t>
      </w:r>
      <w:r>
        <w:rPr>
          <w:rFonts w:hint="eastAsia" w:ascii="宋体" w:hAnsi="宋体" w:eastAsia="仿宋_GB2312" w:cs="仿宋_GB2312"/>
          <w:i w:val="0"/>
          <w:iCs w:val="0"/>
          <w:sz w:val="32"/>
          <w:highlight w:val="none"/>
          <w:u w:val="none"/>
          <w:lang w:val="en-US" w:eastAsia="zh-CN"/>
        </w:rPr>
        <w:t>分类</w:t>
      </w:r>
      <w:r>
        <w:rPr>
          <w:rFonts w:hint="eastAsia" w:ascii="宋体" w:hAnsi="宋体" w:eastAsia="仿宋_GB2312" w:cs="仿宋_GB2312"/>
          <w:sz w:val="32"/>
          <w:highlight w:val="none"/>
          <w:lang w:val="en-US" w:eastAsia="zh-CN"/>
        </w:rPr>
        <w:t>的宣传、示范和监督等活动。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县级以上人民政府及其</w:t>
      </w:r>
      <w:r>
        <w:rPr>
          <w:rFonts w:hint="eastAsia" w:ascii="宋体" w:hAnsi="宋体" w:eastAsia="仿宋_GB2312" w:cs="黑体"/>
          <w:sz w:val="32"/>
          <w:highlight w:val="none"/>
          <w:lang w:val="en-US" w:eastAsia="zh-CN"/>
        </w:rPr>
        <w:t>有</w:t>
      </w:r>
      <w:r>
        <w:rPr>
          <w:rFonts w:hint="eastAsia" w:ascii="宋体" w:hAnsi="宋体" w:eastAsia="仿宋_GB2312" w:cs="仿宋_GB2312"/>
          <w:sz w:val="32"/>
          <w:highlight w:val="none"/>
          <w:lang w:val="en-US" w:eastAsia="zh-CN"/>
        </w:rPr>
        <w:t>关部门，乡镇人民政府、街道办事处可以通过购买服务方式，引入社会组织参与生活垃圾</w:t>
      </w:r>
      <w:r>
        <w:rPr>
          <w:rFonts w:hint="eastAsia" w:ascii="宋体" w:hAnsi="宋体" w:eastAsia="仿宋_GB2312" w:cs="黑体"/>
          <w:sz w:val="32"/>
          <w:highlight w:val="none"/>
          <w:lang w:val="en-US" w:eastAsia="zh-CN"/>
        </w:rPr>
        <w:t>分类的</w:t>
      </w:r>
      <w:r>
        <w:rPr>
          <w:rFonts w:hint="eastAsia" w:ascii="宋体" w:hAnsi="宋体" w:eastAsia="仿宋_GB2312" w:cs="仿宋_GB2312"/>
          <w:sz w:val="32"/>
          <w:highlight w:val="none"/>
          <w:lang w:val="en-US" w:eastAsia="zh-CN"/>
        </w:rPr>
        <w:t>宣传教育活动。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黑体"/>
          <w:sz w:val="32"/>
          <w:highlight w:val="none"/>
          <w:lang w:val="en-US" w:eastAsia="zh-CN"/>
        </w:rPr>
        <w:t>第十条</w:t>
      </w:r>
      <w:r>
        <w:rPr>
          <w:rFonts w:hint="eastAsia" w:ascii="宋体" w:hAnsi="宋体" w:eastAsia="仿宋_GB2312" w:cs="黑体"/>
          <w:sz w:val="32"/>
          <w:highlight w:val="none"/>
          <w:lang w:val="en-US" w:eastAsia="zh-CN"/>
        </w:rPr>
        <w:t xml:space="preserve">  鼓励和支持城乡生活垃圾分类的科学研究、技术开发、先进技术推广和科学普及，为源头减量、资源化利用和无害化处理提供科技支撑，提高生活垃圾分类效益。</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第二章  源头减量</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仿宋_GB2312"/>
          <w:i w:val="0"/>
          <w:iCs w:val="0"/>
          <w:sz w:val="32"/>
          <w:highlight w:val="none"/>
          <w:u w:val="none"/>
          <w:lang w:val="en-US" w:eastAsia="zh-CN"/>
        </w:rPr>
        <w:t>一</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各级人民政府应当建立涵盖生产、流通、消费等领域的生活垃圾源头减量机制，鼓励使用</w:t>
      </w:r>
      <w:r>
        <w:rPr>
          <w:rFonts w:hint="eastAsia" w:ascii="宋体" w:hAnsi="宋体" w:eastAsia="仿宋_GB2312" w:cs="黑体"/>
          <w:sz w:val="32"/>
          <w:highlight w:val="none"/>
          <w:lang w:val="en-US" w:eastAsia="zh-CN"/>
        </w:rPr>
        <w:t>可</w:t>
      </w:r>
      <w:r>
        <w:rPr>
          <w:rFonts w:hint="eastAsia" w:ascii="宋体" w:hAnsi="宋体" w:eastAsia="仿宋_GB2312" w:cs="仿宋_GB2312"/>
          <w:sz w:val="32"/>
          <w:highlight w:val="none"/>
          <w:lang w:val="en-US" w:eastAsia="zh-CN"/>
        </w:rPr>
        <w:t>再利用、可再生、可降解等有利于生活垃圾减量化、资源化</w:t>
      </w:r>
      <w:r>
        <w:rPr>
          <w:rFonts w:hint="eastAsia" w:ascii="宋体" w:hAnsi="宋体" w:eastAsia="仿宋_GB2312" w:cs="黑体"/>
          <w:sz w:val="32"/>
          <w:highlight w:val="none"/>
          <w:lang w:val="en-US" w:eastAsia="zh-CN"/>
        </w:rPr>
        <w:t>、无害化</w:t>
      </w:r>
      <w:r>
        <w:rPr>
          <w:rFonts w:hint="eastAsia" w:ascii="宋体" w:hAnsi="宋体" w:eastAsia="仿宋_GB2312" w:cs="仿宋_GB2312"/>
          <w:sz w:val="32"/>
          <w:highlight w:val="none"/>
          <w:lang w:val="en-US" w:eastAsia="zh-CN"/>
        </w:rPr>
        <w:t>的产品，减少生活垃圾的产生</w:t>
      </w:r>
      <w:r>
        <w:rPr>
          <w:rFonts w:hint="eastAsia" w:ascii="宋体" w:hAnsi="宋体" w:eastAsia="仿宋_GB2312" w:cs="黑体"/>
          <w:sz w:val="32"/>
          <w:highlight w:val="none"/>
          <w:lang w:val="en-US" w:eastAsia="zh-CN"/>
        </w:rPr>
        <w:t>量</w:t>
      </w:r>
      <w:r>
        <w:rPr>
          <w:rFonts w:hint="eastAsia" w:ascii="宋体" w:hAnsi="宋体" w:eastAsia="仿宋_GB2312" w:cs="仿宋_GB2312"/>
          <w:sz w:val="32"/>
          <w:highlight w:val="none"/>
          <w:lang w:val="en-US" w:eastAsia="zh-CN"/>
        </w:rPr>
        <w:t>，促进资源节约和循环利用。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第十二条</w:t>
      </w:r>
      <w:r>
        <w:rPr>
          <w:rFonts w:hint="eastAsia" w:ascii="宋体" w:hAnsi="宋体" w:eastAsia="仿宋_GB2312" w:cs="黑体"/>
          <w:sz w:val="32"/>
          <w:highlight w:val="none"/>
          <w:lang w:val="en-US" w:eastAsia="zh-CN"/>
        </w:rPr>
        <w:t xml:space="preserve">  鼓励通过树立先进典型、积分兑换等奖励方式，支持单位、家庭和个人回收利用可回收物，推动生活垃圾源头减量。</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生产者、销售者应当执行国家和省关于限制产品过度包装的标准和要求，</w:t>
      </w:r>
      <w:r>
        <w:rPr>
          <w:rFonts w:hint="eastAsia" w:ascii="宋体" w:hAnsi="宋体" w:eastAsia="仿宋_GB2312" w:cs="黑体"/>
          <w:sz w:val="32"/>
          <w:highlight w:val="none"/>
          <w:lang w:val="en-US" w:eastAsia="zh-CN"/>
        </w:rPr>
        <w:t>避免</w:t>
      </w:r>
      <w:r>
        <w:rPr>
          <w:rFonts w:hint="eastAsia" w:ascii="宋体" w:hAnsi="宋体" w:eastAsia="仿宋_GB2312" w:cs="仿宋_GB2312"/>
          <w:sz w:val="32"/>
          <w:highlight w:val="none"/>
          <w:lang w:val="en-US" w:eastAsia="zh-CN"/>
        </w:rPr>
        <w:t>包装材料的过度使用</w:t>
      </w:r>
      <w:r>
        <w:rPr>
          <w:rFonts w:hint="eastAsia" w:ascii="宋体" w:hAnsi="宋体" w:eastAsia="仿宋_GB2312" w:cs="黑体"/>
          <w:sz w:val="32"/>
          <w:highlight w:val="none"/>
          <w:lang w:val="en-US" w:eastAsia="zh-CN"/>
        </w:rPr>
        <w:t>，减少</w:t>
      </w:r>
      <w:r>
        <w:rPr>
          <w:rFonts w:hint="eastAsia" w:ascii="宋体" w:hAnsi="宋体" w:eastAsia="仿宋_GB2312" w:cs="仿宋_GB2312"/>
          <w:sz w:val="32"/>
          <w:highlight w:val="none"/>
          <w:lang w:val="en-US" w:eastAsia="zh-CN"/>
        </w:rPr>
        <w:t>包装废弃物的产生；对列入国家强制回收目录的产品和包装物按照规定予以标注，并进行相应的回收和处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仿宋_GB2312"/>
          <w:i w:val="0"/>
          <w:iCs w:val="0"/>
          <w:sz w:val="32"/>
          <w:highlight w:val="none"/>
          <w:u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县级以上人民政府商务、邮政等主管部门应当促进外卖</w:t>
      </w:r>
      <w:r>
        <w:rPr>
          <w:rFonts w:hint="eastAsia" w:ascii="宋体" w:hAnsi="宋体" w:eastAsia="仿宋_GB2312" w:cs="黑体"/>
          <w:sz w:val="32"/>
          <w:highlight w:val="none"/>
          <w:lang w:val="en-US" w:eastAsia="zh-CN"/>
        </w:rPr>
        <w:t>、快递等</w:t>
      </w:r>
      <w:r>
        <w:rPr>
          <w:rFonts w:hint="eastAsia" w:ascii="宋体" w:hAnsi="宋体" w:eastAsia="仿宋_GB2312" w:cs="仿宋_GB2312"/>
          <w:sz w:val="32"/>
          <w:highlight w:val="none"/>
          <w:lang w:val="en-US" w:eastAsia="zh-CN"/>
        </w:rPr>
        <w:t>包装物的减量化和循环再利用。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电子商务、外卖</w:t>
      </w:r>
      <w:r>
        <w:rPr>
          <w:rFonts w:hint="eastAsia" w:ascii="宋体" w:hAnsi="宋体" w:eastAsia="仿宋_GB2312" w:cs="黑体"/>
          <w:sz w:val="32"/>
          <w:highlight w:val="none"/>
          <w:lang w:val="en-US" w:eastAsia="zh-CN"/>
        </w:rPr>
        <w:t>、快递</w:t>
      </w:r>
      <w:r>
        <w:rPr>
          <w:rFonts w:hint="eastAsia" w:ascii="宋体" w:hAnsi="宋体" w:eastAsia="仿宋_GB2312" w:cs="仿宋_GB2312"/>
          <w:sz w:val="32"/>
          <w:highlight w:val="none"/>
          <w:lang w:val="en-US" w:eastAsia="zh-CN"/>
        </w:rPr>
        <w:t>等行业应当</w:t>
      </w:r>
      <w:r>
        <w:rPr>
          <w:rFonts w:hint="eastAsia" w:ascii="宋体" w:hAnsi="宋体" w:eastAsia="仿宋_GB2312" w:cs="黑体"/>
          <w:sz w:val="32"/>
          <w:highlight w:val="none"/>
          <w:lang w:val="en-US" w:eastAsia="zh-CN"/>
        </w:rPr>
        <w:t>优先</w:t>
      </w:r>
      <w:r>
        <w:rPr>
          <w:rFonts w:hint="eastAsia" w:ascii="宋体" w:hAnsi="宋体" w:eastAsia="仿宋_GB2312" w:cs="仿宋_GB2312"/>
          <w:sz w:val="32"/>
          <w:highlight w:val="none"/>
          <w:lang w:val="en-US" w:eastAsia="zh-CN"/>
        </w:rPr>
        <w:t>采用可重复使用</w:t>
      </w:r>
      <w:r>
        <w:rPr>
          <w:rFonts w:hint="eastAsia" w:ascii="宋体" w:hAnsi="宋体" w:eastAsia="仿宋_GB2312" w:cs="仿宋_GB2312"/>
          <w:i w:val="0"/>
          <w:iCs w:val="0"/>
          <w:sz w:val="32"/>
          <w:highlight w:val="none"/>
          <w:u w:val="none"/>
          <w:lang w:val="en-US" w:eastAsia="zh-CN"/>
        </w:rPr>
        <w:t>、易回收利用的</w:t>
      </w:r>
      <w:r>
        <w:rPr>
          <w:rFonts w:hint="eastAsia" w:ascii="宋体" w:hAnsi="宋体" w:eastAsia="仿宋_GB2312" w:cs="仿宋_GB2312"/>
          <w:sz w:val="32"/>
          <w:highlight w:val="none"/>
          <w:lang w:val="en-US" w:eastAsia="zh-CN"/>
        </w:rPr>
        <w:t>包装</w:t>
      </w:r>
      <w:r>
        <w:rPr>
          <w:rFonts w:hint="eastAsia" w:ascii="宋体" w:hAnsi="宋体" w:eastAsia="仿宋_GB2312" w:cs="仿宋_GB2312"/>
          <w:i w:val="0"/>
          <w:iCs w:val="0"/>
          <w:sz w:val="32"/>
          <w:highlight w:val="none"/>
          <w:u w:val="none"/>
          <w:lang w:val="en-US" w:eastAsia="zh-CN"/>
        </w:rPr>
        <w:t>物</w:t>
      </w:r>
      <w:r>
        <w:rPr>
          <w:rFonts w:hint="eastAsia" w:ascii="宋体" w:hAnsi="宋体" w:eastAsia="仿宋_GB2312" w:cs="仿宋_GB2312"/>
          <w:sz w:val="32"/>
          <w:highlight w:val="none"/>
          <w:lang w:val="en-US" w:eastAsia="zh-CN"/>
        </w:rPr>
        <w:t>，</w:t>
      </w:r>
      <w:r>
        <w:rPr>
          <w:rFonts w:hint="eastAsia" w:ascii="宋体" w:hAnsi="宋体" w:eastAsia="仿宋_GB2312" w:cs="黑体"/>
          <w:sz w:val="32"/>
          <w:highlight w:val="none"/>
          <w:lang w:val="en-US" w:eastAsia="zh-CN"/>
        </w:rPr>
        <w:t>优化物品包装，减少包装物的使用，</w:t>
      </w:r>
      <w:r>
        <w:rPr>
          <w:rFonts w:hint="eastAsia" w:ascii="宋体" w:hAnsi="宋体" w:eastAsia="仿宋_GB2312" w:cs="仿宋_GB2312"/>
          <w:i w:val="0"/>
          <w:iCs w:val="0"/>
          <w:sz w:val="32"/>
          <w:highlight w:val="none"/>
          <w:u w:val="none"/>
          <w:lang w:val="en-US" w:eastAsia="zh-CN"/>
        </w:rPr>
        <w:t>并</w:t>
      </w:r>
      <w:r>
        <w:rPr>
          <w:rFonts w:hint="eastAsia" w:ascii="宋体" w:hAnsi="宋体" w:eastAsia="仿宋_GB2312" w:cs="仿宋_GB2312"/>
          <w:sz w:val="32"/>
          <w:highlight w:val="none"/>
          <w:lang w:val="en-US" w:eastAsia="zh-CN"/>
        </w:rPr>
        <w:t>积极回收利用包装物。</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鼓励</w:t>
      </w:r>
      <w:r>
        <w:rPr>
          <w:rFonts w:hint="eastAsia" w:ascii="宋体" w:hAnsi="宋体" w:eastAsia="仿宋_GB2312" w:cs="黑体"/>
          <w:sz w:val="32"/>
          <w:highlight w:val="none"/>
          <w:lang w:val="en-US" w:eastAsia="zh-CN"/>
        </w:rPr>
        <w:t>运用计价优惠等方式引导</w:t>
      </w:r>
      <w:r>
        <w:rPr>
          <w:rFonts w:hint="eastAsia" w:ascii="宋体" w:hAnsi="宋体" w:eastAsia="仿宋_GB2312" w:cs="仿宋_GB2312"/>
          <w:sz w:val="32"/>
          <w:highlight w:val="none"/>
          <w:lang w:val="en-US" w:eastAsia="zh-CN"/>
        </w:rPr>
        <w:t>消费者使用绿色包装和减量包装。</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县级以上人民政府农业农村</w:t>
      </w:r>
      <w:r>
        <w:rPr>
          <w:rFonts w:hint="eastAsia" w:ascii="宋体" w:hAnsi="宋体" w:eastAsia="仿宋_GB2312" w:cs="黑体"/>
          <w:sz w:val="32"/>
          <w:highlight w:val="none"/>
          <w:lang w:val="en-US" w:eastAsia="zh-CN"/>
        </w:rPr>
        <w:t>、商务、市场监管等有关</w:t>
      </w:r>
      <w:r>
        <w:rPr>
          <w:rFonts w:hint="eastAsia" w:ascii="宋体" w:hAnsi="宋体" w:eastAsia="仿宋_GB2312" w:cs="仿宋_GB2312"/>
          <w:sz w:val="32"/>
          <w:highlight w:val="none"/>
          <w:lang w:val="en-US" w:eastAsia="zh-CN"/>
        </w:rPr>
        <w:t>主管部门应当加强对果蔬生产基地</w:t>
      </w:r>
      <w:r>
        <w:rPr>
          <w:rFonts w:hint="eastAsia" w:ascii="宋体" w:hAnsi="宋体" w:eastAsia="仿宋_GB2312" w:cs="黑体"/>
          <w:sz w:val="32"/>
          <w:highlight w:val="none"/>
          <w:lang w:val="en-US" w:eastAsia="zh-CN"/>
        </w:rPr>
        <w:t>、农贸市场、菜市场、超市</w:t>
      </w:r>
      <w:r>
        <w:rPr>
          <w:rFonts w:hint="eastAsia" w:ascii="宋体" w:hAnsi="宋体" w:eastAsia="仿宋_GB2312" w:cs="仿宋_GB2312"/>
          <w:sz w:val="32"/>
          <w:highlight w:val="none"/>
          <w:lang w:val="en-US" w:eastAsia="zh-CN"/>
        </w:rPr>
        <w:t>等</w:t>
      </w:r>
      <w:r>
        <w:rPr>
          <w:rFonts w:hint="eastAsia" w:ascii="宋体" w:hAnsi="宋体" w:eastAsia="仿宋_GB2312" w:cs="仿宋_GB2312"/>
          <w:i w:val="0"/>
          <w:iCs w:val="0"/>
          <w:sz w:val="32"/>
          <w:highlight w:val="none"/>
          <w:u w:val="none"/>
          <w:lang w:val="en-US" w:eastAsia="zh-CN"/>
        </w:rPr>
        <w:t>场所的</w:t>
      </w:r>
      <w:r>
        <w:rPr>
          <w:rFonts w:hint="eastAsia" w:ascii="宋体" w:hAnsi="宋体" w:eastAsia="仿宋_GB2312" w:cs="仿宋_GB2312"/>
          <w:sz w:val="32"/>
          <w:highlight w:val="none"/>
          <w:lang w:val="en-US" w:eastAsia="zh-CN"/>
        </w:rPr>
        <w:t>管理，</w:t>
      </w:r>
      <w:r>
        <w:rPr>
          <w:rFonts w:hint="eastAsia" w:ascii="宋体" w:hAnsi="宋体" w:eastAsia="仿宋_GB2312" w:cs="黑体"/>
          <w:sz w:val="32"/>
          <w:highlight w:val="none"/>
          <w:lang w:val="en-US" w:eastAsia="zh-CN"/>
        </w:rPr>
        <w:t>组织</w:t>
      </w:r>
      <w:r>
        <w:rPr>
          <w:rFonts w:hint="eastAsia" w:ascii="宋体" w:hAnsi="宋体" w:eastAsia="仿宋_GB2312" w:cs="仿宋_GB2312"/>
          <w:sz w:val="32"/>
          <w:highlight w:val="none"/>
          <w:lang w:val="en-US" w:eastAsia="zh-CN"/>
        </w:rPr>
        <w:t>净菜上市。</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黑体"/>
          <w:sz w:val="32"/>
          <w:highlight w:val="none"/>
          <w:lang w:val="en-US" w:eastAsia="zh-CN"/>
        </w:rPr>
        <w:t>六</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旅游、住宿等行业</w:t>
      </w:r>
      <w:r>
        <w:rPr>
          <w:rFonts w:hint="eastAsia" w:ascii="宋体" w:hAnsi="宋体" w:eastAsia="仿宋_GB2312" w:cs="仿宋_GB2312"/>
          <w:i w:val="0"/>
          <w:iCs w:val="0"/>
          <w:sz w:val="32"/>
          <w:highlight w:val="none"/>
          <w:u w:val="none"/>
          <w:lang w:val="en-US" w:eastAsia="zh-CN"/>
        </w:rPr>
        <w:t>应当按照国家有关规定</w:t>
      </w:r>
      <w:r>
        <w:rPr>
          <w:rFonts w:hint="eastAsia" w:ascii="宋体" w:hAnsi="宋体" w:eastAsia="仿宋_GB2312" w:cs="黑体"/>
          <w:i w:val="0"/>
          <w:iCs w:val="0"/>
          <w:sz w:val="32"/>
          <w:highlight w:val="none"/>
          <w:u w:val="none"/>
          <w:lang w:val="en-US" w:eastAsia="zh-CN"/>
        </w:rPr>
        <w:t>推行</w:t>
      </w:r>
      <w:r>
        <w:rPr>
          <w:rFonts w:hint="eastAsia" w:ascii="宋体" w:hAnsi="宋体" w:eastAsia="仿宋_GB2312" w:cs="仿宋_GB2312"/>
          <w:i w:val="0"/>
          <w:iCs w:val="0"/>
          <w:sz w:val="32"/>
          <w:highlight w:val="none"/>
          <w:u w:val="none"/>
          <w:lang w:val="en-US" w:eastAsia="zh-CN"/>
        </w:rPr>
        <w:t>不主动</w:t>
      </w:r>
      <w:r>
        <w:rPr>
          <w:rFonts w:hint="eastAsia" w:ascii="宋体" w:hAnsi="宋体" w:eastAsia="仿宋_GB2312" w:cs="仿宋_GB2312"/>
          <w:sz w:val="32"/>
          <w:highlight w:val="none"/>
          <w:lang w:val="en-US" w:eastAsia="zh-CN"/>
        </w:rPr>
        <w:t>提供一次性用品。</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i w:val="0"/>
          <w:iCs w:val="0"/>
          <w:sz w:val="32"/>
          <w:highlight w:val="none"/>
          <w:u w:val="none"/>
          <w:lang w:val="en-US" w:eastAsia="zh-CN"/>
        </w:rPr>
        <w:t>餐饮服务单位应当提示消费者适量点餐。</w:t>
      </w:r>
      <w:r>
        <w:rPr>
          <w:rFonts w:hint="eastAsia" w:ascii="宋体" w:hAnsi="宋体" w:eastAsia="仿宋_GB2312" w:cs="仿宋_GB2312"/>
          <w:sz w:val="32"/>
          <w:highlight w:val="none"/>
          <w:lang w:val="en-US" w:eastAsia="zh-CN"/>
        </w:rPr>
        <w:t>倡导餐饮服务单位不主动向消费者提供一次性餐具。</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第十七条</w:t>
      </w:r>
      <w:r>
        <w:rPr>
          <w:rFonts w:hint="eastAsia" w:ascii="宋体" w:hAnsi="宋体" w:eastAsia="仿宋_GB2312" w:cs="黑体"/>
          <w:sz w:val="32"/>
          <w:highlight w:val="none"/>
          <w:lang w:val="en-US" w:eastAsia="zh-CN"/>
        </w:rPr>
        <w:t xml:space="preserve">  依法禁止、限制生产、销售和使用不可降解塑料袋等一次性塑料制品。</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鼓励和引导减少使用、积极回收塑料袋等一次性塑料制品，推广应用可循环、易回收、可降解的替代产品。</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国家机关、国有企事业单位和使用财政</w:t>
      </w:r>
      <w:r>
        <w:rPr>
          <w:rFonts w:hint="eastAsia" w:ascii="宋体" w:hAnsi="宋体" w:eastAsia="仿宋_GB2312" w:cs="黑体"/>
          <w:sz w:val="32"/>
          <w:highlight w:val="none"/>
          <w:lang w:val="en-US" w:eastAsia="zh-CN"/>
        </w:rPr>
        <w:t>性</w:t>
      </w:r>
      <w:r>
        <w:rPr>
          <w:rFonts w:hint="eastAsia" w:ascii="宋体" w:hAnsi="宋体" w:eastAsia="仿宋_GB2312" w:cs="仿宋_GB2312"/>
          <w:sz w:val="32"/>
          <w:highlight w:val="none"/>
          <w:lang w:val="en-US" w:eastAsia="zh-CN"/>
        </w:rPr>
        <w:t>资金的其他组织应当带头使用节能、节水、节地、节材和有利于保护环境的产品、设备和设施，减少使用一次性办公用品，推广无纸化办公。</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第三章  分类投放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十</w:t>
      </w:r>
      <w:r>
        <w:rPr>
          <w:rFonts w:hint="eastAsia" w:ascii="宋体" w:hAnsi="宋体" w:eastAsia="黑体" w:cs="黑体"/>
          <w:sz w:val="32"/>
          <w:highlight w:val="none"/>
          <w:lang w:val="en-US" w:eastAsia="zh-CN"/>
        </w:rPr>
        <w:t>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生活垃圾分为下列四类：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（一）可回收物，是指适宜回收利用的生活垃圾</w:t>
      </w:r>
      <w:r>
        <w:rPr>
          <w:rFonts w:hint="eastAsia" w:ascii="宋体" w:hAnsi="宋体" w:eastAsia="仿宋_GB2312" w:cs="黑体"/>
          <w:sz w:val="32"/>
          <w:highlight w:val="none"/>
          <w:lang w:val="en-US" w:eastAsia="zh-CN"/>
        </w:rPr>
        <w:t>，包括纸类、塑料、金属、玻璃、织物等；</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（二）厨余垃圾，是指易腐烂的、含有机质的生活垃圾</w:t>
      </w:r>
      <w:r>
        <w:rPr>
          <w:rFonts w:hint="eastAsia" w:ascii="宋体" w:hAnsi="宋体" w:eastAsia="仿宋_GB2312" w:cs="黑体"/>
          <w:sz w:val="32"/>
          <w:highlight w:val="none"/>
          <w:lang w:val="en-US" w:eastAsia="zh-CN"/>
        </w:rPr>
        <w:t>，包括家庭厨余垃圾、餐厨垃圾和其他厨余垃圾等；</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（三）有害垃圾，是指</w:t>
      </w:r>
      <w:r>
        <w:rPr>
          <w:rFonts w:hint="eastAsia" w:ascii="宋体" w:hAnsi="宋体" w:eastAsia="仿宋_GB2312" w:cs="黑体"/>
          <w:sz w:val="32"/>
          <w:highlight w:val="none"/>
          <w:lang w:val="en-US" w:eastAsia="zh-CN"/>
        </w:rPr>
        <w:t>《国家危险废物名录》中的家庭源危险废物，包括灯管、家用化学品及电池等；</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（四）其他垃圾，是指</w:t>
      </w:r>
      <w:r>
        <w:rPr>
          <w:rFonts w:hint="eastAsia" w:ascii="宋体" w:hAnsi="宋体" w:eastAsia="仿宋_GB2312" w:cs="黑体"/>
          <w:sz w:val="32"/>
          <w:highlight w:val="none"/>
          <w:lang w:val="en-US" w:eastAsia="zh-CN"/>
        </w:rPr>
        <w:t>除可回收物、厨余垃圾、有害垃圾</w:t>
      </w:r>
      <w:r>
        <w:rPr>
          <w:rFonts w:hint="eastAsia" w:ascii="宋体" w:hAnsi="宋体" w:eastAsia="仿宋_GB2312" w:cs="仿宋_GB2312"/>
          <w:sz w:val="32"/>
          <w:highlight w:val="none"/>
          <w:lang w:val="en-US" w:eastAsia="zh-CN"/>
        </w:rPr>
        <w:t>外的生活垃圾。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仿宋_GB2312" w:cs="仿宋_GB2312"/>
          <w:i w:val="0"/>
          <w:iCs w:val="0"/>
          <w:sz w:val="32"/>
          <w:highlight w:val="none"/>
          <w:u w:val="none"/>
          <w:lang w:val="en-US" w:eastAsia="zh-CN"/>
        </w:rPr>
        <w:t>地级以上市人民政府应当根据本地区实际情况以及生活垃圾的特性、处理方式，按照有利于减量化、资源化和便于识别、便于分类投放的原则，组织制定生活垃圾分类指导目录，并向社会公布。</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二十</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任何单位和个人都</w:t>
      </w:r>
      <w:r>
        <w:rPr>
          <w:rFonts w:hint="eastAsia" w:ascii="宋体" w:hAnsi="宋体" w:eastAsia="仿宋_GB2312" w:cs="仿宋_GB2312"/>
          <w:sz w:val="32"/>
          <w:highlight w:val="none"/>
          <w:lang w:val="en-US" w:eastAsia="zh-CN"/>
        </w:rPr>
        <w:t>应当</w:t>
      </w:r>
      <w:r>
        <w:rPr>
          <w:rFonts w:hint="eastAsia" w:ascii="宋体" w:hAnsi="宋体" w:eastAsia="仿宋_GB2312" w:cs="黑体"/>
          <w:sz w:val="32"/>
          <w:highlight w:val="none"/>
          <w:lang w:val="en-US" w:eastAsia="zh-CN"/>
        </w:rPr>
        <w:t>按照分类规定，</w:t>
      </w:r>
      <w:r>
        <w:rPr>
          <w:rFonts w:hint="eastAsia" w:ascii="宋体" w:hAnsi="宋体" w:eastAsia="仿宋_GB2312" w:cs="仿宋_GB2312"/>
          <w:sz w:val="32"/>
          <w:highlight w:val="none"/>
          <w:lang w:val="en-US" w:eastAsia="zh-CN"/>
        </w:rPr>
        <w:t>在指定的地点将生活垃圾分类投放至相应的收集容器。其中，可回收物还可以交售至回收服务点或者回收经营者。</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禁止随意倾倒、抛撒、堆放或者焚烧生活垃圾。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禁止将危险废物、医疗废物、工业固体废物、建筑垃圾、农业固体废物等混入生活垃圾投放。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二十一</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各级人民政府应当加强对餐厨垃圾的控制和管理，提高餐厨垃圾</w:t>
      </w:r>
      <w:r>
        <w:rPr>
          <w:rFonts w:hint="eastAsia" w:ascii="宋体" w:hAnsi="宋体" w:eastAsia="仿宋_GB2312" w:cs="黑体"/>
          <w:sz w:val="32"/>
          <w:highlight w:val="none"/>
          <w:lang w:val="en-US" w:eastAsia="zh-CN"/>
        </w:rPr>
        <w:t>源头减量、</w:t>
      </w:r>
      <w:r>
        <w:rPr>
          <w:rFonts w:hint="eastAsia" w:ascii="宋体" w:hAnsi="宋体" w:eastAsia="仿宋_GB2312" w:cs="仿宋_GB2312"/>
          <w:sz w:val="32"/>
          <w:highlight w:val="none"/>
          <w:lang w:val="en-US" w:eastAsia="zh-CN"/>
        </w:rPr>
        <w:t>资源化利用和无害化处理水平。</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w:t>
      </w:r>
      <w:r>
        <w:rPr>
          <w:rFonts w:hint="eastAsia" w:ascii="宋体" w:hAnsi="宋体" w:eastAsia="仿宋_GB2312" w:cs="仿宋_GB2312"/>
          <w:i w:val="0"/>
          <w:iCs w:val="0"/>
          <w:sz w:val="32"/>
          <w:highlight w:val="none"/>
          <w:u w:val="none"/>
          <w:lang w:val="en-US" w:eastAsia="zh-CN"/>
        </w:rPr>
        <w:t>以上</w:t>
      </w:r>
      <w:r>
        <w:rPr>
          <w:rFonts w:hint="eastAsia" w:ascii="宋体" w:hAnsi="宋体" w:eastAsia="仿宋_GB2312" w:cs="仿宋_GB2312"/>
          <w:sz w:val="32"/>
          <w:highlight w:val="none"/>
          <w:lang w:val="en-US" w:eastAsia="zh-CN"/>
        </w:rPr>
        <w:t>人民政府环境卫生主管部门应当制定餐厨垃圾产生、收集、运输、处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等过程的信息化监管措施，对餐厨垃圾收集、运输、处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设施运行管理情况进行实时监督和定期检查。</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第二十二条</w:t>
      </w:r>
      <w:r>
        <w:rPr>
          <w:rFonts w:hint="eastAsia" w:ascii="宋体" w:hAnsi="宋体" w:eastAsia="仿宋_GB2312" w:cs="仿宋_GB2312"/>
          <w:sz w:val="32"/>
          <w:highlight w:val="none"/>
          <w:lang w:val="en-US" w:eastAsia="zh-CN"/>
        </w:rPr>
        <w:t xml:space="preserve">  产生</w:t>
      </w:r>
      <w:r>
        <w:rPr>
          <w:rFonts w:hint="eastAsia" w:ascii="宋体" w:hAnsi="宋体" w:eastAsia="仿宋_GB2312" w:cs="黑体"/>
          <w:sz w:val="32"/>
          <w:highlight w:val="none"/>
          <w:lang w:val="en-US" w:eastAsia="zh-CN"/>
        </w:rPr>
        <w:t>餐厨垃圾的宾馆、饭店、餐馆以及机关、企事业单位、学校等</w:t>
      </w:r>
      <w:r>
        <w:rPr>
          <w:rFonts w:hint="eastAsia" w:ascii="宋体" w:hAnsi="宋体" w:eastAsia="仿宋_GB2312" w:cs="仿宋_GB2312"/>
          <w:i w:val="0"/>
          <w:iCs w:val="0"/>
          <w:sz w:val="32"/>
          <w:highlight w:val="none"/>
          <w:u w:val="none"/>
          <w:lang w:val="en-US" w:eastAsia="zh-CN"/>
        </w:rPr>
        <w:t>单位</w:t>
      </w:r>
      <w:r>
        <w:rPr>
          <w:rFonts w:hint="eastAsia" w:ascii="宋体" w:hAnsi="宋体" w:eastAsia="仿宋_GB2312" w:cs="仿宋_GB2312"/>
          <w:sz w:val="32"/>
          <w:highlight w:val="none"/>
          <w:lang w:val="en-US" w:eastAsia="zh-CN"/>
        </w:rPr>
        <w:t>应当落实餐厨垃圾源头减量</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分类工作责任，</w:t>
      </w:r>
      <w:r>
        <w:rPr>
          <w:rFonts w:hint="eastAsia" w:ascii="宋体" w:hAnsi="宋体" w:eastAsia="仿宋_GB2312" w:cs="黑体"/>
          <w:sz w:val="32"/>
          <w:highlight w:val="none"/>
          <w:lang w:val="en-US" w:eastAsia="zh-CN"/>
        </w:rPr>
        <w:t>按照规定单独收集、存放餐厨垃圾，并交由具备相应资质条件的单位收集、运输、处理。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鼓励有条件的产生餐厨垃圾的单位对餐厨垃圾进行分选、脱水等预处理。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餐厨垃圾不得排入公共水域、厕所、市政</w:t>
      </w:r>
      <w:r>
        <w:rPr>
          <w:rFonts w:hint="eastAsia" w:ascii="宋体" w:hAnsi="宋体" w:eastAsia="仿宋_GB2312" w:cs="黑体"/>
          <w:sz w:val="32"/>
          <w:highlight w:val="none"/>
          <w:lang w:val="en-US" w:eastAsia="zh-CN"/>
        </w:rPr>
        <w:t>排水</w:t>
      </w:r>
      <w:r>
        <w:rPr>
          <w:rFonts w:hint="eastAsia" w:ascii="宋体" w:hAnsi="宋体" w:eastAsia="仿宋_GB2312" w:cs="仿宋_GB2312"/>
          <w:sz w:val="32"/>
          <w:highlight w:val="none"/>
          <w:lang w:val="en-US" w:eastAsia="zh-CN"/>
        </w:rPr>
        <w:t>管道</w:t>
      </w:r>
      <w:r>
        <w:rPr>
          <w:rFonts w:hint="eastAsia" w:ascii="宋体" w:hAnsi="宋体" w:eastAsia="仿宋_GB2312" w:cs="黑体"/>
          <w:i w:val="0"/>
          <w:iCs w:val="0"/>
          <w:sz w:val="32"/>
          <w:highlight w:val="none"/>
          <w:u w:val="none"/>
          <w:lang w:val="en-US" w:eastAsia="zh-CN"/>
        </w:rPr>
        <w:t>，</w:t>
      </w:r>
      <w:r>
        <w:rPr>
          <w:rFonts w:hint="eastAsia" w:ascii="宋体" w:hAnsi="宋体" w:eastAsia="仿宋_GB2312" w:cs="黑体"/>
          <w:sz w:val="32"/>
          <w:highlight w:val="none"/>
          <w:lang w:val="en-US" w:eastAsia="zh-CN"/>
        </w:rPr>
        <w:t>不得</w:t>
      </w:r>
      <w:r>
        <w:rPr>
          <w:rFonts w:hint="eastAsia" w:ascii="宋体" w:hAnsi="宋体" w:eastAsia="仿宋_GB2312" w:cs="仿宋_GB2312"/>
          <w:sz w:val="32"/>
          <w:highlight w:val="none"/>
          <w:lang w:val="en-US" w:eastAsia="zh-CN"/>
        </w:rPr>
        <w:t>混入其他类型生活垃圾。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产生</w:t>
      </w:r>
      <w:r>
        <w:rPr>
          <w:rFonts w:hint="eastAsia" w:ascii="宋体" w:hAnsi="宋体" w:eastAsia="仿宋_GB2312" w:cs="仿宋_GB2312"/>
          <w:sz w:val="32"/>
          <w:highlight w:val="none"/>
          <w:lang w:val="en-US" w:eastAsia="zh-CN"/>
        </w:rPr>
        <w:t>废弃沙发、衣柜、床等体积较大的废弃物品</w:t>
      </w:r>
      <w:r>
        <w:rPr>
          <w:rFonts w:hint="eastAsia" w:ascii="宋体" w:hAnsi="宋体" w:eastAsia="仿宋_GB2312" w:cs="黑体"/>
          <w:sz w:val="32"/>
          <w:highlight w:val="none"/>
          <w:lang w:val="en-US" w:eastAsia="zh-CN"/>
        </w:rPr>
        <w:t>的单位、家庭和个人</w:t>
      </w:r>
      <w:r>
        <w:rPr>
          <w:rFonts w:hint="eastAsia" w:ascii="宋体" w:hAnsi="宋体" w:eastAsia="仿宋_GB2312" w:cs="仿宋_GB2312"/>
          <w:sz w:val="32"/>
          <w:highlight w:val="none"/>
          <w:lang w:val="en-US" w:eastAsia="zh-CN"/>
        </w:rPr>
        <w:t>应当预约环境卫生作业单位、再生资源回收站处理或者自行投放到专门收集点。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县级人民政府应当合理布局再生资源回收站点、专门收集点，公开预约联系方式，为投放体积较大的废弃物品提供便利。</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第二十</w:t>
      </w:r>
      <w:r>
        <w:rPr>
          <w:rFonts w:hint="eastAsia" w:ascii="宋体" w:hAnsi="宋体" w:eastAsia="黑体" w:cs="黑体"/>
          <w:sz w:val="32"/>
          <w:highlight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城乡</w:t>
      </w:r>
      <w:r>
        <w:rPr>
          <w:rFonts w:hint="eastAsia" w:ascii="宋体" w:hAnsi="宋体" w:eastAsia="仿宋_GB2312" w:cs="仿宋_GB2312"/>
          <w:sz w:val="32"/>
          <w:highlight w:val="none"/>
          <w:lang w:val="en-US" w:eastAsia="zh-CN"/>
        </w:rPr>
        <w:t>生活垃圾</w:t>
      </w:r>
      <w:r>
        <w:rPr>
          <w:rFonts w:hint="eastAsia" w:ascii="宋体" w:hAnsi="宋体" w:eastAsia="仿宋_GB2312" w:cs="仿宋_GB2312"/>
          <w:i w:val="0"/>
          <w:iCs w:val="0"/>
          <w:sz w:val="32"/>
          <w:highlight w:val="none"/>
          <w:u w:val="none"/>
          <w:lang w:val="en-US" w:eastAsia="zh-CN"/>
        </w:rPr>
        <w:t>分类</w:t>
      </w:r>
      <w:r>
        <w:rPr>
          <w:rFonts w:hint="eastAsia" w:ascii="黑体" w:hAnsi="黑体" w:eastAsia="仿宋_GB2312" w:cs="黑体"/>
          <w:i w:val="0"/>
          <w:iCs w:val="0"/>
          <w:sz w:val="32"/>
          <w:highlight w:val="none"/>
          <w:u w:val="none"/>
          <w:lang w:val="en-US" w:eastAsia="zh-CN"/>
        </w:rPr>
        <w:t>投放</w:t>
      </w:r>
      <w:r>
        <w:rPr>
          <w:rFonts w:hint="eastAsia" w:ascii="宋体" w:hAnsi="宋体" w:eastAsia="仿宋_GB2312" w:cs="仿宋_GB2312"/>
          <w:i w:val="0"/>
          <w:iCs w:val="0"/>
          <w:sz w:val="32"/>
          <w:highlight w:val="none"/>
          <w:u w:val="none"/>
          <w:lang w:val="en-US" w:eastAsia="zh-CN"/>
        </w:rPr>
        <w:t>管理</w:t>
      </w:r>
      <w:r>
        <w:rPr>
          <w:rFonts w:hint="eastAsia" w:ascii="宋体" w:hAnsi="宋体" w:eastAsia="仿宋_GB2312" w:cs="仿宋_GB2312"/>
          <w:sz w:val="32"/>
          <w:highlight w:val="none"/>
          <w:lang w:val="en-US" w:eastAsia="zh-CN"/>
        </w:rPr>
        <w:t>实行管理责任人制度。管理责任人按照下列规定确定</w:t>
      </w:r>
      <w:r>
        <w:rPr>
          <w:rFonts w:hint="eastAsia" w:ascii="黑体" w:hAnsi="黑体" w:eastAsia="仿宋_GB2312" w:cs="黑体"/>
          <w:sz w:val="32"/>
          <w:highlight w:val="none"/>
          <w:lang w:val="en-US" w:eastAsia="zh-CN"/>
        </w:rPr>
        <w:t>并公布</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w:t>
      </w:r>
      <w:r>
        <w:rPr>
          <w:rFonts w:hint="eastAsia" w:ascii="宋体" w:hAnsi="宋体" w:eastAsia="仿宋_GB2312" w:cs="黑体"/>
          <w:sz w:val="32"/>
          <w:highlight w:val="none"/>
          <w:lang w:val="en-US" w:eastAsia="zh-CN"/>
        </w:rPr>
        <w:t>城镇居住地区，包括</w:t>
      </w:r>
      <w:r>
        <w:rPr>
          <w:rFonts w:hint="eastAsia" w:ascii="宋体" w:hAnsi="宋体" w:eastAsia="仿宋_GB2312" w:cs="仿宋_GB2312"/>
          <w:sz w:val="32"/>
          <w:highlight w:val="none"/>
          <w:lang w:val="en-US" w:eastAsia="zh-CN"/>
        </w:rPr>
        <w:t>住宅小区、街巷等</w:t>
      </w:r>
      <w:r>
        <w:rPr>
          <w:rFonts w:hint="eastAsia" w:ascii="宋体" w:hAnsi="宋体" w:eastAsia="仿宋_GB2312" w:cs="黑体"/>
          <w:sz w:val="32"/>
          <w:highlight w:val="none"/>
          <w:lang w:val="en-US" w:eastAsia="zh-CN"/>
        </w:rPr>
        <w:t>，</w:t>
      </w:r>
      <w:r>
        <w:rPr>
          <w:rFonts w:hint="eastAsia" w:ascii="黑体" w:hAnsi="黑体" w:eastAsia="仿宋_GB2312" w:cs="黑体"/>
          <w:sz w:val="32"/>
          <w:highlight w:val="none"/>
          <w:lang w:val="en-US" w:eastAsia="zh-CN"/>
        </w:rPr>
        <w:t>委托</w:t>
      </w:r>
      <w:r>
        <w:rPr>
          <w:rFonts w:hint="eastAsia" w:ascii="宋体" w:hAnsi="宋体" w:eastAsia="仿宋_GB2312" w:cs="仿宋_GB2312"/>
          <w:sz w:val="32"/>
          <w:highlight w:val="none"/>
          <w:lang w:val="en-US" w:eastAsia="zh-CN"/>
        </w:rPr>
        <w:t>物业管理的，由物业服务</w:t>
      </w:r>
      <w:r>
        <w:rPr>
          <w:rFonts w:hint="eastAsia" w:ascii="宋体" w:hAnsi="宋体" w:eastAsia="仿宋_GB2312" w:cs="黑体"/>
          <w:sz w:val="32"/>
          <w:highlight w:val="none"/>
          <w:lang w:val="en-US" w:eastAsia="zh-CN"/>
        </w:rPr>
        <w:t>人</w:t>
      </w:r>
      <w:r>
        <w:rPr>
          <w:rFonts w:hint="eastAsia" w:ascii="宋体" w:hAnsi="宋体" w:eastAsia="仿宋_GB2312" w:cs="仿宋_GB2312"/>
          <w:sz w:val="32"/>
          <w:highlight w:val="none"/>
          <w:lang w:val="en-US" w:eastAsia="zh-CN"/>
        </w:rPr>
        <w:t>负责；自行管理的，由自</w:t>
      </w:r>
      <w:r>
        <w:rPr>
          <w:rFonts w:hint="eastAsia" w:ascii="宋体" w:hAnsi="宋体" w:eastAsia="仿宋_GB2312" w:cs="黑体"/>
          <w:sz w:val="32"/>
          <w:highlight w:val="none"/>
          <w:lang w:val="en-US" w:eastAsia="zh-CN"/>
        </w:rPr>
        <w:t>行</w:t>
      </w:r>
      <w:r>
        <w:rPr>
          <w:rFonts w:hint="eastAsia" w:ascii="宋体" w:hAnsi="宋体" w:eastAsia="仿宋_GB2312" w:cs="仿宋_GB2312"/>
          <w:sz w:val="32"/>
          <w:highlight w:val="none"/>
          <w:lang w:val="en-US" w:eastAsia="zh-CN"/>
        </w:rPr>
        <w:t>管</w:t>
      </w:r>
      <w:r>
        <w:rPr>
          <w:rFonts w:hint="eastAsia" w:ascii="宋体" w:hAnsi="宋体" w:eastAsia="仿宋_GB2312" w:cs="黑体"/>
          <w:sz w:val="32"/>
          <w:szCs w:val="22"/>
          <w:highlight w:val="none"/>
          <w:lang w:val="en-US" w:eastAsia="zh-CN"/>
        </w:rPr>
        <w:t>理人</w:t>
      </w:r>
      <w:r>
        <w:rPr>
          <w:rFonts w:hint="eastAsia" w:ascii="宋体" w:hAnsi="宋体" w:eastAsia="仿宋_GB2312" w:cs="仿宋_GB2312"/>
          <w:sz w:val="32"/>
          <w:highlight w:val="none"/>
          <w:lang w:val="en-US" w:eastAsia="zh-CN"/>
        </w:rPr>
        <w:t>负责；没有</w:t>
      </w:r>
      <w:r>
        <w:rPr>
          <w:rFonts w:hint="eastAsia" w:ascii="黑体" w:hAnsi="黑体" w:eastAsia="仿宋_GB2312" w:cs="黑体"/>
          <w:sz w:val="32"/>
          <w:highlight w:val="none"/>
          <w:lang w:val="en-US" w:eastAsia="zh-CN"/>
        </w:rPr>
        <w:t>委托</w:t>
      </w:r>
      <w:r>
        <w:rPr>
          <w:rFonts w:hint="eastAsia" w:ascii="宋体" w:hAnsi="宋体" w:eastAsia="仿宋_GB2312" w:cs="仿宋_GB2312"/>
          <w:sz w:val="32"/>
          <w:highlight w:val="none"/>
          <w:lang w:val="en-US" w:eastAsia="zh-CN"/>
        </w:rPr>
        <w:t>物业管理</w:t>
      </w:r>
      <w:r>
        <w:rPr>
          <w:rFonts w:hint="eastAsia" w:ascii="宋体" w:hAnsi="宋体" w:eastAsia="仿宋_GB2312" w:cs="黑体"/>
          <w:sz w:val="32"/>
          <w:highlight w:val="none"/>
          <w:lang w:val="en-US" w:eastAsia="zh-CN"/>
        </w:rPr>
        <w:t>且没有</w:t>
      </w:r>
      <w:r>
        <w:rPr>
          <w:rFonts w:hint="eastAsia" w:ascii="宋体" w:hAnsi="宋体" w:eastAsia="仿宋_GB2312" w:cs="仿宋_GB2312"/>
          <w:sz w:val="32"/>
          <w:highlight w:val="none"/>
          <w:lang w:val="en-US" w:eastAsia="zh-CN"/>
        </w:rPr>
        <w:t>自行管理的，由居民委员会负责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（二）农村</w:t>
      </w:r>
      <w:r>
        <w:rPr>
          <w:rFonts w:hint="eastAsia" w:ascii="宋体" w:hAnsi="宋体" w:eastAsia="仿宋_GB2312" w:cs="黑体"/>
          <w:sz w:val="32"/>
          <w:highlight w:val="none"/>
          <w:lang w:val="en-US" w:eastAsia="zh-CN"/>
        </w:rPr>
        <w:t>居住</w:t>
      </w:r>
      <w:r>
        <w:rPr>
          <w:rFonts w:hint="eastAsia" w:ascii="宋体" w:hAnsi="宋体" w:eastAsia="仿宋_GB2312" w:cs="仿宋_GB2312"/>
          <w:sz w:val="32"/>
          <w:highlight w:val="none"/>
          <w:lang w:val="en-US" w:eastAsia="zh-CN"/>
        </w:rPr>
        <w:t>地区</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由村民委员会负责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（三）国家机关、部队、企事业单位、社会团体及其他组织的办公场所，由本单位负责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（四）建设工程的施工现场，由施工单位负责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（五）集贸市场、商场、展览展销、餐饮服务、商铺等经营场所，由经营管理单位负责；没有经营管理单位的，由经营单位</w:t>
      </w:r>
      <w:r>
        <w:rPr>
          <w:rFonts w:hint="eastAsia" w:ascii="宋体" w:hAnsi="宋体" w:eastAsia="仿宋_GB2312" w:cs="黑体"/>
          <w:sz w:val="32"/>
          <w:highlight w:val="none"/>
          <w:lang w:val="en-US" w:eastAsia="zh-CN"/>
        </w:rPr>
        <w:t>或者个人</w:t>
      </w:r>
      <w:r>
        <w:rPr>
          <w:rFonts w:hint="eastAsia" w:ascii="宋体" w:hAnsi="宋体" w:eastAsia="仿宋_GB2312" w:cs="仿宋_GB2312"/>
          <w:sz w:val="32"/>
          <w:highlight w:val="none"/>
          <w:lang w:val="en-US" w:eastAsia="zh-CN"/>
        </w:rPr>
        <w:t>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（六）道路、公路、铁路沿线、桥梁、隧道、人行过街通道</w:t>
      </w:r>
      <w:r>
        <w:rPr>
          <w:rFonts w:hint="eastAsia" w:ascii="宋体" w:hAnsi="宋体" w:cs="仿宋_GB2312"/>
          <w:sz w:val="32"/>
          <w:highlight w:val="none"/>
          <w:lang w:val="en-US" w:eastAsia="zh-CN"/>
        </w:rPr>
        <w:t>和</w:t>
      </w:r>
      <w:r>
        <w:rPr>
          <w:rFonts w:hint="eastAsia" w:ascii="宋体" w:hAnsi="宋体" w:eastAsia="仿宋_GB2312" w:cs="仿宋_GB2312"/>
          <w:sz w:val="32"/>
          <w:highlight w:val="none"/>
          <w:lang w:val="en-US" w:eastAsia="zh-CN"/>
        </w:rPr>
        <w:t>天桥、机场、港口、码头、火车站、长途客运站、公交场站、轨道交通车站、公园、旅游景区、河流与湖泊水面等公共场所和公共建筑，由实际管理人负责。</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i w:val="0"/>
          <w:iCs w:val="0"/>
          <w:sz w:val="32"/>
          <w:highlight w:val="none"/>
          <w:u w:val="none"/>
          <w:lang w:val="en-US" w:eastAsia="zh-CN"/>
        </w:rPr>
        <w:t>按照前款规定</w:t>
      </w:r>
      <w:r>
        <w:rPr>
          <w:rFonts w:hint="eastAsia" w:ascii="宋体" w:hAnsi="宋体" w:eastAsia="仿宋_GB2312" w:cs="仿宋_GB2312"/>
          <w:sz w:val="32"/>
          <w:highlight w:val="none"/>
          <w:lang w:val="en-US" w:eastAsia="zh-CN"/>
        </w:rPr>
        <w:t>不能确定生活垃圾分类</w:t>
      </w:r>
      <w:r>
        <w:rPr>
          <w:rFonts w:hint="eastAsia" w:ascii="黑体" w:hAnsi="黑体" w:eastAsia="仿宋_GB2312" w:cs="黑体"/>
          <w:sz w:val="32"/>
          <w:highlight w:val="none"/>
          <w:lang w:val="en-US" w:eastAsia="zh-CN"/>
        </w:rPr>
        <w:t>投放</w:t>
      </w:r>
      <w:r>
        <w:rPr>
          <w:rFonts w:hint="eastAsia" w:ascii="宋体" w:hAnsi="宋体" w:eastAsia="仿宋_GB2312" w:cs="仿宋_GB2312"/>
          <w:sz w:val="32"/>
          <w:highlight w:val="none"/>
          <w:lang w:val="en-US" w:eastAsia="zh-CN"/>
        </w:rPr>
        <w:t>管理责任人的，由所在地乡镇人民政府、街道办事处</w:t>
      </w:r>
      <w:r>
        <w:rPr>
          <w:rFonts w:hint="eastAsia" w:ascii="宋体" w:hAnsi="宋体" w:eastAsia="仿宋_GB2312" w:cs="仿宋_GB2312"/>
          <w:i w:val="0"/>
          <w:iCs w:val="0"/>
          <w:sz w:val="32"/>
          <w:highlight w:val="none"/>
          <w:u w:val="none"/>
          <w:lang w:val="en-US" w:eastAsia="zh-CN"/>
        </w:rPr>
        <w:t>落实</w:t>
      </w:r>
      <w:r>
        <w:rPr>
          <w:rFonts w:hint="eastAsia" w:ascii="宋体" w:hAnsi="宋体" w:eastAsia="仿宋_GB2312" w:cs="仿宋_GB2312"/>
          <w:sz w:val="32"/>
          <w:highlight w:val="none"/>
          <w:lang w:val="en-US" w:eastAsia="zh-CN"/>
        </w:rPr>
        <w:t>管理责任人</w:t>
      </w:r>
      <w:r>
        <w:rPr>
          <w:rFonts w:hint="eastAsia" w:ascii="宋体" w:hAnsi="宋体" w:eastAsia="仿宋_GB2312" w:cs="黑体"/>
          <w:sz w:val="32"/>
          <w:highlight w:val="none"/>
          <w:lang w:val="en-US" w:eastAsia="zh-CN"/>
        </w:rPr>
        <w:t>并公布</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生活垃圾分类</w:t>
      </w:r>
      <w:r>
        <w:rPr>
          <w:rFonts w:hint="eastAsia" w:ascii="黑体" w:hAnsi="黑体" w:eastAsia="仿宋_GB2312" w:cs="黑体"/>
          <w:sz w:val="32"/>
          <w:highlight w:val="none"/>
          <w:lang w:val="en-US" w:eastAsia="zh-CN"/>
        </w:rPr>
        <w:t>投放</w:t>
      </w:r>
      <w:r>
        <w:rPr>
          <w:rFonts w:hint="eastAsia" w:ascii="宋体" w:hAnsi="宋体" w:eastAsia="仿宋_GB2312" w:cs="仿宋_GB2312"/>
          <w:sz w:val="32"/>
          <w:highlight w:val="none"/>
          <w:lang w:val="en-US" w:eastAsia="zh-CN"/>
        </w:rPr>
        <w:t>管理责任人应当履行下列</w:t>
      </w:r>
      <w:r>
        <w:rPr>
          <w:rFonts w:hint="eastAsia" w:ascii="宋体" w:hAnsi="宋体" w:eastAsia="仿宋_GB2312" w:cs="黑体"/>
          <w:sz w:val="32"/>
          <w:highlight w:val="none"/>
          <w:lang w:val="en-US" w:eastAsia="zh-CN"/>
        </w:rPr>
        <w:t>管理</w:t>
      </w:r>
      <w:r>
        <w:rPr>
          <w:rFonts w:hint="eastAsia" w:ascii="宋体" w:hAnsi="宋体" w:eastAsia="仿宋_GB2312" w:cs="仿宋_GB2312"/>
          <w:sz w:val="32"/>
          <w:highlight w:val="none"/>
          <w:lang w:val="en-US" w:eastAsia="zh-CN"/>
        </w:rPr>
        <w:t>责任：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（一）建立生活垃圾分类</w:t>
      </w:r>
      <w:r>
        <w:rPr>
          <w:rFonts w:hint="eastAsia" w:ascii="宋体" w:hAnsi="宋体" w:eastAsia="仿宋_GB2312" w:cs="黑体"/>
          <w:sz w:val="32"/>
          <w:highlight w:val="none"/>
          <w:lang w:val="en-US" w:eastAsia="zh-CN"/>
        </w:rPr>
        <w:t>日常</w:t>
      </w:r>
      <w:r>
        <w:rPr>
          <w:rFonts w:hint="eastAsia" w:ascii="宋体" w:hAnsi="宋体" w:eastAsia="仿宋_GB2312" w:cs="仿宋_GB2312"/>
          <w:sz w:val="32"/>
          <w:highlight w:val="none"/>
          <w:lang w:val="en-US" w:eastAsia="zh-CN"/>
        </w:rPr>
        <w:t>管理制度；</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（二）开展生活垃圾分类知识宣传，指导、监督、检查生活垃圾分类行为；</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（三）根据生活垃圾产生量，按照</w:t>
      </w:r>
      <w:r>
        <w:rPr>
          <w:rFonts w:hint="eastAsia" w:ascii="宋体" w:hAnsi="宋体" w:eastAsia="仿宋_GB2312" w:cs="黑体"/>
          <w:sz w:val="32"/>
          <w:highlight w:val="none"/>
          <w:lang w:val="en-US" w:eastAsia="zh-CN"/>
        </w:rPr>
        <w:t>就近便利原则和分类</w:t>
      </w:r>
      <w:r>
        <w:rPr>
          <w:rFonts w:hint="eastAsia" w:ascii="宋体" w:hAnsi="宋体" w:eastAsia="仿宋_GB2312" w:cs="仿宋_GB2312"/>
          <w:sz w:val="32"/>
          <w:highlight w:val="none"/>
          <w:lang w:val="en-US" w:eastAsia="zh-CN"/>
        </w:rPr>
        <w:t>标准、分类标志设置生活垃圾分类收集点和收集容器，并保持生活垃圾分类收集容器正常使用</w:t>
      </w:r>
      <w:r>
        <w:rPr>
          <w:rFonts w:hint="eastAsia" w:ascii="宋体" w:hAnsi="宋体" w:eastAsia="仿宋_GB2312" w:cs="黑体"/>
          <w:sz w:val="32"/>
          <w:highlight w:val="none"/>
          <w:lang w:val="en-US" w:eastAsia="zh-CN"/>
        </w:rPr>
        <w:t>和周边清洁</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w:t>
      </w:r>
      <w:r>
        <w:rPr>
          <w:rFonts w:hint="eastAsia" w:ascii="宋体" w:hAnsi="宋体" w:eastAsia="仿宋_GB2312" w:cs="黑体"/>
          <w:sz w:val="32"/>
          <w:highlight w:val="none"/>
          <w:lang w:val="en-US" w:eastAsia="zh-CN"/>
        </w:rPr>
        <w:t>合理</w:t>
      </w:r>
      <w:r>
        <w:rPr>
          <w:rFonts w:hint="eastAsia" w:ascii="宋体" w:hAnsi="宋体" w:eastAsia="仿宋_GB2312" w:cs="仿宋_GB2312"/>
          <w:sz w:val="32"/>
          <w:highlight w:val="none"/>
          <w:lang w:val="en-US" w:eastAsia="zh-CN"/>
        </w:rPr>
        <w:t>确</w:t>
      </w:r>
      <w:r>
        <w:rPr>
          <w:rFonts w:hint="eastAsia" w:ascii="宋体" w:hAnsi="宋体" w:eastAsia="仿宋_GB2312" w:cs="黑体"/>
          <w:sz w:val="32"/>
          <w:highlight w:val="none"/>
          <w:lang w:val="en-US" w:eastAsia="zh-CN"/>
        </w:rPr>
        <w:t>定</w:t>
      </w:r>
      <w:r>
        <w:rPr>
          <w:rFonts w:hint="eastAsia" w:ascii="宋体" w:hAnsi="宋体" w:eastAsia="仿宋_GB2312" w:cs="仿宋_GB2312"/>
          <w:sz w:val="32"/>
          <w:highlight w:val="none"/>
          <w:lang w:val="en-US" w:eastAsia="zh-CN"/>
        </w:rPr>
        <w:t>生活垃圾的投放时间、地点，并组织责任区域内的分类收集工作；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（五）</w:t>
      </w:r>
      <w:r>
        <w:rPr>
          <w:rFonts w:hint="eastAsia" w:ascii="宋体" w:hAnsi="宋体" w:eastAsia="仿宋_GB2312" w:cs="黑体"/>
          <w:sz w:val="32"/>
          <w:highlight w:val="none"/>
          <w:lang w:val="en-US" w:eastAsia="zh-CN"/>
        </w:rPr>
        <w:t>劝阻不按照分类规定投放生活垃圾，或者混合收集、运输</w:t>
      </w:r>
      <w:r>
        <w:rPr>
          <w:rFonts w:hint="eastAsia" w:ascii="宋体" w:hAnsi="宋体" w:eastAsia="仿宋_GB2312" w:cs="仿宋_GB2312"/>
          <w:sz w:val="32"/>
          <w:highlight w:val="none"/>
          <w:lang w:val="en-US" w:eastAsia="zh-CN"/>
        </w:rPr>
        <w:t>已分类的生活垃圾</w:t>
      </w:r>
      <w:r>
        <w:rPr>
          <w:rFonts w:hint="eastAsia" w:ascii="宋体" w:hAnsi="宋体" w:eastAsia="仿宋_GB2312" w:cs="黑体"/>
          <w:sz w:val="32"/>
          <w:highlight w:val="none"/>
          <w:lang w:val="en-US" w:eastAsia="zh-CN"/>
        </w:rPr>
        <w:t>的行为</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（六）将生活垃圾交由符合规定的单位</w:t>
      </w:r>
      <w:r>
        <w:rPr>
          <w:rFonts w:hint="eastAsia" w:ascii="宋体" w:hAnsi="宋体" w:eastAsia="仿宋_GB2312" w:cs="黑体"/>
          <w:sz w:val="32"/>
          <w:highlight w:val="none"/>
          <w:lang w:val="en-US" w:eastAsia="zh-CN"/>
        </w:rPr>
        <w:t>收集、运输、</w:t>
      </w:r>
      <w:r>
        <w:rPr>
          <w:rFonts w:hint="eastAsia" w:ascii="宋体" w:hAnsi="宋体" w:eastAsia="仿宋_GB2312" w:cs="仿宋_GB2312"/>
          <w:sz w:val="32"/>
          <w:highlight w:val="none"/>
          <w:lang w:val="en-US" w:eastAsia="zh-CN"/>
        </w:rPr>
        <w:t>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生活垃圾分类</w:t>
      </w:r>
      <w:r>
        <w:rPr>
          <w:rFonts w:hint="eastAsia" w:ascii="黑体" w:hAnsi="黑体" w:eastAsia="仿宋_GB2312" w:cs="黑体"/>
          <w:sz w:val="32"/>
          <w:highlight w:val="none"/>
          <w:lang w:val="en-US" w:eastAsia="zh-CN"/>
        </w:rPr>
        <w:t>投放</w:t>
      </w:r>
      <w:r>
        <w:rPr>
          <w:rFonts w:hint="eastAsia" w:ascii="宋体" w:hAnsi="宋体" w:eastAsia="仿宋_GB2312" w:cs="黑体"/>
          <w:sz w:val="32"/>
          <w:highlight w:val="none"/>
          <w:lang w:val="en-US" w:eastAsia="zh-CN"/>
        </w:rPr>
        <w:t>管理责任人可以采取购买服务等方式做好前款规定相关工作，但不免除其管理责任。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第四章  分类收集、运输与处</w:t>
      </w:r>
      <w:r>
        <w:rPr>
          <w:rFonts w:hint="eastAsia" w:ascii="宋体" w:hAnsi="宋体" w:eastAsia="黑体" w:cs="黑体"/>
          <w:sz w:val="32"/>
          <w:highlight w:val="none"/>
          <w:lang w:val="en-US" w:eastAsia="zh-CN"/>
        </w:rPr>
        <w:t>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第二十六条</w:t>
      </w:r>
      <w:r>
        <w:rPr>
          <w:rFonts w:hint="eastAsia" w:ascii="宋体" w:hAnsi="宋体" w:eastAsia="仿宋_GB2312" w:cs="黑体"/>
          <w:sz w:val="32"/>
          <w:highlight w:val="none"/>
          <w:lang w:val="en-US" w:eastAsia="zh-CN"/>
        </w:rPr>
        <w:t xml:space="preserve">  已经分类投放的生活垃圾，应当按照规定分类收集、分类运输、分类处理。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i w:val="0"/>
          <w:iCs w:val="0"/>
          <w:sz w:val="32"/>
          <w:highlight w:val="none"/>
          <w:u w:val="none"/>
          <w:lang w:val="en-US" w:eastAsia="zh-CN"/>
        </w:rPr>
        <w:t>第二十</w:t>
      </w:r>
      <w:r>
        <w:rPr>
          <w:rFonts w:hint="eastAsia" w:ascii="宋体" w:hAnsi="宋体" w:eastAsia="黑体" w:cs="黑体"/>
          <w:i w:val="0"/>
          <w:iCs w:val="0"/>
          <w:sz w:val="32"/>
          <w:highlight w:val="none"/>
          <w:u w:val="none"/>
          <w:lang w:val="en-US" w:eastAsia="zh-CN"/>
        </w:rPr>
        <w:t>七</w:t>
      </w:r>
      <w:r>
        <w:rPr>
          <w:rFonts w:hint="eastAsia" w:ascii="宋体" w:hAnsi="宋体" w:eastAsia="黑体" w:cs="仿宋_GB2312"/>
          <w:i w:val="0"/>
          <w:iCs w:val="0"/>
          <w:sz w:val="32"/>
          <w:highlight w:val="none"/>
          <w:u w:val="none"/>
          <w:lang w:val="en-US" w:eastAsia="zh-CN"/>
        </w:rPr>
        <w:t>条</w:t>
      </w:r>
      <w:r>
        <w:rPr>
          <w:rFonts w:hint="eastAsia" w:ascii="宋体" w:hAnsi="宋体" w:eastAsia="仿宋_GB2312" w:cs="仿宋_GB2312"/>
          <w:i w:val="0"/>
          <w:iCs w:val="0"/>
          <w:sz w:val="32"/>
          <w:highlight w:val="none"/>
          <w:u w:val="none"/>
          <w:lang w:val="en-US" w:eastAsia="zh-CN"/>
        </w:rPr>
        <w:t xml:space="preserve">  县</w:t>
      </w:r>
      <w:r>
        <w:rPr>
          <w:rFonts w:hint="eastAsia" w:ascii="宋体" w:hAnsi="宋体" w:eastAsia="仿宋_GB2312" w:cs="黑体"/>
          <w:i w:val="0"/>
          <w:iCs w:val="0"/>
          <w:sz w:val="32"/>
          <w:highlight w:val="none"/>
          <w:u w:val="none"/>
          <w:lang w:val="en-US" w:eastAsia="zh-CN"/>
        </w:rPr>
        <w:t>级以上</w:t>
      </w:r>
      <w:r>
        <w:rPr>
          <w:rFonts w:hint="eastAsia" w:ascii="宋体" w:hAnsi="宋体" w:eastAsia="仿宋_GB2312" w:cs="仿宋_GB2312"/>
          <w:i w:val="0"/>
          <w:iCs w:val="0"/>
          <w:sz w:val="32"/>
          <w:highlight w:val="none"/>
          <w:u w:val="none"/>
          <w:lang w:val="en-US" w:eastAsia="zh-CN"/>
        </w:rPr>
        <w:t>人民政府</w:t>
      </w:r>
      <w:r>
        <w:rPr>
          <w:rFonts w:hint="eastAsia" w:ascii="宋体" w:hAnsi="宋体" w:eastAsia="仿宋_GB2312" w:cs="黑体"/>
          <w:i w:val="0"/>
          <w:iCs w:val="0"/>
          <w:sz w:val="32"/>
          <w:highlight w:val="none"/>
          <w:u w:val="none"/>
          <w:lang w:val="en-US" w:eastAsia="zh-CN"/>
        </w:rPr>
        <w:t>环境卫生等主管部门应当</w:t>
      </w:r>
      <w:r>
        <w:rPr>
          <w:rFonts w:hint="eastAsia" w:ascii="宋体" w:hAnsi="宋体" w:eastAsia="仿宋_GB2312" w:cs="仿宋_GB2312"/>
          <w:i w:val="0"/>
          <w:iCs w:val="0"/>
          <w:sz w:val="32"/>
          <w:highlight w:val="none"/>
          <w:u w:val="none"/>
          <w:lang w:val="en-US" w:eastAsia="zh-CN"/>
        </w:rPr>
        <w:t>组织</w:t>
      </w:r>
      <w:r>
        <w:rPr>
          <w:rFonts w:hint="eastAsia" w:ascii="宋体" w:hAnsi="宋体" w:eastAsia="仿宋_GB2312" w:cs="黑体"/>
          <w:i w:val="0"/>
          <w:iCs w:val="0"/>
          <w:sz w:val="32"/>
          <w:highlight w:val="none"/>
          <w:u w:val="none"/>
          <w:lang w:val="en-US" w:eastAsia="zh-CN"/>
        </w:rPr>
        <w:t>对生活垃圾进行清扫、</w:t>
      </w:r>
      <w:r>
        <w:rPr>
          <w:rFonts w:hint="eastAsia" w:ascii="宋体" w:hAnsi="宋体" w:eastAsia="仿宋_GB2312" w:cs="仿宋_GB2312"/>
          <w:i w:val="0"/>
          <w:iCs w:val="0"/>
          <w:sz w:val="32"/>
          <w:highlight w:val="none"/>
          <w:u w:val="none"/>
          <w:lang w:val="en-US" w:eastAsia="zh-CN"/>
        </w:rPr>
        <w:t>收集、运输</w:t>
      </w:r>
      <w:r>
        <w:rPr>
          <w:rFonts w:hint="eastAsia" w:ascii="宋体" w:hAnsi="宋体" w:eastAsia="仿宋_GB2312" w:cs="黑体"/>
          <w:i w:val="0"/>
          <w:iCs w:val="0"/>
          <w:sz w:val="32"/>
          <w:highlight w:val="none"/>
          <w:u w:val="none"/>
          <w:lang w:val="en-US" w:eastAsia="zh-CN"/>
        </w:rPr>
        <w:t>和处理</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黑体"/>
          <w:i w:val="0"/>
          <w:iCs w:val="0"/>
          <w:sz w:val="32"/>
          <w:highlight w:val="none"/>
          <w:u w:val="none"/>
          <w:lang w:val="en-US" w:eastAsia="zh-CN"/>
        </w:rPr>
        <w:t>可以</w:t>
      </w:r>
      <w:r>
        <w:rPr>
          <w:rFonts w:hint="eastAsia" w:ascii="宋体" w:hAnsi="宋体" w:eastAsia="仿宋_GB2312" w:cs="仿宋_GB2312"/>
          <w:sz w:val="32"/>
          <w:highlight w:val="none"/>
          <w:lang w:val="en-US" w:eastAsia="zh-CN"/>
        </w:rPr>
        <w:t>通过</w:t>
      </w:r>
      <w:r>
        <w:rPr>
          <w:rFonts w:hint="eastAsia" w:ascii="宋体" w:hAnsi="宋体" w:eastAsia="仿宋_GB2312" w:cs="黑体"/>
          <w:sz w:val="32"/>
          <w:highlight w:val="none"/>
          <w:lang w:val="en-US" w:eastAsia="zh-CN"/>
        </w:rPr>
        <w:t>招标等</w:t>
      </w:r>
      <w:r>
        <w:rPr>
          <w:rFonts w:hint="eastAsia" w:ascii="宋体" w:hAnsi="宋体" w:eastAsia="仿宋_GB2312" w:cs="仿宋_GB2312"/>
          <w:sz w:val="32"/>
          <w:highlight w:val="none"/>
          <w:lang w:val="en-US" w:eastAsia="zh-CN"/>
        </w:rPr>
        <w:t>市场化方式，选择具备条件的单位</w:t>
      </w:r>
      <w:r>
        <w:rPr>
          <w:rFonts w:hint="eastAsia" w:ascii="宋体" w:hAnsi="宋体" w:eastAsia="仿宋_GB2312" w:cs="黑体"/>
          <w:sz w:val="32"/>
          <w:highlight w:val="none"/>
          <w:lang w:val="en-US" w:eastAsia="zh-CN"/>
        </w:rPr>
        <w:t>从事</w:t>
      </w:r>
      <w:r>
        <w:rPr>
          <w:rFonts w:hint="eastAsia" w:ascii="宋体" w:hAnsi="宋体" w:eastAsia="仿宋_GB2312" w:cs="仿宋_GB2312"/>
          <w:sz w:val="32"/>
          <w:highlight w:val="none"/>
          <w:lang w:val="en-US" w:eastAsia="zh-CN"/>
        </w:rPr>
        <w:t>生活垃圾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收集、运输和处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default"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从事生活垃圾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w:t>
      </w:r>
      <w:r>
        <w:rPr>
          <w:rFonts w:hint="eastAsia" w:ascii="宋体" w:hAnsi="宋体" w:cs="仿宋_GB2312"/>
          <w:sz w:val="32"/>
          <w:highlight w:val="none"/>
          <w:lang w:val="en-US" w:eastAsia="zh-CN"/>
        </w:rPr>
        <w:t>和</w:t>
      </w:r>
      <w:r>
        <w:rPr>
          <w:rFonts w:hint="eastAsia" w:ascii="宋体" w:hAnsi="宋体" w:eastAsia="仿宋_GB2312" w:cs="仿宋_GB2312"/>
          <w:sz w:val="32"/>
          <w:highlight w:val="none"/>
          <w:lang w:val="en-US" w:eastAsia="zh-CN"/>
        </w:rPr>
        <w:t>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的单位应当</w:t>
      </w:r>
      <w:r>
        <w:rPr>
          <w:rFonts w:hint="eastAsia" w:ascii="宋体" w:hAnsi="宋体" w:eastAsia="仿宋_GB2312" w:cs="仿宋_GB2312"/>
          <w:i w:val="0"/>
          <w:iCs w:val="0"/>
          <w:sz w:val="32"/>
          <w:highlight w:val="none"/>
          <w:u w:val="none"/>
          <w:lang w:val="en-US" w:eastAsia="zh-CN"/>
        </w:rPr>
        <w:t>按照合同约定履行工作职责，并</w:t>
      </w:r>
      <w:r>
        <w:rPr>
          <w:rFonts w:hint="eastAsia" w:ascii="宋体" w:hAnsi="宋体" w:eastAsia="仿宋_GB2312" w:cs="仿宋_GB2312"/>
          <w:sz w:val="32"/>
          <w:highlight w:val="none"/>
          <w:lang w:val="en-US" w:eastAsia="zh-CN"/>
        </w:rPr>
        <w:t>执行环</w:t>
      </w:r>
      <w:r>
        <w:rPr>
          <w:rFonts w:hint="eastAsia" w:ascii="宋体" w:hAnsi="宋体" w:eastAsia="仿宋_GB2312" w:cs="黑体"/>
          <w:sz w:val="32"/>
          <w:highlight w:val="none"/>
          <w:lang w:val="en-US" w:eastAsia="zh-CN"/>
        </w:rPr>
        <w:t>境</w:t>
      </w:r>
      <w:r>
        <w:rPr>
          <w:rFonts w:hint="eastAsia" w:ascii="宋体" w:hAnsi="宋体" w:eastAsia="仿宋_GB2312" w:cs="仿宋_GB2312"/>
          <w:sz w:val="32"/>
          <w:highlight w:val="none"/>
          <w:lang w:val="en-US" w:eastAsia="zh-CN"/>
        </w:rPr>
        <w:t>卫</w:t>
      </w:r>
      <w:r>
        <w:rPr>
          <w:rFonts w:hint="eastAsia" w:ascii="宋体" w:hAnsi="宋体" w:eastAsia="仿宋_GB2312" w:cs="黑体"/>
          <w:sz w:val="32"/>
          <w:highlight w:val="none"/>
          <w:lang w:val="en-US" w:eastAsia="zh-CN"/>
        </w:rPr>
        <w:t>生</w:t>
      </w:r>
      <w:r>
        <w:rPr>
          <w:rFonts w:hint="eastAsia" w:ascii="宋体" w:hAnsi="宋体" w:eastAsia="仿宋_GB2312" w:cs="仿宋_GB2312"/>
          <w:sz w:val="32"/>
          <w:highlight w:val="none"/>
          <w:lang w:val="en-US" w:eastAsia="zh-CN"/>
        </w:rPr>
        <w:t>作业标准和规定。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第二十</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收集、运输生活垃圾的单位应当</w:t>
      </w:r>
      <w:r>
        <w:rPr>
          <w:rFonts w:hint="eastAsia" w:ascii="宋体" w:hAnsi="宋体" w:eastAsia="仿宋_GB2312" w:cs="黑体"/>
          <w:i w:val="0"/>
          <w:iCs w:val="0"/>
          <w:sz w:val="32"/>
          <w:highlight w:val="none"/>
          <w:u w:val="none"/>
          <w:lang w:val="en-US" w:eastAsia="zh-CN"/>
        </w:rPr>
        <w:t>遵守</w:t>
      </w:r>
      <w:r>
        <w:rPr>
          <w:rFonts w:hint="eastAsia" w:ascii="宋体" w:hAnsi="宋体" w:eastAsia="仿宋_GB2312" w:cs="仿宋_GB2312"/>
          <w:sz w:val="32"/>
          <w:highlight w:val="none"/>
          <w:lang w:val="en-US" w:eastAsia="zh-CN"/>
        </w:rPr>
        <w:t>下列</w:t>
      </w:r>
      <w:r>
        <w:rPr>
          <w:rFonts w:hint="eastAsia" w:ascii="宋体" w:hAnsi="宋体" w:eastAsia="仿宋_GB2312" w:cs="黑体"/>
          <w:sz w:val="32"/>
          <w:highlight w:val="none"/>
          <w:lang w:val="en-US" w:eastAsia="zh-CN"/>
        </w:rPr>
        <w:t>规定</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（一）按时</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收集生活垃圾；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（二）将生活垃圾</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运输至符合规定的转运或者处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w:t>
      </w:r>
      <w:r>
        <w:rPr>
          <w:rFonts w:hint="eastAsia" w:ascii="宋体" w:hAnsi="宋体" w:eastAsia="仿宋_GB2312" w:cs="黑体"/>
          <w:sz w:val="32"/>
          <w:highlight w:val="none"/>
          <w:lang w:val="en-US" w:eastAsia="zh-CN"/>
        </w:rPr>
        <w:t>、站点</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w:t>
      </w:r>
      <w:r>
        <w:rPr>
          <w:rFonts w:hint="eastAsia" w:ascii="宋体" w:hAnsi="宋体" w:eastAsia="仿宋_GB2312" w:cs="黑体"/>
          <w:i w:val="0"/>
          <w:iCs w:val="0"/>
          <w:sz w:val="32"/>
          <w:highlight w:val="none"/>
          <w:u w:val="none"/>
          <w:lang w:val="en-US" w:eastAsia="zh-CN"/>
        </w:rPr>
        <w:t>配备使用符合标准的运输车辆</w:t>
      </w:r>
      <w:r>
        <w:rPr>
          <w:rFonts w:hint="eastAsia" w:ascii="宋体" w:hAnsi="宋体" w:eastAsia="仿宋_GB2312" w:cs="仿宋_GB2312"/>
          <w:sz w:val="32"/>
          <w:highlight w:val="none"/>
          <w:lang w:val="en-US" w:eastAsia="zh-CN"/>
        </w:rPr>
        <w:t>密闭化运输</w:t>
      </w:r>
      <w:r>
        <w:rPr>
          <w:rFonts w:hint="eastAsia" w:ascii="宋体" w:hAnsi="宋体" w:eastAsia="仿宋_GB2312" w:cs="黑体"/>
          <w:sz w:val="32"/>
          <w:highlight w:val="none"/>
          <w:lang w:val="en-US" w:eastAsia="zh-CN"/>
        </w:rPr>
        <w:t>生活垃圾</w:t>
      </w:r>
      <w:r>
        <w:rPr>
          <w:rFonts w:hint="eastAsia" w:ascii="宋体" w:hAnsi="宋体" w:eastAsia="仿宋_GB2312" w:cs="仿宋_GB2312"/>
          <w:sz w:val="32"/>
          <w:highlight w:val="none"/>
          <w:lang w:val="en-US" w:eastAsia="zh-CN"/>
        </w:rPr>
        <w:t>，在运输过程中不得丢弃、</w:t>
      </w:r>
      <w:r>
        <w:rPr>
          <w:rFonts w:hint="eastAsia" w:ascii="宋体" w:hAnsi="宋体" w:eastAsia="仿宋_GB2312" w:cs="黑体"/>
          <w:i w:val="0"/>
          <w:iCs w:val="0"/>
          <w:sz w:val="32"/>
          <w:highlight w:val="none"/>
          <w:u w:val="none"/>
          <w:lang w:val="en-US" w:eastAsia="zh-CN"/>
        </w:rPr>
        <w:t>遗</w:t>
      </w:r>
      <w:r>
        <w:rPr>
          <w:rFonts w:hint="eastAsia" w:ascii="宋体" w:hAnsi="宋体" w:eastAsia="仿宋_GB2312" w:cs="仿宋_GB2312"/>
          <w:sz w:val="32"/>
          <w:highlight w:val="none"/>
          <w:lang w:val="en-US" w:eastAsia="zh-CN"/>
        </w:rPr>
        <w:t>撒垃圾以及滴漏污水；</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w:t>
      </w:r>
      <w:r>
        <w:rPr>
          <w:rFonts w:hint="eastAsia" w:ascii="宋体" w:hAnsi="宋体" w:eastAsia="仿宋_GB2312" w:cs="黑体"/>
          <w:sz w:val="32"/>
          <w:highlight w:val="none"/>
          <w:lang w:val="en-US" w:eastAsia="zh-CN"/>
        </w:rPr>
        <w:t>生活</w:t>
      </w:r>
      <w:r>
        <w:rPr>
          <w:rFonts w:hint="eastAsia" w:ascii="宋体" w:hAnsi="宋体" w:eastAsia="仿宋_GB2312" w:cs="仿宋_GB2312"/>
          <w:sz w:val="32"/>
          <w:highlight w:val="none"/>
          <w:lang w:val="en-US" w:eastAsia="zh-CN"/>
        </w:rPr>
        <w:t>垃圾运输线路应当避开</w:t>
      </w:r>
      <w:r>
        <w:rPr>
          <w:rFonts w:hint="eastAsia" w:ascii="宋体" w:hAnsi="宋体" w:eastAsia="仿宋_GB2312" w:cs="黑体"/>
          <w:sz w:val="32"/>
          <w:highlight w:val="none"/>
          <w:lang w:val="en-US" w:eastAsia="zh-CN"/>
        </w:rPr>
        <w:t>饮用水</w:t>
      </w:r>
      <w:r>
        <w:rPr>
          <w:rFonts w:hint="eastAsia" w:ascii="宋体" w:hAnsi="宋体" w:eastAsia="仿宋_GB2312" w:cs="仿宋_GB2312"/>
          <w:sz w:val="32"/>
          <w:highlight w:val="none"/>
          <w:lang w:val="en-US" w:eastAsia="zh-CN"/>
        </w:rPr>
        <w:t>水源</w:t>
      </w:r>
      <w:r>
        <w:rPr>
          <w:rFonts w:hint="eastAsia" w:ascii="宋体" w:hAnsi="宋体" w:eastAsia="仿宋_GB2312" w:cs="黑体"/>
          <w:sz w:val="32"/>
          <w:highlight w:val="none"/>
          <w:lang w:val="en-US" w:eastAsia="zh-CN"/>
        </w:rPr>
        <w:t>一级</w:t>
      </w:r>
      <w:r>
        <w:rPr>
          <w:rFonts w:hint="eastAsia" w:ascii="宋体" w:hAnsi="宋体" w:eastAsia="仿宋_GB2312" w:cs="仿宋_GB2312"/>
          <w:sz w:val="32"/>
          <w:highlight w:val="none"/>
          <w:lang w:val="en-US" w:eastAsia="zh-CN"/>
        </w:rPr>
        <w:t>保护区；</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（五）不得混合收集、运输已分类的生活垃圾，不得将危险废物、医疗废物、工业固体废物、建筑垃圾、</w:t>
      </w:r>
      <w:r>
        <w:rPr>
          <w:rFonts w:hint="eastAsia" w:ascii="宋体" w:hAnsi="宋体" w:eastAsia="仿宋_GB2312" w:cs="仿宋_GB2312"/>
          <w:i w:val="0"/>
          <w:iCs w:val="0"/>
          <w:sz w:val="32"/>
          <w:highlight w:val="none"/>
          <w:u w:val="none"/>
          <w:lang w:val="en-US" w:eastAsia="zh-CN"/>
        </w:rPr>
        <w:t>农业固体废物</w:t>
      </w:r>
      <w:r>
        <w:rPr>
          <w:rFonts w:hint="eastAsia" w:ascii="宋体" w:hAnsi="宋体" w:eastAsia="仿宋_GB2312" w:cs="仿宋_GB2312"/>
          <w:sz w:val="32"/>
          <w:highlight w:val="none"/>
          <w:lang w:val="en-US" w:eastAsia="zh-CN"/>
        </w:rPr>
        <w:t>等混入生活垃圾；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（六）不得擅自跨省</w:t>
      </w:r>
      <w:r>
        <w:rPr>
          <w:rFonts w:hint="eastAsia" w:ascii="宋体" w:hAnsi="宋体" w:eastAsia="仿宋_GB2312" w:cs="黑体"/>
          <w:sz w:val="32"/>
          <w:highlight w:val="none"/>
          <w:lang w:val="en-US" w:eastAsia="zh-CN"/>
        </w:rPr>
        <w:t>、跨地级以上市</w:t>
      </w:r>
      <w:r>
        <w:rPr>
          <w:rFonts w:hint="eastAsia" w:ascii="宋体" w:hAnsi="宋体" w:eastAsia="仿宋_GB2312" w:cs="仿宋_GB2312"/>
          <w:sz w:val="32"/>
          <w:highlight w:val="none"/>
          <w:lang w:val="en-US" w:eastAsia="zh-CN"/>
        </w:rPr>
        <w:t>转移生活垃圾。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生活垃圾收集、运输单位发现交运的生活垃圾不符合分类标准的，可以告知生活垃圾分类</w:t>
      </w:r>
      <w:r>
        <w:rPr>
          <w:rFonts w:hint="eastAsia" w:ascii="宋体" w:hAnsi="宋体" w:cs="黑体"/>
          <w:sz w:val="32"/>
          <w:highlight w:val="none"/>
          <w:lang w:val="en-US" w:eastAsia="zh-CN"/>
        </w:rPr>
        <w:t>投放</w:t>
      </w:r>
      <w:r>
        <w:rPr>
          <w:rFonts w:hint="eastAsia" w:ascii="宋体" w:hAnsi="宋体" w:eastAsia="仿宋_GB2312" w:cs="黑体"/>
          <w:sz w:val="32"/>
          <w:highlight w:val="none"/>
          <w:lang w:val="en-US" w:eastAsia="zh-CN"/>
        </w:rPr>
        <w:t>管理责任人改正；拒不改正的，应当报告环境卫生主管部门。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二十</w:t>
      </w:r>
      <w:r>
        <w:rPr>
          <w:rFonts w:hint="eastAsia" w:ascii="宋体" w:hAnsi="宋体" w:eastAsia="黑体" w:cs="黑体"/>
          <w:sz w:val="32"/>
          <w:highlight w:val="none"/>
          <w:lang w:val="en-US" w:eastAsia="zh-CN"/>
        </w:rPr>
        <w:t>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生活垃圾分类处</w:t>
      </w:r>
      <w:r>
        <w:rPr>
          <w:rFonts w:hint="eastAsia" w:ascii="宋体" w:hAnsi="宋体" w:eastAsia="仿宋_GB2312" w:cs="黑体"/>
          <w:sz w:val="32"/>
          <w:highlight w:val="none"/>
          <w:lang w:val="en-US" w:eastAsia="zh-CN"/>
        </w:rPr>
        <w:t>理应当按照下列要求进行</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（一）可回收物交由资源化利用企业进行回收利用；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（二）厨余垃圾采用</w:t>
      </w:r>
      <w:r>
        <w:rPr>
          <w:rFonts w:hint="eastAsia" w:ascii="宋体" w:hAnsi="宋体" w:eastAsia="仿宋_GB2312" w:cs="仿宋_GB2312"/>
          <w:i w:val="0"/>
          <w:iCs w:val="0"/>
          <w:sz w:val="32"/>
          <w:highlight w:val="none"/>
          <w:u w:val="none"/>
          <w:lang w:val="en-US" w:eastAsia="zh-CN"/>
        </w:rPr>
        <w:t>生化处理</w:t>
      </w:r>
      <w:r>
        <w:rPr>
          <w:rFonts w:hint="eastAsia" w:ascii="宋体" w:hAnsi="宋体" w:eastAsia="仿宋_GB2312" w:cs="黑体"/>
          <w:i w:val="0"/>
          <w:iCs w:val="0"/>
          <w:sz w:val="32"/>
          <w:highlight w:val="none"/>
          <w:u w:val="none"/>
          <w:lang w:val="en-US" w:eastAsia="zh-CN"/>
        </w:rPr>
        <w:t>技术</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仿宋_GB2312"/>
          <w:sz w:val="32"/>
          <w:highlight w:val="none"/>
          <w:lang w:val="en-US" w:eastAsia="zh-CN"/>
        </w:rPr>
        <w:t>产沼、堆肥</w:t>
      </w:r>
      <w:r>
        <w:rPr>
          <w:rFonts w:hint="eastAsia" w:ascii="宋体" w:hAnsi="宋体" w:eastAsia="仿宋_GB2312" w:cs="黑体"/>
          <w:sz w:val="32"/>
          <w:highlight w:val="none"/>
          <w:lang w:val="en-US" w:eastAsia="zh-CN"/>
        </w:rPr>
        <w:t>以</w:t>
      </w:r>
      <w:r>
        <w:rPr>
          <w:rFonts w:hint="eastAsia" w:ascii="宋体" w:hAnsi="宋体" w:eastAsia="仿宋_GB2312" w:cs="仿宋_GB2312"/>
          <w:sz w:val="32"/>
          <w:highlight w:val="none"/>
          <w:lang w:val="en-US" w:eastAsia="zh-CN"/>
        </w:rPr>
        <w:t>及其他资源化利用或者无害化方式处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，禁止畜禽养殖场、养殖小区利用未经无害化处</w:t>
      </w:r>
      <w:r>
        <w:rPr>
          <w:rFonts w:hint="eastAsia" w:ascii="宋体" w:hAnsi="宋体" w:eastAsia="仿宋_GB2312" w:cs="仿宋_GB2312"/>
          <w:i w:val="0"/>
          <w:iCs w:val="0"/>
          <w:sz w:val="32"/>
          <w:highlight w:val="none"/>
          <w:u w:val="none"/>
          <w:lang w:val="en-US" w:eastAsia="zh-CN"/>
        </w:rPr>
        <w:t>理</w:t>
      </w:r>
      <w:r>
        <w:rPr>
          <w:rFonts w:hint="eastAsia" w:ascii="宋体" w:hAnsi="宋体" w:eastAsia="仿宋_GB2312" w:cs="仿宋_GB2312"/>
          <w:sz w:val="32"/>
          <w:highlight w:val="none"/>
          <w:lang w:val="en-US" w:eastAsia="zh-CN"/>
        </w:rPr>
        <w:t>的厨余垃圾饲喂畜禽；</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（三）有害垃圾按照国家</w:t>
      </w:r>
      <w:r>
        <w:rPr>
          <w:rFonts w:hint="eastAsia" w:ascii="宋体" w:hAnsi="宋体" w:eastAsia="仿宋_GB2312" w:cs="黑体"/>
          <w:sz w:val="32"/>
          <w:highlight w:val="none"/>
          <w:lang w:val="en-US" w:eastAsia="zh-CN"/>
        </w:rPr>
        <w:t>危险废物管理等</w:t>
      </w:r>
      <w:r>
        <w:rPr>
          <w:rFonts w:hint="eastAsia" w:ascii="宋体" w:hAnsi="宋体" w:eastAsia="仿宋_GB2312" w:cs="仿宋_GB2312"/>
          <w:sz w:val="32"/>
          <w:highlight w:val="none"/>
          <w:lang w:val="en-US" w:eastAsia="zh-CN"/>
        </w:rPr>
        <w:t>有关规定进行无害化处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（四）其他垃圾采用焚烧发电、卫生填埋等方式进行无害化处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体积较大的废弃物品应当先拆分，再按照前款要求处理。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三十</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生活垃圾</w:t>
      </w:r>
      <w:r>
        <w:rPr>
          <w:rFonts w:hint="eastAsia" w:ascii="宋体" w:hAnsi="宋体" w:eastAsia="仿宋_GB2312" w:cs="黑体"/>
          <w:sz w:val="32"/>
          <w:highlight w:val="none"/>
          <w:lang w:val="en-US" w:eastAsia="zh-CN"/>
        </w:rPr>
        <w:t>处理</w:t>
      </w:r>
      <w:r>
        <w:rPr>
          <w:rFonts w:hint="eastAsia" w:ascii="宋体" w:hAnsi="宋体" w:eastAsia="仿宋_GB2312" w:cs="仿宋_GB2312"/>
          <w:sz w:val="32"/>
          <w:highlight w:val="none"/>
          <w:lang w:val="en-US" w:eastAsia="zh-CN"/>
        </w:rPr>
        <w:t>单位应当遵守下列规定：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（一）按照规定的分类标准接收</w:t>
      </w:r>
      <w:r>
        <w:rPr>
          <w:rFonts w:hint="eastAsia" w:ascii="宋体" w:hAnsi="宋体" w:eastAsia="仿宋_GB2312" w:cs="黑体"/>
          <w:sz w:val="32"/>
          <w:highlight w:val="none"/>
          <w:lang w:val="en-US" w:eastAsia="zh-CN"/>
        </w:rPr>
        <w:t>、处理</w:t>
      </w:r>
      <w:r>
        <w:rPr>
          <w:rFonts w:hint="eastAsia" w:ascii="宋体" w:hAnsi="宋体" w:eastAsia="仿宋_GB2312" w:cs="仿宋_GB2312"/>
          <w:sz w:val="32"/>
          <w:highlight w:val="none"/>
          <w:lang w:val="en-US" w:eastAsia="zh-CN"/>
        </w:rPr>
        <w:t>生活垃圾</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w:t>
      </w:r>
      <w:r>
        <w:rPr>
          <w:rFonts w:hint="eastAsia" w:ascii="宋体" w:hAnsi="宋体" w:eastAsia="仿宋_GB2312" w:cs="黑体"/>
          <w:sz w:val="32"/>
          <w:highlight w:val="none"/>
          <w:lang w:val="en-US" w:eastAsia="zh-CN"/>
        </w:rPr>
        <w:t>保持生活垃圾处理设施、设备正常运行，</w:t>
      </w:r>
      <w:r>
        <w:rPr>
          <w:rFonts w:hint="eastAsia" w:ascii="宋体" w:hAnsi="宋体" w:eastAsia="仿宋_GB2312" w:cs="仿宋_GB2312"/>
          <w:sz w:val="32"/>
          <w:highlight w:val="none"/>
          <w:lang w:val="en-US" w:eastAsia="zh-CN"/>
        </w:rPr>
        <w:t>严格按照工程技术规范、操作规程、污染控制标准处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生活垃圾</w:t>
      </w:r>
      <w:r>
        <w:rPr>
          <w:rFonts w:hint="eastAsia" w:ascii="宋体" w:hAnsi="宋体" w:eastAsia="仿宋_GB2312" w:cs="黑体"/>
          <w:sz w:val="32"/>
          <w:highlight w:val="none"/>
          <w:lang w:val="en-US" w:eastAsia="zh-CN"/>
        </w:rPr>
        <w:t>以</w:t>
      </w:r>
      <w:r>
        <w:rPr>
          <w:rFonts w:hint="eastAsia" w:ascii="宋体" w:hAnsi="宋体" w:eastAsia="仿宋_GB2312" w:cs="仿宋_GB2312"/>
          <w:sz w:val="32"/>
          <w:highlight w:val="none"/>
          <w:lang w:val="en-US" w:eastAsia="zh-CN"/>
        </w:rPr>
        <w:t>及处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过程中产生的废水、废气、废渣等</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（三）建立处理台账，记录每日生活垃圾的运输单位、种类、数量，并定期向所在地的县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人民政府环境卫生主管部门报送数据</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（四）按照国家有关规定，安装使用监测设备，实时监测污染物的排放情况，将污染排放数据实时公开</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监测设备应当与所在地生态环境主管部门的监控设备联网</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（五）制定应对设施故障、事故等突发事件的应急</w:t>
      </w:r>
      <w:r>
        <w:rPr>
          <w:rFonts w:hint="eastAsia" w:ascii="宋体" w:hAnsi="宋体" w:eastAsia="仿宋_GB2312" w:cs="黑体"/>
          <w:sz w:val="32"/>
          <w:highlight w:val="none"/>
          <w:lang w:val="en-US" w:eastAsia="zh-CN"/>
        </w:rPr>
        <w:t>预</w:t>
      </w:r>
      <w:r>
        <w:rPr>
          <w:rFonts w:hint="eastAsia" w:ascii="宋体" w:hAnsi="宋体" w:eastAsia="仿宋_GB2312" w:cs="仿宋_GB2312"/>
          <w:sz w:val="32"/>
          <w:highlight w:val="none"/>
          <w:lang w:val="en-US" w:eastAsia="zh-CN"/>
        </w:rPr>
        <w:t>案</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（六）国家和省有关生活垃圾处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的其他规定。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第三十一条</w:t>
      </w:r>
      <w:r>
        <w:rPr>
          <w:rFonts w:hint="eastAsia" w:ascii="宋体" w:hAnsi="宋体" w:eastAsia="仿宋_GB2312" w:cs="黑体"/>
          <w:sz w:val="32"/>
          <w:highlight w:val="none"/>
          <w:lang w:val="en-US" w:eastAsia="zh-CN"/>
        </w:rPr>
        <w:t xml:space="preserve">  农村生活垃圾管理推行户分类、村收集、镇转运、县处理的模式。</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引导农村地区开展生活垃圾源头减量，对厨余垃圾等有机易腐烂的垃圾，应当按照农业废弃物资源化的要求，采取污染防治措施后，采用生化处理技术等就近就地处理；对可回收物进行资源回收利用；对有害垃圾单独收集，妥善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城乡结合部、人口密集的农村地区和其他有条件的地方，应当建立城乡一体的生活垃圾管理系统。</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第五章  设施建设与保障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三十二</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省人民政府应当依据省城乡生活垃圾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理目标，结合生活垃圾产生和处理情况，组织编制全省生活垃圾处理专项规划。</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人民政府环境卫生主管部门应当依据省生活垃圾处理专项规划，组织编制本行政区域生活垃圾处理专项规划，报本级人民政府批准后组织实施。</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编制生活垃圾处理专项规划应当向社会公示专项规划草案，</w:t>
      </w:r>
      <w:r>
        <w:rPr>
          <w:rFonts w:hint="eastAsia" w:ascii="宋体" w:hAnsi="宋体" w:eastAsia="仿宋_GB2312" w:cs="黑体"/>
          <w:sz w:val="32"/>
          <w:highlight w:val="none"/>
          <w:lang w:val="en-US" w:eastAsia="zh-CN"/>
        </w:rPr>
        <w:t>公示时间不得少于三十日，并</w:t>
      </w:r>
      <w:r>
        <w:rPr>
          <w:rFonts w:hint="eastAsia" w:ascii="宋体" w:hAnsi="宋体" w:eastAsia="仿宋_GB2312" w:cs="仿宋_GB2312"/>
          <w:sz w:val="32"/>
          <w:highlight w:val="none"/>
          <w:lang w:val="en-US" w:eastAsia="zh-CN"/>
        </w:rPr>
        <w:t>采取论证会、听证会等方式征求专家和公众的意见。</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专项规划应当在同级人民政府网站和当地主要新闻媒体公布。专项规划确需修改的，按照原审批程序办理。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w:t>
      </w:r>
      <w:r>
        <w:rPr>
          <w:rFonts w:hint="eastAsia" w:ascii="宋体" w:hAnsi="宋体" w:eastAsia="仿宋_GB2312" w:cs="仿宋_GB2312"/>
          <w:i w:val="0"/>
          <w:iCs w:val="0"/>
          <w:sz w:val="32"/>
          <w:highlight w:val="none"/>
          <w:u w:val="none"/>
          <w:lang w:val="en-US" w:eastAsia="zh-CN"/>
        </w:rPr>
        <w:t>将</w:t>
      </w:r>
      <w:r>
        <w:rPr>
          <w:rFonts w:hint="eastAsia" w:ascii="宋体" w:hAnsi="宋体" w:eastAsia="仿宋_GB2312" w:cs="仿宋_GB2312"/>
          <w:sz w:val="32"/>
          <w:highlight w:val="none"/>
          <w:lang w:val="en-US" w:eastAsia="zh-CN"/>
        </w:rPr>
        <w:t>生活垃圾处理设施</w:t>
      </w:r>
      <w:r>
        <w:rPr>
          <w:rFonts w:hint="eastAsia" w:ascii="宋体" w:hAnsi="宋体" w:eastAsia="仿宋_GB2312" w:cs="仿宋_GB2312"/>
          <w:i w:val="0"/>
          <w:iCs w:val="0"/>
          <w:sz w:val="32"/>
          <w:highlight w:val="none"/>
          <w:u w:val="none"/>
          <w:lang w:val="en-US" w:eastAsia="zh-CN"/>
        </w:rPr>
        <w:t>的</w:t>
      </w:r>
      <w:r>
        <w:rPr>
          <w:rFonts w:hint="eastAsia" w:ascii="宋体" w:hAnsi="宋体" w:eastAsia="仿宋_GB2312" w:cs="黑体"/>
          <w:sz w:val="32"/>
          <w:highlight w:val="none"/>
          <w:lang w:val="en-US" w:eastAsia="zh-CN"/>
        </w:rPr>
        <w:t>新增</w:t>
      </w:r>
      <w:r>
        <w:rPr>
          <w:rFonts w:hint="eastAsia" w:ascii="宋体" w:hAnsi="宋体" w:eastAsia="仿宋_GB2312" w:cs="仿宋_GB2312"/>
          <w:i w:val="0"/>
          <w:iCs w:val="0"/>
          <w:sz w:val="32"/>
          <w:highlight w:val="none"/>
          <w:u w:val="none"/>
          <w:lang w:val="en-US" w:eastAsia="zh-CN"/>
        </w:rPr>
        <w:t>建设用地纳入</w:t>
      </w:r>
      <w:r>
        <w:rPr>
          <w:rFonts w:hint="eastAsia" w:ascii="宋体" w:hAnsi="宋体" w:eastAsia="仿宋_GB2312" w:cs="黑体"/>
          <w:i w:val="0"/>
          <w:iCs w:val="0"/>
          <w:sz w:val="32"/>
          <w:highlight w:val="none"/>
          <w:u w:val="none"/>
          <w:lang w:val="en-US" w:eastAsia="zh-CN"/>
        </w:rPr>
        <w:t>国土空间规划</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Times New Roman"/>
          <w:sz w:val="32"/>
          <w:highlight w:val="none"/>
        </w:rPr>
        <w:t>县级</w:t>
      </w:r>
      <w:r>
        <w:rPr>
          <w:rFonts w:hint="eastAsia" w:ascii="宋体" w:hAnsi="宋体" w:eastAsia="仿宋_GB2312" w:cs="仿宋_GB2312"/>
          <w:sz w:val="32"/>
          <w:highlight w:val="none"/>
          <w:lang w:val="en-US" w:eastAsia="zh-CN"/>
        </w:rPr>
        <w:t>人民政府自然资源主管部门应当把生活垃圾处理专项规划中确定的生活垃圾处理设施用地，纳入</w:t>
      </w:r>
      <w:r>
        <w:rPr>
          <w:rFonts w:hint="eastAsia" w:ascii="宋体" w:hAnsi="宋体" w:eastAsia="仿宋_GB2312" w:cs="黑体"/>
          <w:sz w:val="32"/>
          <w:highlight w:val="none"/>
          <w:lang w:val="en-US" w:eastAsia="zh-CN"/>
        </w:rPr>
        <w:t>控制性</w:t>
      </w:r>
      <w:r>
        <w:rPr>
          <w:rFonts w:hint="eastAsia" w:ascii="宋体" w:hAnsi="宋体" w:eastAsia="仿宋_GB2312" w:cs="仿宋_GB2312"/>
          <w:sz w:val="32"/>
          <w:highlight w:val="none"/>
          <w:lang w:val="en-US" w:eastAsia="zh-CN"/>
        </w:rPr>
        <w:t>详细规划，并依法向社会公布。</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经规划确定的生活垃圾处理设施建设用地，未经法定程序，不得改变用途。</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Times New Roman"/>
          <w:sz w:val="32"/>
          <w:highlight w:val="none"/>
        </w:rPr>
        <w:t>县级</w:t>
      </w:r>
      <w:r>
        <w:rPr>
          <w:rFonts w:hint="eastAsia" w:ascii="宋体" w:hAnsi="宋体" w:eastAsia="仿宋_GB2312" w:cs="仿宋_GB2312"/>
          <w:sz w:val="32"/>
          <w:highlight w:val="none"/>
          <w:lang w:val="en-US" w:eastAsia="zh-CN"/>
        </w:rPr>
        <w:t>人民政府环境卫生主管部门和生活垃圾分类</w:t>
      </w:r>
      <w:r>
        <w:rPr>
          <w:rFonts w:hint="eastAsia" w:ascii="宋体" w:hAnsi="宋体" w:cs="仿宋_GB2312"/>
          <w:sz w:val="32"/>
          <w:highlight w:val="none"/>
          <w:lang w:val="en-US" w:eastAsia="zh-CN"/>
        </w:rPr>
        <w:t>投放</w:t>
      </w:r>
      <w:r>
        <w:rPr>
          <w:rFonts w:hint="eastAsia" w:ascii="宋体" w:hAnsi="宋体" w:eastAsia="仿宋_GB2312" w:cs="仿宋_GB2312"/>
          <w:sz w:val="32"/>
          <w:highlight w:val="none"/>
          <w:lang w:val="en-US" w:eastAsia="zh-CN"/>
        </w:rPr>
        <w:t>管理责任人应当按照相关规划、国家和省的有关技术标准和要求</w:t>
      </w:r>
      <w:r>
        <w:rPr>
          <w:rFonts w:hint="eastAsia" w:ascii="宋体" w:hAnsi="宋体" w:eastAsia="仿宋_GB2312" w:cs="黑体"/>
          <w:sz w:val="32"/>
          <w:highlight w:val="none"/>
          <w:lang w:val="en-US" w:eastAsia="zh-CN"/>
        </w:rPr>
        <w:t>，</w:t>
      </w:r>
      <w:r>
        <w:rPr>
          <w:rFonts w:hint="eastAsia" w:ascii="宋体" w:hAnsi="宋体" w:eastAsia="仿宋_GB2312" w:cs="黑体"/>
          <w:color w:val="auto"/>
          <w:sz w:val="32"/>
          <w:highlight w:val="none"/>
          <w:lang w:val="en-US" w:eastAsia="zh-CN"/>
        </w:rPr>
        <w:t>综合考虑居民数量、产生垃圾总量等因素，科学合理</w:t>
      </w:r>
      <w:r>
        <w:rPr>
          <w:rFonts w:hint="eastAsia" w:ascii="宋体" w:hAnsi="宋体" w:eastAsia="仿宋_GB2312" w:cs="仿宋_GB2312"/>
          <w:color w:val="auto"/>
          <w:sz w:val="32"/>
          <w:highlight w:val="none"/>
          <w:lang w:val="en-US" w:eastAsia="zh-CN"/>
        </w:rPr>
        <w:t>设置生活垃圾收</w:t>
      </w:r>
      <w:r>
        <w:rPr>
          <w:rFonts w:hint="eastAsia" w:ascii="宋体" w:hAnsi="宋体" w:eastAsia="仿宋_GB2312" w:cs="仿宋_GB2312"/>
          <w:sz w:val="32"/>
          <w:highlight w:val="none"/>
          <w:lang w:val="en-US" w:eastAsia="zh-CN"/>
        </w:rPr>
        <w:t>集点。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六</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人民政府环境卫生主管部门、乡镇人民政府、街道办事处应当按照相关规划、国家和省的有关技术标准和要求建设、改造生活垃圾转运站，适应垃圾分类功能需求。</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生活垃圾转运</w:t>
      </w:r>
      <w:r>
        <w:rPr>
          <w:rFonts w:hint="eastAsia" w:ascii="宋体" w:hAnsi="宋体" w:eastAsia="仿宋_GB2312" w:cs="仿宋_GB2312"/>
          <w:sz w:val="32"/>
          <w:highlight w:val="none"/>
          <w:lang w:val="en-US" w:eastAsia="zh-CN"/>
        </w:rPr>
        <w:t>站</w:t>
      </w:r>
      <w:r>
        <w:rPr>
          <w:rFonts w:hint="eastAsia" w:ascii="宋体" w:hAnsi="宋体" w:eastAsia="仿宋_GB2312" w:cs="黑体"/>
          <w:sz w:val="32"/>
          <w:highlight w:val="none"/>
          <w:lang w:val="en-US" w:eastAsia="zh-CN"/>
        </w:rPr>
        <w:t>产生的</w:t>
      </w:r>
      <w:r>
        <w:rPr>
          <w:rFonts w:hint="eastAsia" w:ascii="宋体" w:hAnsi="宋体" w:eastAsia="仿宋_GB2312" w:cs="仿宋_GB2312"/>
          <w:sz w:val="32"/>
          <w:highlight w:val="none"/>
          <w:lang w:val="en-US" w:eastAsia="zh-CN"/>
        </w:rPr>
        <w:t>污水应当统一收集并进行预处理后，运往生活污水处理厂，或者通过市政污水管道输送至生活污水处理厂处理。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七</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人民政府应当按照城乡生活垃圾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理目标和专项规划，同步推进城镇和农村生活垃圾处理设施建设</w:t>
      </w:r>
      <w:r>
        <w:rPr>
          <w:rFonts w:hint="eastAsia" w:ascii="宋体" w:hAnsi="宋体" w:eastAsia="仿宋_GB2312" w:cs="黑体"/>
          <w:sz w:val="32"/>
          <w:szCs w:val="22"/>
          <w:highlight w:val="none"/>
          <w:lang w:val="en-US" w:eastAsia="zh-CN"/>
        </w:rPr>
        <w:t>，因地制宜</w:t>
      </w:r>
      <w:r>
        <w:rPr>
          <w:rFonts w:hint="eastAsia" w:ascii="宋体" w:hAnsi="宋体" w:eastAsia="仿宋_GB2312" w:cs="黑体"/>
          <w:sz w:val="32"/>
          <w:highlight w:val="none"/>
          <w:lang w:val="en-US" w:eastAsia="zh-CN"/>
        </w:rPr>
        <w:t>推动厨余垃圾处理设施建设，提高厨余垃圾处理水平</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szCs w:val="22"/>
          <w:highlight w:val="none"/>
          <w:lang w:val="en-US" w:eastAsia="zh-CN"/>
        </w:rPr>
        <w:t>鼓励跨区域共建共享生活垃圾处理设施</w:t>
      </w:r>
      <w:r>
        <w:rPr>
          <w:rFonts w:hint="eastAsia" w:ascii="宋体" w:hAnsi="宋体" w:eastAsia="仿宋_GB2312" w:cs="黑体"/>
          <w:sz w:val="32"/>
          <w:szCs w:val="22"/>
          <w:highlight w:val="none"/>
          <w:lang w:val="en-US" w:eastAsia="zh-CN"/>
        </w:rPr>
        <w:t>；</w:t>
      </w:r>
      <w:r>
        <w:rPr>
          <w:rFonts w:hint="eastAsia" w:ascii="宋体" w:hAnsi="宋体" w:eastAsia="仿宋_GB2312" w:cs="黑体"/>
          <w:sz w:val="32"/>
          <w:highlight w:val="none"/>
          <w:lang w:val="en-US" w:eastAsia="zh-CN"/>
        </w:rPr>
        <w:t>采取产业园区选址建设模式，统筹不同类型的垃圾处理。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生活垃圾处理设施建设应当符合国家和省的有关技术标准和要求。</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三十</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新建、改建、扩建建设工程应当按照标准配套建设生活垃圾分类</w:t>
      </w:r>
      <w:r>
        <w:rPr>
          <w:rFonts w:hint="eastAsia" w:ascii="宋体" w:hAnsi="宋体" w:eastAsia="仿宋_GB2312" w:cs="黑体"/>
          <w:sz w:val="32"/>
          <w:highlight w:val="none"/>
          <w:lang w:val="en-US" w:eastAsia="zh-CN"/>
        </w:rPr>
        <w:t>投放</w:t>
      </w:r>
      <w:r>
        <w:rPr>
          <w:rFonts w:hint="eastAsia" w:ascii="宋体" w:hAnsi="宋体" w:eastAsia="仿宋_GB2312" w:cs="仿宋_GB2312"/>
          <w:sz w:val="32"/>
          <w:highlight w:val="none"/>
          <w:lang w:val="en-US" w:eastAsia="zh-CN"/>
        </w:rPr>
        <w:t>、收集、转运设施</w:t>
      </w:r>
      <w:r>
        <w:rPr>
          <w:rFonts w:hint="eastAsia" w:ascii="宋体" w:hAnsi="宋体" w:eastAsia="仿宋_GB2312" w:cs="黑体"/>
          <w:sz w:val="32"/>
          <w:highlight w:val="none"/>
          <w:lang w:val="en-US" w:eastAsia="zh-CN"/>
        </w:rPr>
        <w:t>，达到规划设计要求</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配套生活垃圾分类</w:t>
      </w:r>
      <w:r>
        <w:rPr>
          <w:rFonts w:hint="eastAsia" w:ascii="宋体" w:hAnsi="宋体" w:eastAsia="仿宋_GB2312" w:cs="黑体"/>
          <w:sz w:val="32"/>
          <w:highlight w:val="none"/>
          <w:lang w:val="en-US" w:eastAsia="zh-CN"/>
        </w:rPr>
        <w:t>投放、收集、转运</w:t>
      </w:r>
      <w:r>
        <w:rPr>
          <w:rFonts w:hint="eastAsia" w:ascii="宋体" w:hAnsi="宋体" w:eastAsia="仿宋_GB2312" w:cs="仿宋_GB2312"/>
          <w:sz w:val="32"/>
          <w:highlight w:val="none"/>
          <w:lang w:val="en-US" w:eastAsia="zh-CN"/>
        </w:rPr>
        <w:t>设施应当与主体工程同时设计、同时施工、同时</w:t>
      </w:r>
      <w:r>
        <w:rPr>
          <w:rFonts w:hint="eastAsia" w:ascii="宋体" w:hAnsi="宋体" w:eastAsia="仿宋_GB2312" w:cs="仿宋_GB2312"/>
          <w:i w:val="0"/>
          <w:iCs w:val="0"/>
          <w:sz w:val="32"/>
          <w:highlight w:val="none"/>
          <w:u w:val="none"/>
          <w:lang w:val="en-US" w:eastAsia="zh-CN"/>
        </w:rPr>
        <w:t>交付</w:t>
      </w:r>
      <w:r>
        <w:rPr>
          <w:rFonts w:hint="eastAsia" w:ascii="宋体" w:hAnsi="宋体" w:eastAsia="仿宋_GB2312" w:cs="仿宋_GB2312"/>
          <w:sz w:val="32"/>
          <w:highlight w:val="none"/>
          <w:lang w:val="en-US" w:eastAsia="zh-CN"/>
        </w:rPr>
        <w:t>使用；建设工程分期建设的，配套生活垃圾处理设施应当与首期工程同时</w:t>
      </w:r>
      <w:r>
        <w:rPr>
          <w:rFonts w:hint="eastAsia" w:ascii="宋体" w:hAnsi="宋体" w:eastAsia="仿宋_GB2312" w:cs="仿宋_GB2312"/>
          <w:i w:val="0"/>
          <w:iCs w:val="0"/>
          <w:sz w:val="32"/>
          <w:highlight w:val="none"/>
          <w:u w:val="none"/>
          <w:lang w:val="en-US" w:eastAsia="zh-CN"/>
        </w:rPr>
        <w:t>交付</w:t>
      </w:r>
      <w:r>
        <w:rPr>
          <w:rFonts w:hint="eastAsia" w:ascii="宋体" w:hAnsi="宋体" w:eastAsia="仿宋_GB2312" w:cs="仿宋_GB2312"/>
          <w:sz w:val="32"/>
          <w:highlight w:val="none"/>
          <w:lang w:val="en-US" w:eastAsia="zh-CN"/>
        </w:rPr>
        <w:t>使用；配套设施建设费用纳入建设工程投资</w:t>
      </w:r>
      <w:r>
        <w:rPr>
          <w:rFonts w:hint="eastAsia" w:ascii="宋体" w:hAnsi="宋体" w:eastAsia="仿宋_GB2312" w:cs="黑体"/>
          <w:sz w:val="32"/>
          <w:highlight w:val="none"/>
          <w:lang w:val="en-US" w:eastAsia="zh-CN"/>
        </w:rPr>
        <w:t>预算</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三十</w:t>
      </w:r>
      <w:r>
        <w:rPr>
          <w:rFonts w:hint="eastAsia" w:ascii="宋体" w:hAnsi="宋体" w:eastAsia="黑体" w:cs="黑体"/>
          <w:sz w:val="32"/>
          <w:highlight w:val="none"/>
          <w:lang w:val="en-US" w:eastAsia="zh-CN"/>
        </w:rPr>
        <w:t>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任何单位和个人不得擅自关闭、闲置、拆除生活垃圾集中转运、处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w:t>
      </w:r>
      <w:r>
        <w:rPr>
          <w:rFonts w:hint="eastAsia" w:ascii="宋体" w:hAnsi="宋体" w:eastAsia="仿宋_GB2312" w:cs="黑体"/>
          <w:sz w:val="32"/>
          <w:highlight w:val="none"/>
          <w:lang w:val="en-US" w:eastAsia="zh-CN"/>
        </w:rPr>
        <w:t>、场所</w:t>
      </w:r>
      <w:r>
        <w:rPr>
          <w:rFonts w:hint="eastAsia" w:ascii="宋体" w:hAnsi="宋体" w:eastAsia="仿宋_GB2312" w:cs="仿宋_GB2312"/>
          <w:sz w:val="32"/>
          <w:highlight w:val="none"/>
          <w:lang w:val="en-US" w:eastAsia="zh-CN"/>
        </w:rPr>
        <w:t>。确需关闭、闲置、拆除的，应当经</w:t>
      </w:r>
      <w:r>
        <w:rPr>
          <w:rFonts w:hint="eastAsia" w:ascii="宋体" w:hAnsi="宋体" w:eastAsia="仿宋_GB2312" w:cs="黑体"/>
          <w:sz w:val="32"/>
          <w:highlight w:val="none"/>
          <w:lang w:val="en-US" w:eastAsia="zh-CN"/>
        </w:rPr>
        <w:t>所在地地级以上</w:t>
      </w:r>
      <w:r>
        <w:rPr>
          <w:rFonts w:hint="eastAsia" w:ascii="宋体" w:hAnsi="宋体" w:eastAsia="仿宋_GB2312" w:cs="Times New Roman"/>
          <w:i w:val="0"/>
          <w:iCs/>
          <w:sz w:val="32"/>
          <w:highlight w:val="none"/>
          <w:u w:val="none"/>
        </w:rPr>
        <w:t>市、</w:t>
      </w:r>
      <w:r>
        <w:rPr>
          <w:rFonts w:hint="eastAsia" w:ascii="宋体" w:hAnsi="宋体" w:eastAsia="仿宋_GB2312" w:cs="Times New Roman"/>
          <w:sz w:val="32"/>
          <w:highlight w:val="none"/>
        </w:rPr>
        <w:t>县级</w:t>
      </w:r>
      <w:r>
        <w:rPr>
          <w:rFonts w:hint="eastAsia" w:ascii="宋体" w:hAnsi="宋体" w:eastAsia="仿宋_GB2312" w:cs="仿宋_GB2312"/>
          <w:sz w:val="32"/>
          <w:highlight w:val="none"/>
          <w:lang w:val="en-US" w:eastAsia="zh-CN"/>
        </w:rPr>
        <w:t>人民政府环境卫生主管部门商生态环境主管部门</w:t>
      </w:r>
      <w:r>
        <w:rPr>
          <w:rFonts w:hint="eastAsia" w:ascii="宋体" w:hAnsi="宋体" w:eastAsia="仿宋_GB2312" w:cs="黑体"/>
          <w:sz w:val="32"/>
          <w:highlight w:val="none"/>
          <w:lang w:val="en-US" w:eastAsia="zh-CN"/>
        </w:rPr>
        <w:t>同意后</w:t>
      </w:r>
      <w:r>
        <w:rPr>
          <w:rFonts w:hint="eastAsia" w:ascii="宋体" w:hAnsi="宋体" w:eastAsia="仿宋_GB2312" w:cs="仿宋_GB2312"/>
          <w:sz w:val="32"/>
          <w:highlight w:val="none"/>
          <w:lang w:val="en-US" w:eastAsia="zh-CN"/>
        </w:rPr>
        <w:t>核准，采取防止污染环境的措施，并按先建后拆的原则重建、补建或者提供替代设施。</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四十</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地级以上</w:t>
      </w:r>
      <w:r>
        <w:rPr>
          <w:rFonts w:hint="eastAsia" w:ascii="宋体" w:hAnsi="宋体" w:eastAsia="仿宋_GB2312" w:cs="Times New Roman"/>
          <w:i w:val="0"/>
          <w:iCs/>
          <w:sz w:val="32"/>
          <w:highlight w:val="none"/>
          <w:u w:val="none"/>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人民政府应当根据</w:t>
      </w:r>
      <w:r>
        <w:rPr>
          <w:rFonts w:hint="eastAsia" w:ascii="宋体" w:hAnsi="宋体" w:eastAsia="仿宋_GB2312" w:cs="黑体"/>
          <w:sz w:val="32"/>
          <w:highlight w:val="none"/>
          <w:lang w:val="en-US" w:eastAsia="zh-CN"/>
        </w:rPr>
        <w:t>城乡</w:t>
      </w:r>
      <w:r>
        <w:rPr>
          <w:rFonts w:hint="eastAsia" w:ascii="宋体" w:hAnsi="宋体" w:eastAsia="仿宋_GB2312" w:cs="仿宋_GB2312"/>
          <w:sz w:val="32"/>
          <w:highlight w:val="none"/>
          <w:lang w:val="en-US" w:eastAsia="zh-CN"/>
        </w:rPr>
        <w:t>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理资金需求落实生活垃圾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理经费，并纳入本级政府财政预算。</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四十一</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城镇居住地区的</w:t>
      </w:r>
      <w:r>
        <w:rPr>
          <w:rFonts w:hint="eastAsia" w:ascii="宋体" w:hAnsi="宋体" w:eastAsia="仿宋_GB2312" w:cs="仿宋_GB2312"/>
          <w:sz w:val="32"/>
          <w:highlight w:val="none"/>
          <w:lang w:val="en-US" w:eastAsia="zh-CN"/>
        </w:rPr>
        <w:t>单位</w:t>
      </w:r>
      <w:r>
        <w:rPr>
          <w:rFonts w:hint="eastAsia" w:ascii="宋体" w:hAnsi="宋体" w:eastAsia="仿宋_GB2312" w:cs="黑体"/>
          <w:sz w:val="32"/>
          <w:highlight w:val="none"/>
          <w:lang w:val="en-US" w:eastAsia="zh-CN"/>
        </w:rPr>
        <w:t>、家庭</w:t>
      </w:r>
      <w:r>
        <w:rPr>
          <w:rFonts w:hint="eastAsia" w:ascii="宋体" w:hAnsi="宋体" w:eastAsia="仿宋_GB2312" w:cs="仿宋_GB2312"/>
          <w:sz w:val="32"/>
          <w:highlight w:val="none"/>
          <w:lang w:val="en-US" w:eastAsia="zh-CN"/>
        </w:rPr>
        <w:t>和个人应当按照县</w:t>
      </w:r>
      <w:r>
        <w:rPr>
          <w:rFonts w:hint="eastAsia" w:ascii="宋体" w:hAnsi="宋体" w:eastAsia="仿宋_GB2312" w:cs="黑体"/>
          <w:sz w:val="32"/>
          <w:highlight w:val="none"/>
          <w:lang w:val="en-US" w:eastAsia="zh-CN"/>
        </w:rPr>
        <w:t>级以上</w:t>
      </w:r>
      <w:r>
        <w:rPr>
          <w:rFonts w:hint="eastAsia" w:ascii="宋体" w:hAnsi="宋体" w:eastAsia="仿宋_GB2312" w:cs="仿宋_GB2312"/>
          <w:sz w:val="32"/>
          <w:highlight w:val="none"/>
          <w:lang w:val="en-US" w:eastAsia="zh-CN"/>
        </w:rPr>
        <w:t>人民政府确定的收费标准缴纳生活垃圾处理费。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lang w:val="en-US" w:eastAsia="zh-CN"/>
        </w:rPr>
      </w:pPr>
      <w:r>
        <w:rPr>
          <w:rFonts w:hint="eastAsia" w:ascii="宋体" w:hAnsi="宋体" w:eastAsia="仿宋_GB2312" w:cs="仿宋_GB2312"/>
          <w:i w:val="0"/>
          <w:iCs w:val="0"/>
          <w:sz w:val="32"/>
          <w:highlight w:val="none"/>
          <w:u w:val="none"/>
          <w:lang w:val="en-US" w:eastAsia="zh-CN"/>
        </w:rPr>
        <w:t>农村</w:t>
      </w:r>
      <w:r>
        <w:rPr>
          <w:rFonts w:hint="eastAsia" w:ascii="宋体" w:hAnsi="宋体" w:eastAsia="仿宋_GB2312" w:cs="黑体"/>
          <w:i w:val="0"/>
          <w:iCs w:val="0"/>
          <w:sz w:val="32"/>
          <w:highlight w:val="none"/>
          <w:u w:val="none"/>
          <w:lang w:val="en-US" w:eastAsia="zh-CN"/>
        </w:rPr>
        <w:t>居住</w:t>
      </w:r>
      <w:r>
        <w:rPr>
          <w:rFonts w:hint="eastAsia" w:ascii="宋体" w:hAnsi="宋体" w:eastAsia="仿宋_GB2312" w:cs="仿宋_GB2312"/>
          <w:i w:val="0"/>
          <w:iCs w:val="0"/>
          <w:sz w:val="32"/>
          <w:highlight w:val="none"/>
          <w:u w:val="none"/>
          <w:lang w:val="en-US" w:eastAsia="zh-CN"/>
        </w:rPr>
        <w:t>地区的生活垃圾处理费，可以通过个人缴纳、政府补贴、社会捐赠、村民委员会筹措等方式筹集。</w:t>
      </w:r>
      <w:r>
        <w:rPr>
          <w:rFonts w:hint="eastAsia" w:ascii="黑体" w:hAnsi="黑体" w:eastAsia="仿宋_GB2312" w:cs="黑体"/>
          <w:i w:val="0"/>
          <w:iCs w:val="0"/>
          <w:sz w:val="32"/>
          <w:highlight w:val="none"/>
          <w:u w:val="none"/>
          <w:lang w:val="en-US" w:eastAsia="zh-CN"/>
        </w:rPr>
        <w:t>地级以上市、县级人民政府负责</w:t>
      </w:r>
      <w:r>
        <w:rPr>
          <w:rFonts w:hint="eastAsia" w:ascii="黑体" w:hAnsi="黑体" w:cs="黑体"/>
          <w:i w:val="0"/>
          <w:iCs w:val="0"/>
          <w:sz w:val="32"/>
          <w:highlight w:val="none"/>
          <w:u w:val="none"/>
          <w:lang w:val="en-US" w:eastAsia="zh-CN"/>
        </w:rPr>
        <w:t>对</w:t>
      </w:r>
      <w:r>
        <w:rPr>
          <w:rFonts w:hint="eastAsia" w:ascii="黑体" w:hAnsi="黑体" w:eastAsia="仿宋_GB2312" w:cs="黑体"/>
          <w:i w:val="0"/>
          <w:iCs w:val="0"/>
          <w:sz w:val="32"/>
          <w:highlight w:val="none"/>
          <w:u w:val="none"/>
          <w:lang w:val="en-US" w:eastAsia="zh-CN"/>
        </w:rPr>
        <w:t>农村生活垃圾管理的经费保障。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生活垃圾处理费应当专项用于生活垃圾的</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收集、运输和处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等，不得挪作他用。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四十二</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人民政府应当按照地域统筹、设施共享的原则，建立生活垃圾处理生态补偿机制，科学合理设置补偿原则</w:t>
      </w:r>
      <w:r>
        <w:rPr>
          <w:rFonts w:hint="eastAsia" w:ascii="宋体" w:hAnsi="宋体" w:eastAsia="仿宋_GB2312" w:cs="黑体"/>
          <w:sz w:val="32"/>
          <w:highlight w:val="none"/>
          <w:lang w:val="en-US" w:eastAsia="zh-CN"/>
        </w:rPr>
        <w:t>、补偿方式和</w:t>
      </w:r>
      <w:r>
        <w:rPr>
          <w:rFonts w:hint="eastAsia" w:ascii="宋体" w:hAnsi="宋体" w:eastAsia="仿宋_GB2312" w:cs="仿宋_GB2312"/>
          <w:sz w:val="32"/>
          <w:highlight w:val="none"/>
          <w:lang w:val="en-US" w:eastAsia="zh-CN"/>
        </w:rPr>
        <w:t>补偿标准。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生活垃圾处理生态补偿费主要用于生活垃圾处理设施周边地区环境</w:t>
      </w:r>
      <w:r>
        <w:rPr>
          <w:rFonts w:hint="eastAsia" w:ascii="宋体" w:hAnsi="宋体" w:eastAsia="仿宋_GB2312" w:cs="黑体"/>
          <w:sz w:val="32"/>
          <w:highlight w:val="none"/>
          <w:lang w:val="en-US" w:eastAsia="zh-CN"/>
        </w:rPr>
        <w:t>改善</w:t>
      </w:r>
      <w:r>
        <w:rPr>
          <w:rFonts w:hint="eastAsia" w:ascii="宋体" w:hAnsi="宋体" w:eastAsia="仿宋_GB2312" w:cs="仿宋_GB2312"/>
          <w:sz w:val="32"/>
          <w:highlight w:val="none"/>
          <w:lang w:val="en-US" w:eastAsia="zh-CN"/>
        </w:rPr>
        <w:t>、市政配套设施</w:t>
      </w:r>
      <w:r>
        <w:rPr>
          <w:rFonts w:hint="eastAsia" w:ascii="宋体" w:hAnsi="宋体" w:eastAsia="仿宋_GB2312" w:cs="黑体"/>
          <w:sz w:val="32"/>
          <w:highlight w:val="none"/>
          <w:lang w:val="en-US" w:eastAsia="zh-CN"/>
        </w:rPr>
        <w:t>和公共服务设施的</w:t>
      </w:r>
      <w:r>
        <w:rPr>
          <w:rFonts w:hint="eastAsia" w:ascii="宋体" w:hAnsi="宋体" w:eastAsia="仿宋_GB2312" w:cs="仿宋_GB2312"/>
          <w:sz w:val="32"/>
          <w:highlight w:val="none"/>
          <w:lang w:val="en-US" w:eastAsia="zh-CN"/>
        </w:rPr>
        <w:t>建设</w:t>
      </w:r>
      <w:r>
        <w:rPr>
          <w:rFonts w:hint="eastAsia" w:ascii="宋体" w:hAnsi="宋体" w:eastAsia="仿宋_GB2312" w:cs="黑体"/>
          <w:sz w:val="32"/>
          <w:highlight w:val="none"/>
          <w:lang w:val="en-US" w:eastAsia="zh-CN"/>
        </w:rPr>
        <w:t>与</w:t>
      </w:r>
      <w:r>
        <w:rPr>
          <w:rFonts w:hint="eastAsia" w:ascii="宋体" w:hAnsi="宋体" w:eastAsia="仿宋_GB2312" w:cs="仿宋_GB2312"/>
          <w:sz w:val="32"/>
          <w:highlight w:val="none"/>
          <w:lang w:val="en-US" w:eastAsia="zh-CN"/>
        </w:rPr>
        <w:t>维护</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黑体"/>
          <w:i w:val="0"/>
          <w:iCs w:val="0"/>
          <w:sz w:val="32"/>
          <w:highlight w:val="none"/>
          <w:u w:val="none"/>
          <w:lang w:val="en-US" w:eastAsia="zh-CN"/>
        </w:rPr>
        <w:t>扶持当地集体</w:t>
      </w:r>
      <w:r>
        <w:rPr>
          <w:rFonts w:hint="eastAsia" w:ascii="宋体" w:hAnsi="宋体" w:eastAsia="仿宋_GB2312" w:cs="仿宋_GB2312"/>
          <w:sz w:val="32"/>
          <w:highlight w:val="none"/>
          <w:lang w:val="en-US" w:eastAsia="zh-CN"/>
        </w:rPr>
        <w:t>经济发展等。</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第六章  监督管理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省人民政府住房城乡建设主管部门应当建立健全城乡生活垃圾监督管理制度，对城乡生活垃圾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理情况进行监督检查。</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人民政府环境卫生主管部门应当结合生活垃圾管理责任目标和任务要求，对本行政区域内生活垃圾源头减量、投放、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情况进行监督检查。根据需要，可以向生活垃圾处理设施现场派驻监督员。</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乡镇人民政府、街道办事处应当组织村民委员会、居民委员会开展日常巡查。</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第四十</w:t>
      </w:r>
      <w:r>
        <w:rPr>
          <w:rFonts w:hint="eastAsia" w:ascii="宋体" w:hAnsi="宋体" w:eastAsia="黑体" w:cs="黑体"/>
          <w:sz w:val="32"/>
          <w:highlight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省人民政府住房城乡建设主管部门、地级以上市人民政府环境卫生主管部门应当根据国家技术标准，制定生活垃圾收集、运输和处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设施、场所建设运行规范。</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县级以上人民政府环境卫生主管部门可以委托专业机构、行业协会等对生活垃圾处理</w:t>
      </w:r>
      <w:r>
        <w:rPr>
          <w:rFonts w:hint="eastAsia" w:ascii="宋体" w:hAnsi="宋体" w:eastAsia="仿宋_GB2312" w:cs="黑体"/>
          <w:sz w:val="32"/>
          <w:highlight w:val="none"/>
          <w:lang w:val="en-US" w:eastAsia="zh-CN"/>
        </w:rPr>
        <w:t>的</w:t>
      </w:r>
      <w:r>
        <w:rPr>
          <w:rFonts w:hint="eastAsia" w:ascii="宋体" w:hAnsi="宋体" w:eastAsia="仿宋_GB2312" w:cs="仿宋_GB2312"/>
          <w:sz w:val="32"/>
          <w:highlight w:val="none"/>
          <w:lang w:val="en-US" w:eastAsia="zh-CN"/>
        </w:rPr>
        <w:t>数量、服务质量以及运营情况进行监管和评价。</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第四十</w:t>
      </w:r>
      <w:r>
        <w:rPr>
          <w:rFonts w:hint="eastAsia" w:ascii="宋体" w:hAnsi="宋体" w:eastAsia="黑体" w:cs="黑体"/>
          <w:sz w:val="32"/>
          <w:highlight w:val="none"/>
          <w:lang w:val="en-US" w:eastAsia="zh-CN"/>
        </w:rPr>
        <w:t>六</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w:t>
      </w:r>
      <w:r>
        <w:rPr>
          <w:rFonts w:hint="eastAsia" w:ascii="宋体" w:hAnsi="宋体" w:eastAsia="仿宋_GB2312" w:cs="黑体"/>
          <w:sz w:val="32"/>
          <w:highlight w:val="none"/>
          <w:lang w:val="en-US" w:eastAsia="zh-CN"/>
        </w:rPr>
        <w:t>级以上</w:t>
      </w:r>
      <w:r>
        <w:rPr>
          <w:rFonts w:hint="eastAsia" w:ascii="宋体" w:hAnsi="宋体" w:eastAsia="仿宋_GB2312" w:cs="仿宋_GB2312"/>
          <w:sz w:val="32"/>
          <w:highlight w:val="none"/>
          <w:lang w:val="en-US" w:eastAsia="zh-CN"/>
        </w:rPr>
        <w:t>生态环境主管部门应当对生活垃圾集中转运、处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设施的污染物排放情况</w:t>
      </w:r>
      <w:r>
        <w:rPr>
          <w:rFonts w:hint="eastAsia" w:ascii="宋体" w:hAnsi="宋体" w:eastAsia="仿宋_GB2312" w:cs="黑体"/>
          <w:sz w:val="32"/>
          <w:highlight w:val="none"/>
          <w:lang w:val="en-US" w:eastAsia="zh-CN"/>
        </w:rPr>
        <w:t>开展</w:t>
      </w:r>
      <w:r>
        <w:rPr>
          <w:rFonts w:hint="eastAsia" w:ascii="宋体" w:hAnsi="宋体" w:eastAsia="仿宋_GB2312" w:cs="仿宋_GB2312"/>
          <w:sz w:val="32"/>
          <w:highlight w:val="none"/>
          <w:lang w:val="en-US" w:eastAsia="zh-CN"/>
        </w:rPr>
        <w:t>监测，并依法公开监测信息。</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四十</w:t>
      </w:r>
      <w:r>
        <w:rPr>
          <w:rFonts w:hint="eastAsia" w:ascii="宋体" w:hAnsi="宋体" w:eastAsia="黑体" w:cs="黑体"/>
          <w:sz w:val="32"/>
          <w:highlight w:val="none"/>
          <w:lang w:val="en-US" w:eastAsia="zh-CN"/>
        </w:rPr>
        <w:t>七</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地级以上</w:t>
      </w:r>
      <w:r>
        <w:rPr>
          <w:rFonts w:hint="eastAsia" w:ascii="宋体" w:hAnsi="宋体" w:eastAsia="仿宋_GB2312" w:cs="仿宋_GB2312"/>
          <w:sz w:val="32"/>
          <w:highlight w:val="none"/>
          <w:lang w:val="en-US" w:eastAsia="zh-CN"/>
        </w:rPr>
        <w:t>市</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人民政府应当建立生活垃圾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理信息公开制度，依法向社会公布生活垃圾源头减量、投放、</w:t>
      </w:r>
      <w:r>
        <w:rPr>
          <w:rFonts w:hint="eastAsia" w:ascii="宋体" w:hAnsi="宋体" w:eastAsia="仿宋_GB2312" w:cs="黑体"/>
          <w:sz w:val="32"/>
          <w:highlight w:val="none"/>
          <w:lang w:val="en-US" w:eastAsia="zh-CN"/>
        </w:rPr>
        <w:t>清扫、</w:t>
      </w:r>
      <w:r>
        <w:rPr>
          <w:rFonts w:hint="eastAsia" w:ascii="宋体" w:hAnsi="宋体" w:eastAsia="仿宋_GB2312" w:cs="仿宋_GB2312"/>
          <w:sz w:val="32"/>
          <w:highlight w:val="none"/>
          <w:lang w:val="en-US" w:eastAsia="zh-CN"/>
        </w:rPr>
        <w:t>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状况和生活垃圾处理费收支信息。</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生活垃圾处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单位应当向社会公开</w:t>
      </w:r>
      <w:r>
        <w:rPr>
          <w:rFonts w:hint="eastAsia" w:ascii="宋体" w:hAnsi="宋体" w:eastAsia="仿宋_GB2312" w:cs="黑体"/>
          <w:sz w:val="32"/>
          <w:highlight w:val="none"/>
          <w:lang w:val="en-US" w:eastAsia="zh-CN"/>
        </w:rPr>
        <w:t>本单位排放的</w:t>
      </w:r>
      <w:r>
        <w:rPr>
          <w:rFonts w:hint="eastAsia" w:ascii="宋体" w:hAnsi="宋体" w:eastAsia="仿宋_GB2312" w:cs="仿宋_GB2312"/>
          <w:sz w:val="32"/>
          <w:highlight w:val="none"/>
          <w:lang w:val="en-US" w:eastAsia="zh-CN"/>
        </w:rPr>
        <w:t>主要污染物名称、排放方式、排放浓度和总量、超标排放情况，以及生活垃圾处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设施的运行情况</w:t>
      </w:r>
      <w:r>
        <w:rPr>
          <w:rFonts w:hint="eastAsia" w:ascii="宋体" w:hAnsi="宋体" w:eastAsia="仿宋_GB2312" w:cs="仿宋_GB2312"/>
          <w:i w:val="0"/>
          <w:iCs w:val="0"/>
          <w:sz w:val="32"/>
          <w:highlight w:val="none"/>
          <w:u w:val="none"/>
          <w:lang w:val="en-US" w:eastAsia="zh-CN"/>
        </w:rPr>
        <w:t>、环境监测数据等，</w:t>
      </w:r>
      <w:r>
        <w:rPr>
          <w:rFonts w:hint="eastAsia" w:ascii="宋体" w:hAnsi="宋体" w:eastAsia="仿宋_GB2312" w:cs="仿宋_GB2312"/>
          <w:sz w:val="32"/>
          <w:highlight w:val="none"/>
          <w:lang w:val="en-US" w:eastAsia="zh-CN"/>
        </w:rPr>
        <w:t>接受政府监管和社会监督。</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四十</w:t>
      </w:r>
      <w:r>
        <w:rPr>
          <w:rFonts w:hint="eastAsia" w:ascii="宋体" w:hAnsi="宋体" w:eastAsia="黑体" w:cs="黑体"/>
          <w:i w:val="0"/>
          <w:iCs w:val="0"/>
          <w:sz w:val="32"/>
          <w:highlight w:val="none"/>
          <w:u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鼓励单位和个人举报生活垃圾收集、运输、处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设施的建设、运营和污染排放中的违法行为，监管单位应当依法受理和查处，并公布查处结果。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监管单位对举报的违法行为进行查实并依法处理后，可以根据举报人的贡献大小，给予相应奖励。</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四十九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任何单位和个人都应当</w:t>
      </w:r>
      <w:r>
        <w:rPr>
          <w:rFonts w:hint="eastAsia" w:ascii="宋体" w:hAnsi="宋体" w:eastAsia="仿宋_GB2312" w:cs="仿宋_GB2312"/>
          <w:sz w:val="32"/>
          <w:highlight w:val="none"/>
          <w:lang w:val="en-US" w:eastAsia="zh-CN"/>
        </w:rPr>
        <w:t>尊重</w:t>
      </w:r>
      <w:r>
        <w:rPr>
          <w:rFonts w:hint="eastAsia" w:ascii="宋体" w:hAnsi="宋体" w:eastAsia="仿宋_GB2312" w:cs="仿宋_GB2312"/>
          <w:i w:val="0"/>
          <w:iCs w:val="0"/>
          <w:sz w:val="32"/>
          <w:highlight w:val="none"/>
          <w:u w:val="none"/>
          <w:lang w:val="en-US" w:eastAsia="zh-CN"/>
        </w:rPr>
        <w:t>环</w:t>
      </w:r>
      <w:r>
        <w:rPr>
          <w:rFonts w:hint="eastAsia" w:ascii="宋体" w:hAnsi="宋体" w:eastAsia="仿宋_GB2312" w:cs="黑体"/>
          <w:i w:val="0"/>
          <w:iCs w:val="0"/>
          <w:sz w:val="32"/>
          <w:highlight w:val="none"/>
          <w:u w:val="none"/>
          <w:lang w:val="en-US" w:eastAsia="zh-CN"/>
        </w:rPr>
        <w:t>境</w:t>
      </w:r>
      <w:r>
        <w:rPr>
          <w:rFonts w:hint="eastAsia" w:ascii="宋体" w:hAnsi="宋体" w:eastAsia="仿宋_GB2312" w:cs="仿宋_GB2312"/>
          <w:i w:val="0"/>
          <w:iCs w:val="0"/>
          <w:sz w:val="32"/>
          <w:highlight w:val="none"/>
          <w:u w:val="none"/>
          <w:lang w:val="en-US" w:eastAsia="zh-CN"/>
        </w:rPr>
        <w:t>卫</w:t>
      </w:r>
      <w:r>
        <w:rPr>
          <w:rFonts w:hint="eastAsia" w:ascii="宋体" w:hAnsi="宋体" w:eastAsia="仿宋_GB2312" w:cs="黑体"/>
          <w:i w:val="0"/>
          <w:iCs w:val="0"/>
          <w:sz w:val="32"/>
          <w:highlight w:val="none"/>
          <w:u w:val="none"/>
          <w:lang w:val="en-US" w:eastAsia="zh-CN"/>
        </w:rPr>
        <w:t>生</w:t>
      </w:r>
      <w:r>
        <w:rPr>
          <w:rFonts w:hint="eastAsia" w:ascii="宋体" w:hAnsi="宋体" w:eastAsia="仿宋_GB2312" w:cs="仿宋_GB2312"/>
          <w:i w:val="0"/>
          <w:iCs w:val="0"/>
          <w:sz w:val="32"/>
          <w:highlight w:val="none"/>
          <w:u w:val="none"/>
          <w:lang w:val="en-US" w:eastAsia="zh-CN"/>
        </w:rPr>
        <w:t>工</w:t>
      </w:r>
      <w:r>
        <w:rPr>
          <w:rFonts w:hint="eastAsia" w:ascii="宋体" w:hAnsi="宋体" w:eastAsia="仿宋_GB2312" w:cs="黑体"/>
          <w:sz w:val="32"/>
          <w:highlight w:val="none"/>
          <w:lang w:val="en-US" w:eastAsia="zh-CN"/>
        </w:rPr>
        <w:t>作</w:t>
      </w:r>
      <w:r>
        <w:rPr>
          <w:rFonts w:hint="eastAsia" w:ascii="宋体" w:hAnsi="宋体" w:eastAsia="仿宋_GB2312" w:cs="仿宋_GB2312"/>
          <w:i w:val="0"/>
          <w:iCs w:val="0"/>
          <w:sz w:val="32"/>
          <w:highlight w:val="none"/>
          <w:u w:val="none"/>
          <w:lang w:val="en-US" w:eastAsia="zh-CN"/>
        </w:rPr>
        <w:t>人</w:t>
      </w:r>
      <w:r>
        <w:rPr>
          <w:rFonts w:hint="eastAsia" w:ascii="宋体" w:hAnsi="宋体" w:eastAsia="仿宋_GB2312" w:cs="黑体"/>
          <w:sz w:val="32"/>
          <w:highlight w:val="none"/>
          <w:lang w:val="en-US" w:eastAsia="zh-CN"/>
        </w:rPr>
        <w:t>员</w:t>
      </w:r>
      <w:r>
        <w:rPr>
          <w:rFonts w:hint="eastAsia" w:ascii="宋体" w:hAnsi="宋体" w:eastAsia="仿宋_GB2312" w:cs="仿宋_GB2312"/>
          <w:sz w:val="32"/>
          <w:highlight w:val="none"/>
          <w:lang w:val="en-US" w:eastAsia="zh-CN"/>
        </w:rPr>
        <w:t>及其劳动成果，</w:t>
      </w:r>
      <w:r>
        <w:rPr>
          <w:rFonts w:hint="eastAsia" w:ascii="宋体" w:hAnsi="宋体" w:eastAsia="仿宋_GB2312" w:cs="黑体"/>
          <w:sz w:val="32"/>
          <w:highlight w:val="none"/>
          <w:lang w:val="en-US" w:eastAsia="zh-CN"/>
        </w:rPr>
        <w:t>不得妨碍、阻挠其履行职责。</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县级以上人民政府应当结合实际情况，</w:t>
      </w:r>
      <w:r>
        <w:rPr>
          <w:rFonts w:hint="eastAsia" w:ascii="宋体" w:hAnsi="宋体" w:eastAsia="仿宋_GB2312" w:cs="仿宋_GB2312"/>
          <w:sz w:val="32"/>
          <w:highlight w:val="none"/>
          <w:lang w:val="en-US" w:eastAsia="zh-CN"/>
        </w:rPr>
        <w:t>改善</w:t>
      </w:r>
      <w:r>
        <w:rPr>
          <w:rFonts w:hint="eastAsia" w:ascii="宋体" w:hAnsi="宋体" w:eastAsia="仿宋_GB2312" w:cs="仿宋_GB2312"/>
          <w:i w:val="0"/>
          <w:iCs w:val="0"/>
          <w:sz w:val="32"/>
          <w:highlight w:val="none"/>
          <w:u w:val="none"/>
          <w:lang w:val="en-US" w:eastAsia="zh-CN"/>
        </w:rPr>
        <w:t>环</w:t>
      </w:r>
      <w:r>
        <w:rPr>
          <w:rFonts w:hint="eastAsia" w:ascii="宋体" w:hAnsi="宋体" w:eastAsia="仿宋_GB2312" w:cs="黑体"/>
          <w:i w:val="0"/>
          <w:iCs w:val="0"/>
          <w:sz w:val="32"/>
          <w:highlight w:val="none"/>
          <w:u w:val="none"/>
          <w:lang w:val="en-US" w:eastAsia="zh-CN"/>
        </w:rPr>
        <w:t>境</w:t>
      </w:r>
      <w:r>
        <w:rPr>
          <w:rFonts w:hint="eastAsia" w:ascii="宋体" w:hAnsi="宋体" w:eastAsia="仿宋_GB2312" w:cs="仿宋_GB2312"/>
          <w:i w:val="0"/>
          <w:iCs w:val="0"/>
          <w:sz w:val="32"/>
          <w:highlight w:val="none"/>
          <w:u w:val="none"/>
          <w:lang w:val="en-US" w:eastAsia="zh-CN"/>
        </w:rPr>
        <w:t>卫</w:t>
      </w:r>
      <w:r>
        <w:rPr>
          <w:rFonts w:hint="eastAsia" w:ascii="宋体" w:hAnsi="宋体" w:eastAsia="仿宋_GB2312" w:cs="黑体"/>
          <w:i w:val="0"/>
          <w:iCs w:val="0"/>
          <w:sz w:val="32"/>
          <w:highlight w:val="none"/>
          <w:u w:val="none"/>
          <w:lang w:val="en-US" w:eastAsia="zh-CN"/>
        </w:rPr>
        <w:t>生</w:t>
      </w:r>
      <w:r>
        <w:rPr>
          <w:rFonts w:hint="eastAsia" w:ascii="宋体" w:hAnsi="宋体" w:eastAsia="仿宋_GB2312" w:cs="黑体"/>
          <w:sz w:val="32"/>
          <w:highlight w:val="none"/>
          <w:lang w:val="en-US" w:eastAsia="zh-CN"/>
        </w:rPr>
        <w:t>工作人员</w:t>
      </w:r>
      <w:r>
        <w:rPr>
          <w:rFonts w:hint="eastAsia" w:ascii="宋体" w:hAnsi="宋体" w:eastAsia="仿宋_GB2312" w:cs="仿宋_GB2312"/>
          <w:sz w:val="32"/>
          <w:highlight w:val="none"/>
          <w:lang w:val="en-US" w:eastAsia="zh-CN"/>
        </w:rPr>
        <w:t>工作条件，保障作业安全，逐步提高劳动报酬和福利待遇，做好卫生保障和技能培训，维护合法权益。</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五十</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环境卫生行业协会应当加强行业自律，开展企业信用评价、行业技术指导和技术培训</w:t>
      </w:r>
      <w:r>
        <w:rPr>
          <w:rFonts w:hint="eastAsia" w:ascii="宋体" w:hAnsi="宋体" w:eastAsia="仿宋_GB2312" w:cs="黑体"/>
          <w:sz w:val="32"/>
          <w:highlight w:val="none"/>
          <w:lang w:val="en-US" w:eastAsia="zh-CN"/>
        </w:rPr>
        <w:t>，参与推进生活垃圾管理工作</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第七章  法律责任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五十一</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仿宋_GB2312"/>
          <w:i w:val="0"/>
          <w:iCs w:val="0"/>
          <w:sz w:val="32"/>
          <w:highlight w:val="none"/>
          <w:u w:val="none"/>
          <w:lang w:val="en-US" w:eastAsia="zh-CN"/>
        </w:rPr>
        <w:t>各</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人民政府违反本条例规定，未履行生活垃圾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理职责的，由上级人民政府追究主要负责人行政责任。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五十二</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仿宋_GB2312"/>
          <w:i w:val="0"/>
          <w:iCs w:val="0"/>
          <w:sz w:val="32"/>
          <w:highlight w:val="none"/>
          <w:u w:val="none"/>
          <w:lang w:val="en-US" w:eastAsia="zh-CN"/>
        </w:rPr>
        <w:t>省人民政府住房城乡建设主管部门和</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黑体"/>
          <w:i w:val="0"/>
          <w:iCs w:val="0"/>
          <w:sz w:val="32"/>
          <w:highlight w:val="none"/>
          <w:u w:val="none"/>
          <w:lang w:val="en-US" w:eastAsia="zh-CN"/>
        </w:rPr>
        <w:t>以上</w:t>
      </w:r>
      <w:r>
        <w:rPr>
          <w:rFonts w:hint="eastAsia" w:ascii="宋体" w:hAnsi="宋体" w:eastAsia="仿宋_GB2312" w:cs="仿宋_GB2312"/>
          <w:sz w:val="32"/>
          <w:highlight w:val="none"/>
          <w:lang w:val="en-US" w:eastAsia="zh-CN"/>
        </w:rPr>
        <w:t>人民政府环境卫生</w:t>
      </w:r>
      <w:r>
        <w:rPr>
          <w:rFonts w:hint="eastAsia" w:ascii="宋体" w:hAnsi="宋体" w:eastAsia="仿宋_GB2312" w:cs="黑体"/>
          <w:sz w:val="32"/>
          <w:highlight w:val="none"/>
          <w:lang w:val="en-US" w:eastAsia="zh-CN"/>
        </w:rPr>
        <w:t>、农业农村等</w:t>
      </w:r>
      <w:r>
        <w:rPr>
          <w:rFonts w:hint="eastAsia" w:ascii="宋体" w:hAnsi="宋体" w:eastAsia="仿宋_GB2312" w:cs="仿宋_GB2312"/>
          <w:sz w:val="32"/>
          <w:highlight w:val="none"/>
          <w:lang w:val="en-US" w:eastAsia="zh-CN"/>
        </w:rPr>
        <w:t>主管部门</w:t>
      </w:r>
      <w:r>
        <w:rPr>
          <w:rFonts w:hint="eastAsia" w:ascii="宋体" w:hAnsi="宋体" w:eastAsia="仿宋_GB2312" w:cs="仿宋_GB2312"/>
          <w:i w:val="0"/>
          <w:iCs w:val="0"/>
          <w:sz w:val="32"/>
          <w:highlight w:val="none"/>
          <w:u w:val="none"/>
          <w:lang w:val="en-US" w:eastAsia="zh-CN"/>
        </w:rPr>
        <w:t>及</w:t>
      </w:r>
      <w:r>
        <w:rPr>
          <w:rFonts w:hint="eastAsia" w:ascii="宋体" w:hAnsi="宋体" w:eastAsia="仿宋_GB2312" w:cs="仿宋_GB2312"/>
          <w:sz w:val="32"/>
          <w:highlight w:val="none"/>
          <w:lang w:val="en-US" w:eastAsia="zh-CN"/>
        </w:rPr>
        <w:t>其</w:t>
      </w:r>
      <w:r>
        <w:rPr>
          <w:rFonts w:hint="eastAsia" w:ascii="宋体" w:hAnsi="宋体" w:eastAsia="仿宋_GB2312" w:cs="黑体"/>
          <w:sz w:val="32"/>
          <w:highlight w:val="none"/>
          <w:lang w:val="en-US" w:eastAsia="zh-CN"/>
        </w:rPr>
        <w:t>工作人员</w:t>
      </w:r>
      <w:r>
        <w:rPr>
          <w:rFonts w:hint="eastAsia" w:ascii="宋体" w:hAnsi="宋体" w:eastAsia="仿宋_GB2312" w:cs="仿宋_GB2312"/>
          <w:sz w:val="32"/>
          <w:highlight w:val="none"/>
          <w:lang w:val="en-US" w:eastAsia="zh-CN"/>
        </w:rPr>
        <w:t>违反本条例规定，</w:t>
      </w:r>
      <w:r>
        <w:rPr>
          <w:rFonts w:hint="eastAsia" w:ascii="宋体" w:hAnsi="宋体" w:eastAsia="仿宋_GB2312" w:cs="黑体"/>
          <w:sz w:val="32"/>
          <w:highlight w:val="none"/>
          <w:lang w:val="en-US" w:eastAsia="zh-CN"/>
        </w:rPr>
        <w:t>有下列情形之一</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仿宋_GB2312"/>
          <w:sz w:val="32"/>
          <w:highlight w:val="none"/>
          <w:lang w:val="en-US" w:eastAsia="zh-CN"/>
        </w:rPr>
        <w:t>由本级人民政府或者上级人民政府有关部门责令改正，对直接负责的主管人员和其他直接责任人员依法给予处分</w:t>
      </w:r>
      <w:r>
        <w:rPr>
          <w:rFonts w:hint="eastAsia" w:ascii="宋体" w:hAnsi="宋体" w:eastAsia="仿宋_GB2312" w:cs="仿宋_GB2312"/>
          <w:i w:val="0"/>
          <w:iCs w:val="0"/>
          <w:sz w:val="32"/>
          <w:highlight w:val="none"/>
          <w:u w:val="none"/>
          <w:lang w:val="en-US" w:eastAsia="zh-CN"/>
        </w:rPr>
        <w:t>；构成犯罪的，依法追究刑事责任</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（一）违反规定核准关闭、闲置、拆除生活垃圾集中转运、处理设施</w:t>
      </w:r>
      <w:r>
        <w:rPr>
          <w:rFonts w:hint="eastAsia" w:ascii="宋体" w:hAnsi="宋体" w:cs="黑体"/>
          <w:sz w:val="32"/>
          <w:highlight w:val="none"/>
          <w:lang w:val="en-US" w:eastAsia="zh-CN"/>
        </w:rPr>
        <w:t>、场所</w:t>
      </w:r>
      <w:r>
        <w:rPr>
          <w:rFonts w:hint="eastAsia" w:ascii="宋体" w:hAnsi="宋体" w:eastAsia="仿宋_GB2312" w:cs="黑体"/>
          <w:sz w:val="32"/>
          <w:highlight w:val="none"/>
          <w:lang w:val="en-US" w:eastAsia="zh-CN"/>
        </w:rPr>
        <w:t>的；</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（二）挪用生活垃圾管理经费或者生活垃圾处理费的；</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（三）因监管不力造成影响公众健康和重大环境安全事故发生的；</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（四）其他滥用职权、玩忽职守、徇私舞弊的。</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黑体" w:cs="仿宋_GB2312"/>
          <w:sz w:val="32"/>
          <w:highlight w:val="none"/>
          <w:lang w:val="en-US" w:eastAsia="zh-CN"/>
        </w:rPr>
        <w:t>第五十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szCs w:val="22"/>
          <w:highlight w:val="none"/>
          <w:lang w:val="en-US" w:eastAsia="zh-CN"/>
        </w:rPr>
        <w:t xml:space="preserve">  违反本条例第二十条第一款、第二十三条第一款规定，未按照分类规定投放生活垃圾，或者未按规定投放体积较大的废弃物品的，由县级以上人民政府环境卫生主管部门责令改正；情节严重的，对单位处五万元以上五十万元以下的罚款，对个人处一百元以上五百元以下的罚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黑体" w:cs="仿宋_GB2312"/>
          <w:sz w:val="32"/>
          <w:highlight w:val="none"/>
          <w:lang w:val="en-US" w:eastAsia="zh-CN"/>
        </w:rPr>
        <w:t>第五十</w:t>
      </w:r>
      <w:r>
        <w:rPr>
          <w:rFonts w:hint="eastAsia" w:ascii="宋体" w:hAnsi="宋体" w:eastAsia="黑体" w:cs="黑体"/>
          <w:sz w:val="32"/>
          <w:highlight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szCs w:val="22"/>
          <w:highlight w:val="none"/>
          <w:lang w:val="en-US" w:eastAsia="zh-CN"/>
        </w:rPr>
        <w:t xml:space="preserve">  违反本条例第二十五条规定，生活垃圾分类</w:t>
      </w:r>
      <w:r>
        <w:rPr>
          <w:rFonts w:hint="eastAsia" w:ascii="黑体" w:hAnsi="黑体" w:eastAsia="仿宋_GB2312" w:cs="黑体"/>
          <w:sz w:val="32"/>
          <w:szCs w:val="22"/>
          <w:highlight w:val="none"/>
          <w:lang w:val="en-US" w:eastAsia="zh-CN"/>
        </w:rPr>
        <w:t>投放</w:t>
      </w:r>
      <w:r>
        <w:rPr>
          <w:rFonts w:hint="eastAsia" w:ascii="宋体" w:hAnsi="宋体" w:eastAsia="仿宋_GB2312" w:cs="仿宋_GB2312"/>
          <w:sz w:val="32"/>
          <w:szCs w:val="22"/>
          <w:highlight w:val="none"/>
          <w:lang w:val="en-US" w:eastAsia="zh-CN"/>
        </w:rPr>
        <w:t>管理责任人未履行管理责任的</w:t>
      </w:r>
      <w:r>
        <w:rPr>
          <w:rFonts w:hint="eastAsia" w:ascii="宋体" w:hAnsi="宋体" w:eastAsia="仿宋_GB2312" w:cs="仿宋_GB2312"/>
          <w:sz w:val="32"/>
          <w:highlight w:val="none"/>
          <w:lang w:val="en-US" w:eastAsia="zh-CN"/>
        </w:rPr>
        <w:t>，由县</w:t>
      </w:r>
      <w:r>
        <w:rPr>
          <w:rFonts w:hint="eastAsia" w:ascii="宋体" w:hAnsi="宋体" w:eastAsia="仿宋_GB2312" w:cs="黑体"/>
          <w:sz w:val="32"/>
          <w:highlight w:val="none"/>
          <w:lang w:val="en-US" w:eastAsia="zh-CN"/>
        </w:rPr>
        <w:t>级以上</w:t>
      </w:r>
      <w:r>
        <w:rPr>
          <w:rFonts w:hint="eastAsia" w:ascii="宋体" w:hAnsi="宋体" w:eastAsia="仿宋_GB2312" w:cs="仿宋_GB2312"/>
          <w:sz w:val="32"/>
          <w:highlight w:val="none"/>
          <w:lang w:val="en-US" w:eastAsia="zh-CN"/>
        </w:rPr>
        <w:t>人民政府环境卫生主管部门责令限期改正；逾期不改正的，处一千元以上一万元以下的罚款。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黑体" w:cs="仿宋_GB2312"/>
          <w:sz w:val="32"/>
          <w:highlight w:val="none"/>
          <w:lang w:val="en-US" w:eastAsia="zh-CN"/>
        </w:rPr>
        <w:t>第五十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szCs w:val="22"/>
          <w:highlight w:val="none"/>
          <w:lang w:val="en-US" w:eastAsia="zh-CN"/>
        </w:rPr>
        <w:t xml:space="preserve">  违反本条例第二十八条第一款第三项、第五项规定，在运输过程中丢弃、遗撒生活垃圾或者滴漏污水，或者混合收集、运输已分类的生活垃圾的，由县级以上人民政府环境卫生主管部门责令改正，处五万元以上五十万元以下的罚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黑体" w:cs="仿宋_GB2312"/>
          <w:sz w:val="32"/>
          <w:highlight w:val="none"/>
          <w:lang w:val="en-US" w:eastAsia="zh-CN"/>
        </w:rPr>
        <w:t>第五十</w:t>
      </w:r>
      <w:r>
        <w:rPr>
          <w:rFonts w:hint="eastAsia" w:ascii="宋体" w:hAnsi="宋体" w:eastAsia="黑体" w:cs="黑体"/>
          <w:sz w:val="32"/>
          <w:highlight w:val="none"/>
          <w:lang w:val="en-US" w:eastAsia="zh-CN"/>
        </w:rPr>
        <w:t>六</w:t>
      </w:r>
      <w:r>
        <w:rPr>
          <w:rFonts w:hint="eastAsia" w:ascii="宋体" w:hAnsi="宋体" w:eastAsia="黑体" w:cs="仿宋_GB2312"/>
          <w:sz w:val="32"/>
          <w:highlight w:val="none"/>
          <w:lang w:val="en-US" w:eastAsia="zh-CN"/>
        </w:rPr>
        <w:t>条</w:t>
      </w:r>
      <w:r>
        <w:rPr>
          <w:rFonts w:hint="eastAsia" w:ascii="宋体" w:hAnsi="宋体" w:eastAsia="仿宋_GB2312" w:cs="仿宋_GB2312"/>
          <w:sz w:val="32"/>
          <w:szCs w:val="22"/>
          <w:highlight w:val="none"/>
          <w:lang w:val="en-US" w:eastAsia="zh-CN"/>
        </w:rPr>
        <w:t xml:space="preserve">  违反本条例第三十条第二项规定，生活垃圾处理单位未按照工程技术规范、操作规程、污染控制标准处理生活垃圾或者产生的废水、废气、废渣等的，由县级以上人民政府环境卫生、生态环境等有关部门根据职责分工，责令限期改正，处三万元以上十万元以下的罚款。法律法规有处罚规定的，按照其规定处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szCs w:val="2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五十</w:t>
      </w:r>
      <w:r>
        <w:rPr>
          <w:rFonts w:hint="eastAsia" w:ascii="宋体" w:hAnsi="宋体" w:eastAsia="黑体" w:cs="黑体"/>
          <w:sz w:val="32"/>
          <w:highlight w:val="none"/>
          <w:lang w:val="en-US" w:eastAsia="zh-CN"/>
        </w:rPr>
        <w:t>七</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仿宋_GB2312"/>
          <w:sz w:val="32"/>
          <w:szCs w:val="22"/>
          <w:highlight w:val="none"/>
          <w:lang w:val="en-US" w:eastAsia="zh-CN"/>
        </w:rPr>
        <w:t xml:space="preserve"> 违反本条例第三十八条规定，新建、改建、扩建建设项目的配套生活垃圾分类</w:t>
      </w:r>
      <w:r>
        <w:rPr>
          <w:rFonts w:hint="eastAsia" w:ascii="宋体" w:hAnsi="宋体" w:cs="仿宋_GB2312"/>
          <w:sz w:val="32"/>
          <w:szCs w:val="22"/>
          <w:highlight w:val="none"/>
          <w:lang w:val="en-US" w:eastAsia="zh-CN"/>
        </w:rPr>
        <w:t>投放</w:t>
      </w:r>
      <w:r>
        <w:rPr>
          <w:rFonts w:hint="eastAsia" w:ascii="宋体" w:hAnsi="宋体" w:eastAsia="仿宋_GB2312" w:cs="仿宋_GB2312"/>
          <w:sz w:val="32"/>
          <w:szCs w:val="22"/>
          <w:highlight w:val="none"/>
          <w:lang w:val="en-US" w:eastAsia="zh-CN"/>
        </w:rPr>
        <w:t>、收集、转运设施未达到规划设计要求，或者未与主体</w:t>
      </w:r>
      <w:r>
        <w:rPr>
          <w:rFonts w:hint="eastAsia" w:ascii="宋体" w:hAnsi="宋体" w:eastAsia="仿宋_GB2312" w:cs="仿宋_GB2312"/>
          <w:sz w:val="32"/>
          <w:highlight w:val="none"/>
          <w:lang w:val="en-US" w:eastAsia="zh-CN"/>
        </w:rPr>
        <w:t>工程</w:t>
      </w:r>
      <w:r>
        <w:rPr>
          <w:rFonts w:hint="eastAsia" w:ascii="宋体" w:hAnsi="宋体" w:eastAsia="仿宋_GB2312" w:cs="黑体"/>
          <w:sz w:val="32"/>
          <w:highlight w:val="none"/>
          <w:lang w:val="en-US" w:eastAsia="zh-CN"/>
        </w:rPr>
        <w:t>、首期工程</w:t>
      </w:r>
      <w:r>
        <w:rPr>
          <w:rFonts w:hint="eastAsia" w:ascii="宋体" w:hAnsi="宋体" w:eastAsia="仿宋_GB2312" w:cs="仿宋_GB2312"/>
          <w:sz w:val="32"/>
          <w:highlight w:val="none"/>
          <w:lang w:val="en-US" w:eastAsia="zh-CN"/>
        </w:rPr>
        <w:t>同时</w:t>
      </w:r>
      <w:r>
        <w:rPr>
          <w:rFonts w:hint="eastAsia" w:ascii="宋体" w:hAnsi="宋体" w:eastAsia="仿宋_GB2312" w:cs="仿宋_GB2312"/>
          <w:i w:val="0"/>
          <w:iCs w:val="0"/>
          <w:sz w:val="32"/>
          <w:highlight w:val="none"/>
          <w:u w:val="none"/>
          <w:lang w:val="en-US" w:eastAsia="zh-CN"/>
        </w:rPr>
        <w:t>交付</w:t>
      </w:r>
      <w:r>
        <w:rPr>
          <w:rFonts w:hint="eastAsia" w:ascii="宋体" w:hAnsi="宋体" w:eastAsia="仿宋_GB2312" w:cs="仿宋_GB2312"/>
          <w:sz w:val="32"/>
          <w:highlight w:val="none"/>
          <w:lang w:val="en-US" w:eastAsia="zh-CN"/>
        </w:rPr>
        <w:t>使用的，由县</w:t>
      </w:r>
      <w:r>
        <w:rPr>
          <w:rFonts w:hint="eastAsia" w:ascii="宋体" w:hAnsi="宋体" w:eastAsia="仿宋_GB2312" w:cs="黑体"/>
          <w:sz w:val="32"/>
          <w:highlight w:val="none"/>
          <w:lang w:val="en-US" w:eastAsia="zh-CN"/>
        </w:rPr>
        <w:t>级以上</w:t>
      </w:r>
      <w:r>
        <w:rPr>
          <w:rFonts w:hint="eastAsia" w:ascii="宋体" w:hAnsi="宋体" w:eastAsia="仿宋_GB2312" w:cs="仿宋_GB2312"/>
          <w:sz w:val="32"/>
          <w:szCs w:val="22"/>
          <w:highlight w:val="none"/>
          <w:lang w:val="en-US" w:eastAsia="zh-CN"/>
        </w:rPr>
        <w:t>人民政府</w:t>
      </w:r>
      <w:r>
        <w:rPr>
          <w:rFonts w:hint="eastAsia" w:ascii="宋体" w:hAnsi="宋体" w:eastAsia="仿宋_GB2312" w:cs="仿宋_GB2312"/>
          <w:sz w:val="32"/>
          <w:highlight w:val="none"/>
          <w:lang w:val="en-US" w:eastAsia="zh-CN"/>
        </w:rPr>
        <w:t>自然资源</w:t>
      </w:r>
      <w:r>
        <w:rPr>
          <w:rFonts w:hint="eastAsia" w:ascii="宋体" w:hAnsi="宋体" w:eastAsia="仿宋_GB2312" w:cs="黑体"/>
          <w:sz w:val="32"/>
          <w:highlight w:val="none"/>
          <w:lang w:val="en-US" w:eastAsia="zh-CN"/>
        </w:rPr>
        <w:t>、生态环境、环境卫生等有关</w:t>
      </w:r>
      <w:r>
        <w:rPr>
          <w:rFonts w:hint="eastAsia" w:ascii="宋体" w:hAnsi="宋体" w:eastAsia="仿宋_GB2312" w:cs="仿宋_GB2312"/>
          <w:sz w:val="32"/>
          <w:highlight w:val="none"/>
          <w:lang w:val="en-US" w:eastAsia="zh-CN"/>
        </w:rPr>
        <w:t>部门</w:t>
      </w:r>
      <w:r>
        <w:rPr>
          <w:rFonts w:hint="eastAsia" w:ascii="宋体" w:hAnsi="宋体" w:eastAsia="仿宋_GB2312" w:cs="黑体"/>
          <w:sz w:val="32"/>
          <w:highlight w:val="none"/>
          <w:lang w:val="en-US" w:eastAsia="zh-CN"/>
        </w:rPr>
        <w:t>根据职责分工，</w:t>
      </w:r>
      <w:r>
        <w:rPr>
          <w:rFonts w:hint="eastAsia" w:ascii="宋体" w:hAnsi="宋体" w:eastAsia="仿宋_GB2312" w:cs="仿宋_GB2312"/>
          <w:sz w:val="32"/>
          <w:highlight w:val="none"/>
          <w:lang w:val="en-US" w:eastAsia="zh-CN"/>
        </w:rPr>
        <w:t>责令限期改正，可以处三万元以上十万元以下的罚款。</w:t>
      </w:r>
      <w:r>
        <w:rPr>
          <w:rFonts w:hint="eastAsia" w:ascii="宋体" w:hAnsi="宋体" w:eastAsia="仿宋_GB2312" w:cs="黑体"/>
          <w:sz w:val="32"/>
          <w:szCs w:val="22"/>
          <w:highlight w:val="none"/>
          <w:lang w:val="en-US" w:eastAsia="zh-CN"/>
        </w:rPr>
        <w:t>法律法规有处罚规定的，按照其规定处罚。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第八章  附 则</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left"/>
        <w:textAlignment w:val="auto"/>
        <w:outlineLvl w:val="9"/>
        <w:rPr>
          <w:rFonts w:hint="eastAsia" w:ascii="Times New Roman" w:hAnsi="Times New Roman" w:eastAsia="仿宋_GB2312" w:cs="Times New Roman"/>
          <w:sz w:val="32"/>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五十</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本条例自</w:t>
      </w:r>
      <w:r>
        <w:rPr>
          <w:rFonts w:hint="eastAsia" w:ascii="宋体" w:hAnsi="宋体" w:eastAsia="仿宋_GB2312" w:cs="黑体"/>
          <w:sz w:val="32"/>
          <w:highlight w:val="none"/>
          <w:lang w:val="en-US" w:eastAsia="zh-CN"/>
        </w:rPr>
        <w:t>2021</w:t>
      </w:r>
      <w:r>
        <w:rPr>
          <w:rFonts w:hint="eastAsia" w:ascii="宋体" w:hAnsi="宋体" w:eastAsia="仿宋_GB2312" w:cs="仿宋_GB2312"/>
          <w:sz w:val="32"/>
          <w:highlight w:val="none"/>
          <w:lang w:val="en-US" w:eastAsia="zh-CN"/>
        </w:rPr>
        <w:t>年</w:t>
      </w:r>
      <w:r>
        <w:rPr>
          <w:rFonts w:hint="eastAsia" w:ascii="宋体" w:hAnsi="宋体" w:eastAsia="仿宋_GB2312" w:cs="黑体"/>
          <w:sz w:val="32"/>
          <w:szCs w:val="22"/>
          <w:highlight w:val="none"/>
          <w:lang w:val="en-US" w:eastAsia="zh-CN"/>
        </w:rPr>
        <w:t>1</w:t>
      </w:r>
      <w:r>
        <w:rPr>
          <w:rFonts w:hint="eastAsia" w:ascii="宋体" w:hAnsi="宋体" w:eastAsia="仿宋_GB2312" w:cs="仿宋_GB2312"/>
          <w:sz w:val="32"/>
          <w:highlight w:val="none"/>
          <w:lang w:val="en-US" w:eastAsia="zh-CN"/>
        </w:rPr>
        <w:t>月</w:t>
      </w:r>
      <w:r>
        <w:rPr>
          <w:rFonts w:hint="eastAsia" w:ascii="宋体" w:hAnsi="宋体" w:eastAsia="仿宋_GB2312" w:cs="黑体"/>
          <w:sz w:val="32"/>
          <w:szCs w:val="22"/>
          <w:highlight w:val="none"/>
          <w:lang w:val="en-US" w:eastAsia="zh-CN"/>
        </w:rPr>
        <w:t>1</w:t>
      </w:r>
      <w:r>
        <w:rPr>
          <w:rFonts w:hint="eastAsia" w:ascii="宋体" w:hAnsi="宋体" w:eastAsia="仿宋_GB2312" w:cs="仿宋_GB2312"/>
          <w:sz w:val="32"/>
          <w:highlight w:val="none"/>
          <w:lang w:val="en-US" w:eastAsia="zh-CN"/>
        </w:rPr>
        <w:t>日起施行。</w:t>
      </w:r>
      <w:r>
        <w:rPr>
          <w:rFonts w:hint="eastAsia" w:ascii="宋体" w:hAnsi="宋体" w:eastAsia="仿宋_GB2312" w:cs="黑体"/>
          <w:sz w:val="32"/>
          <w:highlight w:val="none"/>
          <w:lang w:val="en-US" w:eastAsia="zh-CN"/>
        </w:rPr>
        <w:t>《广东省城乡生活垃圾处理条例》同时废止。</w:t>
      </w: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rPr>
          <w:rFonts w:hint="eastAsia" w:ascii="仿宋_GB2312" w:hAnsi="仿宋_GB2312" w:cs="仿宋_GB2312"/>
          <w:color w:val="auto"/>
          <w:lang w:val="en-US"/>
        </w:rPr>
      </w:pPr>
    </w:p>
    <w:p>
      <w:pPr>
        <w:pStyle w:val="7"/>
        <w:rPr>
          <w:rFonts w:hint="eastAsia" w:ascii="仿宋_GB2312" w:hAnsi="仿宋_GB2312" w:cs="仿宋_GB2312"/>
          <w:color w:val="auto"/>
          <w:lang w:val="en-US"/>
        </w:rPr>
      </w:pPr>
    </w:p>
    <w:p>
      <w:pPr>
        <w:pStyle w:val="9"/>
        <w:widowControl w:val="0"/>
        <w:wordWrap/>
        <w:adjustRightInd w:val="0"/>
        <w:snapToGrid w:val="0"/>
        <w:spacing w:after="0" w:afterLines="0" w:line="590" w:lineRule="exact"/>
        <w:ind w:left="0" w:leftChars="0"/>
        <w:jc w:val="center"/>
        <w:textAlignment w:val="auto"/>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rPr>
        <w:t>广东省查处生产销售假冒伪劣商品</w:t>
      </w:r>
    </w:p>
    <w:p>
      <w:pPr>
        <w:pStyle w:val="9"/>
        <w:widowControl w:val="0"/>
        <w:wordWrap/>
        <w:adjustRightInd w:val="0"/>
        <w:snapToGrid w:val="0"/>
        <w:spacing w:after="0" w:afterLines="0" w:line="590" w:lineRule="exact"/>
        <w:ind w:left="0" w:leftChars="0"/>
        <w:jc w:val="center"/>
        <w:textAlignment w:val="auto"/>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rPr>
        <w:t>违法行为条例</w:t>
      </w:r>
    </w:p>
    <w:p>
      <w:pPr>
        <w:widowControl w:val="0"/>
        <w:wordWrap/>
        <w:adjustRightInd/>
        <w:snapToGrid/>
        <w:spacing w:line="590" w:lineRule="exact"/>
        <w:ind w:left="0" w:leftChars="0" w:right="0" w:firstLine="0" w:firstLineChars="0"/>
        <w:jc w:val="both"/>
        <w:textAlignment w:val="auto"/>
        <w:outlineLvl w:val="9"/>
        <w:rPr>
          <w:rFonts w:hint="eastAsia" w:ascii="宋体" w:hAnsi="宋体" w:eastAsia="楷体_GB2312"/>
          <w:b w:val="0"/>
          <w:bCs/>
          <w:szCs w:val="32"/>
          <w:lang w:eastAsia="zh-CN"/>
        </w:rPr>
      </w:pPr>
      <w:r>
        <w:rPr>
          <w:rFonts w:hint="eastAsia" w:ascii="宋体" w:hAnsi="宋体" w:eastAsia="楷体_GB2312"/>
          <w:b w:val="0"/>
          <w:bCs/>
          <w:szCs w:val="32"/>
          <w:lang w:val="en-US" w:eastAsia="zh-CN"/>
        </w:rPr>
        <w:t xml:space="preserve">    </w:t>
      </w:r>
      <w:r>
        <w:rPr>
          <w:rFonts w:hint="eastAsia" w:ascii="宋体" w:hAnsi="宋体" w:eastAsia="楷体_GB2312"/>
          <w:b w:val="0"/>
          <w:bCs/>
          <w:szCs w:val="32"/>
        </w:rPr>
        <w:t>（1999年9月24日广东省第九届人民代表大会常务委员会第十二次会议通过</w:t>
      </w:r>
      <w:r>
        <w:rPr>
          <w:rFonts w:hint="eastAsia" w:ascii="宋体" w:hAnsi="宋体" w:eastAsia="楷体_GB2312"/>
          <w:b w:val="0"/>
          <w:bCs/>
          <w:szCs w:val="32"/>
          <w:lang w:val="en-US" w:eastAsia="zh-CN"/>
        </w:rPr>
        <w:t xml:space="preserve">  </w:t>
      </w:r>
      <w:r>
        <w:rPr>
          <w:rFonts w:hint="eastAsia" w:ascii="宋体" w:hAnsi="宋体" w:eastAsia="楷体_GB2312"/>
          <w:b w:val="0"/>
          <w:bCs/>
          <w:szCs w:val="32"/>
        </w:rPr>
        <w:t>根据2010年7月23日广东省第十一届人民代表大会常务委员会第二十次会议《关于修改部分地方性法规的决定》</w:t>
      </w:r>
      <w:r>
        <w:rPr>
          <w:rFonts w:hint="eastAsia" w:ascii="宋体" w:hAnsi="宋体" w:eastAsia="楷体_GB2312"/>
          <w:b w:val="0"/>
          <w:bCs/>
          <w:szCs w:val="32"/>
          <w:lang w:eastAsia="zh-CN"/>
        </w:rPr>
        <w:t>第一次</w:t>
      </w:r>
      <w:r>
        <w:rPr>
          <w:rFonts w:hint="eastAsia" w:ascii="宋体" w:hAnsi="宋体" w:eastAsia="楷体_GB2312"/>
          <w:b w:val="0"/>
          <w:bCs/>
          <w:szCs w:val="32"/>
        </w:rPr>
        <w:t>修正  2012年9月28日广东省第十一届人民代表大会常务委员会第三十六次会议修订</w:t>
      </w:r>
      <w:r>
        <w:rPr>
          <w:rFonts w:hint="eastAsia" w:ascii="宋体" w:hAnsi="宋体" w:eastAsia="楷体_GB2312"/>
          <w:b w:val="0"/>
          <w:bCs/>
          <w:szCs w:val="32"/>
          <w:lang w:val="en-US" w:eastAsia="zh-CN"/>
        </w:rPr>
        <w:t xml:space="preserve">  </w:t>
      </w:r>
      <w:r>
        <w:rPr>
          <w:rFonts w:hint="eastAsia" w:ascii="宋体" w:hAnsi="宋体" w:eastAsia="楷体_GB2312"/>
          <w:b w:val="0"/>
          <w:bCs/>
          <w:szCs w:val="32"/>
        </w:rPr>
        <w:t>根据20</w:t>
      </w:r>
      <w:r>
        <w:rPr>
          <w:rFonts w:hint="eastAsia" w:ascii="宋体" w:hAnsi="宋体" w:eastAsia="楷体_GB2312"/>
          <w:b w:val="0"/>
          <w:bCs/>
          <w:szCs w:val="32"/>
          <w:lang w:val="en-US" w:eastAsia="zh-CN"/>
        </w:rPr>
        <w:t>20</w:t>
      </w:r>
      <w:r>
        <w:rPr>
          <w:rFonts w:hint="eastAsia" w:ascii="宋体" w:hAnsi="宋体" w:eastAsia="楷体_GB2312"/>
          <w:b w:val="0"/>
          <w:bCs/>
          <w:szCs w:val="32"/>
        </w:rPr>
        <w:t>年</w:t>
      </w:r>
      <w:r>
        <w:rPr>
          <w:rFonts w:hint="eastAsia" w:ascii="宋体" w:hAnsi="宋体" w:eastAsia="楷体_GB2312"/>
          <w:b w:val="0"/>
          <w:bCs/>
          <w:szCs w:val="32"/>
          <w:lang w:val="en-US" w:eastAsia="zh-CN"/>
        </w:rPr>
        <w:t>11</w:t>
      </w:r>
      <w:r>
        <w:rPr>
          <w:rFonts w:hint="eastAsia" w:ascii="宋体" w:hAnsi="宋体" w:eastAsia="楷体_GB2312"/>
          <w:b w:val="0"/>
          <w:bCs/>
          <w:szCs w:val="32"/>
        </w:rPr>
        <w:t>月</w:t>
      </w:r>
      <w:r>
        <w:rPr>
          <w:rFonts w:hint="eastAsia" w:ascii="宋体" w:hAnsi="宋体" w:eastAsia="楷体_GB2312"/>
          <w:b w:val="0"/>
          <w:bCs/>
          <w:szCs w:val="32"/>
          <w:lang w:val="en-US" w:eastAsia="zh-CN"/>
        </w:rPr>
        <w:t>27</w:t>
      </w:r>
      <w:r>
        <w:rPr>
          <w:rFonts w:hint="eastAsia" w:ascii="宋体" w:hAnsi="宋体" w:eastAsia="楷体_GB2312"/>
          <w:b w:val="0"/>
          <w:bCs/>
          <w:szCs w:val="32"/>
        </w:rPr>
        <w:t>日广东省第十</w:t>
      </w:r>
      <w:r>
        <w:rPr>
          <w:rFonts w:hint="eastAsia" w:ascii="宋体" w:hAnsi="宋体" w:eastAsia="楷体_GB2312"/>
          <w:b w:val="0"/>
          <w:bCs/>
          <w:szCs w:val="32"/>
          <w:lang w:eastAsia="zh-CN"/>
        </w:rPr>
        <w:t>三</w:t>
      </w:r>
      <w:r>
        <w:rPr>
          <w:rFonts w:hint="eastAsia" w:ascii="宋体" w:hAnsi="宋体" w:eastAsia="楷体_GB2312"/>
          <w:b w:val="0"/>
          <w:bCs/>
          <w:szCs w:val="32"/>
        </w:rPr>
        <w:t>届人民代表大会常务委员会第二十</w:t>
      </w:r>
      <w:r>
        <w:rPr>
          <w:rFonts w:hint="eastAsia" w:ascii="宋体" w:hAnsi="宋体" w:eastAsia="楷体_GB2312"/>
          <w:b w:val="0"/>
          <w:bCs/>
          <w:szCs w:val="32"/>
          <w:lang w:eastAsia="zh-CN"/>
        </w:rPr>
        <w:t>六</w:t>
      </w:r>
      <w:r>
        <w:rPr>
          <w:rFonts w:hint="eastAsia" w:ascii="宋体" w:hAnsi="宋体" w:eastAsia="楷体_GB2312"/>
          <w:b w:val="0"/>
          <w:bCs/>
          <w:szCs w:val="32"/>
        </w:rPr>
        <w:t>次会议</w:t>
      </w:r>
      <w:r>
        <w:rPr>
          <w:rFonts w:hint="eastAsia" w:ascii="宋体" w:hAnsi="宋体" w:eastAsia="楷体_GB2312"/>
          <w:b w:val="0"/>
          <w:bCs/>
          <w:szCs w:val="32"/>
          <w:lang w:eastAsia="zh-CN"/>
        </w:rPr>
        <w:t>《</w:t>
      </w:r>
      <w:r>
        <w:rPr>
          <w:rFonts w:hint="eastAsia" w:ascii="宋体" w:hAnsi="宋体" w:eastAsia="楷体_GB2312"/>
          <w:b w:val="0"/>
          <w:bCs/>
          <w:szCs w:val="32"/>
          <w:lang w:val="en-US" w:eastAsia="zh-CN"/>
        </w:rPr>
        <w:t>关于修改&lt;广东省促进科学技术进步条例&gt;等九项地方性法规的决定》第二次</w:t>
      </w:r>
      <w:r>
        <w:rPr>
          <w:rFonts w:hint="eastAsia" w:ascii="宋体" w:hAnsi="宋体" w:eastAsia="楷体_GB2312"/>
          <w:b w:val="0"/>
          <w:bCs/>
          <w:szCs w:val="32"/>
        </w:rPr>
        <w:t>修正</w:t>
      </w:r>
      <w:r>
        <w:rPr>
          <w:rFonts w:hint="eastAsia" w:ascii="宋体" w:hAnsi="宋体" w:eastAsia="楷体_GB2312"/>
          <w:b w:val="0"/>
          <w:bCs/>
          <w:szCs w:val="32"/>
          <w:lang w:eastAsia="zh-CN"/>
        </w:rPr>
        <w:t>）</w:t>
      </w:r>
    </w:p>
    <w:p>
      <w:pPr>
        <w:pStyle w:val="7"/>
        <w:rPr>
          <w:rFonts w:hint="eastAsia"/>
        </w:rPr>
      </w:pPr>
    </w:p>
    <w:p>
      <w:pPr>
        <w:pStyle w:val="9"/>
        <w:widowControl w:val="0"/>
        <w:wordWrap/>
        <w:overflowPunct w:val="0"/>
        <w:adjustRightInd w:val="0"/>
        <w:snapToGrid w:val="0"/>
        <w:spacing w:after="0" w:line="590" w:lineRule="exact"/>
        <w:ind w:left="0" w:leftChars="0" w:firstLine="0"/>
        <w:jc w:val="center"/>
        <w:textAlignment w:val="auto"/>
        <w:outlineLvl w:val="9"/>
        <w:rPr>
          <w:rFonts w:hint="eastAsia" w:ascii="宋体" w:hAnsi="宋体" w:eastAsia="楷体_GB2312"/>
          <w:bCs/>
          <w:szCs w:val="32"/>
        </w:rPr>
      </w:pPr>
      <w:r>
        <w:rPr>
          <w:rFonts w:hint="eastAsia" w:ascii="宋体" w:hAnsi="宋体" w:eastAsia="楷体_GB2312"/>
          <w:bCs/>
          <w:szCs w:val="32"/>
        </w:rPr>
        <w:t>目    录</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第一章  总则</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第二章  查处范围</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第三章  监督管理</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第一节  日常监管</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第二节  专项查处</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第三节  信用信息与分类监管</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第四节  监管工作考核与责任追究</w:t>
      </w:r>
    </w:p>
    <w:p>
      <w:pPr>
        <w:pStyle w:val="9"/>
        <w:widowControl w:val="0"/>
        <w:numPr>
          <w:ilvl w:val="0"/>
          <w:numId w:val="20"/>
        </w:numPr>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社会监督</w:t>
      </w:r>
    </w:p>
    <w:p>
      <w:pPr>
        <w:pStyle w:val="9"/>
        <w:widowControl w:val="0"/>
        <w:numPr>
          <w:ilvl w:val="0"/>
          <w:numId w:val="20"/>
        </w:numPr>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法律责任</w:t>
      </w:r>
    </w:p>
    <w:p>
      <w:pPr>
        <w:pStyle w:val="9"/>
        <w:widowControl w:val="0"/>
        <w:numPr>
          <w:ilvl w:val="0"/>
          <w:numId w:val="20"/>
        </w:numPr>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附则</w:t>
      </w:r>
    </w:p>
    <w:p>
      <w:pPr>
        <w:widowControl w:val="0"/>
        <w:wordWrap/>
        <w:adjustRightInd w:val="0"/>
        <w:spacing w:line="590" w:lineRule="exact"/>
        <w:jc w:val="center"/>
        <w:textAlignment w:val="auto"/>
        <w:rPr>
          <w:rFonts w:hint="eastAsia" w:ascii="黑体" w:hAnsi="黑体" w:eastAsia="仿宋_GB2312" w:cs="黑体"/>
          <w:b w:val="0"/>
          <w:bCs/>
          <w:szCs w:val="32"/>
          <w:lang w:val="en-US" w:eastAsia="zh-CN"/>
        </w:rPr>
      </w:pPr>
    </w:p>
    <w:p>
      <w:pPr>
        <w:widowControl w:val="0"/>
        <w:wordWrap/>
        <w:adjustRightInd w:val="0"/>
        <w:spacing w:line="590" w:lineRule="exact"/>
        <w:jc w:val="center"/>
        <w:textAlignment w:val="auto"/>
        <w:rPr>
          <w:rFonts w:hint="eastAsia" w:ascii="黑体" w:hAnsi="黑体" w:eastAsia="黑体" w:cs="黑体"/>
          <w:b w:val="0"/>
          <w:bCs/>
          <w:szCs w:val="32"/>
        </w:rPr>
      </w:pPr>
      <w:r>
        <w:rPr>
          <w:rFonts w:hint="eastAsia" w:ascii="黑体" w:hAnsi="黑体" w:eastAsia="黑体" w:cs="黑体"/>
          <w:b w:val="0"/>
          <w:bCs/>
          <w:szCs w:val="32"/>
          <w:lang w:val="en-US" w:eastAsia="zh-CN"/>
        </w:rPr>
        <w:t xml:space="preserve">第一章 </w:t>
      </w:r>
      <w:r>
        <w:rPr>
          <w:rFonts w:hint="eastAsia" w:ascii="黑体" w:hAnsi="黑体" w:eastAsia="黑体" w:cs="黑体"/>
          <w:b w:val="0"/>
          <w:bCs/>
          <w:szCs w:val="32"/>
        </w:rPr>
        <w:t xml:space="preserve"> 总</w:t>
      </w:r>
      <w:r>
        <w:rPr>
          <w:rFonts w:hint="eastAsia" w:ascii="黑体" w:hAnsi="黑体" w:eastAsia="黑体" w:cs="黑体"/>
          <w:b w:val="0"/>
          <w:bCs/>
          <w:szCs w:val="32"/>
          <w:lang w:val="en-US" w:eastAsia="zh-CN"/>
        </w:rPr>
        <w:t xml:space="preserve">  </w:t>
      </w:r>
      <w:r>
        <w:rPr>
          <w:rFonts w:hint="eastAsia" w:ascii="黑体" w:hAnsi="黑体" w:eastAsia="黑体" w:cs="黑体"/>
          <w:b w:val="0"/>
          <w:bCs/>
          <w:szCs w:val="32"/>
        </w:rPr>
        <w:t>则</w:t>
      </w:r>
    </w:p>
    <w:p>
      <w:pPr>
        <w:widowControl w:val="0"/>
        <w:wordWrap/>
        <w:adjustRightInd w:val="0"/>
        <w:spacing w:line="590" w:lineRule="exact"/>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为了加强市场监管，引导生产者、销售者诚信经营，维护市场经济秩序，保护生产者、销售者、用户和消费者的合法权益，根据有关法律、法规的规定，结合本省实际，制定本条例。</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本条例适用于本省行政区域内查处生产、销售假冒伪劣商品，</w:t>
      </w:r>
      <w:r>
        <w:rPr>
          <w:rFonts w:hint="eastAsia" w:ascii="仿宋_GB2312" w:hAnsi="仿宋_GB2312" w:eastAsia="仿宋_GB2312" w:cs="仿宋_GB2312"/>
          <w:b w:val="0"/>
          <w:bCs/>
          <w:iCs/>
          <w:szCs w:val="32"/>
        </w:rPr>
        <w:t>以及</w:t>
      </w:r>
      <w:r>
        <w:rPr>
          <w:rFonts w:hint="eastAsia" w:ascii="仿宋_GB2312" w:hAnsi="仿宋_GB2312" w:eastAsia="仿宋_GB2312" w:cs="仿宋_GB2312"/>
          <w:b w:val="0"/>
          <w:bCs/>
          <w:szCs w:val="32"/>
        </w:rPr>
        <w:t>为生产、销售假冒伪劣商品提供服务</w:t>
      </w:r>
      <w:r>
        <w:rPr>
          <w:rFonts w:hint="eastAsia" w:ascii="仿宋_GB2312" w:hAnsi="仿宋_GB2312" w:eastAsia="仿宋_GB2312" w:cs="仿宋_GB2312"/>
          <w:b w:val="0"/>
          <w:bCs/>
          <w:iCs/>
          <w:szCs w:val="32"/>
        </w:rPr>
        <w:t>的</w:t>
      </w:r>
      <w:r>
        <w:rPr>
          <w:rFonts w:hint="eastAsia" w:ascii="仿宋_GB2312" w:hAnsi="仿宋_GB2312" w:eastAsia="仿宋_GB2312" w:cs="仿宋_GB2312"/>
          <w:b w:val="0"/>
          <w:bCs/>
          <w:szCs w:val="32"/>
        </w:rPr>
        <w:t>违法行为的活动。</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查处生产、销售假冒伪劣商品违法行为，实行</w:t>
      </w:r>
      <w:r>
        <w:rPr>
          <w:rFonts w:hint="eastAsia" w:ascii="仿宋_GB2312" w:hAnsi="仿宋_GB2312" w:eastAsia="仿宋_GB2312" w:cs="仿宋_GB2312"/>
          <w:b w:val="0"/>
          <w:bCs/>
          <w:kern w:val="0"/>
          <w:szCs w:val="32"/>
        </w:rPr>
        <w:t>统一领导、分工负责、社会监督、打防结合、综合治理</w:t>
      </w:r>
      <w:r>
        <w:rPr>
          <w:rFonts w:hint="eastAsia" w:ascii="仿宋_GB2312" w:hAnsi="仿宋_GB2312" w:eastAsia="仿宋_GB2312" w:cs="仿宋_GB2312"/>
          <w:b w:val="0"/>
          <w:bCs/>
          <w:szCs w:val="32"/>
        </w:rPr>
        <w:t>的原则，坚持日常监管与专项查处相结合，重点查处食品、药品等与人体健康、生命安全密切相关的假冒伪劣商品。</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各级人民政府负责组织领导本行政区域内查处生产、销售假冒伪劣商品违法行为的工作。</w:t>
      </w:r>
    </w:p>
    <w:p>
      <w:pPr>
        <w:widowControl w:val="0"/>
        <w:wordWrap/>
        <w:adjustRightInd w:val="0"/>
        <w:spacing w:line="590" w:lineRule="exact"/>
        <w:ind w:firstLine="645"/>
        <w:textAlignment w:val="auto"/>
        <w:rPr>
          <w:rFonts w:hint="eastAsia" w:ascii="仿宋_GB2312" w:hAnsi="仿宋_GB2312" w:eastAsia="仿宋_GB2312" w:cs="仿宋_GB2312"/>
          <w:b w:val="0"/>
          <w:bCs/>
          <w:iCs/>
          <w:szCs w:val="32"/>
        </w:rPr>
      </w:pPr>
      <w:r>
        <w:rPr>
          <w:rFonts w:hint="eastAsia" w:ascii="仿宋_GB2312" w:hAnsi="仿宋_GB2312" w:eastAsia="仿宋_GB2312" w:cs="仿宋_GB2312"/>
          <w:b w:val="0"/>
          <w:bCs/>
          <w:szCs w:val="32"/>
        </w:rPr>
        <w:t>县级以上</w:t>
      </w:r>
      <w:r>
        <w:rPr>
          <w:rFonts w:hint="eastAsia" w:ascii="仿宋_GB2312" w:hAnsi="仿宋_GB2312" w:eastAsia="仿宋_GB2312" w:cs="仿宋_GB2312"/>
          <w:b w:val="0"/>
          <w:bCs/>
          <w:i w:val="0"/>
          <w:iCs w:val="0"/>
          <w:szCs w:val="32"/>
          <w:lang w:eastAsia="zh-CN"/>
        </w:rPr>
        <w:t>市场监督管理、</w:t>
      </w:r>
      <w:r>
        <w:rPr>
          <w:rFonts w:hint="eastAsia" w:ascii="仿宋_GB2312" w:hAnsi="仿宋_GB2312" w:eastAsia="仿宋_GB2312" w:cs="仿宋_GB2312"/>
          <w:b w:val="0"/>
          <w:bCs/>
          <w:i w:val="0"/>
          <w:iCs w:val="0"/>
          <w:szCs w:val="32"/>
        </w:rPr>
        <w:t>药品监督管理</w:t>
      </w:r>
      <w:r>
        <w:rPr>
          <w:rFonts w:hint="eastAsia" w:ascii="仿宋_GB2312" w:hAnsi="仿宋_GB2312" w:eastAsia="仿宋_GB2312" w:cs="仿宋_GB2312"/>
          <w:b w:val="0"/>
          <w:bCs/>
          <w:szCs w:val="32"/>
        </w:rPr>
        <w:t>、卫生</w:t>
      </w:r>
      <w:r>
        <w:rPr>
          <w:rFonts w:hint="eastAsia" w:ascii="仿宋_GB2312" w:hAnsi="仿宋_GB2312" w:eastAsia="仿宋_GB2312" w:cs="仿宋_GB2312"/>
          <w:b w:val="0"/>
          <w:bCs/>
          <w:szCs w:val="32"/>
          <w:lang w:eastAsia="zh-CN"/>
        </w:rPr>
        <w:t>健康</w:t>
      </w:r>
      <w:r>
        <w:rPr>
          <w:rFonts w:hint="eastAsia" w:ascii="仿宋_GB2312" w:hAnsi="仿宋_GB2312" w:eastAsia="仿宋_GB2312" w:cs="仿宋_GB2312"/>
          <w:b w:val="0"/>
          <w:bCs/>
          <w:szCs w:val="32"/>
        </w:rPr>
        <w:t>、农业</w:t>
      </w:r>
      <w:r>
        <w:rPr>
          <w:rFonts w:hint="eastAsia" w:ascii="仿宋_GB2312" w:hAnsi="仿宋_GB2312" w:eastAsia="仿宋_GB2312" w:cs="仿宋_GB2312"/>
          <w:b w:val="0"/>
          <w:bCs/>
          <w:szCs w:val="32"/>
          <w:lang w:eastAsia="zh-CN"/>
        </w:rPr>
        <w:t>农村</w:t>
      </w:r>
      <w:r>
        <w:rPr>
          <w:rFonts w:hint="eastAsia" w:ascii="仿宋_GB2312" w:hAnsi="仿宋_GB2312" w:eastAsia="仿宋_GB2312" w:cs="仿宋_GB2312"/>
          <w:b w:val="0"/>
          <w:bCs/>
          <w:szCs w:val="32"/>
        </w:rPr>
        <w:t>、公安等部门（以下统称监督管理部门）按照各自职责负责查处生产、销售假冒伪劣商品违法行为，</w:t>
      </w:r>
      <w:r>
        <w:rPr>
          <w:rFonts w:hint="eastAsia" w:ascii="仿宋_GB2312" w:hAnsi="仿宋_GB2312" w:eastAsia="仿宋_GB2312" w:cs="仿宋_GB2312"/>
          <w:b w:val="0"/>
          <w:bCs/>
          <w:iCs/>
          <w:szCs w:val="32"/>
        </w:rPr>
        <w:t>法律、法规规定由其他有关部门负责的，从其规定。</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税务、财政、通信管理等部门应当按照各自职责，配合监督管理部门做好查处生产、销售假冒伪劣商品违法行为的工作。</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各级人民政府应当依法保障查处生产、销售假冒伪劣商品违法行为的经费。</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生产者、销售者应当遵守法律法规，对其生产、销售的商品质量负责。</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鼓励</w:t>
      </w:r>
      <w:r>
        <w:rPr>
          <w:rFonts w:hint="eastAsia" w:ascii="仿宋_GB2312" w:hAnsi="仿宋_GB2312" w:eastAsia="仿宋_GB2312" w:cs="仿宋_GB2312"/>
          <w:b w:val="0"/>
          <w:bCs/>
          <w:kern w:val="0"/>
          <w:szCs w:val="32"/>
        </w:rPr>
        <w:t>行业协会、</w:t>
      </w:r>
      <w:r>
        <w:rPr>
          <w:rFonts w:hint="eastAsia" w:ascii="仿宋_GB2312" w:hAnsi="仿宋_GB2312" w:eastAsia="仿宋_GB2312" w:cs="仿宋_GB2312"/>
          <w:b w:val="0"/>
          <w:bCs/>
          <w:szCs w:val="32"/>
        </w:rPr>
        <w:t>消费者协会、新闻单位和其他有关组织对生产、销售假冒伪劣商品违法行为进行监督。</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鼓励</w:t>
      </w:r>
      <w:r>
        <w:rPr>
          <w:rFonts w:hint="eastAsia" w:ascii="仿宋_GB2312" w:hAnsi="仿宋_GB2312" w:eastAsia="仿宋_GB2312" w:cs="仿宋_GB2312"/>
          <w:b w:val="0"/>
          <w:bCs/>
          <w:iCs/>
          <w:szCs w:val="32"/>
        </w:rPr>
        <w:t>单位和个人对</w:t>
      </w:r>
      <w:r>
        <w:rPr>
          <w:rFonts w:hint="eastAsia" w:ascii="仿宋_GB2312" w:hAnsi="仿宋_GB2312" w:eastAsia="仿宋_GB2312" w:cs="仿宋_GB2312"/>
          <w:b w:val="0"/>
          <w:bCs/>
          <w:szCs w:val="32"/>
        </w:rPr>
        <w:t>生产、销售假冒伪劣商品，</w:t>
      </w:r>
      <w:r>
        <w:rPr>
          <w:rFonts w:hint="eastAsia" w:ascii="仿宋_GB2312" w:hAnsi="仿宋_GB2312" w:eastAsia="仿宋_GB2312" w:cs="仿宋_GB2312"/>
          <w:b w:val="0"/>
          <w:bCs/>
          <w:iCs/>
          <w:szCs w:val="32"/>
        </w:rPr>
        <w:t>以及</w:t>
      </w:r>
      <w:r>
        <w:rPr>
          <w:rFonts w:hint="eastAsia" w:ascii="仿宋_GB2312" w:hAnsi="仿宋_GB2312" w:eastAsia="仿宋_GB2312" w:cs="仿宋_GB2312"/>
          <w:b w:val="0"/>
          <w:bCs/>
          <w:szCs w:val="32"/>
        </w:rPr>
        <w:t>为生产、销售假冒伪劣商品提供服务的违法行为</w:t>
      </w:r>
      <w:r>
        <w:rPr>
          <w:rFonts w:hint="eastAsia" w:ascii="仿宋_GB2312" w:hAnsi="仿宋_GB2312" w:eastAsia="仿宋_GB2312" w:cs="仿宋_GB2312"/>
          <w:b w:val="0"/>
          <w:bCs/>
          <w:iCs/>
          <w:szCs w:val="32"/>
        </w:rPr>
        <w:t>进行监督和举报</w:t>
      </w:r>
      <w:r>
        <w:rPr>
          <w:rFonts w:hint="eastAsia" w:ascii="仿宋_GB2312" w:hAnsi="仿宋_GB2312" w:eastAsia="仿宋_GB2312" w:cs="仿宋_GB2312"/>
          <w:b w:val="0"/>
          <w:bCs/>
          <w:szCs w:val="32"/>
        </w:rPr>
        <w:t>。</w:t>
      </w:r>
    </w:p>
    <w:p>
      <w:pPr>
        <w:widowControl w:val="0"/>
        <w:wordWrap/>
        <w:adjustRightInd w:val="0"/>
        <w:spacing w:line="590" w:lineRule="exact"/>
        <w:ind w:firstLine="660"/>
        <w:textAlignment w:val="auto"/>
        <w:rPr>
          <w:rFonts w:hint="eastAsia" w:ascii="宋体" w:hAnsi="宋体" w:eastAsia="宋体" w:cs="宋体"/>
          <w:b w:val="0"/>
          <w:bCs/>
          <w:szCs w:val="32"/>
        </w:rPr>
      </w:pPr>
    </w:p>
    <w:p>
      <w:pPr>
        <w:widowControl w:val="0"/>
        <w:wordWrap/>
        <w:adjustRightInd w:val="0"/>
        <w:spacing w:line="590" w:lineRule="exact"/>
        <w:jc w:val="center"/>
        <w:textAlignment w:val="auto"/>
        <w:rPr>
          <w:rFonts w:hint="eastAsia" w:ascii="黑体" w:hAnsi="黑体" w:eastAsia="黑体" w:cs="黑体"/>
          <w:b w:val="0"/>
          <w:bCs/>
          <w:szCs w:val="32"/>
        </w:rPr>
      </w:pPr>
      <w:r>
        <w:rPr>
          <w:rFonts w:hint="eastAsia" w:ascii="黑体" w:hAnsi="黑体" w:eastAsia="黑体" w:cs="黑体"/>
          <w:b w:val="0"/>
          <w:bCs/>
          <w:szCs w:val="32"/>
        </w:rPr>
        <w:t>第二章  查处范围</w:t>
      </w:r>
    </w:p>
    <w:p>
      <w:pPr>
        <w:widowControl w:val="0"/>
        <w:wordWrap/>
        <w:adjustRightInd w:val="0"/>
        <w:spacing w:line="590" w:lineRule="exact"/>
        <w:ind w:firstLine="640" w:firstLineChars="200"/>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生产者应当建立健全商品质量管理制度，销售者应当建立商品进货查验和索证索票制度、进销台账制度，保障商品的质量。</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szCs w:val="32"/>
        </w:rPr>
      </w:pPr>
      <w:r>
        <w:rPr>
          <w:rFonts w:hint="eastAsia" w:ascii="仿宋_GB2312" w:hAnsi="仿宋_GB2312" w:eastAsia="仿宋_GB2312" w:cs="仿宋_GB2312"/>
          <w:b w:val="0"/>
          <w:bCs/>
          <w:iCs/>
          <w:szCs w:val="32"/>
        </w:rPr>
        <w:t>禁止生产、销售假冒伪劣商品；禁止为生产、销售假冒伪劣商品提供服务。</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szCs w:val="32"/>
        </w:rPr>
      </w:pPr>
      <w:r>
        <w:rPr>
          <w:rFonts w:hint="eastAsia" w:ascii="黑体" w:hAnsi="黑体" w:eastAsia="黑体" w:cs="黑体"/>
          <w:b w:val="0"/>
          <w:bCs/>
          <w:szCs w:val="32"/>
        </w:rPr>
        <w:t>第九条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iCs/>
          <w:szCs w:val="32"/>
        </w:rPr>
        <w:t>任何单位和个人不得支持、包庇、纵容生产、销售假冒伪劣商品的行为。</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有下列情形之一的，为假冒伪劣商品：</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（一）不符合保障人体健康和人身、财产安全的国家标准、行业标准、地方标准的；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（二）掺杂掺假，以假充真，以次充好，以旧充新，以不合格商品冒充合格商品的；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（三）未依法取得许可或者假冒许可证编号的；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（四）使用假冒伪劣原材料、零部件进行生产、加工、制作或者组装的；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（五）使用国家禁止使用的原料生产食品添加剂的；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（六）食品中有违反国家标准超范围、超限量使用的添加剂的；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（七）过期、失效、变质的；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（八）国家明令淘汰或者禁止生产、销售的；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（九）篡改生产日期、安全使用期、有效期、失效日期或者保质期的；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xml:space="preserve">（十）伪造商品产地、伪造或者冒用厂名、厂址的； </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（十一）假冒认证标志、采用国际标准产品标志、名优标志、防伪标志、地理标志产品专用标志、保健食品专用标志、商品条码等标志标识，</w:t>
      </w:r>
      <w:r>
        <w:rPr>
          <w:rFonts w:hint="eastAsia" w:ascii="仿宋_GB2312" w:hAnsi="仿宋_GB2312" w:eastAsia="仿宋_GB2312" w:cs="仿宋_GB2312"/>
          <w:b w:val="0"/>
          <w:bCs/>
          <w:kern w:val="0"/>
          <w:szCs w:val="32"/>
        </w:rPr>
        <w:t>或者假冒合格证书、检验报告、质量保证书等质量证明文件</w:t>
      </w:r>
      <w:r>
        <w:rPr>
          <w:rFonts w:hint="eastAsia" w:ascii="仿宋_GB2312" w:hAnsi="仿宋_GB2312" w:eastAsia="仿宋_GB2312" w:cs="仿宋_GB2312"/>
          <w:b w:val="0"/>
          <w:bCs/>
          <w:szCs w:val="32"/>
        </w:rPr>
        <w:t>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（十二）商品质量不符合标识、说明书表明的质量状况的；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（十三）盗版复制或者假冒注册商标、专利的；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（十四）法律、法规规定的其他假冒伪劣商品。</w:t>
      </w:r>
    </w:p>
    <w:p>
      <w:pPr>
        <w:widowControl w:val="0"/>
        <w:wordWrap/>
        <w:adjustRightInd w:val="0"/>
        <w:spacing w:line="590" w:lineRule="exact"/>
        <w:ind w:firstLine="66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使用本条例第十条所列商品提供经营性服务，或者将其作为促销赠品、有奖销售活动的奖品的，视为销售假冒伪劣商品。</w:t>
      </w:r>
    </w:p>
    <w:p>
      <w:pPr>
        <w:widowControl w:val="0"/>
        <w:wordWrap/>
        <w:adjustRightInd w:val="0"/>
        <w:spacing w:line="590" w:lineRule="exact"/>
        <w:ind w:firstLine="66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有下列情形之一的，属于为生产、销售假冒伪劣商品提供</w:t>
      </w:r>
      <w:r>
        <w:rPr>
          <w:rFonts w:hint="eastAsia" w:ascii="仿宋_GB2312" w:hAnsi="仿宋_GB2312" w:eastAsia="仿宋_GB2312" w:cs="仿宋_GB2312"/>
          <w:b w:val="0"/>
          <w:bCs/>
          <w:iCs/>
          <w:szCs w:val="32"/>
        </w:rPr>
        <w:t>服务</w:t>
      </w:r>
      <w:r>
        <w:rPr>
          <w:rFonts w:hint="eastAsia" w:ascii="仿宋_GB2312" w:hAnsi="仿宋_GB2312" w:eastAsia="仿宋_GB2312" w:cs="仿宋_GB2312"/>
          <w:b w:val="0"/>
          <w:bCs/>
          <w:szCs w:val="32"/>
        </w:rPr>
        <w:t>：</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（一）</w:t>
      </w:r>
      <w:r>
        <w:rPr>
          <w:rFonts w:hint="eastAsia" w:ascii="仿宋_GB2312" w:hAnsi="仿宋_GB2312" w:eastAsia="仿宋_GB2312" w:cs="仿宋_GB2312"/>
          <w:b w:val="0"/>
          <w:bCs/>
          <w:kern w:val="0"/>
          <w:szCs w:val="32"/>
        </w:rPr>
        <w:t>知道或者应当知道他人生产、销售假冒伪劣商品，而为其提供场地、设备、物资、资金等生产经营条件或者仓储、保管、运输及网络平台服务的</w:t>
      </w:r>
      <w:r>
        <w:rPr>
          <w:rFonts w:hint="eastAsia" w:ascii="仿宋_GB2312" w:hAnsi="仿宋_GB2312" w:eastAsia="仿宋_GB2312" w:cs="仿宋_GB2312"/>
          <w:b w:val="0"/>
          <w:bCs/>
          <w:szCs w:val="32"/>
        </w:rPr>
        <w:t>；</w:t>
      </w:r>
    </w:p>
    <w:p>
      <w:pPr>
        <w:widowControl w:val="0"/>
        <w:wordWrap/>
        <w:adjustRightInd w:val="0"/>
        <w:spacing w:line="590" w:lineRule="exact"/>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（二）传授、提供生产、销售假冒伪劣商品技术和方法或者为生产假冒伪劣商品提供监制服务的；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（三）知道或者应当知道</w:t>
      </w:r>
      <w:r>
        <w:rPr>
          <w:rFonts w:hint="eastAsia" w:ascii="仿宋_GB2312" w:hAnsi="仿宋_GB2312" w:eastAsia="仿宋_GB2312" w:cs="仿宋_GB2312"/>
          <w:b w:val="0"/>
          <w:bCs/>
          <w:kern w:val="0"/>
          <w:szCs w:val="32"/>
        </w:rPr>
        <w:t>他人</w:t>
      </w:r>
      <w:r>
        <w:rPr>
          <w:rFonts w:hint="eastAsia" w:ascii="仿宋_GB2312" w:hAnsi="仿宋_GB2312" w:eastAsia="仿宋_GB2312" w:cs="仿宋_GB2312"/>
          <w:b w:val="0"/>
          <w:bCs/>
          <w:szCs w:val="32"/>
        </w:rPr>
        <w:t>生产、销售假冒伪劣商品，而以设计、制作、代理、发布或者其他方式为其提供广告服务的；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（四）知道或者应当知道</w:t>
      </w:r>
      <w:r>
        <w:rPr>
          <w:rFonts w:hint="eastAsia" w:ascii="仿宋_GB2312" w:hAnsi="仿宋_GB2312" w:eastAsia="仿宋_GB2312" w:cs="仿宋_GB2312"/>
          <w:b w:val="0"/>
          <w:bCs/>
          <w:kern w:val="0"/>
          <w:szCs w:val="32"/>
        </w:rPr>
        <w:t>他人</w:t>
      </w:r>
      <w:r>
        <w:rPr>
          <w:rFonts w:hint="eastAsia" w:ascii="仿宋_GB2312" w:hAnsi="仿宋_GB2312" w:eastAsia="仿宋_GB2312" w:cs="仿宋_GB2312"/>
          <w:b w:val="0"/>
          <w:bCs/>
          <w:szCs w:val="32"/>
        </w:rPr>
        <w:t>生产、销售假冒伪劣商品，而为其提供票据、账户、合同或者虚假证明材料的；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（五）知道或者应当知道</w:t>
      </w:r>
      <w:r>
        <w:rPr>
          <w:rFonts w:hint="eastAsia" w:ascii="仿宋_GB2312" w:hAnsi="仿宋_GB2312" w:eastAsia="仿宋_GB2312" w:cs="仿宋_GB2312"/>
          <w:b w:val="0"/>
          <w:bCs/>
          <w:kern w:val="0"/>
          <w:szCs w:val="32"/>
        </w:rPr>
        <w:t>他人</w:t>
      </w:r>
      <w:r>
        <w:rPr>
          <w:rFonts w:hint="eastAsia" w:ascii="仿宋_GB2312" w:hAnsi="仿宋_GB2312" w:eastAsia="仿宋_GB2312" w:cs="仿宋_GB2312"/>
          <w:b w:val="0"/>
          <w:bCs/>
          <w:szCs w:val="32"/>
        </w:rPr>
        <w:t>生产、销售假冒伪劣商品，而为其制作或者提供商品标识、包装、说明书的；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（六）展销会的举办者未履行审查等责任，致使假冒伪劣商品进入展销场所的；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（七）为他人隐匿、转移、销毁被查封、扣押的假冒伪劣商品的。</w:t>
      </w:r>
    </w:p>
    <w:p>
      <w:pPr>
        <w:widowControl w:val="0"/>
        <w:wordWrap/>
        <w:adjustRightInd w:val="0"/>
        <w:spacing w:line="590" w:lineRule="exact"/>
        <w:ind w:firstLine="645"/>
        <w:textAlignment w:val="auto"/>
        <w:rPr>
          <w:rFonts w:hint="eastAsia" w:ascii="宋体" w:hAnsi="宋体" w:eastAsia="宋体" w:cs="宋体"/>
          <w:b w:val="0"/>
          <w:bCs/>
          <w:szCs w:val="32"/>
        </w:rPr>
      </w:pPr>
    </w:p>
    <w:p>
      <w:pPr>
        <w:widowControl w:val="0"/>
        <w:wordWrap/>
        <w:adjustRightInd w:val="0"/>
        <w:spacing w:line="590" w:lineRule="exact"/>
        <w:jc w:val="center"/>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第三章  监督管理</w:t>
      </w:r>
    </w:p>
    <w:p>
      <w:pPr>
        <w:widowControl w:val="0"/>
        <w:wordWrap/>
        <w:adjustRightInd w:val="0"/>
        <w:spacing w:line="590" w:lineRule="exact"/>
        <w:jc w:val="center"/>
        <w:textAlignment w:val="auto"/>
        <w:rPr>
          <w:rFonts w:hint="eastAsia" w:ascii="宋体" w:hAnsi="宋体" w:eastAsia="仿宋_GB2312" w:cs="宋体"/>
          <w:b w:val="0"/>
          <w:bCs/>
          <w:szCs w:val="32"/>
        </w:rPr>
      </w:pPr>
    </w:p>
    <w:p>
      <w:pPr>
        <w:widowControl w:val="0"/>
        <w:numPr>
          <w:ilvl w:val="0"/>
          <w:numId w:val="0"/>
        </w:numPr>
        <w:wordWrap/>
        <w:adjustRightInd w:val="0"/>
        <w:spacing w:line="590" w:lineRule="exact"/>
        <w:jc w:val="center"/>
        <w:textAlignment w:val="auto"/>
        <w:rPr>
          <w:rFonts w:hint="eastAsia" w:ascii="宋体" w:hAnsi="宋体" w:eastAsia="宋体" w:cs="宋体"/>
          <w:b w:val="0"/>
          <w:bCs/>
          <w:szCs w:val="32"/>
        </w:rPr>
      </w:pPr>
      <w:r>
        <w:rPr>
          <w:rFonts w:hint="eastAsia" w:ascii="宋体" w:hAnsi="宋体" w:eastAsia="宋体" w:cs="宋体"/>
          <w:b w:val="0"/>
          <w:bCs/>
          <w:szCs w:val="32"/>
          <w:lang w:val="en-US" w:eastAsia="zh-CN"/>
        </w:rPr>
        <w:t xml:space="preserve">第一节 </w:t>
      </w:r>
      <w:r>
        <w:rPr>
          <w:rFonts w:hint="eastAsia" w:ascii="宋体" w:hAnsi="宋体" w:eastAsia="宋体" w:cs="宋体"/>
          <w:b w:val="0"/>
          <w:bCs/>
          <w:szCs w:val="32"/>
        </w:rPr>
        <w:t xml:space="preserve"> 日常监管</w:t>
      </w:r>
    </w:p>
    <w:p>
      <w:pPr>
        <w:widowControl w:val="0"/>
        <w:numPr>
          <w:ilvl w:val="0"/>
          <w:numId w:val="0"/>
        </w:numPr>
        <w:wordWrap/>
        <w:adjustRightInd w:val="0"/>
        <w:spacing w:line="590" w:lineRule="exact"/>
        <w:jc w:val="both"/>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监督管理部门应当建立健全监督检查制度，通过巡查、抽查等方式加强日常监督，及时查处生产、销售假冒伪劣商品违法行为</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监督管理部门进行</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，应当制作</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记录，如实记载</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的情况和处理结果等内容。</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人员应当在</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记录上签名。</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kern w:val="0"/>
          <w:szCs w:val="32"/>
        </w:rPr>
        <w:t>监督管理部门应当加强执法队伍的装备建设，增加现场快速检测和调查设备的配备，提高监管执法能力。</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监督管理部门</w:t>
      </w:r>
      <w:r>
        <w:rPr>
          <w:rFonts w:hint="eastAsia" w:ascii="仿宋_GB2312" w:hAnsi="仿宋_GB2312" w:eastAsia="仿宋_GB2312" w:cs="仿宋_GB2312"/>
          <w:b w:val="0"/>
          <w:bCs/>
          <w:szCs w:val="32"/>
        </w:rPr>
        <w:t>应当组织制定本行政区域监督抽查商品目录，对可能危及人体健康和人身、财产安全的商品，影响国计民生的重要商品以及消费者、有关组织反映有质量问题的商品进行抽查。监督管理部门根据监督实际、市场变化、社会需求等情况，可以对监督抽查商品目录进行调整。</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kern w:val="0"/>
          <w:szCs w:val="32"/>
        </w:rPr>
        <w:t>监督管理部门根据监督抽查的需要，可以对商品进行</w:t>
      </w:r>
      <w:r>
        <w:rPr>
          <w:rFonts w:hint="eastAsia" w:ascii="仿宋_GB2312" w:hAnsi="仿宋_GB2312" w:eastAsia="仿宋_GB2312" w:cs="仿宋_GB2312"/>
          <w:b w:val="0"/>
          <w:bCs/>
          <w:szCs w:val="32"/>
        </w:rPr>
        <w:t>检测。检测抽取样品的数量不得超过检测的合理需要，并不得收取检测费和其他任何费用。</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lang w:eastAsia="zh-CN"/>
        </w:rPr>
        <w:t>第十五条</w:t>
      </w:r>
      <w:r>
        <w:rPr>
          <w:rFonts w:hint="eastAsia" w:cs="仿宋_GB2312"/>
          <w:b w:val="0"/>
          <w:bCs/>
          <w:szCs w:val="32"/>
          <w:lang w:val="en-US" w:eastAsia="zh-CN"/>
        </w:rPr>
        <w:t xml:space="preserve">  </w:t>
      </w:r>
      <w:r>
        <w:rPr>
          <w:rFonts w:hint="eastAsia" w:ascii="仿宋_GB2312" w:hAnsi="仿宋_GB2312" w:eastAsia="仿宋_GB2312" w:cs="仿宋_GB2312"/>
          <w:b w:val="0"/>
          <w:bCs/>
          <w:szCs w:val="32"/>
        </w:rPr>
        <w:t>监督管理部门对食品、药品、儿童用品以及其他涉及人体健康、生命安全的商品的日常监督管理信息，应当及时向社会公布。</w:t>
      </w:r>
    </w:p>
    <w:p>
      <w:pPr>
        <w:widowControl w:val="0"/>
        <w:numPr>
          <w:ilvl w:val="0"/>
          <w:numId w:val="0"/>
        </w:numPr>
        <w:wordWrap/>
        <w:adjustRightInd w:val="0"/>
        <w:spacing w:line="590" w:lineRule="exact"/>
        <w:textAlignment w:val="auto"/>
        <w:rPr>
          <w:rFonts w:hint="eastAsia" w:ascii="仿宋_GB2312" w:hAnsi="仿宋_GB2312" w:eastAsia="仿宋_GB2312" w:cs="仿宋_GB2312"/>
          <w:b w:val="0"/>
          <w:bCs/>
          <w:szCs w:val="32"/>
        </w:rPr>
      </w:pPr>
      <w:r>
        <w:rPr>
          <w:rFonts w:hint="eastAsia" w:ascii="黑体" w:hAnsi="黑体" w:eastAsia="黑体" w:cs="黑体"/>
          <w:b w:val="0"/>
          <w:bCs/>
          <w:szCs w:val="32"/>
          <w:lang w:val="en-US" w:eastAsia="zh-CN"/>
        </w:rPr>
        <w:t xml:space="preserve">    </w:t>
      </w:r>
      <w:r>
        <w:rPr>
          <w:rFonts w:hint="eastAsia" w:ascii="黑体" w:hAnsi="黑体" w:eastAsia="黑体" w:cs="黑体"/>
          <w:b w:val="0"/>
          <w:bCs/>
          <w:szCs w:val="32"/>
        </w:rPr>
        <w:t>第十六条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监督管理部门应当</w:t>
      </w:r>
      <w:r>
        <w:rPr>
          <w:rFonts w:hint="eastAsia" w:ascii="仿宋_GB2312" w:hAnsi="仿宋_GB2312" w:eastAsia="仿宋_GB2312" w:cs="仿宋_GB2312"/>
          <w:b w:val="0"/>
          <w:bCs/>
          <w:szCs w:val="32"/>
        </w:rPr>
        <w:t>加强对提供网络交易平台服务网站的监管，</w:t>
      </w:r>
      <w:r>
        <w:rPr>
          <w:rFonts w:hint="eastAsia" w:ascii="仿宋_GB2312" w:hAnsi="仿宋_GB2312" w:eastAsia="仿宋_GB2312" w:cs="仿宋_GB2312"/>
          <w:b w:val="0"/>
          <w:bCs/>
          <w:kern w:val="0"/>
          <w:szCs w:val="32"/>
        </w:rPr>
        <w:t>查处销售假冒伪劣商品的网店</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运用网络交易方式销售假冒伪劣商品的，任何单位和个人可以向发生违法行为的网站的经营者住所所在地或者销售者所在地的监督管理部门投诉、举报。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需要采取措施制止违法网站继续从事违法活动的，监督管理部门应当依照有关规定，提请网站许可地通信管理部门依法责令暂时屏蔽或者停止该违法网站接入服务。</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第十七条</w:t>
      </w:r>
      <w:r>
        <w:rPr>
          <w:rFonts w:hint="eastAsia" w:ascii="黑体" w:hAnsi="黑体" w:eastAsia="黑体" w:cs="黑体"/>
          <w:b w:val="0"/>
          <w:bCs/>
          <w:szCs w:val="32"/>
          <w:lang w:val="en-US" w:eastAsia="zh-CN"/>
        </w:rPr>
        <w:t xml:space="preserve"> </w:t>
      </w:r>
      <w:r>
        <w:rPr>
          <w:rFonts w:hint="eastAsia" w:ascii="仿宋_GB2312" w:hAnsi="仿宋_GB2312" w:eastAsia="仿宋_GB2312" w:cs="仿宋_GB2312"/>
          <w:b w:val="0"/>
          <w:bCs/>
          <w:szCs w:val="32"/>
        </w:rPr>
        <w:t xml:space="preserve"> 监督管理部门应当</w:t>
      </w:r>
      <w:r>
        <w:rPr>
          <w:rFonts w:hint="eastAsia" w:ascii="仿宋_GB2312" w:hAnsi="仿宋_GB2312" w:eastAsia="仿宋_GB2312" w:cs="仿宋_GB2312"/>
          <w:b w:val="0"/>
          <w:bCs/>
          <w:kern w:val="0"/>
          <w:szCs w:val="32"/>
        </w:rPr>
        <w:t>加强跨部门、跨地区的执法协作，及时通报信息统计数据，定期进行工作交流，实施案件协查和证据互认，对重点、疑难案件实施联合执法</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监督管理部门查处案件时，可以依法行使下列职权：</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（一）询问有关的生产者、销售者、提供服务者和利害关系人、证明人，并要求其提供有关资料；</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（二）检查有关的财物、场所，查阅、复制、登记保存有关的合同、原始记录、销售凭证、帐册等资料；</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（三）查封、扣押有假冒伪劣重大嫌疑的商品以及有关的原材料、半成品、工具、设备；</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（四）法律、法规规定的其他职权。</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监督管理部门依法查处案件时，执法人员不得少于两名，并应当出示执法证件。</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行政执法人员依法查处案件时，有关单位和个人应当予以配合，不得拒绝和干扰；被询问的生产者、销售者、提供服务者，应当如实提供有关情况和资料。</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实施查封、扣押的，必须经县级以上监督管理部门负责人批准，对被查封、扣押的商品需要检测的，应当自查封、扣押之日起七日内送检测。</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未经实施查封的监督管理部门批准，任何单位和个人不得擅自启封、转移、使用、改动、销毁、销售被查封的物品。</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涉嫌假冒伪劣的商品需要检测的，监督管理部门应当按规定抽取样品，由法定的检测机构进行检测，检测机构应当在规定的期限内作出书面检测报告；涉嫌假冒他人商标或者厂名厂址的，可由被侵权人进行鉴别。</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检测费和样品费由送检的监督管理部门在办案经费中列支或者按国家有关规定开支。</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查封、扣押的商品经检测、鉴别不属于假冒伪劣商品的，监督管理部门应当依法及时作出解除查封、扣押决定并立即退还；因监督管理部门过错造成损失的，应当依法予以赔偿。</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生产者、销售者对检测结果有异议的，可以自收到检测结果之日起十五日内向监督管理部门或者其上级部门申请复检，由受理复检的部门作出复检结论；法律、法规另有规定的，从其规定。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监督管理部门查处案件时，发现制假窝点和假货集散地的，应当予以取缔。</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第二十三条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假冒伪劣商品</w:t>
      </w:r>
      <w:r>
        <w:rPr>
          <w:rFonts w:hint="eastAsia" w:ascii="仿宋_GB2312" w:hAnsi="仿宋_GB2312" w:eastAsia="仿宋_GB2312" w:cs="仿宋_GB2312"/>
          <w:b w:val="0"/>
          <w:bCs/>
          <w:iCs/>
          <w:kern w:val="0"/>
          <w:szCs w:val="32"/>
        </w:rPr>
        <w:t>被查获公告后，违法行为人自公告之日起满</w:t>
      </w:r>
      <w:r>
        <w:rPr>
          <w:rFonts w:hint="eastAsia" w:ascii="仿宋_GB2312" w:hAnsi="仿宋_GB2312" w:eastAsia="仿宋_GB2312" w:cs="仿宋_GB2312"/>
          <w:b w:val="0"/>
          <w:bCs/>
          <w:szCs w:val="32"/>
        </w:rPr>
        <w:t>十五</w:t>
      </w:r>
      <w:r>
        <w:rPr>
          <w:rFonts w:hint="eastAsia" w:ascii="仿宋_GB2312" w:hAnsi="仿宋_GB2312" w:eastAsia="仿宋_GB2312" w:cs="仿宋_GB2312"/>
          <w:b w:val="0"/>
          <w:bCs/>
          <w:iCs/>
          <w:kern w:val="0"/>
          <w:szCs w:val="32"/>
        </w:rPr>
        <w:t>日不到监督管理</w:t>
      </w:r>
      <w:r>
        <w:rPr>
          <w:rFonts w:hint="eastAsia" w:ascii="仿宋_GB2312" w:hAnsi="仿宋_GB2312" w:eastAsia="仿宋_GB2312" w:cs="仿宋_GB2312"/>
          <w:b w:val="0"/>
          <w:bCs/>
          <w:kern w:val="0"/>
          <w:szCs w:val="32"/>
        </w:rPr>
        <w:t>部门</w:t>
      </w:r>
      <w:r>
        <w:rPr>
          <w:rFonts w:hint="eastAsia" w:ascii="仿宋_GB2312" w:hAnsi="仿宋_GB2312" w:eastAsia="仿宋_GB2312" w:cs="仿宋_GB2312"/>
          <w:b w:val="0"/>
          <w:bCs/>
          <w:iCs/>
          <w:kern w:val="0"/>
          <w:szCs w:val="32"/>
        </w:rPr>
        <w:t>接受处理的</w:t>
      </w:r>
      <w:r>
        <w:rPr>
          <w:rFonts w:hint="eastAsia" w:ascii="仿宋_GB2312" w:hAnsi="仿宋_GB2312" w:eastAsia="仿宋_GB2312" w:cs="仿宋_GB2312"/>
          <w:b w:val="0"/>
          <w:bCs/>
          <w:szCs w:val="32"/>
        </w:rPr>
        <w:t>，监督管理</w:t>
      </w:r>
      <w:r>
        <w:rPr>
          <w:rFonts w:hint="eastAsia" w:ascii="仿宋_GB2312" w:hAnsi="仿宋_GB2312" w:eastAsia="仿宋_GB2312" w:cs="仿宋_GB2312"/>
          <w:b w:val="0"/>
          <w:bCs/>
          <w:kern w:val="0"/>
          <w:szCs w:val="32"/>
        </w:rPr>
        <w:t>部门可以将假冒伪劣商品连同涉案物品予以没收，但不免除违法行为人的其他法律责任。</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监督管理部门依法查处案件，发现违法行为涉嫌犯罪的，应当在七日内移送公安机关查处，并抄送同级人民检察院和监察机关。</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公安机关依法查处案件，对未构成犯罪的违法行为，应当在</w:t>
      </w:r>
      <w:r>
        <w:rPr>
          <w:rFonts w:hint="eastAsia" w:ascii="仿宋_GB2312" w:hAnsi="仿宋_GB2312" w:eastAsia="仿宋_GB2312" w:cs="仿宋_GB2312"/>
          <w:b w:val="0"/>
          <w:bCs/>
          <w:i w:val="0"/>
          <w:iCs w:val="0"/>
          <w:szCs w:val="32"/>
          <w:lang w:eastAsia="zh-CN"/>
        </w:rPr>
        <w:t>三</w:t>
      </w:r>
      <w:r>
        <w:rPr>
          <w:rFonts w:hint="eastAsia" w:ascii="仿宋_GB2312" w:hAnsi="仿宋_GB2312" w:eastAsia="仿宋_GB2312" w:cs="仿宋_GB2312"/>
          <w:b w:val="0"/>
          <w:bCs/>
          <w:szCs w:val="32"/>
        </w:rPr>
        <w:t>日内移送有关监督管理部门查处。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接到移送的案件后，有关机关或者部门应当在案件移送书的回执上签字；决定受理的，应当将查处结果书面告知移送部门；不受理的，应当书面说明理由，并通知移送案件的部门。移送案件时，应当将调查材料和查封扣押财物一并移送，不得将涉案人员和财物分开处理。</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人民检察院和监察机关应当加强</w:t>
      </w:r>
      <w:r>
        <w:rPr>
          <w:rFonts w:hint="eastAsia" w:ascii="仿宋_GB2312" w:hAnsi="仿宋_GB2312" w:eastAsia="仿宋_GB2312" w:cs="仿宋_GB2312"/>
          <w:b w:val="0"/>
          <w:bCs/>
          <w:kern w:val="0"/>
          <w:szCs w:val="32"/>
        </w:rPr>
        <w:t>对监督管理部门移送涉嫌犯罪案件、公安机关刑事立案和侦查活动的监督</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监督管理部门应当向公安机关移送涉嫌犯罪案件而不移送的，任何单位和个人有权向人民检察院、监察机关举报。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公安机关对应当立案的案件不立案的，人民检察院应当依法进行监督。</w:t>
      </w:r>
    </w:p>
    <w:p>
      <w:pPr>
        <w:widowControl w:val="0"/>
        <w:wordWrap/>
        <w:adjustRightInd w:val="0"/>
        <w:spacing w:line="590" w:lineRule="exact"/>
        <w:ind w:firstLine="640" w:firstLineChars="200"/>
        <w:textAlignment w:val="auto"/>
        <w:rPr>
          <w:rFonts w:hint="eastAsia" w:ascii="宋体" w:hAnsi="宋体" w:eastAsia="宋体" w:cs="宋体"/>
          <w:b w:val="0"/>
          <w:bCs/>
          <w:szCs w:val="32"/>
        </w:rPr>
      </w:pPr>
    </w:p>
    <w:p>
      <w:pPr>
        <w:widowControl w:val="0"/>
        <w:numPr>
          <w:ilvl w:val="0"/>
          <w:numId w:val="0"/>
        </w:numPr>
        <w:wordWrap/>
        <w:adjustRightInd w:val="0"/>
        <w:spacing w:line="590" w:lineRule="exact"/>
        <w:jc w:val="center"/>
        <w:textAlignment w:val="auto"/>
        <w:rPr>
          <w:rFonts w:hint="eastAsia" w:ascii="宋体" w:hAnsi="宋体" w:eastAsia="宋体" w:cs="宋体"/>
          <w:b w:val="0"/>
          <w:bCs/>
          <w:szCs w:val="32"/>
        </w:rPr>
      </w:pPr>
      <w:r>
        <w:rPr>
          <w:rFonts w:hint="eastAsia" w:ascii="宋体" w:hAnsi="宋体" w:eastAsia="宋体" w:cs="宋体"/>
          <w:b w:val="0"/>
          <w:bCs/>
          <w:szCs w:val="32"/>
          <w:lang w:val="en-US" w:eastAsia="zh-CN"/>
        </w:rPr>
        <w:t xml:space="preserve">第二节  </w:t>
      </w:r>
      <w:r>
        <w:rPr>
          <w:rFonts w:hint="eastAsia" w:ascii="宋体" w:hAnsi="宋体" w:eastAsia="宋体" w:cs="宋体"/>
          <w:b w:val="0"/>
          <w:bCs/>
          <w:szCs w:val="32"/>
        </w:rPr>
        <w:t>专项查处</w:t>
      </w:r>
    </w:p>
    <w:p>
      <w:pPr>
        <w:widowControl w:val="0"/>
        <w:numPr>
          <w:ilvl w:val="0"/>
          <w:numId w:val="0"/>
        </w:numPr>
        <w:wordWrap/>
        <w:adjustRightInd w:val="0"/>
        <w:spacing w:line="590" w:lineRule="exact"/>
        <w:jc w:val="both"/>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县级以上人民政府可以组织有关行政部门，对重点商品、重点市场、重点地区实施专项查处。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应当将群众反映强烈、社会危害性较大的假冒伪劣食品、药品、农药、化肥、种子、医疗器械、特种设备等作为重点查处的商品；将群众反映强烈、假冒伪劣商品充斥的集散地和制假售假严重的地区或者市场作为重点查处的区域。</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县级以上人民政府应当加强对专项查处工作的组织和协调，制定专项查处工作方案，落实工作责任制和责任追究制度。</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县级以上人民政府各有关部门应当相互配合、联合执法。</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发生严重危及生产、人体健康、生命财产安全的假冒伪劣商品事件的，县级以上人民政府应当将其列为重点案件。</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重点案件实行领导责任制。政府主要负责人是查处重点案件的第一责任人，负责督促案件的查处。</w:t>
      </w:r>
    </w:p>
    <w:p>
      <w:pPr>
        <w:widowControl w:val="0"/>
        <w:wordWrap/>
        <w:adjustRightInd w:val="0"/>
        <w:spacing w:line="590" w:lineRule="exact"/>
        <w:ind w:firstLine="61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查处重点案件时，公安机关和监察机关应当</w:t>
      </w:r>
      <w:r>
        <w:rPr>
          <w:rFonts w:hint="eastAsia" w:ascii="仿宋_GB2312" w:hAnsi="仿宋_GB2312" w:eastAsia="仿宋_GB2312" w:cs="仿宋_GB2312"/>
          <w:b w:val="0"/>
          <w:bCs/>
          <w:kern w:val="0"/>
          <w:szCs w:val="32"/>
        </w:rPr>
        <w:t>加大对有关商业贿赂等犯罪行为的查处力度。</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对生产、销售假冒伪劣商品的重点地区进行查处时，应当加强对大宗假冒伪劣商品批发商，以及为生产、销售假冒伪劣商品提供运输、仓储、保管等服务的单位和人员的查处。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专项查处假冒伪劣食品，应当加强对分散在社区、城乡结合部、村镇、中小学周边的各类食品批发市场、集贸市场、食品生产加工小作坊、食品摊贩、食品店、餐馆的监督检查。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专项查处假冒伪劣药品，应当重点查处生产、销售与标准规定不相符合、变质、过期失效的假药、劣药、医疗器械的行为。</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专项查处假冒伪劣农业生产资料和农产品，应当</w:t>
      </w:r>
      <w:r>
        <w:rPr>
          <w:rFonts w:hint="eastAsia" w:ascii="仿宋_GB2312" w:hAnsi="仿宋_GB2312" w:eastAsia="仿宋_GB2312" w:cs="仿宋_GB2312"/>
          <w:b w:val="0"/>
          <w:bCs/>
          <w:kern w:val="0"/>
          <w:szCs w:val="32"/>
        </w:rPr>
        <w:t>加强对农资批发市场、集散地、经营门店和物流配送中心的监控巡查。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各级人民政府应当将本地区查处假冒伪劣商品的工作部署和查办重点案件情况报告上一级人民政府，并依法将查处情况向社会公开。</w:t>
      </w:r>
    </w:p>
    <w:p>
      <w:pPr>
        <w:widowControl w:val="0"/>
        <w:wordWrap/>
        <w:adjustRightInd w:val="0"/>
        <w:spacing w:line="590" w:lineRule="exact"/>
        <w:textAlignment w:val="auto"/>
        <w:rPr>
          <w:rFonts w:hint="eastAsia" w:ascii="宋体" w:hAnsi="宋体" w:eastAsia="宋体" w:cs="宋体"/>
          <w:b w:val="0"/>
          <w:bCs/>
          <w:szCs w:val="32"/>
        </w:rPr>
      </w:pPr>
    </w:p>
    <w:p>
      <w:pPr>
        <w:widowControl w:val="0"/>
        <w:numPr>
          <w:ilvl w:val="0"/>
          <w:numId w:val="0"/>
        </w:numPr>
        <w:tabs>
          <w:tab w:val="left" w:pos="3328"/>
          <w:tab w:val="center" w:pos="5046"/>
        </w:tabs>
        <w:wordWrap/>
        <w:adjustRightInd w:val="0"/>
        <w:spacing w:line="590" w:lineRule="exact"/>
        <w:jc w:val="center"/>
        <w:textAlignment w:val="auto"/>
        <w:rPr>
          <w:rFonts w:hint="eastAsia" w:ascii="宋体" w:hAnsi="宋体" w:eastAsia="宋体" w:cs="宋体"/>
          <w:b w:val="0"/>
          <w:bCs/>
          <w:szCs w:val="32"/>
        </w:rPr>
      </w:pPr>
      <w:r>
        <w:rPr>
          <w:rFonts w:hint="eastAsia" w:ascii="宋体" w:hAnsi="宋体" w:eastAsia="宋体" w:cs="宋体"/>
          <w:b w:val="0"/>
          <w:bCs/>
          <w:szCs w:val="32"/>
          <w:lang w:val="en-US" w:eastAsia="zh-CN"/>
        </w:rPr>
        <w:t xml:space="preserve">第三节  </w:t>
      </w:r>
      <w:r>
        <w:rPr>
          <w:rFonts w:hint="eastAsia" w:ascii="宋体" w:hAnsi="宋体" w:eastAsia="宋体" w:cs="宋体"/>
          <w:b w:val="0"/>
          <w:bCs/>
          <w:szCs w:val="32"/>
        </w:rPr>
        <w:t>信用信息与分类监管</w:t>
      </w:r>
    </w:p>
    <w:p>
      <w:pPr>
        <w:widowControl w:val="0"/>
        <w:numPr>
          <w:ilvl w:val="0"/>
          <w:numId w:val="0"/>
        </w:numPr>
        <w:wordWrap/>
        <w:adjustRightInd w:val="0"/>
        <w:spacing w:line="590" w:lineRule="exact"/>
        <w:jc w:val="both"/>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szCs w:val="32"/>
          <w:u w:val="single"/>
        </w:rPr>
      </w:pPr>
      <w:r>
        <w:rPr>
          <w:rFonts w:hint="eastAsia" w:ascii="黑体" w:hAnsi="黑体" w:eastAsia="黑体" w:cs="黑体"/>
          <w:b w:val="0"/>
          <w:bCs/>
          <w:szCs w:val="32"/>
        </w:rPr>
        <w:t>第三十二条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监督管理部门应当</w:t>
      </w:r>
      <w:r>
        <w:rPr>
          <w:rFonts w:hint="eastAsia" w:ascii="仿宋_GB2312" w:hAnsi="仿宋_GB2312" w:eastAsia="仿宋_GB2312" w:cs="仿宋_GB2312"/>
          <w:b w:val="0"/>
          <w:bCs/>
          <w:kern w:val="0"/>
          <w:szCs w:val="32"/>
        </w:rPr>
        <w:t>建立生产者、销售者违法行为记录制度，将因生产、销售假冒伪劣商品受到行政处罚的生产者、销售者记入监管档案并加强监管。</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w:t>
      </w:r>
      <w:r>
        <w:rPr>
          <w:rFonts w:hint="eastAsia" w:ascii="仿宋_GB2312" w:hAnsi="仿宋_GB2312" w:eastAsia="仿宋_GB2312" w:cs="仿宋_GB2312"/>
          <w:b w:val="0"/>
          <w:bCs/>
          <w:kern w:val="0"/>
          <w:szCs w:val="32"/>
        </w:rPr>
        <w:t>部门应当将因生产、销售假冒伪劣商品受到行政处罚的</w:t>
      </w:r>
      <w:r>
        <w:rPr>
          <w:rFonts w:hint="eastAsia" w:ascii="仿宋_GB2312" w:hAnsi="仿宋_GB2312" w:eastAsia="仿宋_GB2312" w:cs="仿宋_GB2312"/>
          <w:b w:val="0"/>
          <w:bCs/>
          <w:iCs/>
          <w:szCs w:val="32"/>
        </w:rPr>
        <w:t>生产者、销售者</w:t>
      </w:r>
      <w:r>
        <w:rPr>
          <w:rFonts w:hint="eastAsia" w:ascii="仿宋_GB2312" w:hAnsi="仿宋_GB2312" w:eastAsia="仿宋_GB2312" w:cs="仿宋_GB2312"/>
          <w:b w:val="0"/>
          <w:bCs/>
          <w:kern w:val="0"/>
          <w:szCs w:val="32"/>
        </w:rPr>
        <w:t>及其</w:t>
      </w:r>
      <w:r>
        <w:rPr>
          <w:rFonts w:hint="eastAsia" w:ascii="仿宋_GB2312" w:hAnsi="仿宋_GB2312" w:eastAsia="仿宋_GB2312" w:cs="仿宋_GB2312"/>
          <w:b w:val="0"/>
          <w:bCs/>
          <w:iCs/>
          <w:szCs w:val="32"/>
        </w:rPr>
        <w:t>法定代表人、负责人</w:t>
      </w:r>
      <w:r>
        <w:rPr>
          <w:rFonts w:hint="eastAsia" w:ascii="仿宋_GB2312" w:hAnsi="仿宋_GB2312" w:eastAsia="仿宋_GB2312" w:cs="仿宋_GB2312"/>
          <w:b w:val="0"/>
          <w:bCs/>
          <w:kern w:val="0"/>
          <w:szCs w:val="32"/>
        </w:rPr>
        <w:t>和直接责任人员的有关信息，及时通过政务网站或者其他方式公布。</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kern w:val="0"/>
          <w:szCs w:val="32"/>
        </w:rPr>
      </w:pPr>
      <w:r>
        <w:rPr>
          <w:rFonts w:hint="eastAsia" w:ascii="仿宋_GB2312" w:hAnsi="仿宋_GB2312" w:eastAsia="仿宋_GB2312" w:cs="仿宋_GB2312"/>
          <w:b w:val="0"/>
          <w:bCs/>
          <w:iCs/>
          <w:szCs w:val="32"/>
        </w:rPr>
        <w:t>公布</w:t>
      </w:r>
      <w:r>
        <w:rPr>
          <w:rFonts w:hint="eastAsia" w:ascii="仿宋_GB2312" w:hAnsi="仿宋_GB2312" w:eastAsia="仿宋_GB2312" w:cs="仿宋_GB2312"/>
          <w:b w:val="0"/>
          <w:bCs/>
          <w:iCs/>
          <w:kern w:val="0"/>
          <w:szCs w:val="32"/>
        </w:rPr>
        <w:t>事项包括违法生产者、销售者的</w:t>
      </w:r>
      <w:r>
        <w:rPr>
          <w:rFonts w:hint="eastAsia" w:ascii="仿宋_GB2312" w:hAnsi="仿宋_GB2312" w:eastAsia="仿宋_GB2312" w:cs="仿宋_GB2312"/>
          <w:b w:val="0"/>
          <w:bCs/>
          <w:iCs/>
          <w:szCs w:val="32"/>
        </w:rPr>
        <w:t>名称、字号、地址、法定代表人或者负责人</w:t>
      </w:r>
      <w:r>
        <w:rPr>
          <w:rFonts w:hint="eastAsia" w:ascii="仿宋_GB2312" w:hAnsi="仿宋_GB2312" w:eastAsia="仿宋_GB2312" w:cs="仿宋_GB2312"/>
          <w:b w:val="0"/>
          <w:bCs/>
          <w:iCs/>
          <w:kern w:val="0"/>
          <w:szCs w:val="32"/>
        </w:rPr>
        <w:t>以及直接责任人员</w:t>
      </w:r>
      <w:r>
        <w:rPr>
          <w:rFonts w:hint="eastAsia" w:ascii="仿宋_GB2312" w:hAnsi="仿宋_GB2312" w:eastAsia="仿宋_GB2312" w:cs="仿宋_GB2312"/>
          <w:b w:val="0"/>
          <w:bCs/>
          <w:iCs/>
          <w:szCs w:val="32"/>
        </w:rPr>
        <w:t>的姓名</w:t>
      </w:r>
      <w:r>
        <w:rPr>
          <w:rFonts w:hint="eastAsia" w:ascii="仿宋_GB2312" w:hAnsi="仿宋_GB2312" w:eastAsia="仿宋_GB2312" w:cs="仿宋_GB2312"/>
          <w:b w:val="0"/>
          <w:bCs/>
          <w:iCs/>
          <w:kern w:val="0"/>
          <w:szCs w:val="32"/>
        </w:rPr>
        <w:t>、职务</w:t>
      </w:r>
      <w:r>
        <w:rPr>
          <w:rFonts w:hint="eastAsia" w:ascii="仿宋_GB2312" w:hAnsi="仿宋_GB2312" w:eastAsia="仿宋_GB2312" w:cs="仿宋_GB2312"/>
          <w:b w:val="0"/>
          <w:bCs/>
          <w:iCs/>
          <w:szCs w:val="32"/>
        </w:rPr>
        <w:t>、假冒伪劣商品名称、</w:t>
      </w:r>
      <w:r>
        <w:rPr>
          <w:rFonts w:hint="eastAsia" w:ascii="仿宋_GB2312" w:hAnsi="仿宋_GB2312" w:eastAsia="仿宋_GB2312" w:cs="仿宋_GB2312"/>
          <w:b w:val="0"/>
          <w:bCs/>
          <w:iCs/>
          <w:kern w:val="0"/>
          <w:szCs w:val="32"/>
        </w:rPr>
        <w:t>违法事由、行政处罚决定、公布起止日期等信息</w:t>
      </w:r>
      <w:r>
        <w:rPr>
          <w:rFonts w:hint="eastAsia" w:ascii="仿宋_GB2312" w:hAnsi="仿宋_GB2312" w:eastAsia="仿宋_GB2312" w:cs="仿宋_GB2312"/>
          <w:b w:val="0"/>
          <w:bCs/>
          <w:i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省、地级以上市人民政府应当采取措施，建立和完善信息系统，实现部门之间案件查处情况和企业信用信息等资源的共享。</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监督管理部门应当</w:t>
      </w:r>
      <w:r>
        <w:rPr>
          <w:rFonts w:hint="eastAsia" w:ascii="仿宋_GB2312" w:hAnsi="仿宋_GB2312" w:eastAsia="仿宋_GB2312" w:cs="仿宋_GB2312"/>
          <w:b w:val="0"/>
          <w:bCs/>
          <w:kern w:val="0"/>
          <w:szCs w:val="32"/>
        </w:rPr>
        <w:t>按照国家和省的有关规定，根据生产者、销售者的信用信息记录等情况实施分类监管</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第三十六条</w:t>
      </w:r>
      <w:r>
        <w:rPr>
          <w:rFonts w:hint="eastAsia" w:ascii="仿宋_GB2312" w:hAnsi="仿宋_GB2312" w:eastAsia="仿宋_GB2312" w:cs="仿宋_GB2312"/>
          <w:b w:val="0"/>
          <w:bCs/>
          <w:szCs w:val="32"/>
        </w:rPr>
        <w:t xml:space="preserve"> </w:t>
      </w:r>
      <w:r>
        <w:rPr>
          <w:rFonts w:hint="eastAsia" w:ascii="仿宋_GB2312" w:hAnsi="仿宋_GB2312" w:eastAsia="仿宋_GB2312" w:cs="仿宋_GB2312"/>
          <w:b w:val="0"/>
          <w:bCs/>
          <w:szCs w:val="32"/>
          <w:lang w:val="en-US" w:eastAsia="zh-CN"/>
        </w:rPr>
        <w:t xml:space="preserve"> </w:t>
      </w:r>
      <w:r>
        <w:rPr>
          <w:rFonts w:hint="eastAsia" w:ascii="仿宋_GB2312" w:hAnsi="仿宋_GB2312" w:eastAsia="仿宋_GB2312" w:cs="仿宋_GB2312"/>
          <w:b w:val="0"/>
          <w:bCs/>
          <w:kern w:val="0"/>
          <w:szCs w:val="32"/>
        </w:rPr>
        <w:t>生产者、销售者多次违法或者违法行为情节恶劣的，监督管理部门应当将其列入重点监管对象名单。</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在日常监督检查和专项查处中，监督管理部门对列入重点监管对象名单的生产者、销售者，应当增加检查和抽检频次，并可以责令其定期报告质量管理情况。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第三十七条</w:t>
      </w:r>
      <w:r>
        <w:rPr>
          <w:rFonts w:hint="eastAsia" w:ascii="仿宋_GB2312" w:hAnsi="仿宋_GB2312" w:eastAsia="仿宋_GB2312" w:cs="仿宋_GB2312"/>
          <w:b w:val="0"/>
          <w:bCs/>
          <w:szCs w:val="32"/>
        </w:rPr>
        <w:t xml:space="preserve">  监督管理</w:t>
      </w:r>
      <w:r>
        <w:rPr>
          <w:rFonts w:hint="eastAsia" w:ascii="仿宋_GB2312" w:hAnsi="仿宋_GB2312" w:eastAsia="仿宋_GB2312" w:cs="仿宋_GB2312"/>
          <w:b w:val="0"/>
          <w:bCs/>
          <w:kern w:val="0"/>
          <w:szCs w:val="32"/>
        </w:rPr>
        <w:t>部门应当将重点监管对象名单通报同级发展改革、财政、税务、卫生</w:t>
      </w:r>
      <w:r>
        <w:rPr>
          <w:rFonts w:hint="eastAsia" w:ascii="仿宋_GB2312" w:hAnsi="仿宋_GB2312" w:eastAsia="仿宋_GB2312" w:cs="仿宋_GB2312"/>
          <w:b w:val="0"/>
          <w:bCs/>
          <w:kern w:val="0"/>
          <w:szCs w:val="32"/>
          <w:lang w:eastAsia="zh-CN"/>
        </w:rPr>
        <w:t>健康</w:t>
      </w:r>
      <w:r>
        <w:rPr>
          <w:rFonts w:hint="eastAsia" w:ascii="仿宋_GB2312" w:hAnsi="仿宋_GB2312" w:eastAsia="仿宋_GB2312" w:cs="仿宋_GB2312"/>
          <w:b w:val="0"/>
          <w:bCs/>
          <w:kern w:val="0"/>
          <w:szCs w:val="32"/>
        </w:rPr>
        <w:t>、</w:t>
      </w:r>
      <w:r>
        <w:rPr>
          <w:rFonts w:hint="eastAsia" w:ascii="仿宋_GB2312" w:hAnsi="仿宋_GB2312" w:eastAsia="仿宋_GB2312" w:cs="仿宋_GB2312"/>
          <w:b w:val="0"/>
          <w:bCs/>
          <w:kern w:val="0"/>
          <w:szCs w:val="32"/>
          <w:lang w:eastAsia="zh-CN"/>
        </w:rPr>
        <w:t>生态</w:t>
      </w:r>
      <w:r>
        <w:rPr>
          <w:rFonts w:hint="eastAsia" w:ascii="仿宋_GB2312" w:hAnsi="仿宋_GB2312" w:eastAsia="仿宋_GB2312" w:cs="仿宋_GB2312"/>
          <w:b w:val="0"/>
          <w:bCs/>
          <w:kern w:val="0"/>
          <w:szCs w:val="32"/>
        </w:rPr>
        <w:t>环</w:t>
      </w:r>
      <w:r>
        <w:rPr>
          <w:rFonts w:hint="eastAsia" w:ascii="仿宋_GB2312" w:hAnsi="仿宋_GB2312" w:eastAsia="仿宋_GB2312" w:cs="仿宋_GB2312"/>
          <w:b w:val="0"/>
          <w:bCs/>
          <w:i w:val="0"/>
          <w:iCs w:val="0"/>
          <w:kern w:val="0"/>
          <w:szCs w:val="32"/>
          <w:lang w:eastAsia="zh-CN"/>
        </w:rPr>
        <w:t>境</w:t>
      </w:r>
      <w:r>
        <w:rPr>
          <w:rFonts w:hint="eastAsia" w:ascii="仿宋_GB2312" w:hAnsi="仿宋_GB2312" w:eastAsia="仿宋_GB2312" w:cs="仿宋_GB2312"/>
          <w:b w:val="0"/>
          <w:bCs/>
          <w:kern w:val="0"/>
          <w:szCs w:val="32"/>
        </w:rPr>
        <w:t>、科技、</w:t>
      </w:r>
      <w:r>
        <w:rPr>
          <w:rFonts w:hint="eastAsia" w:ascii="仿宋_GB2312" w:hAnsi="仿宋_GB2312" w:eastAsia="仿宋_GB2312" w:cs="仿宋_GB2312"/>
          <w:b w:val="0"/>
          <w:bCs/>
          <w:i w:val="0"/>
          <w:iCs w:val="0"/>
          <w:kern w:val="0"/>
          <w:szCs w:val="32"/>
          <w:lang w:eastAsia="zh-CN"/>
        </w:rPr>
        <w:t>市场监督管理</w:t>
      </w:r>
      <w:r>
        <w:rPr>
          <w:rFonts w:hint="eastAsia" w:ascii="仿宋_GB2312" w:hAnsi="仿宋_GB2312" w:eastAsia="仿宋_GB2312" w:cs="仿宋_GB2312"/>
          <w:b w:val="0"/>
          <w:bCs/>
          <w:kern w:val="0"/>
          <w:szCs w:val="32"/>
        </w:rPr>
        <w:t>、</w:t>
      </w:r>
      <w:r>
        <w:rPr>
          <w:rFonts w:hint="eastAsia" w:ascii="仿宋_GB2312" w:hAnsi="仿宋_GB2312" w:eastAsia="仿宋_GB2312" w:cs="仿宋_GB2312"/>
          <w:b w:val="0"/>
          <w:bCs/>
          <w:i w:val="0"/>
          <w:iCs w:val="0"/>
          <w:kern w:val="0"/>
          <w:szCs w:val="32"/>
          <w:lang w:eastAsia="zh-CN"/>
        </w:rPr>
        <w:t>工业</w:t>
      </w:r>
      <w:r>
        <w:rPr>
          <w:rFonts w:hint="eastAsia" w:ascii="仿宋_GB2312" w:hAnsi="仿宋_GB2312" w:eastAsia="仿宋_GB2312" w:cs="仿宋_GB2312"/>
          <w:b w:val="0"/>
          <w:bCs/>
          <w:kern w:val="0"/>
          <w:szCs w:val="32"/>
        </w:rPr>
        <w:t>和信息化、金融等部门，供其在产业规划实施、招标采购、行政审批、进出口管理、金融信贷等相关决策时参考。</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对列入重点监管对象名单的生产者、销售者，有关部门应当依法实施限制准入的措施。</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县级以上人民政府应当加强诚信宣传教育</w:t>
      </w:r>
      <w:r>
        <w:rPr>
          <w:rFonts w:hint="eastAsia" w:ascii="仿宋_GB2312" w:hAnsi="仿宋_GB2312" w:eastAsia="仿宋_GB2312" w:cs="仿宋_GB2312"/>
          <w:b w:val="0"/>
          <w:bCs/>
          <w:kern w:val="0"/>
          <w:szCs w:val="32"/>
        </w:rPr>
        <w:t>，督促生产者、销售者严格守法、诚信经营；</w:t>
      </w:r>
      <w:r>
        <w:rPr>
          <w:rFonts w:hint="eastAsia" w:ascii="仿宋_GB2312" w:hAnsi="仿宋_GB2312" w:eastAsia="仿宋_GB2312" w:cs="仿宋_GB2312"/>
          <w:b w:val="0"/>
          <w:bCs/>
          <w:szCs w:val="32"/>
        </w:rPr>
        <w:t>鼓励和支持企业进行企业质量体系认证、产品质量认证，争创名优品牌。</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监督管理部门、认证机构应当依法将驰名商标、著名商标认定和企业产品质量认证等情况向社会公开，方便公众了解企业信用状况和商品质量状况。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对于诚信经营，没有违法纪录的生产者、销售者，相关行业协会可以给予表彰并向社会公开。</w:t>
      </w:r>
    </w:p>
    <w:p>
      <w:pPr>
        <w:widowControl w:val="0"/>
        <w:wordWrap/>
        <w:adjustRightInd w:val="0"/>
        <w:spacing w:line="590" w:lineRule="exact"/>
        <w:ind w:firstLine="615"/>
        <w:textAlignment w:val="auto"/>
        <w:rPr>
          <w:rFonts w:hint="eastAsia" w:ascii="宋体" w:hAnsi="宋体" w:eastAsia="宋体" w:cs="宋体"/>
          <w:b w:val="0"/>
          <w:bCs/>
          <w:kern w:val="0"/>
          <w:szCs w:val="32"/>
        </w:rPr>
      </w:pPr>
    </w:p>
    <w:p>
      <w:pPr>
        <w:widowControl w:val="0"/>
        <w:numPr>
          <w:ilvl w:val="0"/>
          <w:numId w:val="0"/>
        </w:numPr>
        <w:wordWrap/>
        <w:adjustRightInd w:val="0"/>
        <w:spacing w:line="590" w:lineRule="exact"/>
        <w:jc w:val="center"/>
        <w:textAlignment w:val="auto"/>
        <w:rPr>
          <w:rFonts w:hint="eastAsia" w:ascii="宋体" w:hAnsi="宋体" w:eastAsia="宋体" w:cs="宋体"/>
          <w:b w:val="0"/>
          <w:bCs/>
          <w:szCs w:val="32"/>
        </w:rPr>
      </w:pPr>
      <w:r>
        <w:rPr>
          <w:rFonts w:hint="eastAsia" w:ascii="宋体" w:hAnsi="宋体" w:eastAsia="宋体" w:cs="宋体"/>
          <w:b w:val="0"/>
          <w:bCs/>
          <w:szCs w:val="32"/>
          <w:lang w:eastAsia="zh-CN"/>
        </w:rPr>
        <w:t>第四节</w:t>
      </w:r>
      <w:r>
        <w:rPr>
          <w:rFonts w:hint="eastAsia" w:ascii="宋体" w:hAnsi="宋体" w:eastAsia="宋体" w:cs="宋体"/>
          <w:b w:val="0"/>
          <w:bCs/>
          <w:szCs w:val="32"/>
        </w:rPr>
        <w:t xml:space="preserve"> </w:t>
      </w:r>
      <w:r>
        <w:rPr>
          <w:rFonts w:hint="eastAsia" w:ascii="宋体" w:hAnsi="宋体" w:eastAsia="宋体" w:cs="宋体"/>
          <w:b w:val="0"/>
          <w:bCs/>
          <w:szCs w:val="32"/>
          <w:lang w:val="en-US" w:eastAsia="zh-CN"/>
        </w:rPr>
        <w:t xml:space="preserve"> </w:t>
      </w:r>
      <w:r>
        <w:rPr>
          <w:rFonts w:hint="eastAsia" w:ascii="宋体" w:hAnsi="宋体" w:eastAsia="宋体" w:cs="宋体"/>
          <w:b w:val="0"/>
          <w:bCs/>
          <w:szCs w:val="32"/>
        </w:rPr>
        <w:t>监管工作考核与责任追究</w:t>
      </w:r>
    </w:p>
    <w:p>
      <w:pPr>
        <w:widowControl w:val="0"/>
        <w:numPr>
          <w:ilvl w:val="0"/>
          <w:numId w:val="0"/>
        </w:numPr>
        <w:wordWrap/>
        <w:adjustRightInd w:val="0"/>
        <w:spacing w:line="590" w:lineRule="exact"/>
        <w:jc w:val="both"/>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第三十九条</w:t>
      </w:r>
      <w:r>
        <w:rPr>
          <w:rFonts w:hint="eastAsia" w:ascii="仿宋_GB2312" w:hAnsi="仿宋_GB2312" w:eastAsia="仿宋_GB2312" w:cs="仿宋_GB2312"/>
          <w:b w:val="0"/>
          <w:bCs/>
          <w:szCs w:val="32"/>
        </w:rPr>
        <w:t xml:space="preserve">  县级以上人民政府应当将查处假冒伪劣商品违法行为工作纳入</w:t>
      </w:r>
      <w:r>
        <w:rPr>
          <w:rFonts w:hint="eastAsia" w:ascii="仿宋_GB2312" w:hAnsi="仿宋_GB2312" w:eastAsia="仿宋_GB2312" w:cs="仿宋_GB2312"/>
          <w:b w:val="0"/>
          <w:bCs/>
          <w:kern w:val="0"/>
          <w:szCs w:val="32"/>
        </w:rPr>
        <w:t>社会管理综合治理考评范围，建立健全责任考核制度，</w:t>
      </w:r>
      <w:r>
        <w:rPr>
          <w:rFonts w:hint="eastAsia" w:ascii="仿宋_GB2312" w:hAnsi="仿宋_GB2312" w:eastAsia="仿宋_GB2312" w:cs="仿宋_GB2312"/>
          <w:b w:val="0"/>
          <w:bCs/>
          <w:szCs w:val="32"/>
        </w:rPr>
        <w:t>定期对其监督管理部门和下级人民政府的下列工作进行</w:t>
      </w:r>
      <w:r>
        <w:rPr>
          <w:rFonts w:hint="eastAsia" w:ascii="仿宋_GB2312" w:hAnsi="仿宋_GB2312" w:eastAsia="仿宋_GB2312" w:cs="仿宋_GB2312"/>
          <w:b w:val="0"/>
          <w:bCs/>
          <w:kern w:val="0"/>
          <w:szCs w:val="32"/>
        </w:rPr>
        <w:t>考核：</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（一）对本行政区域内生产、销售假冒伪劣商品违法行为的查处情况；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（二）对本行政区域内重点商品、重点市场、重点地区的整治情况；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（三）监管制度和执法队伍建设情况；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（四）对上级政府及其职能部门或者外地执法部门查处本行政区域内生产、销售假冒伪劣商品违法行为的支持配合情况；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（五）本行政区域内各相关部门在查处生产、销售假冒伪劣商品违法行为工作中的配合、协调情况；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（六）其他查处工作的开展情况。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考核的标准、程序和结果应当向社会公开。</w:t>
      </w:r>
    </w:p>
    <w:p>
      <w:pPr>
        <w:widowControl w:val="0"/>
        <w:wordWrap/>
        <w:adjustRightInd w:val="0"/>
        <w:spacing w:line="590" w:lineRule="exact"/>
        <w:ind w:firstLine="61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第四十条</w:t>
      </w:r>
      <w:r>
        <w:rPr>
          <w:rFonts w:hint="eastAsia" w:ascii="仿宋_GB2312" w:hAnsi="仿宋_GB2312" w:eastAsia="仿宋_GB2312" w:cs="仿宋_GB2312"/>
          <w:b w:val="0"/>
          <w:bCs/>
          <w:szCs w:val="32"/>
        </w:rPr>
        <w:t xml:space="preserve">  对生产、销售假冒伪劣商品违法活动情况严重而又屡禁不止的地区，县级以上人民政府应当明确提出整治期限和要求，并可以直接督查、督办。</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第四十一条</w:t>
      </w:r>
      <w:r>
        <w:rPr>
          <w:rFonts w:hint="eastAsia" w:ascii="仿宋_GB2312" w:hAnsi="仿宋_GB2312" w:eastAsia="仿宋_GB2312" w:cs="仿宋_GB2312"/>
          <w:b w:val="0"/>
          <w:bCs/>
          <w:szCs w:val="32"/>
        </w:rPr>
        <w:t xml:space="preserve">  县级以上人民政府监察机关应当加强对本级人民政府监督管理部门及行政执法人员的监督，对不依法行使职权或者推诿、不履行法定义务的行为予以查处。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第四十二条</w:t>
      </w:r>
      <w:r>
        <w:rPr>
          <w:rFonts w:hint="eastAsia" w:ascii="仿宋_GB2312" w:hAnsi="仿宋_GB2312" w:eastAsia="仿宋_GB2312" w:cs="仿宋_GB2312"/>
          <w:b w:val="0"/>
          <w:bCs/>
          <w:szCs w:val="32"/>
        </w:rPr>
        <w:t xml:space="preserve">  县级以上人民政府及其监督管理部门应当加强执法队伍建设，对执法人员严格管理，严格监督，加强培训考核。</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县级以上人民政府及其监督管理部门应当建立</w:t>
      </w:r>
      <w:r>
        <w:rPr>
          <w:rFonts w:hint="eastAsia" w:ascii="仿宋_GB2312" w:hAnsi="仿宋_GB2312" w:eastAsia="仿宋_GB2312" w:cs="仿宋_GB2312"/>
          <w:b w:val="0"/>
          <w:bCs/>
          <w:kern w:val="0"/>
          <w:szCs w:val="32"/>
        </w:rPr>
        <w:t>行政执法监督制度，</w:t>
      </w:r>
      <w:r>
        <w:rPr>
          <w:rFonts w:hint="eastAsia" w:ascii="仿宋_GB2312" w:hAnsi="仿宋_GB2312" w:eastAsia="仿宋_GB2312" w:cs="仿宋_GB2312"/>
          <w:b w:val="0"/>
          <w:bCs/>
          <w:szCs w:val="32"/>
        </w:rPr>
        <w:t>对执法人员的行政执法行为进行监督检查</w:t>
      </w:r>
      <w:r>
        <w:rPr>
          <w:rFonts w:hint="eastAsia" w:ascii="仿宋_GB2312" w:hAnsi="仿宋_GB2312" w:eastAsia="仿宋_GB2312" w:cs="仿宋_GB2312"/>
          <w:b w:val="0"/>
          <w:bCs/>
          <w:kern w:val="0"/>
          <w:szCs w:val="32"/>
        </w:rPr>
        <w:t>。</w:t>
      </w:r>
    </w:p>
    <w:p>
      <w:pPr>
        <w:widowControl w:val="0"/>
        <w:wordWrap/>
        <w:adjustRightInd w:val="0"/>
        <w:spacing w:line="590" w:lineRule="exact"/>
        <w:ind w:firstLine="615"/>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lang w:val="en-US" w:eastAsia="zh-CN"/>
        </w:rPr>
        <w:t>第四十三条</w:t>
      </w:r>
      <w:r>
        <w:rPr>
          <w:rFonts w:hint="eastAsia" w:ascii="仿宋_GB2312" w:hAnsi="仿宋_GB2312" w:eastAsia="仿宋_GB2312" w:cs="仿宋_GB2312"/>
          <w:b w:val="0"/>
          <w:bCs/>
          <w:szCs w:val="32"/>
          <w:lang w:val="en-US" w:eastAsia="zh-CN"/>
        </w:rPr>
        <w:t xml:space="preserve"> </w:t>
      </w:r>
      <w:r>
        <w:rPr>
          <w:rFonts w:hint="eastAsia" w:ascii="仿宋_GB2312" w:hAnsi="仿宋_GB2312" w:eastAsia="仿宋_GB2312" w:cs="仿宋_GB2312"/>
          <w:b w:val="0"/>
          <w:bCs/>
          <w:szCs w:val="32"/>
        </w:rPr>
        <w:t xml:space="preserve"> 县级以上人民政府及其有关部门应当建立</w:t>
      </w:r>
      <w:r>
        <w:rPr>
          <w:rFonts w:hint="eastAsia" w:ascii="仿宋_GB2312" w:hAnsi="仿宋_GB2312" w:eastAsia="仿宋_GB2312" w:cs="仿宋_GB2312"/>
          <w:b w:val="0"/>
          <w:bCs/>
          <w:kern w:val="0"/>
          <w:szCs w:val="32"/>
        </w:rPr>
        <w:t>执法责任追究制度。有下列情形之一的，应当依法追究其主要负责人、直接负责的主管人员和其他直接责任人员的责任：</w:t>
      </w:r>
    </w:p>
    <w:p>
      <w:pPr>
        <w:widowControl w:val="0"/>
        <w:wordWrap/>
        <w:adjustRightInd w:val="0"/>
        <w:spacing w:line="590" w:lineRule="exact"/>
        <w:ind w:firstLine="615"/>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（一）监督管理</w:t>
      </w:r>
      <w:r>
        <w:rPr>
          <w:rFonts w:hint="eastAsia" w:ascii="仿宋_GB2312" w:hAnsi="仿宋_GB2312" w:eastAsia="仿宋_GB2312" w:cs="仿宋_GB2312"/>
          <w:b w:val="0"/>
          <w:bCs/>
          <w:kern w:val="0"/>
          <w:szCs w:val="32"/>
        </w:rPr>
        <w:t>部门监管不力、造成严重后果的；</w:t>
      </w:r>
    </w:p>
    <w:p>
      <w:pPr>
        <w:widowControl w:val="0"/>
        <w:wordWrap/>
        <w:adjustRightInd w:val="0"/>
        <w:spacing w:line="590" w:lineRule="exact"/>
        <w:ind w:firstLine="615"/>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（二）监督管理</w:t>
      </w:r>
      <w:r>
        <w:rPr>
          <w:rFonts w:hint="eastAsia" w:ascii="仿宋_GB2312" w:hAnsi="仿宋_GB2312" w:eastAsia="仿宋_GB2312" w:cs="仿宋_GB2312"/>
          <w:b w:val="0"/>
          <w:bCs/>
          <w:kern w:val="0"/>
          <w:szCs w:val="32"/>
        </w:rPr>
        <w:t>部门及其他有关负有查处职责的部门，对依法应当受理的移送案件推诿或者不受理，造成严重后果的；</w:t>
      </w:r>
    </w:p>
    <w:p>
      <w:pPr>
        <w:widowControl w:val="0"/>
        <w:wordWrap/>
        <w:adjustRightInd w:val="0"/>
        <w:spacing w:line="590" w:lineRule="exact"/>
        <w:ind w:firstLine="615"/>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（三）</w:t>
      </w:r>
      <w:r>
        <w:rPr>
          <w:rFonts w:hint="eastAsia" w:ascii="仿宋_GB2312" w:hAnsi="仿宋_GB2312" w:eastAsia="仿宋_GB2312" w:cs="仿宋_GB2312"/>
          <w:b w:val="0"/>
          <w:bCs/>
          <w:szCs w:val="32"/>
        </w:rPr>
        <w:t>滥用职权，给公民、法人和其他组织的合法权益造成损害的</w:t>
      </w:r>
      <w:r>
        <w:rPr>
          <w:rFonts w:hint="eastAsia" w:ascii="仿宋_GB2312" w:hAnsi="仿宋_GB2312" w:eastAsia="仿宋_GB2312" w:cs="仿宋_GB2312"/>
          <w:b w:val="0"/>
          <w:bCs/>
          <w:kern w:val="0"/>
          <w:szCs w:val="32"/>
        </w:rPr>
        <w:t>。</w:t>
      </w:r>
    </w:p>
    <w:p>
      <w:pPr>
        <w:widowControl w:val="0"/>
        <w:wordWrap/>
        <w:adjustRightInd w:val="0"/>
        <w:spacing w:line="590" w:lineRule="exact"/>
        <w:ind w:firstLine="61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国家工作人员与制假售假人员相互勾结，或者包庇、纵容生产、销售假冒伪劣商品违法活动的，应当依法查处。</w:t>
      </w:r>
    </w:p>
    <w:p>
      <w:pPr>
        <w:widowControl w:val="0"/>
        <w:wordWrap/>
        <w:adjustRightInd w:val="0"/>
        <w:spacing w:line="590" w:lineRule="exact"/>
        <w:textAlignment w:val="auto"/>
        <w:rPr>
          <w:rFonts w:hint="eastAsia" w:ascii="宋体" w:hAnsi="宋体" w:eastAsia="宋体" w:cs="宋体"/>
          <w:b w:val="0"/>
          <w:bCs/>
          <w:szCs w:val="32"/>
        </w:rPr>
      </w:pPr>
    </w:p>
    <w:p>
      <w:pPr>
        <w:widowControl w:val="0"/>
        <w:numPr>
          <w:ilvl w:val="0"/>
          <w:numId w:val="0"/>
        </w:numPr>
        <w:wordWrap/>
        <w:adjustRightInd w:val="0"/>
        <w:spacing w:line="590" w:lineRule="exact"/>
        <w:jc w:val="center"/>
        <w:textAlignment w:val="auto"/>
        <w:rPr>
          <w:rFonts w:hint="eastAsia" w:ascii="仿宋_GB2312" w:hAnsi="仿宋_GB2312" w:eastAsia="仿宋_GB2312" w:cs="仿宋_GB2312"/>
          <w:b w:val="0"/>
          <w:bCs/>
          <w:szCs w:val="32"/>
        </w:rPr>
      </w:pPr>
      <w:r>
        <w:rPr>
          <w:rFonts w:hint="eastAsia" w:ascii="黑体" w:hAnsi="黑体" w:eastAsia="黑体" w:cs="黑体"/>
          <w:b w:val="0"/>
          <w:bCs/>
          <w:szCs w:val="32"/>
          <w:lang w:val="en-US" w:eastAsia="zh-CN"/>
        </w:rPr>
        <w:t xml:space="preserve">第四章 </w:t>
      </w:r>
      <w:r>
        <w:rPr>
          <w:rFonts w:hint="eastAsia" w:ascii="黑体" w:hAnsi="黑体" w:eastAsia="黑体" w:cs="黑体"/>
          <w:b w:val="0"/>
          <w:bCs/>
          <w:szCs w:val="32"/>
        </w:rPr>
        <w:t xml:space="preserve"> 社会监督</w:t>
      </w:r>
    </w:p>
    <w:p>
      <w:pPr>
        <w:widowControl w:val="0"/>
        <w:wordWrap/>
        <w:adjustRightInd w:val="0"/>
        <w:spacing w:line="590" w:lineRule="exact"/>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行业协会应当</w:t>
      </w:r>
      <w:r>
        <w:rPr>
          <w:rFonts w:hint="eastAsia" w:ascii="仿宋_GB2312" w:hAnsi="仿宋_GB2312" w:eastAsia="仿宋_GB2312" w:cs="仿宋_GB2312"/>
          <w:b w:val="0"/>
          <w:bCs/>
          <w:kern w:val="0"/>
          <w:szCs w:val="32"/>
        </w:rPr>
        <w:t>建立健全守信表彰、失信惩戒的行业自律机制</w:t>
      </w:r>
      <w:r>
        <w:rPr>
          <w:rFonts w:hint="eastAsia" w:ascii="仿宋_GB2312" w:hAnsi="仿宋_GB2312" w:eastAsia="仿宋_GB2312" w:cs="仿宋_GB2312"/>
          <w:b w:val="0"/>
          <w:bCs/>
          <w:szCs w:val="32"/>
        </w:rPr>
        <w:t>，指导、监督生产者、销售者的经营活动，引导其依法生产经营、履行社会责任、维护自身合法权益。</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行业协会发现行业内生产、销售假冒伪劣商品违法行为的，应当及时报告监督管理部门。</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监督管理部门应当向行业协会、生产者、销售者了解行业内商品质量的有关情况，及时发现问题并处理。</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消费者协会等保护消费者权益的组织就消费者反映的商品质量问题，有权建议有关部门负责处理，支持和协助消费者对因商品质量造成的损害向人民法院起诉。</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第四十六条</w:t>
      </w:r>
      <w:r>
        <w:rPr>
          <w:rFonts w:hint="eastAsia" w:ascii="仿宋_GB2312" w:hAnsi="仿宋_GB2312" w:eastAsia="仿宋_GB2312" w:cs="仿宋_GB2312"/>
          <w:b w:val="0"/>
          <w:bCs/>
          <w:szCs w:val="32"/>
        </w:rPr>
        <w:t xml:space="preserve"> </w:t>
      </w:r>
      <w:r>
        <w:rPr>
          <w:rStyle w:val="23"/>
          <w:rFonts w:hint="eastAsia" w:ascii="仿宋_GB2312" w:hAnsi="仿宋_GB2312" w:eastAsia="仿宋_GB2312" w:cs="仿宋_GB2312"/>
          <w:b w:val="0"/>
          <w:bCs/>
          <w:szCs w:val="32"/>
        </w:rPr>
        <w:t xml:space="preserve"> </w:t>
      </w:r>
      <w:r>
        <w:rPr>
          <w:rFonts w:hint="eastAsia" w:ascii="仿宋_GB2312" w:hAnsi="仿宋_GB2312" w:eastAsia="仿宋_GB2312" w:cs="仿宋_GB2312"/>
          <w:b w:val="0"/>
          <w:bCs/>
          <w:szCs w:val="32"/>
        </w:rPr>
        <w:t>产品质量认证机构应当依照国家规定对准许使用认证标志的商品进行认证后的跟踪检查；对不符合认证标准而使用认证标志的，要求其改正；情节严重的，取消其使用认证标志的资格。</w:t>
      </w:r>
    </w:p>
    <w:p>
      <w:pPr>
        <w:widowControl w:val="0"/>
        <w:wordWrap/>
        <w:adjustRightInd w:val="0"/>
        <w:spacing w:line="590" w:lineRule="exact"/>
        <w:ind w:firstLine="61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报刊、广播、电视、网络等媒体应当加大舆论监督力度，重点曝光制假窝点，假货集散地，数量巨大、情节严重的重点案件以及包庇、纵容制假售假等违法犯罪行为。</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鼓励社会团体、基层群众性自治组织和媒体开展商品安全知识及相关法律、法规的普及宣传工作，</w:t>
      </w:r>
      <w:r>
        <w:rPr>
          <w:rFonts w:hint="eastAsia" w:ascii="仿宋_GB2312" w:hAnsi="仿宋_GB2312" w:eastAsia="仿宋_GB2312" w:cs="仿宋_GB2312"/>
          <w:b w:val="0"/>
          <w:bCs/>
          <w:kern w:val="0"/>
          <w:szCs w:val="32"/>
        </w:rPr>
        <w:t>引导消费者选择合法生产者、销售者生产、销售的商品以及有合法标识的商品</w:t>
      </w:r>
      <w:r>
        <w:rPr>
          <w:rFonts w:hint="eastAsia" w:ascii="仿宋_GB2312" w:hAnsi="仿宋_GB2312" w:eastAsia="仿宋_GB2312" w:cs="仿宋_GB2312"/>
          <w:b w:val="0"/>
          <w:bCs/>
          <w:szCs w:val="32"/>
        </w:rPr>
        <w:t>，增强消费者商品安全意识和防假辨假能力。</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用户和消费者有权要求生产者、销售者提供的商品符合保障人身、财产安全的要求；有权就商品质量问题，向商品的生产者、销售者查询、提出意见和进行监督，对查处生产、销售假冒伪劣商品违法行为的工作提出批评、建议。</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iCs/>
          <w:szCs w:val="32"/>
          <w:u w:val="single"/>
        </w:rPr>
      </w:pPr>
      <w:r>
        <w:rPr>
          <w:rFonts w:hint="eastAsia" w:ascii="仿宋_GB2312" w:hAnsi="仿宋_GB2312" w:eastAsia="仿宋_GB2312" w:cs="仿宋_GB2312"/>
          <w:b w:val="0"/>
          <w:bCs/>
          <w:szCs w:val="32"/>
        </w:rPr>
        <w:t>用户和消费者因购买、使用商品受到人身、财产损害的，享有依法获得赔偿的权利。</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鼓励和支持用户、消费者通过投诉、调解、仲裁和民事诉讼等方式维护自己的合法权益。</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任何单位和个人有权对生产、销售假冒伪劣商品的违法行为，向监督管理部门举报。鼓励和支持生产者、销售者对假冒其商品的违法行为进行调查和举报。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举报人的合法权利受法律保护，禁止打击、报复举报人。监督管理部门应当为举报人保密。</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第五十一条</w:t>
      </w:r>
      <w:r>
        <w:rPr>
          <w:rFonts w:hint="eastAsia" w:ascii="仿宋_GB2312" w:hAnsi="仿宋_GB2312" w:eastAsia="仿宋_GB2312" w:cs="仿宋_GB2312"/>
          <w:b w:val="0"/>
          <w:bCs/>
          <w:szCs w:val="32"/>
        </w:rPr>
        <w:t xml:space="preserve">  监督管理部门应当</w:t>
      </w:r>
      <w:r>
        <w:rPr>
          <w:rFonts w:hint="eastAsia" w:ascii="仿宋_GB2312" w:hAnsi="仿宋_GB2312" w:eastAsia="仿宋_GB2312" w:cs="仿宋_GB2312"/>
          <w:b w:val="0"/>
          <w:bCs/>
          <w:kern w:val="0"/>
          <w:szCs w:val="32"/>
        </w:rPr>
        <w:t>畅通投诉举报渠道</w:t>
      </w:r>
      <w:r>
        <w:rPr>
          <w:rFonts w:hint="eastAsia" w:ascii="仿宋_GB2312" w:hAnsi="仿宋_GB2312" w:eastAsia="仿宋_GB2312" w:cs="仿宋_GB2312"/>
          <w:b w:val="0"/>
          <w:bCs/>
          <w:szCs w:val="32"/>
        </w:rPr>
        <w:t>，向社会</w:t>
      </w:r>
      <w:r>
        <w:rPr>
          <w:rFonts w:hint="eastAsia" w:ascii="仿宋_GB2312" w:hAnsi="仿宋_GB2312" w:eastAsia="仿宋_GB2312" w:cs="仿宋_GB2312"/>
          <w:b w:val="0"/>
          <w:bCs/>
          <w:kern w:val="0"/>
          <w:szCs w:val="32"/>
        </w:rPr>
        <w:t>公布举报电话、电子邮件地址</w:t>
      </w:r>
      <w:r>
        <w:rPr>
          <w:rFonts w:hint="eastAsia" w:ascii="仿宋_GB2312" w:hAnsi="仿宋_GB2312" w:eastAsia="仿宋_GB2312" w:cs="仿宋_GB2312"/>
          <w:b w:val="0"/>
          <w:bCs/>
          <w:szCs w:val="32"/>
        </w:rPr>
        <w:t>等信息。</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监督管理部门接到投诉、举报后，</w:t>
      </w:r>
      <w:r>
        <w:rPr>
          <w:rFonts w:hint="eastAsia" w:ascii="仿宋_GB2312" w:hAnsi="仿宋_GB2312" w:eastAsia="仿宋_GB2312" w:cs="仿宋_GB2312"/>
          <w:b w:val="0"/>
          <w:bCs/>
          <w:kern w:val="0"/>
          <w:szCs w:val="32"/>
        </w:rPr>
        <w:t>应当及时、完整地进行记录并妥善保存。</w:t>
      </w:r>
      <w:r>
        <w:rPr>
          <w:rFonts w:hint="eastAsia" w:ascii="仿宋_GB2312" w:hAnsi="仿宋_GB2312" w:eastAsia="仿宋_GB2312" w:cs="仿宋_GB2312"/>
          <w:b w:val="0"/>
          <w:bCs/>
          <w:szCs w:val="32"/>
        </w:rPr>
        <w:t>投诉、</w:t>
      </w:r>
      <w:r>
        <w:rPr>
          <w:rFonts w:hint="eastAsia" w:ascii="仿宋_GB2312" w:hAnsi="仿宋_GB2312" w:eastAsia="仿宋_GB2312" w:cs="仿宋_GB2312"/>
          <w:b w:val="0"/>
          <w:bCs/>
          <w:kern w:val="0"/>
          <w:szCs w:val="32"/>
        </w:rPr>
        <w:t>举报的事项属于本部门职责的，应当受理，并及时依法进行核实、处理、答复；不属于本部门职责的，应当转交有权处理的部门，并告知举报、投诉人。</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kern w:val="0"/>
          <w:szCs w:val="32"/>
        </w:rPr>
      </w:pPr>
      <w:r>
        <w:rPr>
          <w:rFonts w:hint="eastAsia" w:ascii="黑体" w:hAnsi="黑体" w:eastAsia="黑体" w:cs="黑体"/>
          <w:b w:val="0"/>
          <w:bCs/>
          <w:szCs w:val="32"/>
        </w:rPr>
        <w:t>第五十二条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案件依法查处后，</w:t>
      </w:r>
      <w:r>
        <w:rPr>
          <w:rFonts w:hint="eastAsia" w:ascii="仿宋_GB2312" w:hAnsi="仿宋_GB2312" w:eastAsia="仿宋_GB2312" w:cs="仿宋_GB2312"/>
          <w:b w:val="0"/>
          <w:bCs/>
          <w:szCs w:val="32"/>
        </w:rPr>
        <w:t>监督管理</w:t>
      </w:r>
      <w:r>
        <w:rPr>
          <w:rFonts w:hint="eastAsia" w:ascii="仿宋_GB2312" w:hAnsi="仿宋_GB2312" w:eastAsia="仿宋_GB2312" w:cs="仿宋_GB2312"/>
          <w:b w:val="0"/>
          <w:bCs/>
          <w:iCs/>
          <w:kern w:val="0"/>
          <w:szCs w:val="32"/>
        </w:rPr>
        <w:t>部门给予举报人罚没款数额</w:t>
      </w:r>
      <w:r>
        <w:rPr>
          <w:rFonts w:hint="eastAsia" w:ascii="仿宋_GB2312" w:hAnsi="仿宋_GB2312" w:eastAsia="仿宋_GB2312" w:cs="仿宋_GB2312"/>
          <w:b w:val="0"/>
          <w:bCs/>
          <w:kern w:val="0"/>
          <w:szCs w:val="32"/>
        </w:rPr>
        <w:t>百分之一以上、</w:t>
      </w:r>
      <w:r>
        <w:rPr>
          <w:rFonts w:hint="eastAsia" w:ascii="仿宋_GB2312" w:hAnsi="仿宋_GB2312" w:eastAsia="仿宋_GB2312" w:cs="仿宋_GB2312"/>
          <w:b w:val="0"/>
          <w:bCs/>
          <w:iCs/>
          <w:kern w:val="0"/>
          <w:szCs w:val="32"/>
        </w:rPr>
        <w:t>百分之十以下的奖励；没有罚没款的，给予适当奖励。奖金在办案经费中列支。</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奖励的具体办法由省人民政府另行制定。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生产者、销售者不得捏造、散布虚假信息，损害竞争对手的商业信誉、商品声誉。</w:t>
      </w:r>
    </w:p>
    <w:p>
      <w:pPr>
        <w:widowControl w:val="0"/>
        <w:wordWrap/>
        <w:adjustRightInd w:val="0"/>
        <w:spacing w:line="590" w:lineRule="exact"/>
        <w:ind w:firstLine="640" w:firstLineChars="200"/>
        <w:textAlignment w:val="auto"/>
        <w:rPr>
          <w:rFonts w:hint="eastAsia" w:ascii="宋体" w:hAnsi="宋体" w:eastAsia="宋体" w:cs="宋体"/>
          <w:b w:val="0"/>
          <w:bCs/>
          <w:szCs w:val="32"/>
        </w:rPr>
      </w:pPr>
    </w:p>
    <w:p>
      <w:pPr>
        <w:widowControl w:val="0"/>
        <w:wordWrap/>
        <w:adjustRightInd w:val="0"/>
        <w:spacing w:line="590" w:lineRule="exact"/>
        <w:jc w:val="center"/>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第五章  法律责任</w:t>
      </w:r>
    </w:p>
    <w:p>
      <w:pPr>
        <w:widowControl w:val="0"/>
        <w:wordWrap/>
        <w:adjustRightInd w:val="0"/>
        <w:spacing w:line="590" w:lineRule="exact"/>
        <w:textAlignment w:val="auto"/>
        <w:rPr>
          <w:rFonts w:hint="eastAsia" w:ascii="宋体" w:hAnsi="宋体" w:eastAsia="仿宋_GB2312" w:cs="宋体"/>
          <w:b w:val="0"/>
          <w:bCs/>
          <w:kern w:val="0"/>
          <w:szCs w:val="32"/>
        </w:rPr>
      </w:pP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生产、销售假冒伪劣商品或者为生产、销售假冒伪劣商品提供服务，构成犯罪的，依法追究刑事责任。</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第五十五条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生产、销售</w:t>
      </w:r>
      <w:r>
        <w:rPr>
          <w:rFonts w:hint="eastAsia" w:ascii="仿宋_GB2312" w:hAnsi="仿宋_GB2312" w:eastAsia="仿宋_GB2312" w:cs="仿宋_GB2312"/>
          <w:b w:val="0"/>
          <w:bCs/>
          <w:szCs w:val="32"/>
        </w:rPr>
        <w:t>本条例第十条第一、</w:t>
      </w:r>
      <w:r>
        <w:rPr>
          <w:rFonts w:hint="eastAsia" w:ascii="仿宋_GB2312" w:hAnsi="仿宋_GB2312" w:eastAsia="仿宋_GB2312" w:cs="仿宋_GB2312"/>
          <w:b w:val="0"/>
          <w:bCs/>
          <w:kern w:val="0"/>
          <w:szCs w:val="32"/>
        </w:rPr>
        <w:t>二、三、四、五、六</w:t>
      </w:r>
      <w:r>
        <w:rPr>
          <w:rFonts w:hint="eastAsia" w:ascii="仿宋_GB2312" w:hAnsi="仿宋_GB2312" w:eastAsia="仿宋_GB2312" w:cs="仿宋_GB2312"/>
          <w:b w:val="0"/>
          <w:bCs/>
          <w:szCs w:val="32"/>
        </w:rPr>
        <w:t>项所列</w:t>
      </w:r>
      <w:r>
        <w:rPr>
          <w:rFonts w:hint="eastAsia" w:ascii="仿宋_GB2312" w:hAnsi="仿宋_GB2312" w:eastAsia="仿宋_GB2312" w:cs="仿宋_GB2312"/>
          <w:b w:val="0"/>
          <w:bCs/>
          <w:kern w:val="0"/>
          <w:szCs w:val="32"/>
        </w:rPr>
        <w:t>商品的，责令停止生产、销售，没收销售收入和违法生产、销售的商品，并处以该批违法商品货值金额</w:t>
      </w:r>
      <w:r>
        <w:rPr>
          <w:rFonts w:hint="eastAsia" w:ascii="仿宋_GB2312" w:hAnsi="仿宋_GB2312" w:eastAsia="仿宋_GB2312" w:cs="仿宋_GB2312"/>
          <w:b w:val="0"/>
          <w:bCs/>
          <w:iCs/>
          <w:kern w:val="0"/>
          <w:szCs w:val="32"/>
        </w:rPr>
        <w:t>等值以上</w:t>
      </w:r>
      <w:r>
        <w:rPr>
          <w:rFonts w:hint="eastAsia" w:ascii="仿宋_GB2312" w:hAnsi="仿宋_GB2312" w:eastAsia="仿宋_GB2312" w:cs="仿宋_GB2312"/>
          <w:b w:val="0"/>
          <w:bCs/>
          <w:szCs w:val="32"/>
        </w:rPr>
        <w:t>三</w:t>
      </w:r>
      <w:r>
        <w:rPr>
          <w:rFonts w:hint="eastAsia" w:ascii="仿宋_GB2312" w:hAnsi="仿宋_GB2312" w:eastAsia="仿宋_GB2312" w:cs="仿宋_GB2312"/>
          <w:b w:val="0"/>
          <w:bCs/>
          <w:kern w:val="0"/>
          <w:szCs w:val="32"/>
        </w:rPr>
        <w:t>倍</w:t>
      </w:r>
      <w:r>
        <w:rPr>
          <w:rFonts w:hint="eastAsia" w:ascii="仿宋_GB2312" w:hAnsi="仿宋_GB2312" w:eastAsia="仿宋_GB2312" w:cs="仿宋_GB2312"/>
          <w:b w:val="0"/>
          <w:bCs/>
          <w:iCs/>
          <w:kern w:val="0"/>
          <w:szCs w:val="32"/>
        </w:rPr>
        <w:t>以下</w:t>
      </w:r>
      <w:r>
        <w:rPr>
          <w:rFonts w:hint="eastAsia" w:ascii="仿宋_GB2312" w:hAnsi="仿宋_GB2312" w:eastAsia="仿宋_GB2312" w:cs="仿宋_GB2312"/>
          <w:b w:val="0"/>
          <w:bCs/>
          <w:kern w:val="0"/>
          <w:szCs w:val="32"/>
        </w:rPr>
        <w:t>罚款。</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生产、销售本条例第十条第七项所列商品的，责令停止销售，没收违法销售的商品，并处违法销售商品货值金额二倍以下的罚款；有违法所得的，并处没收违法所得。</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生产、销售本条例第</w:t>
      </w:r>
      <w:r>
        <w:rPr>
          <w:rFonts w:hint="eastAsia" w:ascii="仿宋_GB2312" w:hAnsi="仿宋_GB2312" w:eastAsia="仿宋_GB2312" w:cs="仿宋_GB2312"/>
          <w:b w:val="0"/>
          <w:bCs/>
          <w:szCs w:val="32"/>
        </w:rPr>
        <w:t>十</w:t>
      </w:r>
      <w:r>
        <w:rPr>
          <w:rFonts w:hint="eastAsia" w:ascii="仿宋_GB2312" w:hAnsi="仿宋_GB2312" w:eastAsia="仿宋_GB2312" w:cs="仿宋_GB2312"/>
          <w:b w:val="0"/>
          <w:bCs/>
          <w:kern w:val="0"/>
          <w:szCs w:val="32"/>
        </w:rPr>
        <w:t>条第八、九、十、十一、十二项所列商品的，</w:t>
      </w:r>
      <w:r>
        <w:rPr>
          <w:rFonts w:hint="eastAsia" w:ascii="仿宋_GB2312" w:hAnsi="仿宋_GB2312" w:eastAsia="仿宋_GB2312" w:cs="仿宋_GB2312"/>
          <w:b w:val="0"/>
          <w:bCs/>
          <w:szCs w:val="32"/>
        </w:rPr>
        <w:t>责令改正，没收违法生产、销售的商品，并处违法生产、销售商品货值金额等值以下的罚款；有违法所得的，并处没收违法所得</w:t>
      </w:r>
      <w:r>
        <w:rPr>
          <w:rFonts w:hint="eastAsia" w:ascii="仿宋_GB2312" w:hAnsi="仿宋_GB2312" w:eastAsia="仿宋_GB2312" w:cs="仿宋_GB2312"/>
          <w:b w:val="0"/>
          <w:bCs/>
          <w:kern w:val="0"/>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生产、销售本条例第</w:t>
      </w:r>
      <w:r>
        <w:rPr>
          <w:rFonts w:hint="eastAsia" w:ascii="仿宋_GB2312" w:hAnsi="仿宋_GB2312" w:eastAsia="仿宋_GB2312" w:cs="仿宋_GB2312"/>
          <w:b w:val="0"/>
          <w:bCs/>
          <w:szCs w:val="32"/>
        </w:rPr>
        <w:t>十</w:t>
      </w:r>
      <w:r>
        <w:rPr>
          <w:rFonts w:hint="eastAsia" w:ascii="仿宋_GB2312" w:hAnsi="仿宋_GB2312" w:eastAsia="仿宋_GB2312" w:cs="仿宋_GB2312"/>
          <w:b w:val="0"/>
          <w:bCs/>
          <w:kern w:val="0"/>
          <w:szCs w:val="32"/>
        </w:rPr>
        <w:t>条第一、二、三、四、五、六、七、八、九、十、十一、十二项所列商品，法律法规对处罚另有规定的，从其规定。生产、销售本条例第</w:t>
      </w:r>
      <w:r>
        <w:rPr>
          <w:rFonts w:hint="eastAsia" w:ascii="仿宋_GB2312" w:hAnsi="仿宋_GB2312" w:eastAsia="仿宋_GB2312" w:cs="仿宋_GB2312"/>
          <w:b w:val="0"/>
          <w:bCs/>
          <w:szCs w:val="32"/>
        </w:rPr>
        <w:t>十</w:t>
      </w:r>
      <w:r>
        <w:rPr>
          <w:rFonts w:hint="eastAsia" w:ascii="仿宋_GB2312" w:hAnsi="仿宋_GB2312" w:eastAsia="仿宋_GB2312" w:cs="仿宋_GB2312"/>
          <w:b w:val="0"/>
          <w:bCs/>
          <w:kern w:val="0"/>
          <w:szCs w:val="32"/>
        </w:rPr>
        <w:t>条第十三项所列商品的，依照《中华人民共和国商标法》、《中华人民共和国专利法》、《中华人民共和国著作权法》等相关法律、法规予以处罚。</w:t>
      </w:r>
    </w:p>
    <w:p>
      <w:pPr>
        <w:pStyle w:val="18"/>
        <w:widowControl/>
        <w:numPr>
          <w:ilvl w:val="0"/>
          <w:numId w:val="0"/>
        </w:numPr>
        <w:wordWrap/>
        <w:adjustRightInd/>
        <w:snapToGrid w:val="0"/>
        <w:spacing w:before="0" w:beforeLines="0" w:beforeAutospacing="0" w:after="0" w:afterLines="0" w:afterAutospacing="0" w:line="590" w:lineRule="exact"/>
        <w:ind w:leftChars="0" w:right="0" w:firstLine="640" w:firstLineChars="200"/>
        <w:jc w:val="both"/>
        <w:textAlignment w:val="auto"/>
        <w:outlineLvl w:val="9"/>
        <w:rPr>
          <w:rFonts w:hint="eastAsia" w:ascii="仿宋_GB2312" w:hAnsi="仿宋_GB2312" w:eastAsia="仿宋_GB2312" w:cs="仿宋_GB2312"/>
          <w:b w:val="0"/>
          <w:bCs/>
          <w:i/>
          <w:iCs/>
          <w:szCs w:val="32"/>
          <w:u w:val="single"/>
        </w:rPr>
      </w:pPr>
      <w:r>
        <w:rPr>
          <w:rFonts w:hint="eastAsia" w:ascii="黑体" w:hAnsi="黑体" w:eastAsia="黑体" w:cs="黑体"/>
          <w:b w:val="0"/>
          <w:bCs/>
          <w:i w:val="0"/>
          <w:iCs w:val="0"/>
          <w:sz w:val="32"/>
          <w:szCs w:val="32"/>
        </w:rPr>
        <w:t>第五十六条</w:t>
      </w:r>
      <w:r>
        <w:rPr>
          <w:rFonts w:hint="eastAsia" w:ascii="仿宋_GB2312" w:hAnsi="仿宋_GB2312" w:eastAsia="仿宋_GB2312" w:cs="仿宋_GB2312"/>
          <w:b w:val="0"/>
          <w:bCs/>
          <w:i w:val="0"/>
          <w:iCs w:val="0"/>
          <w:sz w:val="32"/>
          <w:szCs w:val="32"/>
        </w:rPr>
        <w:t xml:space="preserve"> </w:t>
      </w:r>
      <w:r>
        <w:rPr>
          <w:rFonts w:hint="eastAsia" w:ascii="仿宋_GB2312" w:hAnsi="仿宋_GB2312" w:cs="仿宋_GB2312"/>
          <w:b w:val="0"/>
          <w:bCs/>
          <w:i w:val="0"/>
          <w:iCs w:val="0"/>
          <w:sz w:val="32"/>
          <w:szCs w:val="32"/>
          <w:lang w:val="en-US" w:eastAsia="zh-CN"/>
        </w:rPr>
        <w:t xml:space="preserve"> </w:t>
      </w:r>
      <w:r>
        <w:rPr>
          <w:rFonts w:hint="eastAsia" w:ascii="仿宋_GB2312" w:hAnsi="仿宋_GB2312" w:eastAsia="仿宋_GB2312" w:cs="仿宋_GB2312"/>
          <w:b w:val="0"/>
          <w:bCs/>
          <w:i w:val="0"/>
          <w:iCs w:val="0"/>
          <w:kern w:val="0"/>
          <w:sz w:val="32"/>
          <w:szCs w:val="32"/>
        </w:rPr>
        <w:t>生产、销售</w:t>
      </w:r>
      <w:r>
        <w:rPr>
          <w:rFonts w:hint="eastAsia" w:ascii="仿宋_GB2312" w:hAnsi="仿宋_GB2312" w:eastAsia="仿宋_GB2312" w:cs="仿宋_GB2312"/>
          <w:b w:val="0"/>
          <w:bCs/>
          <w:i w:val="0"/>
          <w:iCs w:val="0"/>
          <w:sz w:val="32"/>
          <w:szCs w:val="32"/>
        </w:rPr>
        <w:t>本条例第十条第一、</w:t>
      </w:r>
      <w:r>
        <w:rPr>
          <w:rFonts w:hint="eastAsia" w:ascii="仿宋_GB2312" w:hAnsi="仿宋_GB2312" w:eastAsia="仿宋_GB2312" w:cs="仿宋_GB2312"/>
          <w:b w:val="0"/>
          <w:bCs/>
          <w:i w:val="0"/>
          <w:iCs w:val="0"/>
          <w:kern w:val="0"/>
          <w:sz w:val="32"/>
          <w:szCs w:val="32"/>
        </w:rPr>
        <w:t>二、三、四、五、六、七、八</w:t>
      </w:r>
      <w:r>
        <w:rPr>
          <w:rFonts w:hint="eastAsia" w:ascii="仿宋_GB2312" w:hAnsi="仿宋_GB2312" w:eastAsia="仿宋_GB2312" w:cs="仿宋_GB2312"/>
          <w:b w:val="0"/>
          <w:bCs/>
          <w:i w:val="0"/>
          <w:iCs w:val="0"/>
          <w:sz w:val="32"/>
          <w:szCs w:val="32"/>
        </w:rPr>
        <w:t>项所列食品，危害人体健康、生命安全的，</w:t>
      </w:r>
      <w:r>
        <w:rPr>
          <w:rStyle w:val="65"/>
          <w:rFonts w:hint="eastAsia" w:ascii="仿宋_GB2312" w:hAnsi="仿宋_GB2312" w:eastAsia="仿宋_GB2312" w:cs="仿宋_GB2312"/>
          <w:color w:val="000000"/>
          <w:sz w:val="32"/>
          <w:szCs w:val="32"/>
          <w:lang w:val="en-US" w:eastAsia="zh-CN"/>
        </w:rPr>
        <w:t>依照《</w:t>
      </w:r>
      <w:r>
        <w:rPr>
          <w:rFonts w:hint="eastAsia" w:ascii="仿宋_GB2312" w:hAnsi="仿宋_GB2312" w:eastAsia="仿宋_GB2312" w:cs="仿宋_GB2312"/>
          <w:color w:val="000000"/>
          <w:sz w:val="32"/>
          <w:szCs w:val="32"/>
          <w:lang w:val="en-US" w:eastAsia="zh-CN"/>
        </w:rPr>
        <w:fldChar w:fldCharType="begin"/>
      </w:r>
      <w:r>
        <w:rPr>
          <w:rStyle w:val="65"/>
          <w:rFonts w:hint="eastAsia" w:ascii="仿宋_GB2312" w:hAnsi="仿宋_GB2312" w:eastAsia="仿宋_GB2312" w:cs="仿宋_GB2312"/>
          <w:color w:val="000000"/>
          <w:sz w:val="32"/>
          <w:szCs w:val="32"/>
          <w:lang w:val="en-US" w:eastAsia="zh-CN"/>
        </w:rPr>
        <w:instrText xml:space="preserve"> HYPERLINK "http://10.110.8.122:81/javascript:SLC(59774,0)" </w:instrText>
      </w:r>
      <w:r>
        <w:rPr>
          <w:rFonts w:hint="eastAsia" w:ascii="仿宋_GB2312" w:hAnsi="仿宋_GB2312" w:eastAsia="仿宋_GB2312" w:cs="仿宋_GB2312"/>
          <w:color w:val="000000"/>
          <w:sz w:val="32"/>
          <w:szCs w:val="32"/>
          <w:lang w:val="en-US" w:eastAsia="zh-CN"/>
        </w:rPr>
        <w:fldChar w:fldCharType="separate"/>
      </w:r>
      <w:r>
        <w:rPr>
          <w:rStyle w:val="65"/>
          <w:rFonts w:hint="eastAsia" w:ascii="仿宋_GB2312" w:hAnsi="仿宋_GB2312" w:eastAsia="仿宋_GB2312" w:cs="仿宋_GB2312"/>
          <w:color w:val="000000"/>
          <w:sz w:val="32"/>
          <w:szCs w:val="32"/>
          <w:lang w:val="en-US" w:eastAsia="zh-CN"/>
        </w:rPr>
        <w:t>中华人民共和国食</w:t>
      </w:r>
      <w:r>
        <w:rPr>
          <w:rFonts w:hint="eastAsia" w:ascii="仿宋_GB2312" w:hAnsi="仿宋_GB2312" w:eastAsia="仿宋_GB2312" w:cs="仿宋_GB2312"/>
          <w:color w:val="000000"/>
          <w:sz w:val="32"/>
          <w:szCs w:val="32"/>
          <w:lang w:val="en-US" w:eastAsia="zh-CN"/>
        </w:rPr>
        <w:fldChar w:fldCharType="end"/>
      </w:r>
      <w:r>
        <w:rPr>
          <w:rStyle w:val="65"/>
          <w:rFonts w:hint="eastAsia" w:ascii="仿宋_GB2312" w:hAnsi="仿宋_GB2312" w:eastAsia="仿宋_GB2312" w:cs="仿宋_GB2312"/>
          <w:color w:val="000000"/>
          <w:sz w:val="32"/>
          <w:szCs w:val="32"/>
          <w:lang w:val="en-US" w:eastAsia="zh-CN"/>
        </w:rPr>
        <w:t>品</w:t>
      </w:r>
      <w:r>
        <w:rPr>
          <w:rFonts w:hint="eastAsia" w:ascii="仿宋_GB2312" w:hAnsi="仿宋_GB2312" w:eastAsia="仿宋_GB2312" w:cs="仿宋_GB2312"/>
          <w:sz w:val="32"/>
          <w:szCs w:val="32"/>
          <w:lang w:val="en-US" w:eastAsia="zh-CN"/>
        </w:rPr>
        <w:t>安全法</w:t>
      </w:r>
      <w:r>
        <w:rPr>
          <w:rStyle w:val="65"/>
          <w:rFonts w:hint="eastAsia" w:ascii="仿宋_GB2312" w:hAnsi="仿宋_GB2312" w:eastAsia="仿宋_GB2312" w:cs="仿宋_GB2312"/>
          <w:color w:val="000000"/>
          <w:sz w:val="32"/>
          <w:szCs w:val="32"/>
          <w:lang w:val="en-US" w:eastAsia="zh-CN"/>
        </w:rPr>
        <w:t>》的规定处罚。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iCs/>
          <w:kern w:val="0"/>
          <w:szCs w:val="32"/>
          <w:u w:val="single"/>
        </w:rPr>
      </w:pPr>
      <w:r>
        <w:rPr>
          <w:rFonts w:hint="eastAsia" w:ascii="仿宋_GB2312" w:hAnsi="仿宋_GB2312" w:eastAsia="仿宋_GB2312" w:cs="仿宋_GB2312"/>
          <w:b w:val="0"/>
          <w:bCs/>
          <w:i w:val="0"/>
          <w:iCs w:val="0"/>
          <w:kern w:val="0"/>
          <w:szCs w:val="32"/>
        </w:rPr>
        <w:t>生产、销售</w:t>
      </w:r>
      <w:r>
        <w:rPr>
          <w:rFonts w:hint="eastAsia" w:ascii="仿宋_GB2312" w:hAnsi="仿宋_GB2312" w:eastAsia="仿宋_GB2312" w:cs="仿宋_GB2312"/>
          <w:b w:val="0"/>
          <w:bCs/>
          <w:i w:val="0"/>
          <w:iCs w:val="0"/>
          <w:szCs w:val="32"/>
        </w:rPr>
        <w:t>本条例第十条第一、</w:t>
      </w:r>
      <w:r>
        <w:rPr>
          <w:rFonts w:hint="eastAsia" w:ascii="仿宋_GB2312" w:hAnsi="仿宋_GB2312" w:eastAsia="仿宋_GB2312" w:cs="仿宋_GB2312"/>
          <w:b w:val="0"/>
          <w:bCs/>
          <w:i w:val="0"/>
          <w:iCs w:val="0"/>
          <w:kern w:val="0"/>
          <w:szCs w:val="32"/>
        </w:rPr>
        <w:t>二、三、四、七、八</w:t>
      </w:r>
      <w:r>
        <w:rPr>
          <w:rFonts w:hint="eastAsia" w:ascii="仿宋_GB2312" w:hAnsi="仿宋_GB2312" w:eastAsia="仿宋_GB2312" w:cs="仿宋_GB2312"/>
          <w:b w:val="0"/>
          <w:bCs/>
          <w:i w:val="0"/>
          <w:iCs w:val="0"/>
          <w:szCs w:val="32"/>
        </w:rPr>
        <w:t>项所列药品，危害人体健康、生命安全的，</w:t>
      </w:r>
      <w:r>
        <w:rPr>
          <w:rStyle w:val="65"/>
          <w:rFonts w:hint="eastAsia" w:ascii="仿宋_GB2312" w:hAnsi="仿宋_GB2312" w:eastAsia="仿宋_GB2312" w:cs="仿宋_GB2312"/>
          <w:color w:val="000000"/>
          <w:sz w:val="32"/>
          <w:szCs w:val="32"/>
          <w:lang w:val="en-US" w:eastAsia="zh-CN"/>
        </w:rPr>
        <w:t>依照《中华</w:t>
      </w:r>
      <w:r>
        <w:rPr>
          <w:rStyle w:val="65"/>
          <w:rFonts w:hint="eastAsia" w:ascii="仿宋_GB2312" w:hAnsi="仿宋_GB2312" w:cs="仿宋_GB2312"/>
          <w:color w:val="000000"/>
          <w:sz w:val="32"/>
          <w:szCs w:val="32"/>
          <w:lang w:val="en-US" w:eastAsia="zh-CN"/>
        </w:rPr>
        <w:t>人民</w:t>
      </w:r>
      <w:r>
        <w:rPr>
          <w:rStyle w:val="65"/>
          <w:rFonts w:hint="eastAsia" w:ascii="仿宋_GB2312" w:hAnsi="仿宋_GB2312" w:eastAsia="仿宋_GB2312" w:cs="仿宋_GB2312"/>
          <w:color w:val="000000"/>
          <w:sz w:val="32"/>
          <w:szCs w:val="32"/>
          <w:lang w:val="en-US" w:eastAsia="zh-CN"/>
        </w:rPr>
        <w:t>共和国药品管理</w:t>
      </w:r>
      <w:r>
        <w:rPr>
          <w:rFonts w:hint="eastAsia" w:ascii="仿宋_GB2312" w:hAnsi="仿宋_GB2312" w:eastAsia="仿宋_GB2312" w:cs="仿宋_GB2312"/>
          <w:sz w:val="32"/>
          <w:szCs w:val="32"/>
          <w:lang w:val="en-US" w:eastAsia="zh-CN"/>
        </w:rPr>
        <w:t>法</w:t>
      </w:r>
      <w:r>
        <w:rPr>
          <w:rStyle w:val="65"/>
          <w:rFonts w:hint="eastAsia" w:ascii="仿宋_GB2312" w:hAnsi="仿宋_GB2312" w:eastAsia="仿宋_GB2312" w:cs="仿宋_GB2312"/>
          <w:color w:val="000000"/>
          <w:sz w:val="32"/>
          <w:szCs w:val="32"/>
          <w:lang w:val="en-US" w:eastAsia="zh-CN"/>
        </w:rPr>
        <w:t>》的规定处罚。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iCs/>
          <w:kern w:val="0"/>
          <w:szCs w:val="32"/>
          <w:u w:val="single"/>
        </w:rPr>
      </w:pPr>
      <w:r>
        <w:rPr>
          <w:rFonts w:hint="eastAsia" w:ascii="仿宋_GB2312" w:hAnsi="仿宋_GB2312" w:eastAsia="仿宋_GB2312" w:cs="仿宋_GB2312"/>
          <w:b w:val="0"/>
          <w:bCs/>
          <w:i w:val="0"/>
          <w:iCs w:val="0"/>
          <w:kern w:val="0"/>
          <w:szCs w:val="32"/>
        </w:rPr>
        <w:t>生产、销售</w:t>
      </w:r>
      <w:r>
        <w:rPr>
          <w:rFonts w:hint="eastAsia" w:ascii="仿宋_GB2312" w:hAnsi="仿宋_GB2312" w:eastAsia="仿宋_GB2312" w:cs="仿宋_GB2312"/>
          <w:b w:val="0"/>
          <w:bCs/>
          <w:i w:val="0"/>
          <w:iCs w:val="0"/>
          <w:szCs w:val="32"/>
        </w:rPr>
        <w:t>本条例第十条第一、</w:t>
      </w:r>
      <w:r>
        <w:rPr>
          <w:rFonts w:hint="eastAsia" w:ascii="仿宋_GB2312" w:hAnsi="仿宋_GB2312" w:eastAsia="仿宋_GB2312" w:cs="仿宋_GB2312"/>
          <w:b w:val="0"/>
          <w:bCs/>
          <w:i w:val="0"/>
          <w:iCs w:val="0"/>
          <w:kern w:val="0"/>
          <w:szCs w:val="32"/>
        </w:rPr>
        <w:t>二、三、四、七、八</w:t>
      </w:r>
      <w:r>
        <w:rPr>
          <w:rFonts w:hint="eastAsia" w:ascii="仿宋_GB2312" w:hAnsi="仿宋_GB2312" w:eastAsia="仿宋_GB2312" w:cs="仿宋_GB2312"/>
          <w:b w:val="0"/>
          <w:bCs/>
          <w:i w:val="0"/>
          <w:iCs w:val="0"/>
          <w:szCs w:val="32"/>
        </w:rPr>
        <w:t>项所列其他</w:t>
      </w:r>
      <w:r>
        <w:rPr>
          <w:rFonts w:hint="eastAsia" w:ascii="仿宋_GB2312" w:hAnsi="仿宋_GB2312" w:eastAsia="仿宋_GB2312" w:cs="仿宋_GB2312"/>
          <w:b w:val="0"/>
          <w:bCs/>
          <w:i w:val="0"/>
          <w:iCs w:val="0"/>
          <w:kern w:val="0"/>
          <w:szCs w:val="32"/>
        </w:rPr>
        <w:t>商品，</w:t>
      </w:r>
      <w:r>
        <w:rPr>
          <w:rFonts w:hint="eastAsia" w:ascii="仿宋_GB2312" w:hAnsi="仿宋_GB2312" w:eastAsia="仿宋_GB2312" w:cs="仿宋_GB2312"/>
          <w:b w:val="0"/>
          <w:bCs/>
          <w:i w:val="0"/>
          <w:iCs w:val="0"/>
          <w:szCs w:val="32"/>
        </w:rPr>
        <w:t>危害人体健康、生命安全的，</w:t>
      </w:r>
      <w:r>
        <w:rPr>
          <w:rFonts w:hint="eastAsia" w:ascii="仿宋_GB2312" w:hAnsi="仿宋_GB2312" w:eastAsia="仿宋_GB2312" w:cs="仿宋_GB2312"/>
          <w:b w:val="0"/>
          <w:bCs/>
          <w:i w:val="0"/>
          <w:iCs w:val="0"/>
          <w:kern w:val="0"/>
          <w:szCs w:val="32"/>
        </w:rPr>
        <w:t>责令停止生产、销售，没收销售收入和违法生产、销售的商品；属第</w:t>
      </w:r>
      <w:r>
        <w:rPr>
          <w:rFonts w:hint="eastAsia" w:ascii="仿宋_GB2312" w:hAnsi="仿宋_GB2312" w:eastAsia="仿宋_GB2312" w:cs="仿宋_GB2312"/>
          <w:b w:val="0"/>
          <w:bCs/>
          <w:i w:val="0"/>
          <w:iCs w:val="0"/>
          <w:szCs w:val="32"/>
        </w:rPr>
        <w:t>十</w:t>
      </w:r>
      <w:r>
        <w:rPr>
          <w:rFonts w:hint="eastAsia" w:ascii="仿宋_GB2312" w:hAnsi="仿宋_GB2312" w:eastAsia="仿宋_GB2312" w:cs="仿宋_GB2312"/>
          <w:b w:val="0"/>
          <w:bCs/>
          <w:i w:val="0"/>
          <w:iCs w:val="0"/>
          <w:kern w:val="0"/>
          <w:szCs w:val="32"/>
        </w:rPr>
        <w:t>条第一</w:t>
      </w:r>
      <w:r>
        <w:rPr>
          <w:rFonts w:hint="eastAsia" w:ascii="仿宋_GB2312" w:hAnsi="仿宋_GB2312" w:eastAsia="仿宋_GB2312" w:cs="仿宋_GB2312"/>
          <w:b w:val="0"/>
          <w:bCs/>
          <w:i w:val="0"/>
          <w:iCs w:val="0"/>
          <w:szCs w:val="32"/>
        </w:rPr>
        <w:t>、</w:t>
      </w:r>
      <w:r>
        <w:rPr>
          <w:rFonts w:hint="eastAsia" w:ascii="仿宋_GB2312" w:hAnsi="仿宋_GB2312" w:eastAsia="仿宋_GB2312" w:cs="仿宋_GB2312"/>
          <w:b w:val="0"/>
          <w:bCs/>
          <w:i w:val="0"/>
          <w:iCs w:val="0"/>
          <w:kern w:val="0"/>
          <w:szCs w:val="32"/>
        </w:rPr>
        <w:t>二、三、四项的，并处以该批违法商品货值金额</w:t>
      </w:r>
      <w:r>
        <w:rPr>
          <w:rFonts w:hint="eastAsia" w:ascii="仿宋_GB2312" w:hAnsi="仿宋_GB2312" w:eastAsia="仿宋_GB2312" w:cs="仿宋_GB2312"/>
          <w:b w:val="0"/>
          <w:bCs/>
          <w:i w:val="0"/>
          <w:iCs w:val="0"/>
          <w:szCs w:val="32"/>
        </w:rPr>
        <w:t>三</w:t>
      </w:r>
      <w:r>
        <w:rPr>
          <w:rFonts w:hint="eastAsia" w:ascii="仿宋_GB2312" w:hAnsi="仿宋_GB2312" w:eastAsia="仿宋_GB2312" w:cs="仿宋_GB2312"/>
          <w:b w:val="0"/>
          <w:bCs/>
          <w:i w:val="0"/>
          <w:iCs w:val="0"/>
          <w:kern w:val="0"/>
          <w:szCs w:val="32"/>
        </w:rPr>
        <w:t>倍的罚款；属第</w:t>
      </w:r>
      <w:r>
        <w:rPr>
          <w:rFonts w:hint="eastAsia" w:ascii="仿宋_GB2312" w:hAnsi="仿宋_GB2312" w:eastAsia="仿宋_GB2312" w:cs="仿宋_GB2312"/>
          <w:b w:val="0"/>
          <w:bCs/>
          <w:i w:val="0"/>
          <w:iCs w:val="0"/>
          <w:szCs w:val="32"/>
        </w:rPr>
        <w:t>十</w:t>
      </w:r>
      <w:r>
        <w:rPr>
          <w:rFonts w:hint="eastAsia" w:ascii="仿宋_GB2312" w:hAnsi="仿宋_GB2312" w:eastAsia="仿宋_GB2312" w:cs="仿宋_GB2312"/>
          <w:b w:val="0"/>
          <w:bCs/>
          <w:i w:val="0"/>
          <w:iCs w:val="0"/>
          <w:kern w:val="0"/>
          <w:szCs w:val="32"/>
        </w:rPr>
        <w:t>条第七项的，并处以该批违法商品货值金额</w:t>
      </w:r>
      <w:r>
        <w:rPr>
          <w:rFonts w:hint="eastAsia" w:ascii="仿宋_GB2312" w:hAnsi="仿宋_GB2312" w:eastAsia="仿宋_GB2312" w:cs="仿宋_GB2312"/>
          <w:b w:val="0"/>
          <w:bCs/>
          <w:i w:val="0"/>
          <w:iCs w:val="0"/>
          <w:szCs w:val="32"/>
        </w:rPr>
        <w:t>二</w:t>
      </w:r>
      <w:r>
        <w:rPr>
          <w:rFonts w:hint="eastAsia" w:ascii="仿宋_GB2312" w:hAnsi="仿宋_GB2312" w:eastAsia="仿宋_GB2312" w:cs="仿宋_GB2312"/>
          <w:b w:val="0"/>
          <w:bCs/>
          <w:i w:val="0"/>
          <w:iCs w:val="0"/>
          <w:kern w:val="0"/>
          <w:szCs w:val="32"/>
        </w:rPr>
        <w:t>倍的罚款；属第</w:t>
      </w:r>
      <w:r>
        <w:rPr>
          <w:rFonts w:hint="eastAsia" w:ascii="仿宋_GB2312" w:hAnsi="仿宋_GB2312" w:eastAsia="仿宋_GB2312" w:cs="仿宋_GB2312"/>
          <w:b w:val="0"/>
          <w:bCs/>
          <w:i w:val="0"/>
          <w:iCs w:val="0"/>
          <w:szCs w:val="32"/>
        </w:rPr>
        <w:t>十</w:t>
      </w:r>
      <w:r>
        <w:rPr>
          <w:rFonts w:hint="eastAsia" w:ascii="仿宋_GB2312" w:hAnsi="仿宋_GB2312" w:eastAsia="仿宋_GB2312" w:cs="仿宋_GB2312"/>
          <w:b w:val="0"/>
          <w:bCs/>
          <w:i w:val="0"/>
          <w:iCs w:val="0"/>
          <w:kern w:val="0"/>
          <w:szCs w:val="32"/>
        </w:rPr>
        <w:t>条第八项的，并处以该批违法商品货值金额</w:t>
      </w:r>
      <w:r>
        <w:rPr>
          <w:rFonts w:hint="eastAsia" w:ascii="仿宋_GB2312" w:hAnsi="仿宋_GB2312" w:eastAsia="仿宋_GB2312" w:cs="仿宋_GB2312"/>
          <w:b w:val="0"/>
          <w:bCs/>
          <w:i w:val="0"/>
          <w:iCs w:val="0"/>
          <w:szCs w:val="32"/>
        </w:rPr>
        <w:t>等值</w:t>
      </w:r>
      <w:r>
        <w:rPr>
          <w:rFonts w:hint="eastAsia" w:ascii="仿宋_GB2312" w:hAnsi="仿宋_GB2312" w:eastAsia="仿宋_GB2312" w:cs="仿宋_GB2312"/>
          <w:b w:val="0"/>
          <w:bCs/>
          <w:i w:val="0"/>
          <w:iCs w:val="0"/>
          <w:kern w:val="0"/>
          <w:szCs w:val="32"/>
        </w:rPr>
        <w:t>的罚款。</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五十七</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iCs/>
          <w:szCs w:val="32"/>
        </w:rPr>
        <w:t>有本条例第十一条所列行为之一的</w:t>
      </w:r>
      <w:r>
        <w:rPr>
          <w:rFonts w:hint="eastAsia" w:ascii="仿宋_GB2312" w:hAnsi="仿宋_GB2312" w:eastAsia="仿宋_GB2312" w:cs="仿宋_GB2312"/>
          <w:b w:val="0"/>
          <w:bCs/>
          <w:kern w:val="0"/>
          <w:szCs w:val="32"/>
        </w:rPr>
        <w:t>，</w:t>
      </w:r>
      <w:r>
        <w:rPr>
          <w:rFonts w:hint="eastAsia" w:ascii="仿宋_GB2312" w:hAnsi="仿宋_GB2312" w:eastAsia="仿宋_GB2312" w:cs="仿宋_GB2312"/>
          <w:b w:val="0"/>
          <w:bCs/>
          <w:iCs/>
          <w:szCs w:val="32"/>
        </w:rPr>
        <w:t>依照本条例</w:t>
      </w:r>
      <w:r>
        <w:rPr>
          <w:rFonts w:hint="eastAsia" w:ascii="仿宋_GB2312" w:hAnsi="仿宋_GB2312" w:eastAsia="仿宋_GB2312" w:cs="仿宋_GB2312"/>
          <w:b w:val="0"/>
          <w:bCs/>
          <w:iCs/>
          <w:kern w:val="0"/>
          <w:szCs w:val="32"/>
        </w:rPr>
        <w:t>第五十五条</w:t>
      </w:r>
      <w:r>
        <w:rPr>
          <w:rFonts w:hint="eastAsia" w:ascii="仿宋_GB2312" w:hAnsi="仿宋_GB2312" w:eastAsia="仿宋_GB2312" w:cs="仿宋_GB2312"/>
          <w:b w:val="0"/>
          <w:bCs/>
          <w:i w:val="0"/>
          <w:iCs/>
          <w:kern w:val="0"/>
          <w:szCs w:val="32"/>
        </w:rPr>
        <w:t>、五十六</w:t>
      </w:r>
      <w:r>
        <w:rPr>
          <w:rFonts w:hint="eastAsia" w:ascii="仿宋_GB2312" w:hAnsi="仿宋_GB2312" w:eastAsia="仿宋_GB2312" w:cs="仿宋_GB2312"/>
          <w:b w:val="0"/>
          <w:bCs/>
          <w:i w:val="0"/>
          <w:iCs/>
          <w:szCs w:val="32"/>
        </w:rPr>
        <w:t>条</w:t>
      </w:r>
      <w:r>
        <w:rPr>
          <w:rFonts w:hint="eastAsia" w:ascii="仿宋_GB2312" w:hAnsi="仿宋_GB2312" w:eastAsia="仿宋_GB2312" w:cs="仿宋_GB2312"/>
          <w:b w:val="0"/>
          <w:bCs/>
          <w:iCs/>
          <w:szCs w:val="32"/>
        </w:rPr>
        <w:t>的规定处罚。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五十八</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有本条例第十二条所列行为之一的，责令改正，没收服务收入，处以十万元以下罚款，服务收入在十万元以上的，处以服务收入一倍以上三倍以下罚款；法律、法规另有规定的，从其规定。</w:t>
      </w:r>
    </w:p>
    <w:p>
      <w:pPr>
        <w:widowControl w:val="0"/>
        <w:wordWrap/>
        <w:adjustRightInd w:val="0"/>
        <w:spacing w:line="590" w:lineRule="exact"/>
        <w:ind w:firstLine="705"/>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代印、代制或者提供假冒标识或者包装物的，除按照前款规定处罚外，并没收假冒标识、包装物、模具、原材料、半成品，情节严重的，没收生产设备，依法吊销许可证。</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五十九</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生产者、销售者</w:t>
      </w:r>
      <w:r>
        <w:rPr>
          <w:rFonts w:hint="eastAsia" w:ascii="仿宋_GB2312" w:hAnsi="仿宋_GB2312" w:eastAsia="仿宋_GB2312" w:cs="仿宋_GB2312"/>
          <w:b w:val="0"/>
          <w:bCs/>
          <w:szCs w:val="32"/>
        </w:rPr>
        <w:t>违反本条例规定，被依法吊销许可证的，其单位法定代表人或者负责人以及直接责任人五年内不得从事同行业的生产经营管理活动；法律法规另有规定的，从其规定。</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违反本条例第二十条规定，擅自启封、转移、使用、改动、销毁、销售被查封物品的，处物品货值金额等值以上三倍以下的罚款；有违法所得的，并处没收违法所得。</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第六十</w:t>
      </w:r>
      <w:r>
        <w:rPr>
          <w:rFonts w:hint="eastAsia" w:ascii="黑体" w:hAnsi="黑体" w:eastAsia="黑体" w:cs="黑体"/>
          <w:b w:val="0"/>
          <w:bCs/>
          <w:i w:val="0"/>
          <w:iCs w:val="0"/>
          <w:szCs w:val="32"/>
        </w:rPr>
        <w:t>一</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违法行为人有下列情形之一的，按照法律、法规的规定，从重处罚，并可以依法责令停业整顿、关闭、吊销许可证：</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（一）大规模批量生产、销售假冒伪劣商品的；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（二）以生产、销售假冒伪劣商品为常业或者生产、销售假冒伪劣商品被查处后再犯的；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（三）以贿赂、回扣等方式推销假冒伪劣商品的；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（四）生产、销售假冒伪劣商品数额较大或者有其他严重情节的。</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六十二</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违法行为人有下列情形之一的，依法从轻、减轻处罚：</w:t>
      </w:r>
    </w:p>
    <w:p>
      <w:pPr>
        <w:widowControl w:val="0"/>
        <w:wordWrap/>
        <w:adjustRightInd w:val="0"/>
        <w:spacing w:line="590" w:lineRule="exact"/>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（一）主动停止违法行为并召回假冒伪劣商品的；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（二）检举其他违法犯罪行为，有立功表现的；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w:t>
      </w:r>
      <w:r>
        <w:rPr>
          <w:rFonts w:hint="eastAsia" w:ascii="仿宋_GB2312" w:hAnsi="仿宋_GB2312" w:eastAsia="仿宋_GB2312" w:cs="仿宋_GB2312"/>
          <w:b w:val="0"/>
          <w:bCs/>
          <w:kern w:val="0"/>
          <w:szCs w:val="32"/>
        </w:rPr>
        <w:t>销售者有充分证据证明其不知道该商品为本条例第十条所列的商品并如实说明其进货渠道的；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（四）采取有效措施防止假冒伪劣商品造成危害的。</w:t>
      </w:r>
    </w:p>
    <w:p>
      <w:pPr>
        <w:widowControl w:val="0"/>
        <w:wordWrap/>
        <w:adjustRightInd w:val="0"/>
        <w:spacing w:line="590" w:lineRule="exact"/>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　　</w:t>
      </w:r>
      <w:r>
        <w:rPr>
          <w:rFonts w:hint="eastAsia" w:ascii="黑体" w:hAnsi="黑体" w:eastAsia="黑体" w:cs="黑体"/>
          <w:b w:val="0"/>
          <w:bCs/>
          <w:szCs w:val="32"/>
        </w:rPr>
        <w:t>第</w:t>
      </w:r>
      <w:r>
        <w:rPr>
          <w:rFonts w:hint="eastAsia" w:ascii="黑体" w:hAnsi="黑体" w:eastAsia="黑体" w:cs="黑体"/>
          <w:b w:val="0"/>
          <w:bCs/>
          <w:i w:val="0"/>
          <w:iCs w:val="0"/>
          <w:szCs w:val="32"/>
        </w:rPr>
        <w:t>六十三</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当事人对监督管理部门作出的处罚决定不服的，可以依法申请行政复议或者提起行政诉讼。</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六十四</w:t>
      </w:r>
      <w:r>
        <w:rPr>
          <w:rFonts w:hint="eastAsia" w:ascii="黑体" w:hAnsi="黑体" w:eastAsia="黑体" w:cs="黑体"/>
          <w:b w:val="0"/>
          <w:bCs/>
          <w:szCs w:val="32"/>
        </w:rPr>
        <w:t>条</w:t>
      </w:r>
      <w:r>
        <w:rPr>
          <w:rFonts w:hint="eastAsia" w:ascii="仿宋_GB2312" w:hAnsi="仿宋_GB2312" w:eastAsia="仿宋_GB2312" w:cs="仿宋_GB2312"/>
          <w:b w:val="0"/>
          <w:bCs/>
          <w:szCs w:val="32"/>
        </w:rPr>
        <w:t>　依法没收的假冒伪劣商品和生产工具、设备、原材料、半成品，依照有关规定处理，不得直接销售。</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val="0"/>
          <w:iCs w:val="0"/>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六十五</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消费者因购买、使用商品，其合法权益受到损害，</w:t>
      </w:r>
      <w:r>
        <w:rPr>
          <w:rFonts w:hint="eastAsia" w:ascii="仿宋_GB2312" w:hAnsi="仿宋_GB2312" w:eastAsia="仿宋_GB2312" w:cs="仿宋_GB2312"/>
          <w:b w:val="0"/>
          <w:bCs/>
          <w:szCs w:val="32"/>
          <w:lang w:eastAsia="zh-CN"/>
        </w:rPr>
        <w:t>可以</w:t>
      </w:r>
      <w:r>
        <w:rPr>
          <w:rFonts w:hint="eastAsia" w:ascii="仿宋_GB2312" w:hAnsi="仿宋_GB2312" w:eastAsia="仿宋_GB2312" w:cs="仿宋_GB2312"/>
          <w:b w:val="0"/>
          <w:bCs/>
          <w:szCs w:val="32"/>
        </w:rPr>
        <w:t>向销售者要求赔偿，</w:t>
      </w:r>
      <w:r>
        <w:rPr>
          <w:rFonts w:hint="eastAsia" w:ascii="仿宋_GB2312" w:hAnsi="仿宋_GB2312" w:eastAsia="仿宋_GB2312" w:cs="仿宋_GB2312"/>
          <w:b w:val="0"/>
          <w:bCs/>
          <w:szCs w:val="32"/>
          <w:lang w:eastAsia="zh-CN"/>
        </w:rPr>
        <w:t>也可以向生产者要求赔偿。接到消费者赔偿要求的生产</w:t>
      </w:r>
      <w:r>
        <w:rPr>
          <w:rFonts w:hint="eastAsia" w:ascii="仿宋_GB2312" w:hAnsi="仿宋_GB2312" w:eastAsia="仿宋_GB2312" w:cs="仿宋_GB2312"/>
          <w:b w:val="0"/>
          <w:bCs/>
          <w:szCs w:val="32"/>
        </w:rPr>
        <w:t>销售者</w:t>
      </w:r>
      <w:r>
        <w:rPr>
          <w:rFonts w:hint="eastAsia" w:ascii="仿宋_GB2312" w:hAnsi="仿宋_GB2312" w:eastAsia="仿宋_GB2312" w:cs="仿宋_GB2312"/>
          <w:b w:val="0"/>
          <w:bCs/>
          <w:szCs w:val="32"/>
          <w:lang w:eastAsia="zh-CN"/>
        </w:rPr>
        <w:t>，</w:t>
      </w:r>
      <w:r>
        <w:rPr>
          <w:rFonts w:hint="eastAsia" w:ascii="仿宋_GB2312" w:hAnsi="仿宋_GB2312" w:eastAsia="仿宋_GB2312" w:cs="仿宋_GB2312"/>
          <w:b w:val="0"/>
          <w:bCs/>
          <w:szCs w:val="32"/>
        </w:rPr>
        <w:t>应当首先承担赔偿责任，不得拒绝。属于生产者责任的，销售者</w:t>
      </w:r>
      <w:r>
        <w:rPr>
          <w:rFonts w:hint="eastAsia" w:ascii="仿宋_GB2312" w:hAnsi="仿宋_GB2312" w:eastAsia="仿宋_GB2312" w:cs="仿宋_GB2312"/>
          <w:b w:val="0"/>
          <w:bCs/>
          <w:szCs w:val="32"/>
          <w:lang w:eastAsia="zh-CN"/>
        </w:rPr>
        <w:t>赔偿后</w:t>
      </w:r>
      <w:r>
        <w:rPr>
          <w:rFonts w:hint="eastAsia" w:ascii="仿宋_GB2312" w:hAnsi="仿宋_GB2312" w:eastAsia="仿宋_GB2312" w:cs="仿宋_GB2312"/>
          <w:b w:val="0"/>
          <w:bCs/>
          <w:szCs w:val="32"/>
        </w:rPr>
        <w:t>有权向生产者</w:t>
      </w:r>
      <w:r>
        <w:rPr>
          <w:rFonts w:hint="eastAsia" w:ascii="仿宋_GB2312" w:hAnsi="仿宋_GB2312" w:eastAsia="仿宋_GB2312" w:cs="仿宋_GB2312"/>
          <w:b w:val="0"/>
          <w:bCs/>
          <w:i w:val="0"/>
          <w:iCs w:val="0"/>
          <w:szCs w:val="32"/>
          <w:lang w:eastAsia="zh-CN"/>
        </w:rPr>
        <w:t>；</w:t>
      </w:r>
      <w:r>
        <w:rPr>
          <w:rFonts w:hint="eastAsia" w:ascii="仿宋_GB2312" w:hAnsi="仿宋_GB2312" w:eastAsia="仿宋_GB2312" w:cs="仿宋_GB2312"/>
          <w:b w:val="0"/>
          <w:bCs/>
          <w:i w:val="0"/>
          <w:iCs w:val="0"/>
          <w:szCs w:val="32"/>
        </w:rPr>
        <w:t>属于</w:t>
      </w:r>
      <w:r>
        <w:rPr>
          <w:rFonts w:hint="eastAsia" w:ascii="仿宋_GB2312" w:hAnsi="仿宋_GB2312" w:eastAsia="仿宋_GB2312" w:cs="仿宋_GB2312"/>
          <w:b w:val="0"/>
          <w:bCs/>
          <w:i w:val="0"/>
          <w:iCs w:val="0"/>
          <w:szCs w:val="32"/>
          <w:lang w:eastAsia="zh-CN"/>
        </w:rPr>
        <w:t>销售者</w:t>
      </w:r>
      <w:r>
        <w:rPr>
          <w:rFonts w:hint="eastAsia" w:ascii="仿宋_GB2312" w:hAnsi="仿宋_GB2312" w:eastAsia="仿宋_GB2312" w:cs="仿宋_GB2312"/>
          <w:b w:val="0"/>
          <w:bCs/>
          <w:i w:val="0"/>
          <w:iCs w:val="0"/>
          <w:szCs w:val="32"/>
        </w:rPr>
        <w:t>责任的，</w:t>
      </w:r>
      <w:r>
        <w:rPr>
          <w:rFonts w:hint="eastAsia" w:ascii="仿宋_GB2312" w:hAnsi="仿宋_GB2312" w:eastAsia="仿宋_GB2312" w:cs="仿宋_GB2312"/>
          <w:b w:val="0"/>
          <w:bCs/>
          <w:i w:val="0"/>
          <w:iCs w:val="0"/>
          <w:szCs w:val="32"/>
          <w:lang w:eastAsia="zh-CN"/>
        </w:rPr>
        <w:t>生产者赔偿后有权向销售者追偿。</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六十六</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国家工作人员有下列情形之一的，由</w:t>
      </w:r>
      <w:r>
        <w:rPr>
          <w:rFonts w:hint="eastAsia" w:ascii="仿宋_GB2312" w:hAnsi="仿宋_GB2312" w:eastAsia="仿宋_GB2312" w:cs="仿宋_GB2312"/>
          <w:b w:val="0"/>
          <w:bCs/>
          <w:i w:val="0"/>
          <w:iCs w:val="0"/>
          <w:szCs w:val="32"/>
          <w:lang w:eastAsia="zh-CN"/>
        </w:rPr>
        <w:t>有关机关依法</w:t>
      </w:r>
      <w:r>
        <w:rPr>
          <w:rFonts w:hint="eastAsia" w:ascii="仿宋_GB2312" w:hAnsi="仿宋_GB2312" w:eastAsia="仿宋_GB2312" w:cs="仿宋_GB2312"/>
          <w:b w:val="0"/>
          <w:bCs/>
          <w:szCs w:val="32"/>
        </w:rPr>
        <w:t>给予处分；构成犯罪的，依法追究刑事责任：</w:t>
      </w:r>
    </w:p>
    <w:p>
      <w:pPr>
        <w:widowControl w:val="0"/>
        <w:wordWrap/>
        <w:adjustRightInd w:val="0"/>
        <w:spacing w:line="590" w:lineRule="exact"/>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（一）利用职权包庇违法单位或者个人的；</w:t>
      </w:r>
    </w:p>
    <w:p>
      <w:pPr>
        <w:widowControl w:val="0"/>
        <w:wordWrap/>
        <w:adjustRightInd w:val="0"/>
        <w:spacing w:line="590" w:lineRule="exact"/>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（二）负有查处责任而不履行职责，或者为违法行为人通风报信，帮助其逃避查处的；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（三）对依法应当将违法行为人移交司法机关追究刑事责任而不移交或者对依法应当受理的移送案件不受理的；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（四）对应当受理的投诉、举报案件不受理或者拖延的；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（五）泄露举报人信息或者利用职权对举报人进行报复、陷害的；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iCs/>
          <w:szCs w:val="32"/>
          <w:u w:val="single"/>
        </w:rPr>
      </w:pPr>
      <w:r>
        <w:rPr>
          <w:rFonts w:hint="eastAsia" w:ascii="仿宋_GB2312" w:hAnsi="仿宋_GB2312" w:eastAsia="仿宋_GB2312" w:cs="仿宋_GB2312"/>
          <w:b w:val="0"/>
          <w:bCs/>
          <w:szCs w:val="32"/>
        </w:rPr>
        <w:t>（六）利用职权干扰和妨碍查处工作的；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（七）滥用职权，给公民、法人和其他组织的合法权益造成损害的。</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六十七</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监督管理部门及其执法人员违法行使职权，使公民、法人和其他组织的合法权益受到损害的，应当按照《中华人民共和国国家赔偿法》的有关规定给予赔偿。</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六十八</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阻碍行政执法人员依法执行职务，未使用暴力、威胁方法的，由公安机关依照《中华人民共和国治安管理处罚法》的相关规定处罚；使用暴力、威胁方法的，依照《中华人民共和国刑法》的相关规定追究刑事责任。</w:t>
      </w:r>
    </w:p>
    <w:p>
      <w:pPr>
        <w:widowControl w:val="0"/>
        <w:wordWrap/>
        <w:adjustRightInd w:val="0"/>
        <w:spacing w:line="590" w:lineRule="exact"/>
        <w:ind w:firstLine="640" w:firstLineChars="200"/>
        <w:textAlignment w:val="auto"/>
        <w:rPr>
          <w:rFonts w:hint="eastAsia" w:ascii="宋体" w:hAnsi="宋体" w:eastAsia="宋体" w:cs="宋体"/>
          <w:b w:val="0"/>
          <w:bCs/>
          <w:kern w:val="0"/>
          <w:szCs w:val="32"/>
        </w:rPr>
      </w:pPr>
    </w:p>
    <w:p>
      <w:pPr>
        <w:widowControl w:val="0"/>
        <w:wordWrap/>
        <w:adjustRightInd w:val="0"/>
        <w:spacing w:line="590" w:lineRule="exact"/>
        <w:jc w:val="center"/>
        <w:textAlignment w:val="auto"/>
        <w:rPr>
          <w:rFonts w:hint="eastAsia" w:ascii="黑体" w:hAnsi="黑体" w:eastAsia="黑体" w:cs="黑体"/>
          <w:b w:val="0"/>
          <w:bCs/>
          <w:kern w:val="0"/>
          <w:szCs w:val="32"/>
        </w:rPr>
      </w:pPr>
      <w:r>
        <w:rPr>
          <w:rFonts w:hint="eastAsia" w:ascii="黑体" w:hAnsi="黑体" w:eastAsia="黑体" w:cs="黑体"/>
          <w:b w:val="0"/>
          <w:bCs/>
          <w:szCs w:val="32"/>
        </w:rPr>
        <w:t>第六章  附则</w:t>
      </w:r>
    </w:p>
    <w:p>
      <w:pPr>
        <w:widowControl w:val="0"/>
        <w:wordWrap/>
        <w:adjustRightInd w:val="0"/>
        <w:spacing w:line="590" w:lineRule="exact"/>
        <w:ind w:firstLine="640" w:firstLineChars="200"/>
        <w:textAlignment w:val="auto"/>
        <w:rPr>
          <w:rFonts w:hint="eastAsia" w:ascii="宋体" w:hAnsi="宋体" w:eastAsia="仿宋_GB2312" w:cs="宋体"/>
          <w:b w:val="0"/>
          <w:bCs/>
          <w:kern w:val="0"/>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六十九</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本条例自2012年11月1日起施行。</w:t>
      </w:r>
    </w:p>
    <w:p>
      <w:pPr>
        <w:pStyle w:val="9"/>
        <w:widowControl w:val="0"/>
        <w:wordWrap/>
        <w:adjustRightInd w:val="0"/>
        <w:snapToGrid w:val="0"/>
        <w:spacing w:after="0" w:afterLines="0" w:line="590" w:lineRule="exact"/>
        <w:ind w:left="0" w:leftChars="0" w:firstLine="707" w:firstLineChars="221"/>
        <w:textAlignment w:val="auto"/>
        <w:rPr>
          <w:rFonts w:hint="eastAsia" w:ascii="楷体_GB2312" w:hAnsi="华文中宋" w:eastAsia="楷体_GB2312"/>
          <w:b w:val="0"/>
          <w:bCs/>
          <w:szCs w:val="32"/>
        </w:rPr>
      </w:pPr>
    </w:p>
    <w:p>
      <w:pPr>
        <w:pStyle w:val="7"/>
        <w:ind w:left="0" w:leftChars="0" w:firstLine="0" w:firstLineChars="0"/>
        <w:rPr>
          <w:rFonts w:hint="eastAsia" w:ascii="仿宋_GB2312" w:hAnsi="仿宋_GB2312" w:cs="仿宋_GB2312"/>
          <w:color w:val="auto"/>
          <w:lang w:val="en-US"/>
        </w:rPr>
      </w:pPr>
    </w:p>
    <w:p>
      <w:pPr>
        <w:pStyle w:val="37"/>
        <w:widowControl w:val="0"/>
        <w:wordWrap/>
        <w:overflowPunct w:val="0"/>
        <w:spacing w:before="0" w:beforeAutospacing="0" w:after="0" w:afterAutospacing="0" w:line="560" w:lineRule="exact"/>
        <w:jc w:val="both"/>
        <w:textAlignment w:val="auto"/>
        <w:outlineLvl w:val="9"/>
        <w:rPr>
          <w:rFonts w:hint="eastAsia" w:ascii="宋体" w:hAnsi="宋体" w:eastAsia="仿宋_GB2312" w:cs="仿宋_GB2312"/>
          <w:b w:val="0"/>
          <w:bCs/>
          <w:sz w:val="32"/>
          <w:szCs w:val="32"/>
        </w:rPr>
      </w:pPr>
    </w:p>
    <w:p>
      <w:pPr>
        <w:wordWrap/>
        <w:spacing w:line="560" w:lineRule="exact"/>
        <w:textAlignment w:val="auto"/>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br w:type="page"/>
      </w:r>
    </w:p>
    <w:p>
      <w:pPr>
        <w:keepNext/>
        <w:keepLines/>
        <w:widowControl w:val="0"/>
        <w:wordWrap/>
        <w:spacing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广东省病媒生物预防控制管理规定</w:t>
      </w:r>
      <w:bookmarkEnd w:id="479"/>
      <w:bookmarkEnd w:id="480"/>
    </w:p>
    <w:p>
      <w:pPr>
        <w:wordWrap/>
        <w:spacing w:line="560" w:lineRule="exact"/>
        <w:textAlignment w:val="auto"/>
        <w:rPr>
          <w:rFonts w:hint="eastAsia" w:ascii="Times New Roman" w:hAnsi="Times New Roman" w:eastAsia="仿宋_GB2312" w:cs="Times New Roman"/>
          <w:sz w:val="32"/>
          <w:lang w:val="en-US" w:eastAsia="zh-CN"/>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lang w:val="en-US" w:eastAsia="zh-CN"/>
        </w:rPr>
      </w:pPr>
      <w:r>
        <w:rPr>
          <w:rFonts w:hint="eastAsia" w:ascii="楷体" w:hAnsi="楷体" w:eastAsia="楷体" w:cs="楷体"/>
          <w:b w:val="0"/>
          <w:bCs/>
          <w:sz w:val="32"/>
          <w:szCs w:val="32"/>
        </w:rPr>
        <w:t>（20</w:t>
      </w:r>
      <w:r>
        <w:rPr>
          <w:rFonts w:hint="eastAsia" w:ascii="楷体" w:hAnsi="楷体" w:eastAsia="楷体" w:cs="楷体"/>
          <w:b w:val="0"/>
          <w:bCs/>
          <w:sz w:val="32"/>
          <w:szCs w:val="32"/>
          <w:lang w:val="en-US" w:eastAsia="zh-CN"/>
        </w:rPr>
        <w:t>12</w:t>
      </w:r>
      <w:r>
        <w:rPr>
          <w:rFonts w:hint="eastAsia" w:ascii="楷体" w:hAnsi="楷体" w:eastAsia="楷体" w:cs="楷体"/>
          <w:b w:val="0"/>
          <w:bCs/>
          <w:sz w:val="32"/>
          <w:szCs w:val="32"/>
        </w:rPr>
        <w:t>年</w:t>
      </w:r>
      <w:r>
        <w:rPr>
          <w:rFonts w:hint="eastAsia" w:ascii="楷体" w:hAnsi="楷体" w:eastAsia="楷体" w:cs="楷体"/>
          <w:b w:val="0"/>
          <w:bCs/>
          <w:sz w:val="32"/>
          <w:szCs w:val="32"/>
          <w:lang w:val="en-US" w:eastAsia="zh-CN"/>
        </w:rPr>
        <w:t>1</w:t>
      </w:r>
      <w:r>
        <w:rPr>
          <w:rFonts w:hint="eastAsia" w:ascii="楷体" w:hAnsi="楷体" w:eastAsia="楷体" w:cs="楷体"/>
          <w:b w:val="0"/>
          <w:bCs/>
          <w:sz w:val="32"/>
          <w:szCs w:val="32"/>
        </w:rPr>
        <w:t>月</w:t>
      </w:r>
      <w:r>
        <w:rPr>
          <w:rFonts w:hint="eastAsia" w:ascii="楷体" w:hAnsi="楷体" w:eastAsia="楷体" w:cs="楷体"/>
          <w:b w:val="0"/>
          <w:bCs/>
          <w:sz w:val="32"/>
          <w:szCs w:val="32"/>
          <w:lang w:val="en-US" w:eastAsia="zh-CN"/>
        </w:rPr>
        <w:t>1</w:t>
      </w:r>
      <w:r>
        <w:rPr>
          <w:rFonts w:hint="eastAsia" w:ascii="楷体" w:hAnsi="楷体" w:eastAsia="楷体" w:cs="楷体"/>
          <w:b w:val="0"/>
          <w:bCs/>
          <w:sz w:val="32"/>
          <w:szCs w:val="32"/>
        </w:rPr>
        <w:t>9日广东省人民政府以粤府令第1</w:t>
      </w:r>
      <w:r>
        <w:rPr>
          <w:rFonts w:hint="eastAsia" w:ascii="楷体" w:hAnsi="楷体" w:eastAsia="楷体" w:cs="楷体"/>
          <w:b w:val="0"/>
          <w:bCs/>
          <w:sz w:val="32"/>
          <w:szCs w:val="32"/>
          <w:lang w:val="en-US" w:eastAsia="zh-CN"/>
        </w:rPr>
        <w:t>67</w:t>
      </w:r>
      <w:r>
        <w:rPr>
          <w:rFonts w:hint="eastAsia" w:ascii="楷体" w:hAnsi="楷体" w:eastAsia="楷体" w:cs="楷体"/>
          <w:b w:val="0"/>
          <w:bCs/>
          <w:sz w:val="32"/>
          <w:szCs w:val="32"/>
        </w:rPr>
        <w:t>号公布</w:t>
      </w:r>
      <w:r>
        <w:rPr>
          <w:rFonts w:hint="eastAsia" w:ascii="楷体" w:hAnsi="楷体" w:eastAsia="楷体" w:cs="楷体"/>
          <w:b w:val="0"/>
          <w:bCs/>
          <w:sz w:val="32"/>
          <w:szCs w:val="32"/>
          <w:lang w:val="en-US" w:eastAsia="zh-CN"/>
        </w:rPr>
        <w:t xml:space="preserve"> 根据2019年12月5日《广东省人民政府关于废止和修改部分省政府规章的决定(广东省人民政府令第269号)》修改</w:t>
      </w:r>
      <w:r>
        <w:rPr>
          <w:rFonts w:hint="eastAsia" w:ascii="楷体" w:hAnsi="楷体" w:eastAsia="楷体" w:cs="楷体"/>
          <w:b w:val="0"/>
          <w:bCs/>
          <w:sz w:val="32"/>
          <w:szCs w:val="32"/>
          <w:lang w:eastAsia="zh-CN"/>
        </w:rPr>
        <w:t>）</w:t>
      </w:r>
    </w:p>
    <w:p>
      <w:pPr>
        <w:widowControl w:val="0"/>
        <w:wordWrap/>
        <w:adjustRightInd/>
        <w:snapToGrid/>
        <w:spacing w:line="560" w:lineRule="exact"/>
        <w:ind w:left="0" w:leftChars="0" w:right="0" w:firstLine="630"/>
        <w:textAlignment w:val="auto"/>
        <w:outlineLvl w:val="9"/>
        <w:rPr>
          <w:rFonts w:hint="eastAsia" w:ascii="仿宋_GB2312" w:hAnsi="仿宋_GB2312" w:eastAsia="仿宋_GB2312" w:cs="仿宋_GB2312"/>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rPr>
        <w:t xml:space="preserve"> </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default" w:ascii="宋体" w:hAnsi="宋体" w:eastAsia="仿宋_GB2312" w:cs="仿宋_GB2312"/>
          <w:b w:val="0"/>
          <w:bCs/>
          <w:sz w:val="32"/>
          <w:szCs w:val="32"/>
          <w:lang w:val="zh-CN"/>
        </w:rPr>
      </w:pPr>
      <w:r>
        <w:rPr>
          <w:rFonts w:hint="eastAsia" w:ascii="黑体" w:hAnsi="黑体" w:eastAsia="黑体" w:cs="黑体"/>
          <w:b w:val="0"/>
          <w:bCs/>
          <w:sz w:val="32"/>
          <w:szCs w:val="32"/>
          <w:lang w:val="zh-CN"/>
        </w:rPr>
        <w:t>第一条</w:t>
      </w:r>
      <w:r>
        <w:rPr>
          <w:rFonts w:hint="default" w:ascii="宋体" w:hAnsi="宋体" w:eastAsia="仿宋_GB2312" w:cs="仿宋_GB2312"/>
          <w:b w:val="0"/>
          <w:bCs/>
          <w:sz w:val="32"/>
          <w:szCs w:val="32"/>
          <w:lang w:val="zh-CN"/>
        </w:rPr>
        <w:t>　为了预防、控制和消除病媒生物的危害，防止相关传染病发生与传播，保障人民身体健康，根据《中华人民共和国传染病防治法》和《广东省爱国卫生工作条例》等有关法律、法规，结合本省实际，制定本规定。</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第二条　</w:t>
      </w:r>
      <w:r>
        <w:rPr>
          <w:rFonts w:hint="default" w:ascii="宋体" w:hAnsi="宋体" w:eastAsia="仿宋_GB2312" w:cs="仿宋_GB2312"/>
          <w:b w:val="0"/>
          <w:bCs/>
          <w:sz w:val="32"/>
          <w:szCs w:val="32"/>
          <w:lang w:val="zh-CN"/>
        </w:rPr>
        <w:t>本省行政区域内任何单位和个人应当遵守本规定。</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本规定所称病媒生物，是指能够将病原体从人或者其他动物传播给人的、危害人类健康的鼠、蚊、蝇、蟑螂、蚤类等生物。</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第三条</w:t>
      </w:r>
      <w:r>
        <w:rPr>
          <w:rFonts w:hint="default" w:ascii="宋体" w:hAnsi="宋体" w:eastAsia="仿宋_GB2312" w:cs="仿宋_GB2312"/>
          <w:b w:val="0"/>
          <w:bCs/>
          <w:sz w:val="32"/>
          <w:szCs w:val="32"/>
          <w:lang w:val="zh-CN"/>
        </w:rPr>
        <w:t>　各级人民政府应当根据本行政区域的实际情况，制定近期和远期病媒生物预防控制规划，实行目标管理和部门分工负责制，使病媒生物预防控制工作逐步达到国家规定控制标准。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第四条</w:t>
      </w:r>
      <w:r>
        <w:rPr>
          <w:rFonts w:hint="default" w:ascii="宋体" w:hAnsi="宋体" w:eastAsia="仿宋_GB2312" w:cs="仿宋_GB2312"/>
          <w:b w:val="0"/>
          <w:bCs/>
          <w:sz w:val="32"/>
          <w:szCs w:val="32"/>
          <w:lang w:val="zh-CN"/>
        </w:rPr>
        <w:t>　各级爱国卫生运动委员会在同级人民政府领导下，负责病媒生物预防控制的组织协调和指导工作。各级爱国卫生运动委员会办公室负责本规定的实施。</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黑体" w:hAnsi="黑体" w:eastAsia="黑体" w:cs="黑体"/>
          <w:b w:val="0"/>
          <w:bCs/>
          <w:sz w:val="32"/>
          <w:szCs w:val="32"/>
          <w:lang w:val="zh-CN"/>
        </w:rPr>
        <w:t>　　第五条　</w:t>
      </w:r>
      <w:r>
        <w:rPr>
          <w:rFonts w:hint="default" w:ascii="宋体" w:hAnsi="宋体" w:eastAsia="仿宋_GB2312" w:cs="仿宋_GB2312"/>
          <w:b w:val="0"/>
          <w:bCs/>
          <w:sz w:val="32"/>
          <w:szCs w:val="32"/>
          <w:lang w:val="zh-CN"/>
        </w:rPr>
        <w:t>在各级爱国卫生运动委员会的统一组织下，各级疾病预防控制机构负责病媒生物预防控制技术指导和病媒生物密度监测工作。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第六条</w:t>
      </w:r>
      <w:r>
        <w:rPr>
          <w:rFonts w:hint="default" w:ascii="宋体" w:hAnsi="宋体" w:eastAsia="仿宋_GB2312" w:cs="仿宋_GB2312"/>
          <w:b w:val="0"/>
          <w:bCs/>
          <w:sz w:val="32"/>
          <w:szCs w:val="32"/>
          <w:lang w:val="zh-CN"/>
        </w:rPr>
        <w:t>　县级以上人民政府卫生、文化、教育等部门和新闻部门应当做好病媒生物预防控制的宣传教育工作，农业行政主管部门负责农区的灭鼠工作。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县级以上人民政府市场监督管理部门，应当依法加强对食品生产经营单位病媒生物预防控制工作的监督管理。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县级以上人民政府各部门应当加强对本系统所属单位病媒生物预防控制工作的督促和管理。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第七条</w:t>
      </w:r>
      <w:r>
        <w:rPr>
          <w:rFonts w:hint="default" w:ascii="宋体" w:hAnsi="宋体" w:eastAsia="仿宋_GB2312" w:cs="仿宋_GB2312"/>
          <w:b w:val="0"/>
          <w:bCs/>
          <w:sz w:val="32"/>
          <w:szCs w:val="32"/>
          <w:lang w:val="zh-CN"/>
        </w:rPr>
        <w:t>　居民委员会应当负责组织辖区内单位和个人开展病媒生物预防控制工作。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村民委员会应当积极组织创建卫生村活动，开展以管垃圾、管粪便、改厕、改畜圈、改造环境为重点的环境卫生治理，有计划地组织群众开展病媒生物预防控制活动，使其逐步达到省规定的要求。</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第八条　</w:t>
      </w:r>
      <w:r>
        <w:rPr>
          <w:rFonts w:hint="default" w:ascii="宋体" w:hAnsi="宋体" w:eastAsia="仿宋_GB2312" w:cs="仿宋_GB2312"/>
          <w:b w:val="0"/>
          <w:bCs/>
          <w:sz w:val="32"/>
          <w:szCs w:val="32"/>
          <w:lang w:val="zh-CN"/>
        </w:rPr>
        <w:t>各级人民政府应当对公共环境病媒生物预防控制所需必要经费予以安排。</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单位和居民住户的病媒生物预防控制费用，由各自负担。</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物业租赁和待建工地等其他场所的病媒生物预防控制费用，由其管理单位或者使用单位负担。</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第九条　</w:t>
      </w:r>
      <w:r>
        <w:rPr>
          <w:rFonts w:hint="default" w:ascii="宋体" w:hAnsi="宋体" w:eastAsia="仿宋_GB2312" w:cs="仿宋_GB2312"/>
          <w:b w:val="0"/>
          <w:bCs/>
          <w:sz w:val="32"/>
          <w:szCs w:val="32"/>
          <w:lang w:val="zh-CN"/>
        </w:rPr>
        <w:t>病媒生物预防控制是全社会的共同责任，任何单位和个人都有防范和杀灭病媒生物以及控制其孳生场所的义务，对违反本规定的行为有权制止和举报。</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第十条</w:t>
      </w:r>
      <w:r>
        <w:rPr>
          <w:rFonts w:hint="default" w:ascii="宋体" w:hAnsi="宋体" w:eastAsia="仿宋_GB2312" w:cs="仿宋_GB2312"/>
          <w:b w:val="0"/>
          <w:bCs/>
          <w:sz w:val="32"/>
          <w:szCs w:val="32"/>
          <w:lang w:val="zh-CN"/>
        </w:rPr>
        <w:t>　病媒生物预防控制应当采取改造环境、控制病媒生物孳生地、防范及杀灭等综合防治措施。</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城乡规划、建设和旧城区改造，以及各类建筑工程设计和施工，应当同时规划建设防治病媒生物的卫生基础设施，配套建设符合卫生要求的垃圾收集设施和公厕，建筑物管线、市政管井和下水道系统应当设有防范病媒生物侵害的设施。</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第十一条　</w:t>
      </w:r>
      <w:r>
        <w:rPr>
          <w:rFonts w:hint="default" w:ascii="宋体" w:hAnsi="宋体" w:eastAsia="仿宋_GB2312" w:cs="仿宋_GB2312"/>
          <w:b w:val="0"/>
          <w:bCs/>
          <w:sz w:val="32"/>
          <w:szCs w:val="32"/>
          <w:lang w:val="zh-CN"/>
        </w:rPr>
        <w:t>单位和个人除应当执行国家和省有关环境卫生管理规定外，还应当做好以下防治工作：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（一）经常清疏下水道、沟渠，平整洼地，清除室内外积水，控制蚊虫孳生；</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（二）垃圾等易招引、孳生苍蝇的物质应当有容器装载并加盖，日产日清；</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（三）管好人和禽、畜粪便，粪池、粪缸应当严密封盖，住宅区栽种花木不得施用未经发酵的有机肥；</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（四）完善防蚊、防蝇、防鼠设施，堵鼠洞，填缝补隙以防蟑螂藏匿孳生；</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（五）参与所在地居民委员会或者村民委员会组织的病媒生物预防控制活动。</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第十二条</w:t>
      </w:r>
      <w:r>
        <w:rPr>
          <w:rFonts w:hint="default" w:ascii="宋体" w:hAnsi="宋体" w:eastAsia="仿宋_GB2312" w:cs="仿宋_GB2312"/>
          <w:b w:val="0"/>
          <w:bCs/>
          <w:sz w:val="32"/>
          <w:szCs w:val="32"/>
          <w:lang w:val="zh-CN"/>
        </w:rPr>
        <w:t>　食品生产经营者应当设置相应的防蝇、防鼠等设施，并采取措施消除苍蝇、老鼠、蟑螂等病媒生物及其孳生条件，病媒生物的密度应当符合国家规定要求。</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第十三条</w:t>
      </w:r>
      <w:r>
        <w:rPr>
          <w:rFonts w:hint="default" w:ascii="宋体" w:hAnsi="宋体" w:eastAsia="仿宋_GB2312" w:cs="仿宋_GB2312"/>
          <w:b w:val="0"/>
          <w:bCs/>
          <w:sz w:val="32"/>
          <w:szCs w:val="32"/>
          <w:lang w:val="zh-CN"/>
        </w:rPr>
        <w:t>　废品收购、建筑工地和集贸市场、禽畜饲养场、花卉市场等易招引或者孳生病媒生物的行业和场所，其经营管理者或者开办者应当完善和落实防范、杀灭病媒生物措施，并有专人负责病媒生物预防控制工作。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第十四条</w:t>
      </w:r>
      <w:r>
        <w:rPr>
          <w:rFonts w:hint="default" w:ascii="宋体" w:hAnsi="宋体" w:eastAsia="仿宋_GB2312" w:cs="仿宋_GB2312"/>
          <w:b w:val="0"/>
          <w:bCs/>
          <w:sz w:val="32"/>
          <w:szCs w:val="32"/>
          <w:lang w:val="zh-CN"/>
        </w:rPr>
        <w:t>　城镇病媒生物预防控制工作主要指标应当符合本省病媒生物预防控制标准。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第十五条</w:t>
      </w:r>
      <w:r>
        <w:rPr>
          <w:rFonts w:hint="default" w:ascii="宋体" w:hAnsi="宋体" w:eastAsia="仿宋_GB2312" w:cs="仿宋_GB2312"/>
          <w:b w:val="0"/>
          <w:bCs/>
          <w:sz w:val="32"/>
          <w:szCs w:val="32"/>
          <w:lang w:val="zh-CN"/>
        </w:rPr>
        <w:t>　凡开设病媒生物预防控制有偿服务机构或者增加此类经营项目的，应当经县级以上市场监督管理部门注册登记，依法领取营业执照或者变更经营范围后方可营业，并在领取营业执照后10个工作日内向所在地同级爱国卫生运动委员会办公室备案。</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开展异地病媒生物预防控制有偿服务，还应当向服务所在地县级以上爱国卫生运动委员会办公室备案。</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第十六条</w:t>
      </w:r>
      <w:r>
        <w:rPr>
          <w:rFonts w:hint="default" w:ascii="宋体" w:hAnsi="宋体" w:eastAsia="仿宋_GB2312" w:cs="仿宋_GB2312"/>
          <w:b w:val="0"/>
          <w:bCs/>
          <w:sz w:val="32"/>
          <w:szCs w:val="32"/>
          <w:lang w:val="zh-CN"/>
        </w:rPr>
        <w:t>　省爱国卫生运动委员会办公室对已备案的、具备以下条件的病媒生物预防控制有偿服务机构，应当在其门户网站进行公示，方便需要服务的单位和个人选择和监督：</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（一）有合法的工商、税务登记证明；</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（二）有完整的病媒生物预防控制操作规程；</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（三）有与业务量相适应的专业知识和技能培训合格的技术人员；</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（四）有符合要求的经营场所、库房、专用药物与器械；</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（五）收费合理。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第十七条</w:t>
      </w:r>
      <w:r>
        <w:rPr>
          <w:rFonts w:hint="default" w:ascii="宋体" w:hAnsi="宋体" w:eastAsia="仿宋_GB2312" w:cs="仿宋_GB2312"/>
          <w:b w:val="0"/>
          <w:bCs/>
          <w:sz w:val="32"/>
          <w:szCs w:val="32"/>
          <w:lang w:val="zh-CN"/>
        </w:rPr>
        <w:t>　县级以上爱国卫生运动委员会办公室应当对本行政区域内的病媒生物预防控制有偿服务机构的服务内容、使用药物种类和工作质量等情况加强监督管理。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第十八条</w:t>
      </w:r>
      <w:r>
        <w:rPr>
          <w:rFonts w:hint="default" w:ascii="宋体" w:hAnsi="宋体" w:eastAsia="仿宋_GB2312" w:cs="仿宋_GB2312"/>
          <w:b w:val="0"/>
          <w:bCs/>
          <w:sz w:val="32"/>
          <w:szCs w:val="32"/>
          <w:lang w:val="zh-CN"/>
        </w:rPr>
        <w:t>　凡在本省生产、销售、使用的灭鼠、卫生杀虫药物和器械，应当符合国家和省的有关规定与标准。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禁止生产、销售、使用国家禁用的灭鼠、卫生杀虫药物和器械。</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第十九条　</w:t>
      </w:r>
      <w:r>
        <w:rPr>
          <w:rFonts w:hint="default" w:ascii="宋体" w:hAnsi="宋体" w:eastAsia="仿宋_GB2312" w:cs="仿宋_GB2312"/>
          <w:b w:val="0"/>
          <w:bCs/>
          <w:sz w:val="32"/>
          <w:szCs w:val="32"/>
          <w:lang w:val="zh-CN"/>
        </w:rPr>
        <w:t>违反本规定第十一条规定的，由县级以上卫生行政部门或者政府指定的行政部门给予警告、限期整改或者罚款：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（一）单位、住户的下水道、沟渠、容器积水孳生蚊幼虫的，给予警告，并限期清理；逾期不改的，对单位处以500元以上1000元以下的罚款；住户处以50元以上100元以下的罚款。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（二）单位、住户堆积垃圾或者粪池、粪缸不密封而孳生蝇蛆的，给予警告，并限期清理；逾期不改的，对单位处以500元以上1000元以下的罚款，住户处以50元以上100元以下的罚款。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（三）单位室内病媒生物密度超过本省病媒生物预防控制标准的，给予警告，并限期除害；逾期不改的，处以罚款500元以上1000元以下的罚款。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第二十条</w:t>
      </w:r>
      <w:r>
        <w:rPr>
          <w:rFonts w:hint="default" w:ascii="宋体" w:hAnsi="宋体" w:eastAsia="仿宋_GB2312" w:cs="仿宋_GB2312"/>
          <w:b w:val="0"/>
          <w:bCs/>
          <w:sz w:val="32"/>
          <w:szCs w:val="32"/>
          <w:lang w:val="zh-CN"/>
        </w:rPr>
        <w:t>　违反本规定第十二条，食品生产经营者未设置相应的防蝇、防鼠等设施的，或者苍蝇、老鼠、蟑螂等病媒生物的密度不符合国家规定要求的，由县级以上卫生行政部门或者政府指定的行政部门责令其改正；逾期不改的，处以1000元以上5000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第二十一条</w:t>
      </w:r>
      <w:r>
        <w:rPr>
          <w:rFonts w:hint="default" w:ascii="宋体" w:hAnsi="宋体" w:eastAsia="仿宋_GB2312" w:cs="仿宋_GB2312"/>
          <w:b w:val="0"/>
          <w:bCs/>
          <w:sz w:val="32"/>
          <w:szCs w:val="32"/>
          <w:lang w:val="zh-CN"/>
        </w:rPr>
        <w:t>　违反本规定第十三条，废品收购、建筑工地和集贸市场、禽畜饲养场、花卉市场的经营管理者或者开办者未完善和落实防范、杀灭病媒生物措施的，由县级以上卫生行政部门或者政府指定的行政部门责令其改正；逾期不改的，处以1000元以上5000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第二十二条</w:t>
      </w:r>
      <w:r>
        <w:rPr>
          <w:rFonts w:hint="default" w:ascii="宋体" w:hAnsi="宋体" w:eastAsia="仿宋_GB2312" w:cs="仿宋_GB2312"/>
          <w:b w:val="0"/>
          <w:bCs/>
          <w:sz w:val="32"/>
          <w:szCs w:val="32"/>
          <w:lang w:val="zh-CN"/>
        </w:rPr>
        <w:t>　病媒生物预防控制有偿服务机构提供有偿服务，效果未达到本省病媒生物预防控制标准或者合同要求的，接受服务单位可以依法追究提供有偿服务机构的民事责任。</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第二十三条</w:t>
      </w:r>
      <w:r>
        <w:rPr>
          <w:rFonts w:hint="default" w:ascii="宋体" w:hAnsi="宋体" w:eastAsia="仿宋_GB2312" w:cs="仿宋_GB2312"/>
          <w:b w:val="0"/>
          <w:bCs/>
          <w:sz w:val="32"/>
          <w:szCs w:val="32"/>
          <w:lang w:val="zh-CN"/>
        </w:rPr>
        <w:t>　有关行政管理部门及其工作人员违反本规定，滥用职权、玩忽职守、徇私舞弊的，由其主管部门对直接负责的主管人员和其他直接责任人员依法给予处分；构成犯罪的，依法追究刑事责任。</w:t>
      </w:r>
    </w:p>
    <w:p>
      <w:pPr>
        <w:widowControl w:val="0"/>
        <w:wordWrap/>
        <w:overflowPunct w:val="0"/>
        <w:adjustRightInd/>
        <w:snapToGrid/>
        <w:spacing w:beforeAutospacing="0" w:afterAutospacing="0" w:line="560" w:lineRule="exact"/>
        <w:ind w:left="0" w:leftChars="0" w:right="0" w:firstLine="640"/>
        <w:textAlignment w:val="auto"/>
        <w:outlineLvl w:val="9"/>
        <w:rPr>
          <w:rFonts w:hint="default" w:ascii="宋体" w:hAnsi="宋体" w:eastAsia="仿宋_GB2312" w:cs="仿宋_GB2312"/>
          <w:b w:val="0"/>
          <w:bCs/>
          <w:sz w:val="32"/>
          <w:szCs w:val="32"/>
          <w:lang w:val="zh-CN"/>
        </w:rPr>
      </w:pPr>
      <w:r>
        <w:rPr>
          <w:rFonts w:hint="default" w:ascii="黑体" w:hAnsi="黑体" w:eastAsia="黑体" w:cs="黑体"/>
          <w:b w:val="0"/>
          <w:bCs/>
          <w:sz w:val="32"/>
          <w:szCs w:val="32"/>
          <w:lang w:val="zh-CN"/>
        </w:rPr>
        <w:t>第二十四条</w:t>
      </w:r>
      <w:r>
        <w:rPr>
          <w:rFonts w:hint="default" w:ascii="宋体" w:hAnsi="宋体" w:eastAsia="仿宋_GB2312" w:cs="仿宋_GB2312"/>
          <w:b w:val="0"/>
          <w:bCs/>
          <w:sz w:val="32"/>
          <w:szCs w:val="32"/>
          <w:lang w:val="zh-CN"/>
        </w:rPr>
        <w:t>　本规定自2012年3月1日起施行。1994年12月19日广东省人民政府公布的《广东省除“四害”管理规定》（粤府〔1994〕146号）同时废止。</w:t>
      </w:r>
    </w:p>
    <w:p>
      <w:pPr>
        <w:pStyle w:val="4"/>
        <w:rPr>
          <w:rFonts w:hint="default" w:ascii="宋体" w:hAnsi="宋体" w:eastAsia="仿宋_GB2312" w:cs="仿宋_GB2312"/>
          <w:b w:val="0"/>
          <w:bCs/>
          <w:sz w:val="32"/>
          <w:szCs w:val="32"/>
          <w:lang w:val="zh-CN"/>
        </w:rPr>
      </w:pPr>
    </w:p>
    <w:p>
      <w:pPr>
        <w:rPr>
          <w:rFonts w:hint="default" w:ascii="宋体" w:hAnsi="宋体" w:eastAsia="仿宋_GB2312" w:cs="仿宋_GB2312"/>
          <w:b w:val="0"/>
          <w:bCs/>
          <w:sz w:val="32"/>
          <w:szCs w:val="32"/>
          <w:lang w:val="zh-CN"/>
        </w:rPr>
      </w:pPr>
    </w:p>
    <w:p>
      <w:pPr>
        <w:pStyle w:val="4"/>
        <w:rPr>
          <w:rFonts w:hint="default" w:ascii="宋体" w:hAnsi="宋体" w:eastAsia="仿宋_GB2312" w:cs="仿宋_GB2312"/>
          <w:b w:val="0"/>
          <w:bCs/>
          <w:sz w:val="32"/>
          <w:szCs w:val="32"/>
          <w:lang w:val="zh-CN"/>
        </w:rPr>
      </w:pPr>
    </w:p>
    <w:p>
      <w:pPr>
        <w:rPr>
          <w:rFonts w:hint="default" w:ascii="宋体" w:hAnsi="宋体" w:eastAsia="仿宋_GB2312" w:cs="仿宋_GB2312"/>
          <w:b w:val="0"/>
          <w:bCs/>
          <w:sz w:val="32"/>
          <w:szCs w:val="32"/>
          <w:lang w:val="zh-CN"/>
        </w:rPr>
      </w:pPr>
    </w:p>
    <w:p>
      <w:pPr>
        <w:pStyle w:val="4"/>
        <w:rPr>
          <w:rFonts w:hint="default" w:ascii="宋体" w:hAnsi="宋体" w:eastAsia="仿宋_GB2312" w:cs="仿宋_GB2312"/>
          <w:b w:val="0"/>
          <w:bCs/>
          <w:sz w:val="32"/>
          <w:szCs w:val="32"/>
          <w:lang w:val="zh-CN"/>
        </w:rPr>
      </w:pPr>
    </w:p>
    <w:p>
      <w:pPr>
        <w:rPr>
          <w:rFonts w:hint="default" w:ascii="宋体" w:hAnsi="宋体" w:eastAsia="仿宋_GB2312" w:cs="仿宋_GB2312"/>
          <w:b w:val="0"/>
          <w:bCs/>
          <w:sz w:val="32"/>
          <w:szCs w:val="32"/>
          <w:lang w:val="zh-CN"/>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 w:val="0"/>
          <w:bCs/>
          <w:kern w:val="44"/>
          <w:sz w:val="44"/>
          <w:szCs w:val="44"/>
          <w:lang w:val="en-US" w:eastAsia="zh-CN" w:bidi="ar-SA"/>
        </w:rPr>
      </w:pPr>
      <w:r>
        <w:rPr>
          <w:rFonts w:hint="eastAsia" w:ascii="Times New Roman" w:hAnsi="Times New Roman" w:eastAsia="宋体" w:cs="Times New Roman"/>
          <w:b w:val="0"/>
          <w:bCs/>
          <w:kern w:val="44"/>
          <w:sz w:val="44"/>
          <w:szCs w:val="44"/>
          <w:lang w:val="en-US" w:eastAsia="zh-CN" w:bidi="ar-SA"/>
        </w:rPr>
        <w:t>广东省人民政府关于印发广东省疫苗</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 w:val="0"/>
          <w:bCs/>
          <w:kern w:val="44"/>
          <w:sz w:val="44"/>
          <w:szCs w:val="44"/>
          <w:lang w:val="en-US" w:eastAsia="zh-CN" w:bidi="ar-SA"/>
        </w:rPr>
      </w:pPr>
      <w:r>
        <w:rPr>
          <w:rFonts w:hint="eastAsia" w:ascii="Times New Roman" w:hAnsi="Times New Roman" w:eastAsia="宋体" w:cs="Times New Roman"/>
          <w:b w:val="0"/>
          <w:bCs/>
          <w:kern w:val="44"/>
          <w:sz w:val="44"/>
          <w:szCs w:val="44"/>
          <w:lang w:val="en-US" w:eastAsia="zh-CN" w:bidi="ar-SA"/>
        </w:rPr>
        <w:t>安全事件应急预案（试行）的通知</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 w:val="0"/>
          <w:bCs/>
          <w:kern w:val="44"/>
          <w:sz w:val="44"/>
          <w:szCs w:val="44"/>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楷体" w:hAnsi="楷体" w:eastAsia="楷体" w:cs="楷体"/>
          <w:b w:val="0"/>
          <w:bCs/>
          <w:kern w:val="2"/>
          <w:sz w:val="32"/>
          <w:szCs w:val="32"/>
          <w:lang w:val="en-US" w:eastAsia="zh-CN" w:bidi="ar-SA"/>
        </w:rPr>
      </w:pPr>
      <w:r>
        <w:rPr>
          <w:rFonts w:hint="eastAsia" w:ascii="楷体" w:hAnsi="楷体" w:eastAsia="楷体" w:cs="楷体"/>
          <w:b w:val="0"/>
          <w:bCs/>
          <w:kern w:val="2"/>
          <w:sz w:val="32"/>
          <w:szCs w:val="32"/>
          <w:lang w:val="en-US" w:eastAsia="zh-CN" w:bidi="ar-SA"/>
        </w:rPr>
        <w:t>粤府函〔2019〕430号</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color w:val="424242"/>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现将《广东省疫苗安全事件应急预案（试行）》印发给你们，请认真组织实施。实施过程中遇到的问题，请径向省药监局反映。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广东省人民政府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2019年12月30日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广东省疫苗安全事件应急预案（试行）</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目录</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　总则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1.1　编制目的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1.2　编制依据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1.3　适用范围</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1.4　分级标准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1.5　处置原则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　组织体系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　应急指挥体系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2.1.1　省疫苗安全事件应急指挥部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2.1.2　应急指挥部办公室</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　现场指挥机构（工作组）职责和组成</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2.1.3.1　综合协调组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2.1.3.2　事件调查组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2.1.3.3　危害控制组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2.1.3.4　医疗救治组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2.1.3.5　应急保障组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2.1.3.6　宣传报道组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2.2　专家组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2.3　技术支撑机构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　监测、预警、报告和评估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　监测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3.1.1　报告责任主体</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3.1.2　疫苗安全事件信息内容</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3.2　预警</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　报告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3.3.1　报告程序和时限</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3.3.2　报告内容和方式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3.4　事件评估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　分级响应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4.1　Ⅰ级响应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4.2　Ⅱ级响应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　Ⅲ级响应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　IV级响应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4.5　响应结束</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　信息发布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4.6.1　发布原则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4.6.2　发布要求</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4.6.3　发布形式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　风险沟通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5.1　沟通目的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5.2　沟通原则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5.3　沟通方式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　后期处置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6.1　事件评估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6.2　工作总结</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6.3　善后与恢复</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　保障措施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7.1　信息保障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7.2　人员及技术保障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7.3　物质和经费保障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7.4　应急演练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7.5　应急宣传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8　预案实施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附件1疫苗安全事件分级标准和响应级别</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附件2疫苗安全重大信息报告表（初报）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附件3疫苗安全重大信息报告表（续报）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附件4疫苗安全突发事件信息报告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附件5较大疫苗安全事件应急处置流程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附件6一般疫苗安全事件应急处置流程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　总则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1.1　编制目的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为建立健全我省疫苗安全事件应急处置机制，有效预防、积极应对疫苗安全事件，高效组织应急处置工作，最大限度降低疫苗安全事件危害，保障公众健康和生命安全，维护正常的社会经济秩序，结合我省实际，制定本预案。</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1.2　编制依据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中华人民共和国突发事件应对法》《中华人民共和国药品管理法》《中华人民共和国疫苗管理法》《疫苗流通和预防接种管理条例》《关于改革和完善疫苗管理体制的意见》《市场监管突发事件应急管理办法》《药品和医疗器械安全突发事件应急预案（试行）》《疫苗质量安全事件应急预案（试行）》《全国疑似预防接种异常反应监测方案》等法律法规及有关规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1.3　适用范围</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本预案所称的疫苗安全事件，是指发生疫苗疑似预防接种反应、群体不良事件，经组织调查后怀疑与疫苗质量有关，或者日常监督检查和风险监测中发现的疫苗安全信息，以及其他严重影响公众健康的疫苗安全事件。</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本预案适用于涉及我省行政区域内突发或省外发生涉及我省的疫苗安全事件应急处置的防范应对、应急处置工作。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1.4　分级标准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疫苗安全事件分为特别重大、重大、较大和一般4个级别，依次对应Ⅰ、Ⅱ、Ⅲ、Ⅳ级响应（具体标准见附件1）。</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1.5　处置原则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遵循统一领导、分级负责、预防为主、快速反应、协同应对、依法规范、科学处置的原则。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　组织体系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　应急指挥体系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全省疫苗安全事件应急指挥体系由省、市、县（区）各级应急指挥部及其办公室组成，按照分级负责的原则，负责组织、协调和指导相应事件等级的疫苗安全应急处置工作。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省级应急指挥部负责应对本行政区域较大及以上疫苗安全事件；设区的市级指挥部负责应对本行政区域一般疫苗安全事件。</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2.1.1　省疫苗安全事件应急指挥部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指挥长：分管副省长</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副指挥长：省政府分管副秘书长，省药监局、卫生健康委主要负责同志。</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成员：省委宣传部、政法委、外办、台办，省教育厅、公安厅、民政厅、司法厅、财政厅、卫生健康委、市场监管局、港澳办、粮食和储备局、药监局，海关总署广东分署、省通信管理局、广东银保监局等单位分管负责同志及省疫苗生产企业自律共治小组负责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指挥长可根据实际情况抽调省有关单位分管负责同志作为成员。</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各成员单位根据应急响应级别，按照省指挥部的统一部署，依职责配合做好疫苗安全突发事件应急处置工作。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省委宣传部：负责指导疫苗安全事件宣传报道和舆论引导工作。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省委政法委：负责指导、协调、督促政法机关依法办理疫苗安全犯罪案件。</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省教育厅：负责协助省有关部门对学校（含托幼机构）学生在校疫苗安全事件原因进行调查以及组织应急处置工作。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省公安厅：负责事发地治安秩序维护工作；周边道路交通管制、保障应急救援道路畅通和城市公共客运通行；做好涉嫌犯罪案件的侦查工作，依法严厉打击危害疫苗安全犯罪行为。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省民政厅：负责做好受疫苗安全事件影响导致生活困难且符合社会救助条件人群的基本生活救助工作。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省司法厅：负责疫苗安全事件省政府决策的法律顾问工作。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省财政厅：负责疫苗安全事件应急救援、应急处置的资金保障。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省卫生健康委：负责组织协调相关医疗机构、疾病预防控制机构和接种单位，开展疫苗安全事件患者医疗救治。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省委外办、台办，省港澳办：负责协助有关监管部门对涉外、涉港澳台的疫苗安全事件进行应急处置。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省市场监管局：负责对疫苗安全事件所涉及的商标侵权等违法行为进行调查处理，并采取必要的应急处置措施。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省粮食和储备局：负责落实省级重要物资和应急储备物资动用计划和指令。</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药监局：负责省指挥部办公室日常工作；负责收集和上报疫苗安全事件信息；协调有关部门（单位）开展应急处置工作；控制突发事件所涉及的相关疫苗；负责对疫苗质量安全事件进行调查处理和相关技术鉴定等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海关总署广东分署：负责协调省内海关及时向有关部门通报疫苗安全事件涉及的进出口环节情况，对辖区内国境口岸区域发生的进出口疫苗安全事件中违法行为进行调查处理；组织开展相关检测，依法采取必要的应急处置措施；开展相关疫苗安全事件风险评估；提交事件发生原因、处置过程和风险评估报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通信管理局：根据药品监督管理、卫生健康主管及网信等部门出具的书面认定意见，配合依法查处疫苗安全事件中涉及的违法违规互联网站和应用；负责组织协调各电信运营企业支持做好应急指挥通信保障工作，保障应急指挥系统通信畅通。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广东银保监局：负责督促省内各保险机构及时开展疫苗安全相关保险理赔。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省疫苗生产企业自律共治小组：负责指导疫苗上市许可持有人制订、实施疫苗安全事件应急预案，开展疫苗安全相关教育；协助有关监管部门开展事件调查处理。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2.1.2　应急指挥部办公室</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省应急指挥部办公室设在省药监局，该局主要负责同志兼任办公室主任。职责如下：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（1）承担省应急指挥部日常工作，组织落实省应急指挥部的各项工作部署，建立疫苗安全事件应急处置发文、会商、信息发布、专家组管理和工作督查等工作机制。</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（2）检查督促相关地区和部门做好各项应急处置工作，及时有效控制危害，防止事态蔓延扩大。</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（3）收集汇总分析各相关部门疫苗安全事件应急处置信息，及时向省指挥部报告、通报应急处置工作情况。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（4）组织协调全省疫苗安全事件的预防、预警和应急处置工作，组织相关宣传培训和演练。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（5）组织修订疫苗安全事件应急预案。</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（6）组织建立和管理疫苗安全事件应急处置专家组。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（7）完成省指挥部交办的其他任务。</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市、县级设立相应的疫苗安全事件应急指挥部及其办公室，负责组织、协调和指导本行政区域疫苗安全事件的应急工作。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　现场指挥机构（工作组）职责和组成：</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一般及较大疫苗安全事件后，事发地人民政府设立由本级人民政府负责同志、相关部门负责同志组成的现场指挥机构，统一组织、指挥、协调突发事件现场应急处置工作。现场指挥机构可根据应急处置需要设立综合协调组、事件调查组、危害控制组、医疗救治组、应急保障组和宣传报道组，并可视情况调整其设置及人员组成，也可吸收市、县级指挥部人员和专家、应急处置队伍负责人、事件发生单位负责人等参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2.1.3.1　综合协调组：由药品监督管理部门牵头，卫生健康、财政等部门配合。负责现场指挥机构日常工作；收集、整理、上报疫苗质量安全事件处置信息；组织召开专家组会议；协调提供必要的经费保障；经现场指挥机构授权，发布处置工作动态；承担现场指挥机构交办的其他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2.1.3.2　事件调查组：由药品监督管理部门牵头，政法、公安、卫生健康等部门配合。负责调查疫苗安全事件的发生原因，评估事件影响，做出调查结论，提出防范意见；对涉嫌犯罪的，由省公安厅负责督促、指导涉案地公安机关立案侦办，查清事实，依法追究刑事责任。根据实际需要，事件调查组可设置在事发地或派员赴现场开展调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2.1.3.3　危害控制组：由药品监督管理部门牵头，负责组派应急队伍，监督、指导事发地政府有关部门召回、下架、封存涉事疫苗、原料及相关产品，严格控制流通渠道，防止危害蔓延扩大。</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2.1.3.4　医疗救治组：由卫生健康部门牵头，负责组织协调相关医疗机构，调派医疗救治和公共卫生专家，实施疫苗安全事件患者救治，协助有关部门对事件现场进行卫生处理，组织省级应急医药储备调拨和保障，加强疫苗使用管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2.1.3.5　应急保障组：由粮食和储备、药品监督管理、财政等部门牵头，提供应急救援资金及协助征用交通工具，负责协调组织调运应急救援设施，妥善安置受影响人群，维护应急现场安全和救援秩序，加强治安管理，维护社会稳定，负责出入境应急设备、物资通关保障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2.1.3.6　宣传报道组：由宣传部门牵头，药品监督管理、卫生健康、通信管理等部门配合，涉外、涉港澳台时包括外办、台办、港澳办等部门。根据现场指挥机构发布的信息，组织协调新闻媒体做好疫苗安全事件应急处置的新闻报道，积极引导舆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2.2　专家组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较大及以上级别疫苗安全事件发生后，省药监局牵头从省药品专家库中遴选相关专家成立省疫苗安全应急专家组。完善相关咨询机制，为较大及以上级别疫苗安全事件应急工作提供技术支持。</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2.3　技术支撑机构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药监局直属单位或受委托单位依职责开展应急抽样、检验检测、数据和信息收集与分析工作。根据授权或委托，组织开展事件的性质、发展趋势、危害影响等评估研判。省药监局直属单位应指定相关科室负责疫苗安全事件应急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　监测、预警、报告和评估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　监测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管理部门依职责开展日常疫苗安全监督检查、抽样检验、风险监测、舆情监测等工作，收集、分析和研判可能导致疫苗安全事件的风险隐患信息，必要时向有关部门和地区通报，有关监管部门依法采取有效控制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上市许可持有人、疫苗委托储存配送企业应当依法落实疫苗安全主体责任，建立健全风险监测防控措施，定期开展自查，认真排查和消除疫苗安全风险隐患。疾病预防控制机构和预防接种单位加强疫苗接种规范管理，加强接种人员专业培训，提升预防接种服务水平。出现疫苗安全事件隐患时，要立即报告当地药品监管部门和相关业务监管部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3.1.1　报告责任主体</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（1）发生疫苗安全突发事件的疾病预防控制机构、接种单位；</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（2）AEFI（疑似预防接种异常反应）监测机构；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（3）各级药品监督管理部门；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（4）其他单位和个人。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3.1.2　疫苗安全事件信息内容</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（1）发生疑似疫苗预防接种异常反应，经组织调查怀疑与疫苗有关的信息；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（2）日常监督检查和风险监测中发现的疫苗安全事件信息；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（3）上级领导对疫苗安全事件作出的批示；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（4）上级部门交办或督办的疫苗安全事件信息；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（5）国内外有关部门通报的疫苗安全事件信息；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（6）群众投诉举报反映的疫苗安全事件信息；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（7）属于或可能形成疫苗安全事件的舆情信息；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（8）其他渠道获取的疫苗安全事件信息。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3.2　预警</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药品监管、卫生健康等疫苗安全事件应急部门应发挥专家组和技术支撑机构作用，对疫苗安全事件相关危险因素进行分析，对可能危害公众健康的风险因素、风险级别、影响范围、紧急程度和可能存在的危害提出分析评估意见。可能发生疫苗安全事件或接收到有关信息，应通过指挥部办公室发布疫苗风险预警或指导信息，通知下一级应急部门和可能发生事件单位采取针对性防范措施。同时，针对可能发生事件的特点、危害程度和发展态势，指令应急处置队伍和有关单位进入待命状态，视情派出工作组进行现场督导，检查预防性处置措施执行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　报告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3.3.1　报告程序和时限</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初报。疑似疫苗安全事件发生后，各地级以上市药品监督管理部门要尽快掌握情况，及时上报突发事件信息。特别重大及重大级别疫苗安全事件，应在获知相关信息后30分钟内电话报告、1小时内书面报告；较大级别疫苗安全突发事件，应在获知相关信息后6小时内书面报告省药监局；其他突发事件可能涉及疫苗安全的，应在获知相关信息后24小时内书面上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省药监局应对接报的一般疫苗安全事件信息进行跟踪和协调，对达到较大及以上级别疫苗安全事件，应及时向国家药品监督管理局、省人民政府报告初步情况，并及时书面报告详细情况。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续报。初报后，各地级以上市药品监督管理部门要加强相关情况的跟踪核实，组织分析研判，根据事件发展、应急处置等情况，及时续报有关信息。特别重大及重大疫苗安全事件每天至少上报一次信息，在处置过程中取得重大进展或可确定关键性信息的，应在24小时内上报进展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（3）终报。应于突发事件处置结束后7个工作日内上报。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核报。接到要求核报的信息，事发地药品监督管理部门要迅速核实，按时限要求反馈相关情况。原则上，对国家药品监督管理局和省委、省政府要求核报的信息，需在20分钟内电话反馈；明确要求上报书面信息的，需在50分钟内上报。对省药监局要求核报的信息，需在30分钟内电话反馈；明确要求上报书面信息的，需在1小时内反馈。</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3.3.2　报告内容和方式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向国家药品监督管理局报告疫苗安全事件信息的，以《疫苗安全重大信息报告表》（附件2、3）形式报送，分为初报和续报。初报后，根据事件发展和应急处置等情况，及时续报。初报内容包括事件发生时间、地点、当前状况、危害程度、先期处置、发展趋势等。续报内容包括事件进展、后续应对措施、调查详情、原因分析等。</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向省人民政府报告疫苗安全事件信息的，以《疫苗安全突发事件信息报告》（附件4）形式报送。</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事件信息报告一般采取传真形式。报送信息时，可先通过电话、短信等形式先行报告事件主要情况，后续及时报送相关书面材料，报告时应确保信息核收无误。涉密信息的报告按保密有关规定处理。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3.4　事件评估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安全事件发生后，药品监督管理部门依法组织开展事件评估，初步判定是否为疫苗安全事件，并核定事件级别，将相关情况报同级指挥部，由指挥部向同级人民政府提出启动应急响应建议。评估内容主要包括：</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（1）可能导致的健康危害及涉及范围，是否已造成健康危害后果及严重程度；</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（2）事件影响范围及严重程度；</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（3）事件发展蔓延趋势。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　分级响应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4.1　I级响应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特别重大疫苗安全事件，按照国务院及国家疫苗管理部际联席会议部署要求，在国家药品监督管理局统一指挥下，省药监局应及时请示省人民政府成立省应急指挥部，由省应急指挥部启动I级响应，做好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4.1.1　省应急指挥部收到国家药品监督管理局通知或通报后，第一时间通知本行政区域内的各级药品监督管理部门和卫生健康部门、疾病预防控制机构、相关疫苗经营使用单位立即停止采购、配送和使用涉事疫苗；组织对涉事疫苗进行就地封存、核查采购和配送渠道、追踪流向并进行汇总统计；对本行政区域内相关疫苗不良事件进行统计。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4.1.2　事发地在本省行政区域内的，省药监局协调相关单位，按照国家药品监督管理局的部署要求落实工作；协调卫生健康部门对病人开展医疗救治；依法对本行政区域内的涉事疫苗采取紧急控制措施。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4.2　Ⅱ级响应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发生重大疫苗安全事件，在国家药品监督管理局统一指挥下，省药监局应及时请示省人民政府成立省应急指挥部，由省应急指挥部启动Ⅱ级响应，立即按程序开展处置工作。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4.2.1　省应急指挥部收到国家药品监督管理局通知或通报后，第一时间通知本行政区域内的各级药品监督管理部门和卫生健康部门、省级药品集中采购平台、疾病预防控制机构、相关疫苗配送企业、接种单位立即停止采购、配送和使用涉事疫苗；组织对涉事疫苗进行就地封存、核查疫苗采购和配送渠道、追踪流向并进行汇总统计；对本行政区域内相关疫苗不良事件进行统计。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4.2.2　事发地在本省行政区域内的，省药监局协调相关单位，按照国家药品监督管理局的部署和要求落实工作；协调卫生健康部门对病人开展医疗救治；依法对本行政区域内的涉事疫苗采取紧急控制措施。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　Ⅲ级响应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发生较大疫苗安全事件，省药监局应及时请示省人民政府成立省应急指挥部，由省应急指挥部启动Ⅲ级响应。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4.3.1　省应急指挥部办公室及时将有关情况报告国家药品监督管理局、省人民政府，并及时续报有关情况。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4.3.2　省应急指挥部各成员单位和现场指挥机构每日将工作信息报省应急指挥部办公室，重大紧急情况应即时报送。省应急指挥部办公室每日编发《疫苗安全突发事件信息报告》，报送国家药品监督管理局及省委、省政府，分送省应急指挥部各成员单位。</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4.3.3　省应急指挥部定期召开会议，通报工作进展情况，研究部署应急处置工作重大事项。</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4.3.4　根据患者救治情况，医疗救治组协调省卫生健康委派出省级医疗队，赶赴事发地指导医疗救治工作。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4.3.5　根据事件情况，派出工作组、专家组到事发地指导处置；省应急指挥部负责人视情赶赴事发地现场指挥。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4.3.6　对事发地在我省、涉事疫苗上市许可持有人在外省的，省药监局及时通报涉事疫苗上市许可持有人所在地的省药品监督管理部门并提出应急处置要求。</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4.3.7　危害控制组核实涉事疫苗的品种及生产批号，指导疾病预防控制机构、疫苗配送企业和接种单位依法采取就地封存、核查疫苗采购和配送渠道、追踪流向及汇总统计等紧急控制措施；组织对相关疫苗进行抽样送检。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4.3.8　根据调查进展情况，事件调查组适时组织召开专家组会议，对事件性质、原因进行研判，作出研判结论。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4.3.9　新闻宣传组及时向社会发布警示信息，设立并对外公布咨询电话；制订新闻报道方案，及时、客观、准确地发布事件信息；密切关注社会及网络舆情，做好舆论引导工作。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4.3.10　密切关注社会动态，做好疫苗接种者亲属安抚、信访接访等工作，确保社会稳定。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4.3.11　地级以上市药品监督管理部门采取以下措施：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事发地药品监督管理部门收到省药监局通知或通报后，第一时间通知本行政区域内的各级药品监督管理部门、疾病预防控制机构、疫苗配送企业和接种单位；协调相关部门对事件进行现场核实，包括发生的时间、地点，疫苗的名称和生产批号，不良事件表现，事件涉及的病例数和死亡病例数；协调卫生健康部门对病人开展医疗救治；组织对疫苗的生产、配送、使用进行现场调查；依法对本行政区域内的涉事疫苗采取紧急控制措施，组织对涉事疫苗进行就地封存、核查疫苗采购和配送渠道、流向追踪并进行汇总统计；相关信息及时报告省药监局。</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上市许可持有人所在地药品监督管理部门协助组织对相关药品的生产、流通环节开展现场调查；监督企业召回涉事疫苗；按照省药监局要求，组织对疫苗上市许可持有人的涉事疫苗留样进行抽样送检。相关信息及时报告省药监局。</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　IV级响应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发生一般疫苗安全事件，事发地市级药品监督管理部门应及时请示市人民政府成立市级应急指挥部，启动Ⅳ级响应，并向上逐级报告事件处置情况，省药监局对事件进行密切跟踪并对处置给予指导和支持。</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4.4.1　市应急指挥部及时将有关情况报告省人民政府、省药监局，并及时续报有关情况。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4.4.2　市应急指挥部各成员单位、各工作组于每日将工作信息报综合协调组，重大紧急情况应即时报送。综合协调组每日编发《疫苗安全突发事件信息报告》，报送省委、省政府及省药监局，分送市指挥部各成员单位。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4.4.3　市应急指挥部定期召开会议，通报工作进展情况，研究部署应急处置工作重大事项。</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4.4.4　根据患者救治情况，医疗救治组协调派出医疗专家赶赴事发地指导医疗救治工作。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4.4.5　根据事件情况，派出事件调查组、专家组到事发地指导处置；应急指挥部负责人视情赶赴事发地现场指挥。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4.4.6　对事发地在我省、涉事疫苗上市许可持有人在外省的，省药监局及时通报涉事疫苗上市许可持有人所在地的省药品监督管理部门并提出应急处置要求。</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4.4.7　危害控制组核实涉事疫苗的品种及生产批号，指导相关部门、医疗机构和生产经营单位依法采取封存、溯源、流向追踪等紧急控制措施；组织对相关疫苗进行抽样送检。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4.4.8　根据调查进展情况，事件调查组适时组织召开专家组会议，对事件性质、原因进行研判，作出研判结论。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4.4.9　新闻宣传组及时向社会发布警示信息，设立并对外公布咨询电话；制订新闻报道方案，及时、客观、准确地发布事件信息；密切关注社会及网络舆情，做好舆论引导工作。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4.4.10　密切关注社会动态，做好疫苗接种者亲属安抚、信访接访等工作，确保社会稳定。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4.5　响应结束</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事件原因调查清楚、安全隐患或相关危害因素得到消除或处置结束后，由宣布启动应急响应的指挥部宣布应急响应结束，解除应急状态。上级应急指挥部要与下级应急指挥部做好各项工作交接，负责指导下级应急指挥部做好后续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　信息发布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4.6.1　发布原则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坚持实事求是、及时准确、科学公正的原则。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4.6.2　发布要求</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Ⅰ级响应由国务院以及国家疫苗管理部际联席会议统筹发布相关信息。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Ⅱ级响应由国家药品监督管理局发布相关信息。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Ⅲ级响应、Ⅳ级响应由宣布启动应急响应的指挥部按预案要求发布相关信息。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未经授权，其他单位及个人无权发布疫苗安全事件信息。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4.6.3　发布形式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信息发布包括授权发布、组织报道、接受记者采访、举行新闻发布会、重点新闻网站或政府网站报道等形式。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　风险沟通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5.1　沟通目的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回应社会关切，加强正面引导，避免谣言传播，营造良好的舆论环境。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5.2　沟通原则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遵循积极准备、及时主动、信息真实、口径一致、注重关切的基本原则。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5.3　沟通方式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I级响应按照国务院及国家疫苗管理部际联席会议要求，国家药品监督管理局做好相应风险沟通；Ⅱ级响应由国家药品监督管理局指定专人对外进行风险沟通；Ⅲ级、Ⅳ级响应分别按照省人民政府和各地级以上市人民政府的预案要求对外进行风险沟通。沟通方式包括新闻发布会、电视访谈、书面采访等。</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　后期处置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6.1　事件评估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各级指挥部办公室按规定及时对疫苗安全事件做出客观、真实、全面的调查评估，包括事件的起因、性质、影响、后果、责任等基本情况，事件结论及风险评估情况。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6.2　工作总结</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疫苗安全事件应急处置结束后，各级指挥部要及时对事件发生的经过、采取的主要措施、处置工作情况、原因分析、主要做法进行总结，并提出改进措施。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6.3　善后与恢复</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指挥部根据疫苗安全事件危害程度及造成的损失，提出善后处理意见，并报同级人民政府批准。事发地人民政府负责组织善后处置工作，包括受害及受影响人员的处置、慰问、医疗救治、赔（补）偿、征用物资和救援费用补偿等事项，尽快消除影响，恢复生产经营秩序，确保社会稳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　保障措施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7.1　信息保障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各级疫苗安全事件信息监测机构要建立健全信息收集、报送体系，密切关注苗头性、倾向性问题，确保事件发生时信息报送准确、及时。发现发布不实信息、散布谣言等情况，应及时通报相关部门。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7.2　人员及技术保障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各级药品监督管理、卫生健康部门要加强应急处置能力建设，提升快速应对能力和技术水平。健全专家队伍，为事件调查、风险评估等相关技术工作提供人才保障。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7.3　物质和经费保障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疫苗安全事件应急处置所需设施、设备和物质的储备与调用应当得到保障。疫苗安全事件应急处置、产品抽样及检验等所需经费应当列入年度财政预算，保障应急资金。</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7.4　应急演练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省药监局、卫生健康委牵头定期组织重大疫苗安全事件应急演练，不断完善应急预案。各级药品监督管理、卫生健康部门每年要有计划地组织相关人员进行疫苗安全应急管理培训。</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7.5　应急宣传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通过广播、电视、网络等多种形式，广泛宣传疫苗安全应急管理法律法规和相关常识，增强公众的社会责任感和自我保护能力。</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8　预案实施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（1）本预案由省人民政府组织制定，由省药监局负责解释，并根据相关法律法规和政策规定，以及实施过程中发现的问题及时进行修订。</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（2）本预案自发布之日起施行，试行期2年。</w:t>
      </w:r>
    </w:p>
    <w:p>
      <w:pPr>
        <w:pStyle w:val="4"/>
        <w:rPr>
          <w:rFonts w:hint="default"/>
          <w:lang w:val="zh-CN"/>
        </w:rPr>
      </w:pPr>
    </w:p>
    <w:p>
      <w:pPr>
        <w:rPr>
          <w:rFonts w:hint="default"/>
          <w:lang w:val="zh-CN"/>
        </w:rPr>
      </w:pPr>
    </w:p>
    <w:p>
      <w:pPr>
        <w:pStyle w:val="4"/>
        <w:rPr>
          <w:rFonts w:hint="default"/>
          <w:lang w:val="zh-CN"/>
        </w:rPr>
      </w:pPr>
    </w:p>
    <w:p>
      <w:pPr>
        <w:rPr>
          <w:rFonts w:hint="default"/>
          <w:lang w:val="zh-CN"/>
        </w:rPr>
      </w:pPr>
    </w:p>
    <w:p>
      <w:pPr>
        <w:pStyle w:val="4"/>
        <w:rPr>
          <w:rFonts w:hint="default"/>
          <w:lang w:val="zh-CN"/>
        </w:rPr>
      </w:pPr>
    </w:p>
    <w:p>
      <w:pPr>
        <w:rPr>
          <w:rFonts w:hint="default"/>
          <w:lang w:val="zh-CN"/>
        </w:rPr>
      </w:pPr>
    </w:p>
    <w:p>
      <w:pPr>
        <w:rPr>
          <w:rFonts w:hint="default"/>
          <w:lang w:val="zh-CN"/>
        </w:rPr>
      </w:pPr>
    </w:p>
    <w:p>
      <w:pPr>
        <w:wordWrap/>
        <w:spacing w:line="560" w:lineRule="exact"/>
        <w:textAlignment w:val="auto"/>
        <w:rPr>
          <w:rFonts w:hint="default" w:ascii="Calibri" w:hAnsi="Calibri" w:eastAsia="宋体" w:cs="Times New Roman"/>
          <w:sz w:val="21"/>
          <w:lang w:val="en-US" w:eastAsia="zh-CN"/>
        </w:rPr>
      </w:pPr>
      <w:r>
        <w:rPr>
          <w:rFonts w:hint="default" w:ascii="Calibri" w:hAnsi="Calibri" w:eastAsia="宋体" w:cs="Times New Roman"/>
          <w:sz w:val="21"/>
          <w:lang w:val="en-US" w:eastAsia="zh-CN"/>
        </w:rPr>
        <w:br w:type="page"/>
      </w:r>
    </w:p>
    <w:p>
      <w:pPr>
        <w:widowControl w:val="0"/>
        <w:wordWrap/>
        <w:adjustRightInd/>
        <w:snapToGrid/>
        <w:spacing w:line="560" w:lineRule="exact"/>
        <w:ind w:left="0" w:leftChars="0" w:right="0" w:firstLine="0" w:firstLineChars="0"/>
        <w:jc w:val="center"/>
        <w:textAlignment w:val="auto"/>
        <w:outlineLvl w:val="0"/>
        <w:rPr>
          <w:rFonts w:hint="eastAsia" w:ascii="Times New Roman" w:hAnsi="Times New Roman" w:eastAsia="宋体" w:cs="Times New Roman"/>
          <w:bCs/>
          <w:kern w:val="44"/>
          <w:sz w:val="44"/>
          <w:szCs w:val="44"/>
          <w:lang w:val="en-US" w:eastAsia="zh-CN" w:bidi="ar-SA"/>
        </w:rPr>
      </w:pPr>
      <w:bookmarkStart w:id="481" w:name="_Toc403"/>
      <w:bookmarkStart w:id="482" w:name="_Toc15205"/>
      <w:bookmarkStart w:id="483" w:name="_Toc6116"/>
      <w:bookmarkStart w:id="484" w:name="_Toc18349"/>
      <w:bookmarkStart w:id="485" w:name="_Toc28680"/>
      <w:bookmarkStart w:id="486" w:name="_Toc1797"/>
      <w:bookmarkStart w:id="487" w:name="_Toc3937"/>
      <w:bookmarkStart w:id="488" w:name="_Toc29270"/>
      <w:bookmarkStart w:id="489" w:name="_Toc29723"/>
      <w:bookmarkStart w:id="490" w:name="_Toc13298"/>
      <w:bookmarkStart w:id="491" w:name="_Toc21211"/>
      <w:r>
        <w:rPr>
          <w:rFonts w:hint="eastAsia" w:ascii="Times New Roman" w:hAnsi="Times New Roman" w:eastAsia="宋体" w:cs="Times New Roman"/>
          <w:bCs/>
          <w:kern w:val="44"/>
          <w:sz w:val="44"/>
          <w:szCs w:val="44"/>
          <w:lang w:val="en-US" w:eastAsia="zh-CN" w:bidi="ar-SA"/>
        </w:rPr>
        <w:t>广东省突发事件应急补偿管理暂行办法</w:t>
      </w:r>
      <w:bookmarkEnd w:id="481"/>
    </w:p>
    <w:p>
      <w:pPr>
        <w:widowControl w:val="0"/>
        <w:wordWrap/>
        <w:adjustRightInd/>
        <w:snapToGrid/>
        <w:spacing w:line="560" w:lineRule="exact"/>
        <w:textAlignment w:val="auto"/>
        <w:rPr>
          <w:rFonts w:hint="eastAsia" w:ascii="仿宋_GB2312" w:hAnsi="Times New Roman" w:eastAsia="仿宋_GB2312" w:cs="Times New Roman"/>
          <w:sz w:val="32"/>
          <w:szCs w:val="32"/>
        </w:rPr>
      </w:pPr>
    </w:p>
    <w:p>
      <w:pPr>
        <w:widowControl w:val="0"/>
        <w:wordWrap/>
        <w:adjustRightInd/>
        <w:snapToGrid/>
        <w:spacing w:line="560" w:lineRule="exact"/>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粤府办〔2012〕127号</w:t>
      </w:r>
    </w:p>
    <w:p>
      <w:pPr>
        <w:widowControl w:val="0"/>
        <w:wordWrap/>
        <w:adjustRightInd/>
        <w:snapToGrid/>
        <w:spacing w:line="560" w:lineRule="exact"/>
        <w:jc w:val="both"/>
        <w:textAlignment w:val="auto"/>
        <w:rPr>
          <w:rFonts w:hint="eastAsia" w:ascii="仿宋_GB2312" w:hAnsi="宋体" w:eastAsia="仿宋_GB2312" w:cs="Times New Roman"/>
          <w:kern w:val="2"/>
          <w:sz w:val="32"/>
          <w:szCs w:val="24"/>
          <w:lang w:val="en-US" w:eastAsia="zh-CN" w:bidi="ar-S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textAlignment w:val="auto"/>
        <w:rPr>
          <w:rFonts w:hint="eastAsia" w:ascii="仿宋_GB2312" w:hAnsi="Times New Roman" w:eastAsia="仿宋_GB2312" w:cs="Times New Roman"/>
          <w:sz w:val="32"/>
          <w:szCs w:val="32"/>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w:t>
      </w:r>
      <w:r>
        <w:rPr>
          <w:rFonts w:hint="eastAsia" w:ascii="黑体" w:hAnsi="黑体" w:eastAsia="黑体" w:cs="黑体"/>
          <w:sz w:val="32"/>
          <w:szCs w:val="32"/>
        </w:rPr>
        <w:t>第一条</w:t>
      </w:r>
      <w:r>
        <w:rPr>
          <w:rFonts w:hint="eastAsia" w:ascii="仿宋_GB2312" w:hAnsi="Times New Roman" w:eastAsia="仿宋_GB2312" w:cs="Times New Roman"/>
          <w:sz w:val="32"/>
          <w:szCs w:val="32"/>
        </w:rPr>
        <w:t>　为规范突发事件应急补偿管理，根据《中华人民共和国突发事件应对法》、《广东省突发事件应对条例》等有关法律、法规规定，制定本办法。</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第二条</w:t>
      </w:r>
      <w:r>
        <w:rPr>
          <w:rFonts w:hint="eastAsia" w:ascii="仿宋_GB2312" w:hAnsi="Times New Roman" w:eastAsia="仿宋_GB2312" w:cs="Times New Roman"/>
          <w:sz w:val="32"/>
          <w:szCs w:val="32"/>
        </w:rPr>
        <w:t>　本办法适用于本省行政区域内突发事件应急处置后的应急补偿行为，以及由省政府统一部署、组织实施的支援省外地区突发事件应急处置后的补偿行为。</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本办法所称突发事件，是指突然发生，造成或者可能造成严重社会危害，需要采取应急处置措施予以应对的自然灾害、事故灾难、公共卫生事件和社会安全事件。</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本办法所称应急补偿，是指突发事件发生时，各级人民政府因实施应急征用或采取突发事件应对措施对公民、法人和其他组织造成财产毁损、灭失而依法进行的补偿。</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第三条</w:t>
      </w:r>
      <w:r>
        <w:rPr>
          <w:rFonts w:hint="eastAsia" w:ascii="仿宋_GB2312" w:hAnsi="Times New Roman" w:eastAsia="仿宋_GB2312" w:cs="Times New Roman"/>
          <w:sz w:val="32"/>
          <w:szCs w:val="32"/>
        </w:rPr>
        <w:t>　依法实施应急征用或者采取突发事件应对措施的县级以上人民政府是应急补偿的责任主体，财产被征用或者因突发事件应对措施而造成财产毁损、灭失的公民、法人和其他组织是应急补偿的受偿主体（以下简称受偿人）。</w:t>
      </w:r>
    </w:p>
    <w:p>
      <w:pPr>
        <w:widowControl w:val="0"/>
        <w:wordWrap/>
        <w:adjustRightInd/>
        <w:snapToGrid/>
        <w:spacing w:line="560" w:lineRule="exact"/>
        <w:textAlignment w:val="auto"/>
        <w:rPr>
          <w:rFonts w:hint="eastAsia" w:ascii="仿宋_GB2312" w:hAnsi="Times New Roman" w:eastAsia="仿宋_GB2312" w:cs="Times New Roman"/>
          <w:sz w:val="32"/>
          <w:szCs w:val="32"/>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第四条</w:t>
      </w:r>
      <w:r>
        <w:rPr>
          <w:rFonts w:hint="eastAsia" w:ascii="仿宋_GB2312" w:hAnsi="Times New Roman" w:eastAsia="仿宋_GB2312" w:cs="Times New Roman"/>
          <w:sz w:val="32"/>
          <w:szCs w:val="32"/>
        </w:rPr>
        <w:t>　应急补偿应遵循以下原则：</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（一）合法合理补偿。补偿应符合相关法律、法规规定。补偿价值应与被征用财产在征用期间的使用价值相当，或者与因应急征用和突发事件应对措施而造成的财产损失相当。</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（二）补偿直接损失。仅补偿与应急征用或者突发事件应对措施有直接因果关系的财产损失，不包括精神损失等非物质层面损失和突发事件直接造成的财产损失。</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（三）补偿实际损失。仅补偿已经发生的实际损失，不包括预计发生的损失。按规定应由保险公司负责理赔的，不纳入政府突发事件应急补偿范围。</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第五条</w:t>
      </w:r>
      <w:r>
        <w:rPr>
          <w:rFonts w:hint="eastAsia" w:ascii="仿宋_GB2312" w:hAnsi="Times New Roman" w:eastAsia="仿宋_GB2312" w:cs="Times New Roman"/>
          <w:sz w:val="32"/>
          <w:szCs w:val="32"/>
        </w:rPr>
        <w:t>　应急补偿资金按照分级负担、分级管理原则，由各级人民政府通过财政资金安排、社会捐赠、慈善募集等方式，多渠道筹集解决。</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部门职责</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w:t>
      </w:r>
      <w:r>
        <w:rPr>
          <w:rFonts w:hint="eastAsia" w:ascii="黑体" w:hAnsi="黑体" w:eastAsia="黑体" w:cs="黑体"/>
          <w:sz w:val="32"/>
          <w:szCs w:val="32"/>
        </w:rPr>
        <w:t>第六条</w:t>
      </w:r>
      <w:r>
        <w:rPr>
          <w:rFonts w:hint="eastAsia" w:ascii="仿宋_GB2312" w:hAnsi="Times New Roman" w:eastAsia="仿宋_GB2312" w:cs="Times New Roman"/>
          <w:sz w:val="32"/>
          <w:szCs w:val="32"/>
        </w:rPr>
        <w:t>　应急响应结束后，有关单位应认真做好应急补偿工作。</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一）按照“谁实施应急征用、谁确定补偿单位”的原则，由有关人民政府确定应急补偿单位（以下简称补偿单位）。当地应急管理办公室（以下简称应急办）应及时对补偿工作提出建议，指导并监督补偿单位开展应急补偿工作。</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（二）补偿单位负责受理并审核相关公民、法人和其他组织的应急补偿要求，向同级财政部门提交应急补偿方案，组织应急补偿资金的发放。</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（三）财政部门根据同级人民政府的决定，负责筹集应急补偿资金，审核同级补偿单位提交的应急补偿方案，按规定安排资金，监督应急补偿资金的发放。</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（四）各级监察、审计部门负责对应急补偿资金的使用管理实施监督检查。</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（五）根据行政决策、执行与监督相分离的原则，各级财政部门不得作为补偿单位。</w:t>
      </w:r>
    </w:p>
    <w:p>
      <w:pPr>
        <w:widowControl w:val="0"/>
        <w:wordWrap/>
        <w:adjustRightInd/>
        <w:snapToGrid/>
        <w:spacing w:line="560" w:lineRule="exact"/>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补偿方式与标准</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第七条</w:t>
      </w:r>
      <w:r>
        <w:rPr>
          <w:rFonts w:hint="eastAsia" w:ascii="仿宋_GB2312" w:hAnsi="Times New Roman" w:eastAsia="仿宋_GB2312" w:cs="Times New Roman"/>
          <w:sz w:val="32"/>
          <w:szCs w:val="32"/>
        </w:rPr>
        <w:t>　应急补偿采取货币补偿方式。补偿单位或者财政部门可在与受偿人充分协商的基础上按规定委托具有资产评估资质的中介机构进行财产损失评估。</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第八条</w:t>
      </w:r>
      <w:r>
        <w:rPr>
          <w:rFonts w:hint="eastAsia" w:ascii="仿宋_GB2312" w:hAnsi="Times New Roman" w:eastAsia="仿宋_GB2312" w:cs="Times New Roman"/>
          <w:sz w:val="32"/>
          <w:szCs w:val="32"/>
        </w:rPr>
        <w:t>　县级以上人民政府依法实施应急征用行为，应参照本行政区域同类资产的市场租赁价格给予被征用财产的公民、法人和其他组织租金补偿。</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第九条</w:t>
      </w:r>
      <w:r>
        <w:rPr>
          <w:rFonts w:hint="eastAsia" w:ascii="仿宋_GB2312" w:hAnsi="Times New Roman" w:eastAsia="仿宋_GB2312" w:cs="Times New Roman"/>
          <w:sz w:val="32"/>
          <w:szCs w:val="32"/>
        </w:rPr>
        <w:t>　财产因被征用或因突发事件应急措施导致毁损、灭失的，按下列情况分别处理：</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（一）财产毁损但经维修能够恢复使用功能的，补偿金按必要维修费用支出并综合考虑财产保险等因素确定。</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（二）财产无法维修或经维修无法恢复使用功能、灭失或维修费用超过财产毁损前价值的，补偿金额应在综合考虑财产重置成本、综合成新率、净残值和保险赔偿金等因素后确定。</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第十条</w:t>
      </w:r>
      <w:r>
        <w:rPr>
          <w:rFonts w:hint="eastAsia" w:ascii="仿宋_GB2312" w:hAnsi="Times New Roman" w:eastAsia="仿宋_GB2312" w:cs="Times New Roman"/>
          <w:sz w:val="32"/>
          <w:szCs w:val="32"/>
        </w:rPr>
        <w:t>　法律、法规对补偿标准另有规定的，从其规定。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补偿程序</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第十一条</w:t>
      </w:r>
      <w:r>
        <w:rPr>
          <w:rFonts w:hint="eastAsia" w:ascii="仿宋_GB2312" w:hAnsi="Times New Roman" w:eastAsia="仿宋_GB2312" w:cs="Times New Roman"/>
          <w:sz w:val="32"/>
          <w:szCs w:val="32"/>
        </w:rPr>
        <w:t>　应急响应结束后，相关人民政府应当在两个工作日内确定补偿单位，督促相关部门按规定将征用财产及时返还被征用人，并将财产征用、返还、毁损和灭失情况书面报送补偿单位。</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第十二条</w:t>
      </w:r>
      <w:r>
        <w:rPr>
          <w:rFonts w:hint="eastAsia" w:ascii="仿宋_GB2312" w:hAnsi="Times New Roman" w:eastAsia="仿宋_GB2312" w:cs="Times New Roman"/>
          <w:sz w:val="32"/>
          <w:szCs w:val="32"/>
        </w:rPr>
        <w:t>　补偿单位应在应急响应结束之日起7个工作日内书面通知相关受偿人提交申请补偿所需的材料，并在当地政府门户网站和主流媒体上予以公告。</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受偿人应在知道或应当知道补偿通知之日起1年内，向补偿单位书面提出应急补偿要求。逾期未提出补偿要求且无正当理由的，视同放弃受偿权利。</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受偿人应提交的材料包括：应急处置征用令、征用财产清单、财产返还情况、财产损毁或灭失情况、补偿金额及计算依据、补偿单位要求提供的其他材料。</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第十三条</w:t>
      </w:r>
      <w:r>
        <w:rPr>
          <w:rFonts w:hint="eastAsia" w:ascii="仿宋_GB2312" w:hAnsi="Times New Roman" w:eastAsia="仿宋_GB2312" w:cs="Times New Roman"/>
          <w:sz w:val="32"/>
          <w:szCs w:val="32"/>
        </w:rPr>
        <w:t>　补偿单位应自收到应急补偿要求之日起5个工作日内进行处理：</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（一）材料齐全且表述清楚的，应予以受理，并书面出具受理回执。</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（二）材料不齐或者表述不清楚的，应书面告知受偿人在合理期限内更正或补充。</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（三）决定不予受理的，应书面告知受偿人并充分说明理由。</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第十四条</w:t>
      </w:r>
      <w:r>
        <w:rPr>
          <w:rFonts w:hint="eastAsia" w:ascii="仿宋_GB2312" w:hAnsi="Times New Roman" w:eastAsia="仿宋_GB2312" w:cs="Times New Roman"/>
          <w:sz w:val="32"/>
          <w:szCs w:val="32"/>
        </w:rPr>
        <w:t>　补偿单位应在补偿申请受理之日起45个工作日内完成审核，并拟定补偿方案，书面报送同级财政部门。</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补偿单位提交的材料应包括：安排应急补偿资金的书面申请书、应急处置征用令、征用财产清单、政府应急措施、应急措施与财产毁损灭失的关联情况、认定财产损失的标准和依据、资产评估报告书、补偿金额、社会捐资情况和明细清单以及财政部门要求提交的其他材料。</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第十五条</w:t>
      </w:r>
      <w:r>
        <w:rPr>
          <w:rFonts w:hint="eastAsia" w:ascii="仿宋_GB2312" w:hAnsi="Times New Roman" w:eastAsia="仿宋_GB2312" w:cs="Times New Roman"/>
          <w:sz w:val="32"/>
          <w:szCs w:val="32"/>
        </w:rPr>
        <w:t>　财政部门收到补偿方案后，应当在30个工作日内完成核准，并批复补偿单位。</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因特殊原因需适当延长工作时限的，应通知补偿单位并由补偿单位书面告知受偿人。</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第十六条</w:t>
      </w:r>
      <w:r>
        <w:rPr>
          <w:rFonts w:hint="eastAsia" w:ascii="仿宋_GB2312" w:hAnsi="Times New Roman" w:eastAsia="仿宋_GB2312" w:cs="Times New Roman"/>
          <w:sz w:val="32"/>
          <w:szCs w:val="32"/>
        </w:rPr>
        <w:t>　补偿单位应在收到财政部门批复之日起2个工作日内将补偿方案在本级政府门户网站上公示5个工作日。</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公示期间有异议或投诉的，由补偿单位按规定处理。</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第十七条</w:t>
      </w:r>
      <w:r>
        <w:rPr>
          <w:rFonts w:hint="eastAsia" w:ascii="仿宋_GB2312" w:hAnsi="Times New Roman" w:eastAsia="仿宋_GB2312" w:cs="Times New Roman"/>
          <w:sz w:val="32"/>
          <w:szCs w:val="32"/>
        </w:rPr>
        <w:t>　补偿单位应当在补偿方案公示结束后3个工作日内作出补偿决定，并书面通知受偿人。</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第十八条</w:t>
      </w:r>
      <w:r>
        <w:rPr>
          <w:rFonts w:hint="eastAsia" w:ascii="仿宋_GB2312" w:hAnsi="Times New Roman" w:eastAsia="仿宋_GB2312" w:cs="Times New Roman"/>
          <w:sz w:val="32"/>
          <w:szCs w:val="32"/>
        </w:rPr>
        <w:t>　补偿单位在补偿工作完成后应将补偿情况向同级财政部门、应急办备案。</w:t>
      </w:r>
    </w:p>
    <w:p>
      <w:pPr>
        <w:widowControl w:val="0"/>
        <w:wordWrap/>
        <w:adjustRightInd/>
        <w:snapToGrid/>
        <w:spacing w:line="560" w:lineRule="exact"/>
        <w:jc w:val="center"/>
        <w:textAlignment w:val="auto"/>
        <w:rPr>
          <w:rFonts w:hint="eastAsia" w:ascii="仿宋_GB2312" w:hAnsi="Times New Roman" w:eastAsia="仿宋_GB2312" w:cs="Times New Roman"/>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资金管理</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第十九条</w:t>
      </w:r>
      <w:r>
        <w:rPr>
          <w:rFonts w:hint="eastAsia" w:ascii="仿宋_GB2312" w:hAnsi="Times New Roman" w:eastAsia="仿宋_GB2312" w:cs="Times New Roman"/>
          <w:sz w:val="32"/>
          <w:szCs w:val="32"/>
        </w:rPr>
        <w:t>　应急补偿资金纳入国库集中支付范围，实行国库集中支付管理。补偿单位应在补偿公示结束5个工作日内将补偿资金直接支付到受偿人提供的银行账户，并将应急补偿资金使用情况及时报告本级财政部门。</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监督检查</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第二十条</w:t>
      </w:r>
      <w:r>
        <w:rPr>
          <w:rFonts w:hint="eastAsia" w:ascii="仿宋_GB2312" w:hAnsi="Times New Roman" w:eastAsia="仿宋_GB2312" w:cs="Times New Roman"/>
          <w:sz w:val="32"/>
          <w:szCs w:val="32"/>
        </w:rPr>
        <w:t>　受偿人应确保应急补偿申请资料真实、准确、完整，不得提供虚假资料。</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第二十一条</w:t>
      </w:r>
      <w:r>
        <w:rPr>
          <w:rFonts w:hint="eastAsia" w:ascii="仿宋_GB2312" w:hAnsi="Times New Roman" w:eastAsia="仿宋_GB2312" w:cs="Times New Roman"/>
          <w:sz w:val="32"/>
          <w:szCs w:val="32"/>
        </w:rPr>
        <w:t>　补偿单位应当按规定公开包括损失情况、补偿标准、补偿金额等在内的应急补偿信息，提高透明度，自觉接受有关部门以及社会的监督。</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第二十二条</w:t>
      </w:r>
      <w:r>
        <w:rPr>
          <w:rFonts w:hint="eastAsia" w:ascii="仿宋_GB2312" w:hAnsi="Times New Roman" w:eastAsia="仿宋_GB2312" w:cs="Times New Roman"/>
          <w:sz w:val="32"/>
          <w:szCs w:val="32"/>
        </w:rPr>
        <w:t>　对弄虚作假、挤占、截留、挪用财政资金以及重复申请套取应急补偿资金等行为，按照《财政违法行为处罚处分条例》（国务院令第427号）予以处理并追究相关单位、人员法律责任。</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附　则</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第二十三条</w:t>
      </w:r>
      <w:r>
        <w:rPr>
          <w:rFonts w:hint="eastAsia" w:ascii="仿宋_GB2312" w:hAnsi="Times New Roman" w:eastAsia="仿宋_GB2312" w:cs="Times New Roman"/>
          <w:sz w:val="32"/>
          <w:szCs w:val="32"/>
        </w:rPr>
        <w:t>　基本支出由财政全额保障的机关事业单位的应急补偿，不适用本办法。</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第二十四条</w:t>
      </w:r>
      <w:r>
        <w:rPr>
          <w:rFonts w:hint="eastAsia" w:ascii="仿宋_GB2312" w:hAnsi="Times New Roman" w:eastAsia="仿宋_GB2312" w:cs="Times New Roman"/>
          <w:sz w:val="32"/>
          <w:szCs w:val="32"/>
        </w:rPr>
        <w:t>　本办法由省财政厅负责解释。</w:t>
      </w:r>
    </w:p>
    <w:p>
      <w:pPr>
        <w:widowControl w:val="0"/>
        <w:wordWrap/>
        <w:adjustRightInd/>
        <w:snapToGrid/>
        <w:spacing w:line="560" w:lineRule="exact"/>
        <w:ind w:firstLine="640"/>
        <w:textAlignment w:val="auto"/>
        <w:rPr>
          <w:rFonts w:hint="eastAsia" w:ascii="仿宋_GB2312" w:hAnsi="Times New Roman" w:eastAsia="仿宋_GB2312" w:cs="Times New Roman"/>
          <w:sz w:val="32"/>
          <w:szCs w:val="32"/>
        </w:rPr>
      </w:pPr>
      <w:r>
        <w:rPr>
          <w:rFonts w:hint="eastAsia" w:ascii="黑体" w:hAnsi="黑体" w:eastAsia="黑体" w:cs="黑体"/>
          <w:sz w:val="32"/>
          <w:szCs w:val="32"/>
        </w:rPr>
        <w:t>第二十五条</w:t>
      </w:r>
      <w:r>
        <w:rPr>
          <w:rFonts w:hint="eastAsia" w:ascii="仿宋_GB2312" w:hAnsi="Times New Roman" w:eastAsia="仿宋_GB2312" w:cs="Times New Roman"/>
          <w:sz w:val="32"/>
          <w:szCs w:val="32"/>
        </w:rPr>
        <w:t>　本办法自2013年1月1日开始实施。</w:t>
      </w:r>
    </w:p>
    <w:p>
      <w:pPr>
        <w:pStyle w:val="4"/>
        <w:ind w:firstLine="640"/>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b w:val="0"/>
          <w:bCs/>
          <w:i w:val="0"/>
          <w:caps w:val="0"/>
          <w:color w:val="424242"/>
          <w:spacing w:val="0"/>
          <w:sz w:val="44"/>
          <w:szCs w:val="44"/>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b w:val="0"/>
          <w:bCs/>
          <w:i w:val="0"/>
          <w:caps w:val="0"/>
          <w:color w:val="424242"/>
          <w:spacing w:val="0"/>
          <w:sz w:val="44"/>
          <w:szCs w:val="44"/>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424242"/>
          <w:spacing w:val="0"/>
          <w:sz w:val="44"/>
          <w:szCs w:val="44"/>
        </w:rPr>
      </w:pPr>
      <w:r>
        <w:rPr>
          <w:rStyle w:val="23"/>
          <w:rFonts w:hint="eastAsia" w:ascii="宋体" w:hAnsi="宋体" w:eastAsia="宋体" w:cs="宋体"/>
          <w:b w:val="0"/>
          <w:bCs/>
          <w:i w:val="0"/>
          <w:caps w:val="0"/>
          <w:color w:val="424242"/>
          <w:spacing w:val="0"/>
          <w:sz w:val="44"/>
          <w:szCs w:val="44"/>
          <w:shd w:val="clear" w:color="0A0000" w:fill="FFFFFF"/>
        </w:rPr>
        <w:t>广东省医疗纠纷预防与处理办法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640" w:leftChars="200" w:right="640" w:rightChars="200" w:firstLine="0"/>
        <w:jc w:val="both"/>
        <w:textAlignment w:val="auto"/>
        <w:rPr>
          <w:rFonts w:hint="eastAsia" w:ascii="仿宋" w:hAnsi="仿宋" w:eastAsia="仿宋" w:cs="仿宋"/>
          <w:i w:val="0"/>
          <w:caps w:val="0"/>
          <w:color w:val="424242"/>
          <w:spacing w:val="0"/>
          <w:sz w:val="32"/>
          <w:szCs w:val="32"/>
          <w:shd w:val="clear" w:color="070000" w:fill="FFFFFF"/>
        </w:rPr>
      </w:pPr>
      <w:r>
        <w:rPr>
          <w:rFonts w:hint="eastAsia" w:ascii="仿宋" w:hAnsi="仿宋" w:eastAsia="仿宋" w:cs="仿宋"/>
          <w:i w:val="0"/>
          <w:caps w:val="0"/>
          <w:color w:val="424242"/>
          <w:spacing w:val="0"/>
          <w:sz w:val="32"/>
          <w:szCs w:val="32"/>
          <w:shd w:val="clear" w:color="070000" w:fill="FFFFFF"/>
        </w:rPr>
        <w:t> </w:t>
      </w:r>
      <w:r>
        <w:rPr>
          <w:rFonts w:hint="eastAsia" w:ascii="仿宋" w:hAnsi="仿宋" w:eastAsia="仿宋" w:cs="仿宋"/>
          <w:i w:val="0"/>
          <w:caps w:val="0"/>
          <w:color w:val="424242"/>
          <w:spacing w:val="0"/>
          <w:sz w:val="32"/>
          <w:szCs w:val="32"/>
          <w:shd w:val="clear" w:color="070000" w:fill="FFFFFF"/>
        </w:rPr>
        <w:br w:type="textWrapping"/>
      </w:r>
      <w:r>
        <w:rPr>
          <w:rFonts w:hint="eastAsia" w:ascii="楷体" w:hAnsi="楷体" w:eastAsia="楷体" w:cs="楷体"/>
          <w:i w:val="0"/>
          <w:caps w:val="0"/>
          <w:color w:val="424242"/>
          <w:spacing w:val="0"/>
          <w:sz w:val="32"/>
          <w:szCs w:val="32"/>
          <w:shd w:val="clear" w:color="070000" w:fill="FFFFFF"/>
        </w:rPr>
        <w:t>（2013年1月14日广东省人民政府第十一届110次常务会议通过  2013年4月2日广东省人民政府令第186号公布  根据2017年5月17日广东省人民政府第十二届102次常务会议《广东省人民政府关于废止和修改部分省政府规章的决定》修改）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第一章　总则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第一条</w:t>
      </w:r>
      <w:r>
        <w:rPr>
          <w:rFonts w:hint="eastAsia" w:ascii="仿宋" w:hAnsi="仿宋" w:eastAsia="仿宋" w:cs="仿宋"/>
          <w:i w:val="0"/>
          <w:caps w:val="0"/>
          <w:color w:val="424242"/>
          <w:spacing w:val="0"/>
          <w:sz w:val="32"/>
          <w:szCs w:val="32"/>
          <w:shd w:val="clear" w:color="070000" w:fill="FFFFFF"/>
        </w:rPr>
        <w:t>　为了预防与处理医疗纠纷，保护医患双方当事人的合法权益，维护医疗秩序，根据《中华人民共和国侵权责任法》、《中华人民共和国人民调解法》、《医疗事故处理条例》等有关法律法规，结合本省实际，制定本办法。</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第二条</w:t>
      </w:r>
      <w:r>
        <w:rPr>
          <w:rStyle w:val="23"/>
          <w:rFonts w:hint="eastAsia" w:ascii="仿宋" w:hAnsi="仿宋" w:eastAsia="仿宋" w:cs="仿宋"/>
          <w:i w:val="0"/>
          <w:caps w:val="0"/>
          <w:color w:val="424242"/>
          <w:spacing w:val="0"/>
          <w:sz w:val="32"/>
          <w:szCs w:val="32"/>
          <w:shd w:val="clear" w:color="080000" w:fill="FFFFFF"/>
        </w:rPr>
        <w:t>　</w:t>
      </w:r>
      <w:r>
        <w:rPr>
          <w:rFonts w:hint="eastAsia" w:ascii="仿宋" w:hAnsi="仿宋" w:eastAsia="仿宋" w:cs="仿宋"/>
          <w:i w:val="0"/>
          <w:caps w:val="0"/>
          <w:color w:val="424242"/>
          <w:spacing w:val="0"/>
          <w:sz w:val="32"/>
          <w:szCs w:val="32"/>
          <w:shd w:val="clear" w:color="070000" w:fill="FFFFFF"/>
        </w:rPr>
        <w:t>本省行政区域内医疗纠纷的预防与处理，适用本办法。</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本办法所称医疗纠纷，是指医患双方当事人之间因医疗机构及其医务人员在医疗过程中实施的医疗、预防、保健等执业行为而引发的争议。</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第三条</w:t>
      </w:r>
      <w:r>
        <w:rPr>
          <w:rFonts w:hint="eastAsia" w:ascii="仿宋" w:hAnsi="仿宋" w:eastAsia="仿宋" w:cs="仿宋"/>
          <w:i w:val="0"/>
          <w:caps w:val="0"/>
          <w:color w:val="424242"/>
          <w:spacing w:val="0"/>
          <w:sz w:val="32"/>
          <w:szCs w:val="32"/>
          <w:shd w:val="clear" w:color="070000" w:fill="FFFFFF"/>
        </w:rPr>
        <w:t>　医疗纠纷的预防与处理，应当坚持预防为主、公平合理、及时便民、依法处理的原则。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第四条</w:t>
      </w:r>
      <w:r>
        <w:rPr>
          <w:rFonts w:hint="eastAsia" w:ascii="仿宋" w:hAnsi="仿宋" w:eastAsia="仿宋" w:cs="仿宋"/>
          <w:i w:val="0"/>
          <w:caps w:val="0"/>
          <w:color w:val="424242"/>
          <w:spacing w:val="0"/>
          <w:sz w:val="32"/>
          <w:szCs w:val="32"/>
          <w:shd w:val="clear" w:color="070000" w:fill="FFFFFF"/>
        </w:rPr>
        <w:t>　县级以上人民政府应当加强对医疗纠纷预防与处理工作的领导，督促有关部门依法履行职责，协调解决医疗纠纷预防与处理工作中的重大问题。</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医疗机构所在地、患者居住地乡镇人民政府、街道办事处应当配合县级以上人民政府及相关部门做好医疗纠纷的处理工作。</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第五条</w:t>
      </w:r>
      <w:r>
        <w:rPr>
          <w:rFonts w:hint="eastAsia" w:ascii="仿宋" w:hAnsi="仿宋" w:eastAsia="仿宋" w:cs="仿宋"/>
          <w:i w:val="0"/>
          <w:caps w:val="0"/>
          <w:color w:val="424242"/>
          <w:spacing w:val="0"/>
          <w:sz w:val="32"/>
          <w:szCs w:val="32"/>
          <w:shd w:val="clear" w:color="070000" w:fill="FFFFFF"/>
        </w:rPr>
        <w:t>　县级以上人民政府卫生行政部门应当规范医疗机构执业准入，加强对医疗机构及其医务人员的监督管理，督促医疗机构提高医疗服务质量、保障医疗安全，做好医疗纠纷预防与处理工作。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县级以上人民政府司法行政部门应当履行职责，加强对医疗纠纷人民调解工作的指导，促进医疗纠纷人民调解工作规范化建设。</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县级以上人民政府公安机关应当维护医疗机构的治安秩序，加强对医疗机构内部治安保卫工作的监督指导，依法打击侵害医务人员、患者人身安全和扰乱医疗机构秩序的违法犯罪行为。</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县级以上人民政府价格主管部门应当加强医疗服务价格监督管理，规范医疗服务价格行为。</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保险监督管理机构应当加强对相关保险工作的监督管理。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县级以上人民政府人力资源与社会保障、财政、民政等部门在各自职责范围内，做好医疗纠纷预防与处理工作。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第六条</w:t>
      </w:r>
      <w:r>
        <w:rPr>
          <w:rFonts w:hint="eastAsia" w:ascii="仿宋" w:hAnsi="仿宋" w:eastAsia="仿宋" w:cs="仿宋"/>
          <w:i w:val="0"/>
          <w:caps w:val="0"/>
          <w:color w:val="424242"/>
          <w:spacing w:val="0"/>
          <w:sz w:val="32"/>
          <w:szCs w:val="32"/>
          <w:shd w:val="clear" w:color="070000" w:fill="FFFFFF"/>
        </w:rPr>
        <w:t>　新闻媒体应当遵守有关法律、法规、规章和职业道德，履行社会责任，客观公正报道医疗纠纷。</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第七条</w:t>
      </w:r>
      <w:r>
        <w:rPr>
          <w:rFonts w:hint="eastAsia" w:ascii="仿宋" w:hAnsi="仿宋" w:eastAsia="仿宋" w:cs="仿宋"/>
          <w:i w:val="0"/>
          <w:caps w:val="0"/>
          <w:color w:val="424242"/>
          <w:spacing w:val="0"/>
          <w:sz w:val="32"/>
          <w:szCs w:val="32"/>
          <w:shd w:val="clear" w:color="070000" w:fill="FFFFFF"/>
        </w:rPr>
        <w:t>　医患双方当事人在医疗纠纷发生后，可以选择下列途径解决：</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（一）自行协商解决，但第二十九条第三款规定的除外；</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（二）向医疗纠纷人民调解委员会或者医患纠纷人民调解委员会（以下简称医调委）申请调解；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（三）向卫生行政部门申请行政处理；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（四）向人民法院提起诉讼；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（五）法律、法规、规章规定的其他途径。</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有条件的地级以上市可以试行医疗纠纷仲裁。</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第八条</w:t>
      </w:r>
      <w:r>
        <w:rPr>
          <w:rFonts w:hint="eastAsia" w:ascii="仿宋" w:hAnsi="仿宋" w:eastAsia="仿宋" w:cs="仿宋"/>
          <w:i w:val="0"/>
          <w:caps w:val="0"/>
          <w:color w:val="424242"/>
          <w:spacing w:val="0"/>
          <w:sz w:val="32"/>
          <w:szCs w:val="32"/>
          <w:shd w:val="clear" w:color="070000" w:fill="FFFFFF"/>
        </w:rPr>
        <w:t>　医调委是依法设立的专业性人民调解组织。</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地级以上市人民政府司法行政部门应当指导当地设立医调委，县级人民政府司法行政部门应当指导当地根据实际需要设立医调委，负责本行政区域内医疗纠纷的人民调解工作。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县级以上人民政府司法行政部门应当对本行政区域内医调委的设立情况进行统计，并及时向社会公布医调委的名称、负责人、地址和电话。</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县级以上人民政府对医疗纠纷人民调解工作所需经费、人员、办公场地等给予必要的支持和保障。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各级司法行政部门和卫生行政部门应当加强沟通与协作，加强对医疗纠纷人民调解工作的指导。</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有条件的市、县、区人民政府可以对医调委的设立及开展医疗纠纷人民调解工作采取政府购买服务的方式。</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第九条</w:t>
      </w:r>
      <w:r>
        <w:rPr>
          <w:rFonts w:hint="eastAsia" w:ascii="仿宋" w:hAnsi="仿宋" w:eastAsia="仿宋" w:cs="仿宋"/>
          <w:i w:val="0"/>
          <w:caps w:val="0"/>
          <w:color w:val="424242"/>
          <w:spacing w:val="0"/>
          <w:sz w:val="32"/>
          <w:szCs w:val="32"/>
          <w:shd w:val="clear" w:color="070000" w:fill="FFFFFF"/>
        </w:rPr>
        <w:t>　鼓励和支持医疗机构参加医疗责任保险，鼓励患者参加医疗意外保险。</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卫生行政部门应当引导医疗机构参加医疗责任保险。</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第十条</w:t>
      </w:r>
      <w:r>
        <w:rPr>
          <w:rFonts w:hint="eastAsia" w:ascii="仿宋" w:hAnsi="仿宋" w:eastAsia="仿宋" w:cs="仿宋"/>
          <w:i w:val="0"/>
          <w:caps w:val="0"/>
          <w:color w:val="424242"/>
          <w:spacing w:val="0"/>
          <w:sz w:val="32"/>
          <w:szCs w:val="32"/>
          <w:shd w:val="clear" w:color="070000" w:fill="FFFFFF"/>
        </w:rPr>
        <w:t>　鼓励境内外公民、法人和其他组织依法捐赠财产或者设立医疗风险基金，资助本省医疗机构开展医疗救助和医调委开展医疗纠纷调解工作。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接受捐助的医疗机构或者医调委应当每半年一次向社会公布接受社会捐助、资助的具体情况，接受社会监督。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第二章　医疗纠纷的预防</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第十一条</w:t>
      </w:r>
      <w:r>
        <w:rPr>
          <w:rFonts w:hint="eastAsia" w:ascii="仿宋" w:hAnsi="仿宋" w:eastAsia="仿宋" w:cs="仿宋"/>
          <w:i w:val="0"/>
          <w:caps w:val="0"/>
          <w:color w:val="424242"/>
          <w:spacing w:val="0"/>
          <w:sz w:val="32"/>
          <w:szCs w:val="32"/>
          <w:shd w:val="clear" w:color="070000" w:fill="FFFFFF"/>
        </w:rPr>
        <w:t>　卫生行政部门应当加强对医疗机构和医护人员执业准入及其执业行为的监督，及时查处医疗机构的违法违规行为，采取有效措施提高医疗水平，维护医患双方当事人的合法权益。</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第十二条</w:t>
      </w:r>
      <w:r>
        <w:rPr>
          <w:rFonts w:hint="eastAsia" w:ascii="仿宋" w:hAnsi="仿宋" w:eastAsia="仿宋" w:cs="仿宋"/>
          <w:i w:val="0"/>
          <w:caps w:val="0"/>
          <w:color w:val="424242"/>
          <w:spacing w:val="0"/>
          <w:sz w:val="32"/>
          <w:szCs w:val="32"/>
          <w:shd w:val="clear" w:color="070000" w:fill="FFFFFF"/>
        </w:rPr>
        <w:t>　县级以上人民政府卫生行政部门行使下列监督管理职责：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（一）负责医疗机构的设置审批、执业登记和校验；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（二）检查指导医疗机构的执业活动；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（三）负责组织对医疗机构的评审；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（四）督促医疗机构建立完善有关制度；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（五）对违反本办法的行为给予行政处罚。</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第十三条</w:t>
      </w:r>
      <w:r>
        <w:rPr>
          <w:rFonts w:hint="eastAsia" w:ascii="仿宋" w:hAnsi="仿宋" w:eastAsia="仿宋" w:cs="仿宋"/>
          <w:i w:val="0"/>
          <w:caps w:val="0"/>
          <w:color w:val="424242"/>
          <w:spacing w:val="0"/>
          <w:sz w:val="32"/>
          <w:szCs w:val="32"/>
          <w:shd w:val="clear" w:color="070000" w:fill="FFFFFF"/>
        </w:rPr>
        <w:t>　医疗机构执业应当遵守有关法律、法规、规章和医疗技术规范，按照核准登记的诊疗科目开展诊疗活动。</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医疗机构应当加强对医务人员医疗卫生管理法律、法规、规章和诊疗护理规范、常规的培训和医疗服务职业道德教育。</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医疗机构应当按照规定公开医疗服务信息，并通过多种途径向患者及其近亲属以及社会公众宣传医疗卫生法律、法规和规章。</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第十四条</w:t>
      </w:r>
      <w:r>
        <w:rPr>
          <w:rFonts w:hint="eastAsia" w:ascii="仿宋" w:hAnsi="仿宋" w:eastAsia="仿宋" w:cs="仿宋"/>
          <w:i w:val="0"/>
          <w:caps w:val="0"/>
          <w:color w:val="424242"/>
          <w:spacing w:val="0"/>
          <w:sz w:val="32"/>
          <w:szCs w:val="32"/>
          <w:shd w:val="clear" w:color="070000" w:fill="FFFFFF"/>
        </w:rPr>
        <w:t>　医疗机构应当建立健全医务人员医疗质量监控和评价制度、医疗安全责任制度、医疗纠纷处理制度和内部责任追究制度。</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第十五条</w:t>
      </w:r>
      <w:r>
        <w:rPr>
          <w:rFonts w:hint="eastAsia" w:ascii="仿宋" w:hAnsi="仿宋" w:eastAsia="仿宋" w:cs="仿宋"/>
          <w:i w:val="0"/>
          <w:caps w:val="0"/>
          <w:color w:val="424242"/>
          <w:spacing w:val="0"/>
          <w:sz w:val="32"/>
          <w:szCs w:val="32"/>
          <w:shd w:val="clear" w:color="070000" w:fill="FFFFFF"/>
        </w:rPr>
        <w:t>　医疗机构及其医务人员在医疗活动中应当向患者及其近亲属做好解释与沟通工作。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医疗机构应当建立健全医患沟通机制，设置统一投诉窗口和接待场所，公布投诉电话，在显著位置公布医疗纠纷的解决途径、程序以及医调委等相关机构的职责、地址和联系方式，及时解答和处理有关问题。</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卫生行政部门接到患者或者其近亲属对医疗机构的投诉，应当自收到投诉之日起10日内进行审查，作出是否受理的书面决定并告知投诉人。对决定受理的，应当及时组织调查并将处理结果告知投诉人；对不予受理的，应当书面通知投诉人并说明理由。</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第十六条</w:t>
      </w:r>
      <w:r>
        <w:rPr>
          <w:rFonts w:hint="eastAsia" w:ascii="仿宋" w:hAnsi="仿宋" w:eastAsia="仿宋" w:cs="仿宋"/>
          <w:i w:val="0"/>
          <w:caps w:val="0"/>
          <w:color w:val="424242"/>
          <w:spacing w:val="0"/>
          <w:sz w:val="32"/>
          <w:szCs w:val="32"/>
          <w:shd w:val="clear" w:color="070000" w:fill="FFFFFF"/>
        </w:rPr>
        <w:t>　医务人员应当履行下列义务，预防医疗纠纷的发生：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（一）遵守卫生法律、法规、规章和诊疗护理规范，不断提高专业技术水平。</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（二）遵守职业道德，关心、爱护、尊重患者，保护患者的隐私。</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（三）在避免对患者产生不利后果的前提下，应当如实告知患者病情、医疗措施、医疗风险及医疗费用等情况，及时解答其咨询；如实告知患者可能会对其产生不利后果的，应当及时告知其近亲属。</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四）需要实施手术、特殊检查、特殊治疗、实验性临床医疗的，应当及时向患者说明医疗风险、替代医疗方案等情况，并取得患者的书面同意；无法或者不宜向患者说明的，应当向患者的近亲属说明，并取得其书面同意；因抢救生命垂危的患者等紧急情况，无法取得患者或者其近亲属书面同意的，经医疗机构负责人或者授权的负责人批准，可以立即实施相应的医疗措施。</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第十七条</w:t>
      </w:r>
      <w:r>
        <w:rPr>
          <w:rFonts w:hint="eastAsia" w:ascii="仿宋" w:hAnsi="仿宋" w:eastAsia="仿宋" w:cs="仿宋"/>
          <w:i w:val="0"/>
          <w:caps w:val="0"/>
          <w:color w:val="424242"/>
          <w:spacing w:val="0"/>
          <w:sz w:val="32"/>
          <w:szCs w:val="32"/>
          <w:shd w:val="clear" w:color="070000" w:fill="FFFFFF"/>
        </w:rPr>
        <w:t>　医疗机构应当按照国务院卫生行政部门的规定要求，书写并妥善保管病历资料。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因抢救急危患者，未能及时书写病历的，有关医务人员应当在抢救结束后6小时内据实补记，并加以注明。</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不得丢失、隐匿、伪造或者销毁病历资料。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第十八条</w:t>
      </w:r>
      <w:r>
        <w:rPr>
          <w:rFonts w:hint="eastAsia" w:ascii="仿宋" w:hAnsi="仿宋" w:eastAsia="仿宋" w:cs="仿宋"/>
          <w:i w:val="0"/>
          <w:caps w:val="0"/>
          <w:color w:val="424242"/>
          <w:spacing w:val="0"/>
          <w:sz w:val="32"/>
          <w:szCs w:val="32"/>
          <w:shd w:val="clear" w:color="070000" w:fill="FFFFFF"/>
        </w:rPr>
        <w:t>　患者及其近亲属或者其委托人有权复印或者复制门（急）诊病历、入院记录、体温单、医嘱单、化验单（检验报告）、医学影像检查资料、特殊检查同意书、手术同意书、手术及麻醉记录单、病理资料、护理记录以及国务院卫生行政部门规定的其他病历资料。复印或者复制时应当有患者及其近亲属或者其委托人在场。</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发生医疗纠纷时，死亡病例讨论记录、疑难病例讨论记录、上级医师查房记录、会诊意见、病程记录应当在医患双方在场的情况下封存和启封。封存的病历资料可以是复印件，由医疗机构保管。纠纷处理完结6个月后医疗机构可以启封封存的病历资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患者及其近亲属或者其委托人复印或者复制病历资料的，医疗机构应当提供复印或者复制服务，并在复印或者复制的病历资料上加盖证明印记。</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医疗机构应患者及其近亲属或者委托人的要求，为其复印或者复制病历资料，可以收取工本费</w:t>
      </w:r>
      <w:r>
        <w:rPr>
          <w:rFonts w:hint="eastAsia" w:ascii="仿宋" w:hAnsi="仿宋" w:eastAsia="仿宋" w:cs="仿宋"/>
          <w:i w:val="0"/>
          <w:caps w:val="0"/>
          <w:color w:val="424242"/>
          <w:spacing w:val="0"/>
          <w:sz w:val="32"/>
          <w:szCs w:val="32"/>
          <w:shd w:val="clear" w:color="070000" w:fill="FFFFFF"/>
          <w:lang w:eastAsia="zh-CN"/>
        </w:rPr>
        <w:t>。</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第十九条</w:t>
      </w:r>
      <w:r>
        <w:rPr>
          <w:rFonts w:hint="eastAsia" w:ascii="仿宋" w:hAnsi="仿宋" w:eastAsia="仿宋" w:cs="仿宋"/>
          <w:i w:val="0"/>
          <w:caps w:val="0"/>
          <w:color w:val="424242"/>
          <w:spacing w:val="0"/>
          <w:sz w:val="32"/>
          <w:szCs w:val="32"/>
          <w:shd w:val="clear" w:color="070000" w:fill="FFFFFF"/>
        </w:rPr>
        <w:t>　医患双方当事人未能确定死因或者对死因有异议的，应当在患者死亡后48小时内进行尸检；具备尸体冻存条件的，可以延长至7日。尸检应当经死者近亲属同意并签字，无正当理由拒绝签字的，医疗机构可以邀请医调委、居委会或者村委会、公安机关、卫生行政部门等第三方人员签字见证。</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拒绝或者拖延尸检，超过规定时间，影响死因判定的，由拒绝或者拖延的一方承担责任。</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医患双方当事人可以请法医病理学人员参加尸检，也可以委派代表观察尸检过程。</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第二十条</w:t>
      </w:r>
      <w:r>
        <w:rPr>
          <w:rFonts w:hint="eastAsia" w:ascii="仿宋" w:hAnsi="仿宋" w:eastAsia="仿宋" w:cs="仿宋"/>
          <w:i w:val="0"/>
          <w:caps w:val="0"/>
          <w:color w:val="424242"/>
          <w:spacing w:val="0"/>
          <w:sz w:val="32"/>
          <w:szCs w:val="32"/>
          <w:shd w:val="clear" w:color="070000" w:fill="FFFFFF"/>
        </w:rPr>
        <w:t>　患者在医疗机构内死亡的，尸体应当在2小时内移放太平间，存放时间不得超过24小时。医疗机构没有设置太平间的，应当在2小时内将尸体移送殡仪馆。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患者在医疗机构内死亡的，由医疗机构通知殡仪馆，殡仪馆应当及时到医疗机构按照有关规定接收、运送尸体。</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违反本条第一款规定逾期未处理的尸体，经医疗机构所在地卫生行政部门批准，并报经同级公安部门备案后，由医疗机构按照本条第二款规定处理。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尸体应当按照国家和省的规定处理。涉及医疗纠纷的，尸体在殡仪馆的保存费用由医患双方按照责任比例依法承担。</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第二十一条</w:t>
      </w:r>
      <w:r>
        <w:rPr>
          <w:rFonts w:hint="eastAsia" w:ascii="仿宋" w:hAnsi="仿宋" w:eastAsia="仿宋" w:cs="仿宋"/>
          <w:i w:val="0"/>
          <w:caps w:val="0"/>
          <w:color w:val="424242"/>
          <w:spacing w:val="0"/>
          <w:sz w:val="32"/>
          <w:szCs w:val="32"/>
          <w:shd w:val="clear" w:color="070000" w:fill="FFFFFF"/>
        </w:rPr>
        <w:t>　患者及其近亲属应当遵守下列规定：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（一）尊重医务人员；</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（二）如实向医务人员告知与诊疗活动有关的病情、病史等情况，配合医务人员进行必要的检查、治疗和护理；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（三）按时支付医疗费用；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（四）配合医疗机构根据病情要求其转诊或者出院的安排；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（五）不得强行要求医疗机构作出超出其救治能力和执业范围的医疗行为。</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第二十二条</w:t>
      </w:r>
      <w:r>
        <w:rPr>
          <w:rFonts w:hint="eastAsia" w:ascii="仿宋" w:hAnsi="仿宋" w:eastAsia="仿宋" w:cs="仿宋"/>
          <w:i w:val="0"/>
          <w:caps w:val="0"/>
          <w:color w:val="424242"/>
          <w:spacing w:val="0"/>
          <w:sz w:val="32"/>
          <w:szCs w:val="32"/>
          <w:shd w:val="clear" w:color="070000" w:fill="FFFFFF"/>
        </w:rPr>
        <w:t>　患者及其近亲属和其他关系人不得有下列行为：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（一）实施暴力或者以暴力相威胁、要挟医疗机构，或者在医疗机构寻衅滋事；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（二）盗窃、抢夺、故意损毁、隐匿医疗机构的公私财物及病历、档案等重要资料；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（三）聚众闹事、围堵医疗机构，强占或者冲击医疗机构办公、诊疗场所；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（四）在医疗机构焚烧纸钱、摆设灵堂、摆放花圈、违规停尸、拉横幅、张贴标语或者大字报，以及散发传单、制造噪音、泼洒污秽物等；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（五）抢夺尸体或者拒绝将尸体移送太平间或者殡仪馆；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（六）侮辱、威胁、恐吓、谩骂、殴打医务人员，故意伤害医务人员，以及非法限制医疗机构工作人员和医务人员的人身自由；</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（七）非法携带易燃、易爆危险物品和管制器具进入医疗机构；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（八）其他扰乱医疗机构正常秩序和威胁医务人员人身安全的行为。</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第二十三条</w:t>
      </w:r>
      <w:r>
        <w:rPr>
          <w:rFonts w:hint="eastAsia" w:ascii="仿宋" w:hAnsi="仿宋" w:eastAsia="仿宋" w:cs="仿宋"/>
          <w:i w:val="0"/>
          <w:caps w:val="0"/>
          <w:color w:val="424242"/>
          <w:spacing w:val="0"/>
          <w:sz w:val="32"/>
          <w:szCs w:val="32"/>
          <w:shd w:val="clear" w:color="070000" w:fill="FFFFFF"/>
        </w:rPr>
        <w:t>　医疗机构应当制定医疗纠纷应急处置预案，并报其执业登记的卫生行政部门和所在地公安机关备案。</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第三章　医疗纠纷的处理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r>
        <w:rPr>
          <w:rStyle w:val="23"/>
          <w:rFonts w:hint="eastAsia" w:ascii="黑体" w:hAnsi="黑体" w:eastAsia="黑体" w:cs="黑体"/>
          <w:b w:val="0"/>
          <w:bCs/>
          <w:i w:val="0"/>
          <w:caps w:val="0"/>
          <w:color w:val="424242"/>
          <w:spacing w:val="0"/>
          <w:sz w:val="32"/>
          <w:szCs w:val="32"/>
          <w:shd w:val="clear" w:color="0A0000" w:fill="FFFFFF"/>
        </w:rPr>
        <w:t>第一节　一般规定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第二十四条</w:t>
      </w:r>
      <w:r>
        <w:rPr>
          <w:rFonts w:hint="eastAsia" w:ascii="仿宋" w:hAnsi="仿宋" w:eastAsia="仿宋" w:cs="仿宋"/>
          <w:i w:val="0"/>
          <w:caps w:val="0"/>
          <w:color w:val="424242"/>
          <w:spacing w:val="0"/>
          <w:sz w:val="32"/>
          <w:szCs w:val="32"/>
          <w:shd w:val="clear" w:color="070000" w:fill="FFFFFF"/>
        </w:rPr>
        <w:t>　医疗纠纷发生后，各级卫生行政部门及医疗机构应当按照国务院卫生行政部门制定的重大医疗纠纷报告制度及时报告，不得瞒报、缓报、谎报。</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第二十五条</w:t>
      </w:r>
      <w:r>
        <w:rPr>
          <w:rFonts w:hint="eastAsia" w:ascii="仿宋" w:hAnsi="仿宋" w:eastAsia="仿宋" w:cs="仿宋"/>
          <w:i w:val="0"/>
          <w:caps w:val="0"/>
          <w:color w:val="424242"/>
          <w:spacing w:val="0"/>
          <w:sz w:val="32"/>
          <w:szCs w:val="32"/>
          <w:shd w:val="clear" w:color="070000" w:fill="FFFFFF"/>
        </w:rPr>
        <w:t>　医疗纠纷发生后，医疗机构应当根据医疗纠纷的实际情况，采取以下措施进行处理：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（一）告知患者或者其近亲属有关医疗纠纷处理的办法和程序；患者或者其近亲属要求协商解决的，应当告知其推举不超过5名代表参加协商，并确定1名主要代表。</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（二）应患方要求，在医患双方共同在场的情况下，按照本办法第十八条规定封存和启封相关病历资料。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（三）患者在医疗机构内死亡的，应当按照本办法第二十条规定进行尸体处理。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（四）必要时组织专家讨论，并将讨论意见反馈患者或者其近亲属。</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（五）配合卫生行政部门、公安机关、医调委等部门、机构做好调查工作。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（六）医疗纠纷处理完毕后，医疗机构应当向患者或者其近亲属提交书面答复。</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处理医疗纠纷需要启动应急预案的，应当按照预案规定采取相应措施，防止事态扩大。</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第二十六条</w:t>
      </w:r>
      <w:r>
        <w:rPr>
          <w:rFonts w:hint="eastAsia" w:ascii="仿宋" w:hAnsi="仿宋" w:eastAsia="仿宋" w:cs="仿宋"/>
          <w:i w:val="0"/>
          <w:caps w:val="0"/>
          <w:color w:val="424242"/>
          <w:spacing w:val="0"/>
          <w:sz w:val="32"/>
          <w:szCs w:val="32"/>
          <w:shd w:val="clear" w:color="070000" w:fill="FFFFFF"/>
        </w:rPr>
        <w:t>　卫生行政部门接到医疗纠纷报告后，应当责令医疗机构立即采取有效措施，必要时派人赶赴现场指导、协调处理工作，引导医患双方当事人依法妥善解决医疗纠纷。</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第二十七条</w:t>
      </w:r>
      <w:r>
        <w:rPr>
          <w:rFonts w:hint="eastAsia" w:ascii="仿宋" w:hAnsi="仿宋" w:eastAsia="仿宋" w:cs="仿宋"/>
          <w:i w:val="0"/>
          <w:caps w:val="0"/>
          <w:color w:val="424242"/>
          <w:spacing w:val="0"/>
          <w:sz w:val="32"/>
          <w:szCs w:val="32"/>
          <w:shd w:val="clear" w:color="070000" w:fill="FFFFFF"/>
        </w:rPr>
        <w:t>　医疗机构发现患者或者其近亲属和其他关系人有本办法第二十二条规定情形，经劝说无效的，应当立即向所在地公安机关报警。</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公安机关接到警情后，应当按照有关规定予以处理：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（一）立即组织警力赶赴现场，开展教育疏导，甄别身份，制止过激行为；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（二）及时将扰乱正常医疗秩序等违反社会治安管理的医疗纠纷参与人员带离现场调查，维护医疗秩序；</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（三）依法处理现场发生的违法犯罪行为；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（四）对患者在医疗机构内死亡，其家属阻碍将尸体移放太平间或者殡仪馆的，现场民警应当配合卫生、民政等部门和殡仪馆，做好尸体处置事宜。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第二十八条</w:t>
      </w:r>
      <w:r>
        <w:rPr>
          <w:rFonts w:hint="eastAsia" w:ascii="仿宋" w:hAnsi="仿宋" w:eastAsia="仿宋" w:cs="仿宋"/>
          <w:i w:val="0"/>
          <w:caps w:val="0"/>
          <w:color w:val="424242"/>
          <w:spacing w:val="0"/>
          <w:sz w:val="32"/>
          <w:szCs w:val="32"/>
          <w:shd w:val="clear" w:color="070000" w:fill="FFFFFF"/>
        </w:rPr>
        <w:t>　殡仪馆接到医疗机构通知后，应当迅速安排车辆和人员到达现场，按照规定办理接收尸体手续，并移送尸体到殡仪馆。其主管的民政行政部门应当督促其履行职责，卫生行政部门、公安机关及医疗机构等应当配合做好相关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第二节　解决机制</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第二十九条</w:t>
      </w:r>
      <w:r>
        <w:rPr>
          <w:rFonts w:hint="eastAsia" w:ascii="仿宋" w:hAnsi="仿宋" w:eastAsia="仿宋" w:cs="仿宋"/>
          <w:i w:val="0"/>
          <w:caps w:val="0"/>
          <w:color w:val="424242"/>
          <w:spacing w:val="0"/>
          <w:sz w:val="32"/>
          <w:szCs w:val="32"/>
          <w:shd w:val="clear" w:color="070000" w:fill="FFFFFF"/>
        </w:rPr>
        <w:t>　发生医疗纠纷后，医患双方当事人可以自行协商解决。医患双方当事人应当认真听取对方意见，核实相关信息材料，实事求是，协商解决。</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医疗机构需要赔偿或者补偿的，医患双方当事人可以达成书面协议。</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医疗纠纷赔付金额1万元以上的，公立医疗机构应当采取本办法第七条第一款第二项至第五项及第二款规定的途径解决，不得与患者或者其近亲属自行协商处理。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第三十条</w:t>
      </w:r>
      <w:r>
        <w:rPr>
          <w:rFonts w:hint="eastAsia" w:ascii="仿宋" w:hAnsi="仿宋" w:eastAsia="仿宋" w:cs="仿宋"/>
          <w:i w:val="0"/>
          <w:caps w:val="0"/>
          <w:color w:val="424242"/>
          <w:spacing w:val="0"/>
          <w:sz w:val="32"/>
          <w:szCs w:val="32"/>
          <w:shd w:val="clear" w:color="070000" w:fill="FFFFFF"/>
        </w:rPr>
        <w:t>　发生医疗纠纷后，医患双方当事人按照就近原则，可以申请医调委调解；医疗纠纷发生地的医调委也可以主动调解。医患双方当事人一方明确拒绝调解的，不得调解。</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医调委调解医疗纠纷，不得收取任何费用。</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第三十一条</w:t>
      </w:r>
      <w:r>
        <w:rPr>
          <w:rFonts w:hint="eastAsia" w:ascii="仿宋" w:hAnsi="仿宋" w:eastAsia="仿宋" w:cs="仿宋"/>
          <w:i w:val="0"/>
          <w:caps w:val="0"/>
          <w:color w:val="424242"/>
          <w:spacing w:val="0"/>
          <w:sz w:val="32"/>
          <w:szCs w:val="32"/>
          <w:shd w:val="clear" w:color="070000" w:fill="FFFFFF"/>
        </w:rPr>
        <w:t>　医调委调解医疗纠纷应当坚持医患双方当事人自愿、平等的原则，不违反法律、法规、规章和国家政策；尊重医患双方当事人的权利，不得因调解而阻止医患双方当事人依法通过行政、司法、仲裁等途径维护其合法权益。</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　第三十二条</w:t>
      </w:r>
      <w:r>
        <w:rPr>
          <w:rFonts w:hint="eastAsia" w:ascii="仿宋" w:hAnsi="仿宋" w:eastAsia="仿宋" w:cs="仿宋"/>
          <w:i w:val="0"/>
          <w:caps w:val="0"/>
          <w:color w:val="424242"/>
          <w:spacing w:val="0"/>
          <w:sz w:val="32"/>
          <w:szCs w:val="32"/>
          <w:shd w:val="clear" w:color="070000" w:fill="FFFFFF"/>
        </w:rPr>
        <w:t>　医调委的人民调解员应当为人公道、品行良好，具有医疗、法律专业知识和调解工作经验，热心于人民调解工作。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人民调解员对调解中获悉的患者及医务人员的隐私或者医疗机构的商业秘密有保密义务。</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县级以上人民政府司法行政部门应当定期对人民调解员进行业务培训。培训不得收取任何费用。</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第三十三条</w:t>
      </w:r>
      <w:r>
        <w:rPr>
          <w:rFonts w:hint="eastAsia" w:ascii="仿宋" w:hAnsi="仿宋" w:eastAsia="仿宋" w:cs="仿宋"/>
          <w:i w:val="0"/>
          <w:caps w:val="0"/>
          <w:color w:val="424242"/>
          <w:spacing w:val="0"/>
          <w:sz w:val="32"/>
          <w:szCs w:val="32"/>
          <w:shd w:val="clear" w:color="070000" w:fill="FFFFFF"/>
        </w:rPr>
        <w:t>　医调委应当建立由相关医学、药学、心理、保险和法律等专家组成的专家库，为医疗纠纷的调查、评估和调解提供技术咨询。</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第三十四条</w:t>
      </w:r>
      <w:r>
        <w:rPr>
          <w:rFonts w:hint="eastAsia" w:ascii="仿宋" w:hAnsi="仿宋" w:eastAsia="仿宋" w:cs="仿宋"/>
          <w:i w:val="0"/>
          <w:caps w:val="0"/>
          <w:color w:val="424242"/>
          <w:spacing w:val="0"/>
          <w:sz w:val="32"/>
          <w:szCs w:val="32"/>
          <w:shd w:val="clear" w:color="070000" w:fill="FFFFFF"/>
        </w:rPr>
        <w:t>　对当事人提出的医疗纠纷调解申请，医调委应当在3个工作日内予以审查。决定受理的，及时答复当事人；不予受理的，应当书面通知当事人并说明理由。</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医调委受理调解申请后，应当告知医患双方当事人在调解中享有的权利和承担的义务。</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第三十五条</w:t>
      </w:r>
      <w:r>
        <w:rPr>
          <w:rFonts w:hint="eastAsia" w:ascii="仿宋" w:hAnsi="仿宋" w:eastAsia="仿宋" w:cs="仿宋"/>
          <w:i w:val="0"/>
          <w:caps w:val="0"/>
          <w:color w:val="424242"/>
          <w:spacing w:val="0"/>
          <w:sz w:val="32"/>
          <w:szCs w:val="32"/>
          <w:shd w:val="clear" w:color="070000" w:fill="FFFFFF"/>
        </w:rPr>
        <w:t>　有以下情形之一的医疗纠纷调解申请，医调委不予受理；已经受理的，终止调解：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（一）一方当事人向人民法院提起诉讼的；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（二）一方当事人提出行政处理申请，卫生行政部门已经受理的；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（三）一方当事人拒绝医调委调解的；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（四）法律、法规规定只能由专门机关管辖处理的，或者法律、法规禁止采用人民调解方式解决的。</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终止调解的，应当书面通知当事人并说明理由。</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第三十六条</w:t>
      </w:r>
      <w:r>
        <w:rPr>
          <w:rFonts w:hint="eastAsia" w:ascii="仿宋" w:hAnsi="仿宋" w:eastAsia="仿宋" w:cs="仿宋"/>
          <w:i w:val="0"/>
          <w:caps w:val="0"/>
          <w:color w:val="424242"/>
          <w:spacing w:val="0"/>
          <w:sz w:val="32"/>
          <w:szCs w:val="32"/>
          <w:shd w:val="clear" w:color="070000" w:fill="FFFFFF"/>
        </w:rPr>
        <w:t>　医调委受理医疗纠纷调解申请后，可以指定1名或者数名人民调解员进行调解，也可以由当事人选择1名或者数名人民调解员进行调解。必要时，在征得当事人同意后，可以邀请人大代表、政协委员或者有关社会组织的人员参与调解。当事人对人民调解员提出合理回避要求的，经医调委审查后，应当予以更换。</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医调委或者其指导管理机关及其负责人认为有应当回避情形的，可以直接作出回避决定；人民调解员认为有应当回避情形的，应当向医调委提出回避。</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　第三十七条</w:t>
      </w:r>
      <w:r>
        <w:rPr>
          <w:rFonts w:hint="eastAsia" w:ascii="仿宋" w:hAnsi="仿宋" w:eastAsia="仿宋" w:cs="仿宋"/>
          <w:i w:val="0"/>
          <w:caps w:val="0"/>
          <w:color w:val="424242"/>
          <w:spacing w:val="0"/>
          <w:sz w:val="32"/>
          <w:szCs w:val="32"/>
          <w:shd w:val="clear" w:color="070000" w:fill="FFFFFF"/>
        </w:rPr>
        <w:t>　医调委受理医疗纠纷调解申请后，人民调解员应当分别向医患双方当事人、有关专家了解相关事实和情况；根据需要向有关方面调查、核实医疗纠纷情况时，有关单位或者个人应当予以配合。</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第三十八条</w:t>
      </w:r>
      <w:r>
        <w:rPr>
          <w:rFonts w:hint="eastAsia" w:ascii="仿宋" w:hAnsi="仿宋" w:eastAsia="仿宋" w:cs="仿宋"/>
          <w:i w:val="0"/>
          <w:caps w:val="0"/>
          <w:color w:val="424242"/>
          <w:spacing w:val="0"/>
          <w:sz w:val="32"/>
          <w:szCs w:val="32"/>
          <w:shd w:val="clear" w:color="070000" w:fill="FFFFFF"/>
        </w:rPr>
        <w:t>　医患双方当事人申请医调委调解，对赔付金额10万元以上未达成一致意见的，应当先行共同委托依照国家和省有关规定设立的机构进行鉴定，明确责任。</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第三十九条</w:t>
      </w:r>
      <w:r>
        <w:rPr>
          <w:rFonts w:hint="eastAsia" w:ascii="仿宋" w:hAnsi="仿宋" w:eastAsia="仿宋" w:cs="仿宋"/>
          <w:i w:val="0"/>
          <w:caps w:val="0"/>
          <w:color w:val="424242"/>
          <w:spacing w:val="0"/>
          <w:sz w:val="32"/>
          <w:szCs w:val="32"/>
          <w:shd w:val="clear" w:color="070000" w:fill="FFFFFF"/>
        </w:rPr>
        <w:t>　医调委应当自受理调解申请之日起30日内调解终结。</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因特殊情况需要延长调解期限的，医调委和医患双方当事人可以约定延长的期限；超过约定期限仍未达成调解协议的，视为调解不成。</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调解不成的，应当书面告知当事人并说明理由。</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第四十条</w:t>
      </w:r>
      <w:r>
        <w:rPr>
          <w:rFonts w:hint="eastAsia" w:ascii="仿宋" w:hAnsi="仿宋" w:eastAsia="仿宋" w:cs="仿宋"/>
          <w:i w:val="0"/>
          <w:caps w:val="0"/>
          <w:color w:val="424242"/>
          <w:spacing w:val="0"/>
          <w:sz w:val="32"/>
          <w:szCs w:val="32"/>
          <w:shd w:val="clear" w:color="070000" w:fill="FFFFFF"/>
        </w:rPr>
        <w:t>　经调解解决的医疗纠纷，应当制作调解协议书。调解协议书由医患双方当事人签名、盖章或者按指印，经调解人员签名并加盖医调委印章后生效。</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医患双方当事人同意对人民调解协议书进行司法确认的，医调委应当协助当事人进行司法确认。经过司法确认有效的调解协议，一方当事人拒绝履行或者未全部履行的，对方当事人可以向人民法院申请强制执行。</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第四十一条</w:t>
      </w:r>
      <w:r>
        <w:rPr>
          <w:rFonts w:hint="eastAsia" w:ascii="仿宋" w:hAnsi="仿宋" w:eastAsia="仿宋" w:cs="仿宋"/>
          <w:i w:val="0"/>
          <w:caps w:val="0"/>
          <w:color w:val="424242"/>
          <w:spacing w:val="0"/>
          <w:sz w:val="32"/>
          <w:szCs w:val="32"/>
          <w:shd w:val="clear" w:color="070000" w:fill="FFFFFF"/>
        </w:rPr>
        <w:t>　医疗纠纷发生后，当事人可以按照《医疗事故处理条例》向医疗机构所在地的县级以上人民政府卫生行政部门申请行政处理。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确定为医疗事故的，卫生行政部门应医患双方当事人的请求，可以进行医疗事故赔偿调解。经调解成功的，应当制作调解书，双方当事人应当履行；调解不成或者经调解达成协议后一方不履行协议的，卫生行政部门不再调解。</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卫生行政部门在行政处理过程中发现医疗机构及其医务人员有违法行为的，应当依法作出处分或者行政处罚。</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第四十二条</w:t>
      </w:r>
      <w:r>
        <w:rPr>
          <w:rFonts w:hint="eastAsia" w:ascii="仿宋" w:hAnsi="仿宋" w:eastAsia="仿宋" w:cs="仿宋"/>
          <w:i w:val="0"/>
          <w:caps w:val="0"/>
          <w:color w:val="424242"/>
          <w:spacing w:val="0"/>
          <w:sz w:val="32"/>
          <w:szCs w:val="32"/>
          <w:shd w:val="clear" w:color="070000" w:fill="FFFFFF"/>
        </w:rPr>
        <w:t>　医患双方当事人应当自觉履行调解协议。当事人之间就调解协议的履行或者调解协议的内容发生争议的，可以向人民法院提起诉讼。</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医患双方当事人也可以就医疗纠纷直接向人民法院提起诉讼。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第四章　医疗责任保险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第四十三条</w:t>
      </w:r>
      <w:r>
        <w:rPr>
          <w:rFonts w:hint="eastAsia" w:ascii="仿宋" w:hAnsi="仿宋" w:eastAsia="仿宋" w:cs="仿宋"/>
          <w:i w:val="0"/>
          <w:caps w:val="0"/>
          <w:color w:val="424242"/>
          <w:spacing w:val="0"/>
          <w:sz w:val="32"/>
          <w:szCs w:val="32"/>
          <w:shd w:val="clear" w:color="070000" w:fill="FFFFFF"/>
        </w:rPr>
        <w:t>　公立医疗机构按照国家和省的有关规定参加医疗责任保险。</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鼓励非公立医疗机构自愿参加医疗责任保险。</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第四十四条</w:t>
      </w:r>
      <w:r>
        <w:rPr>
          <w:rFonts w:hint="eastAsia" w:ascii="仿宋" w:hAnsi="仿宋" w:eastAsia="仿宋" w:cs="仿宋"/>
          <w:i w:val="0"/>
          <w:caps w:val="0"/>
          <w:color w:val="424242"/>
          <w:spacing w:val="0"/>
          <w:sz w:val="32"/>
          <w:szCs w:val="32"/>
          <w:shd w:val="clear" w:color="070000" w:fill="FFFFFF"/>
        </w:rPr>
        <w:t>　医疗责任保险的承保机构应当遵循保本微利原则，合理厘定保险费率，并根据不同的医疗机构历年医疗纠纷赔偿情况实施费率浮动制度。</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第四十五条</w:t>
      </w:r>
      <w:r>
        <w:rPr>
          <w:rFonts w:hint="eastAsia" w:ascii="仿宋" w:hAnsi="仿宋" w:eastAsia="仿宋" w:cs="仿宋"/>
          <w:i w:val="0"/>
          <w:caps w:val="0"/>
          <w:color w:val="424242"/>
          <w:spacing w:val="0"/>
          <w:sz w:val="32"/>
          <w:szCs w:val="32"/>
          <w:shd w:val="clear" w:color="070000" w:fill="FFFFFF"/>
        </w:rPr>
        <w:t>　医疗责任保险的承保机构应当通过招标等方式确定。</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第四十六条</w:t>
      </w:r>
      <w:r>
        <w:rPr>
          <w:rFonts w:hint="eastAsia" w:ascii="仿宋" w:hAnsi="仿宋" w:eastAsia="仿宋" w:cs="仿宋"/>
          <w:i w:val="0"/>
          <w:caps w:val="0"/>
          <w:color w:val="424242"/>
          <w:spacing w:val="0"/>
          <w:sz w:val="32"/>
          <w:szCs w:val="32"/>
          <w:shd w:val="clear" w:color="070000" w:fill="FFFFFF"/>
        </w:rPr>
        <w:t>　参加医疗责任保险的医疗机构，其医疗责任保险保费支出，从医疗机构业务费中列支，按照规定计入医疗成本。按照收入支出两条线管理的医疗机构，保险费用由财政列支。</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医疗机构不得因参加医疗责任保险而提高现有收费标准或者变相增加患方的负担。</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第四十七条</w:t>
      </w:r>
      <w:r>
        <w:rPr>
          <w:rFonts w:hint="eastAsia" w:ascii="仿宋" w:hAnsi="仿宋" w:eastAsia="仿宋" w:cs="仿宋"/>
          <w:i w:val="0"/>
          <w:caps w:val="0"/>
          <w:color w:val="424242"/>
          <w:spacing w:val="0"/>
          <w:sz w:val="32"/>
          <w:szCs w:val="32"/>
          <w:shd w:val="clear" w:color="070000" w:fill="FFFFFF"/>
        </w:rPr>
        <w:t>　医疗责任保险的承保机构依据保险合同，承担医疗机构因医疗纠纷产生的赔偿责任。</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医疗纠纷发生后，医疗责任保险的承保机构应当按照保险合同约定及时参与医疗纠纷的处理；需要保险理赔的，医疗机构、患者或者其近亲属应当配合并如实向医疗责任保险的承保机构提供医疗纠纷情况。</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责任保险的承保机构应当按照保险合同约定，将双方当事人依法自行协商达成的赔偿或者补偿金额在1万元以内的协议、医调委调解达成的协议、卫生行政部门的行政调解协议、人民法院作出的生效调解书或者判决书，作为医疗责任保险理赔的依据之一，及时支付赔偿或者补偿款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第五章　法律责任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第四十八条</w:t>
      </w:r>
      <w:r>
        <w:rPr>
          <w:rFonts w:hint="eastAsia" w:ascii="仿宋" w:hAnsi="仿宋" w:eastAsia="仿宋" w:cs="仿宋"/>
          <w:i w:val="0"/>
          <w:caps w:val="0"/>
          <w:color w:val="424242"/>
          <w:spacing w:val="0"/>
          <w:sz w:val="32"/>
          <w:szCs w:val="32"/>
          <w:shd w:val="clear" w:color="070000" w:fill="FFFFFF"/>
        </w:rPr>
        <w:t>　医疗机构有下列情形之一的，由县级以上人民政府卫生行政部门予以警告、责令其改正；情节严重的，依法吊销医疗机构执业许可证，对负有直接责任的主管人员和其他直接责任人员依法予以处分；构成犯罪的，依法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（一）违反本办法第十三条第一款规定，诊疗活动超出核准登记范围的；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（二）违反本办法第十三条第二款规定，未对医务人员进行医疗卫生管理法律、法规、规章和诊疗护理规范、常规的培训和医疗服务职业道德教育的；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（三）违反本办法第十四条规定，未建立医务人员医疗质量监控和评价制度、医疗安全责任制度、医疗纠纷处理制度和内部责任追究制度的；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（四）违反本办法第十七条第一款规定，未按照国务院卫生行政部门的规定要求，书写并妥善保管病历资料的；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（五）违反本办法第十八条第二款规定，未按照规定封存和启封病历资料的；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（六）违反本办法第十八条第三款规定，未按照规定提供病历资料复印或者复制服务，并在复印或者复制的病历资料上加盖证明印记的；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（七）违反本办法第二十三条规定，未制定医疗纠纷应急处置预案，并报其执业登记的卫生行政部门和所在地公安机关备案的；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（八）违反本办法第二十九条第三款规定，公立医疗机构与患者或者及其近亲属自行协商处理赔付金额1万元以上的医疗纠纷的。</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第四十九条</w:t>
      </w:r>
      <w:r>
        <w:rPr>
          <w:rFonts w:hint="eastAsia" w:ascii="仿宋" w:hAnsi="仿宋" w:eastAsia="仿宋" w:cs="仿宋"/>
          <w:i w:val="0"/>
          <w:caps w:val="0"/>
          <w:color w:val="424242"/>
          <w:spacing w:val="0"/>
          <w:sz w:val="32"/>
          <w:szCs w:val="32"/>
          <w:shd w:val="clear" w:color="070000" w:fill="FFFFFF"/>
        </w:rPr>
        <w:t>　医务人员有下列情形之一的，由县级以上人民政府卫生行政部门予以警告、责令改正；情节严重，损害患者身体健康或者造成患者死亡的，依法吊销其执业证书；构成犯罪的，依法追究刑事责任：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（一）违反本办法第十六条第一项规定，未遵守卫生法律、法规、规章和诊疗护理规范的；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（二）违反本办法第十六条第三项规定，未按照规定如实告知患者病情、医疗措施、医疗风险及医疗费用等情况的；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（三）违反本办法第十六条第四项规定，未按照规定取得患者或者其近亲属同意实施手术、特殊检查、特殊治疗、实验性临床医疗的；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（四）违反本办法第十七条第三款规定，丢失、隐匿、伪造或者销毁病历资料的。</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第五十条</w:t>
      </w:r>
      <w:r>
        <w:rPr>
          <w:rFonts w:hint="eastAsia" w:ascii="仿宋" w:hAnsi="仿宋" w:eastAsia="仿宋" w:cs="仿宋"/>
          <w:i w:val="0"/>
          <w:caps w:val="0"/>
          <w:color w:val="424242"/>
          <w:spacing w:val="0"/>
          <w:sz w:val="32"/>
          <w:szCs w:val="32"/>
          <w:shd w:val="clear" w:color="070000" w:fill="FFFFFF"/>
        </w:rPr>
        <w:t>　患者及其近亲属和其他关系人违反本办法第二十二条规定的，由县级以上人民政府公安机关依法处罚；构成犯罪的，依法追究刑事责任。</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第五十一条</w:t>
      </w:r>
      <w:r>
        <w:rPr>
          <w:rFonts w:hint="eastAsia" w:ascii="仿宋" w:hAnsi="仿宋" w:eastAsia="仿宋" w:cs="仿宋"/>
          <w:i w:val="0"/>
          <w:caps w:val="0"/>
          <w:color w:val="424242"/>
          <w:spacing w:val="0"/>
          <w:sz w:val="32"/>
          <w:szCs w:val="32"/>
          <w:shd w:val="clear" w:color="070000" w:fill="FFFFFF"/>
        </w:rPr>
        <w:t>　医调委的人民调解员在医疗纠纷调解工作中，严重失职或者违法违纪的，由聘任单位撤换，由有权机关给予处分；构成犯罪的，依法追究刑事责任。</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第五十二条</w:t>
      </w:r>
      <w:r>
        <w:rPr>
          <w:rFonts w:hint="eastAsia" w:ascii="仿宋" w:hAnsi="仿宋" w:eastAsia="仿宋" w:cs="仿宋"/>
          <w:i w:val="0"/>
          <w:caps w:val="0"/>
          <w:color w:val="424242"/>
          <w:spacing w:val="0"/>
          <w:sz w:val="32"/>
          <w:szCs w:val="32"/>
          <w:shd w:val="clear" w:color="070000" w:fill="FFFFFF"/>
        </w:rPr>
        <w:t>　县级以上人民政府卫生、司法行政、公安、民政等部门和保险监督管理机构及其工作人员在医疗纠纷预防与处理工作中，违反本办法规定，有下列行为之一的，由其主管部门或者监察机关对负有直接责任的主管人员和其他直接责任人员依法给予处分；构成犯罪的，依法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（一）未按照本办法规定履行职责的；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（二）玩忽职守、滥用职权、徇私舞弊的。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第六章　附则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第五十三条</w:t>
      </w:r>
      <w:r>
        <w:rPr>
          <w:rFonts w:hint="eastAsia" w:ascii="仿宋" w:hAnsi="仿宋" w:eastAsia="仿宋" w:cs="仿宋"/>
          <w:i w:val="0"/>
          <w:caps w:val="0"/>
          <w:color w:val="424242"/>
          <w:spacing w:val="0"/>
          <w:sz w:val="32"/>
          <w:szCs w:val="32"/>
          <w:shd w:val="clear" w:color="070000" w:fill="FFFFFF"/>
        </w:rPr>
        <w:t>　本办法自2013年6月1日起施行。</w:t>
      </w:r>
    </w:p>
    <w:p>
      <w:pPr>
        <w:wordWrap/>
        <w:adjustRightInd/>
        <w:snapToGrid/>
        <w:spacing w:line="560" w:lineRule="exact"/>
        <w:textAlignment w:val="auto"/>
        <w:rPr>
          <w:rFonts w:hint="eastAsia" w:ascii="仿宋" w:hAnsi="仿宋" w:eastAsia="仿宋" w:cs="仿宋"/>
          <w:sz w:val="32"/>
          <w:szCs w:val="32"/>
        </w:rPr>
      </w:pPr>
    </w:p>
    <w:p>
      <w:pPr>
        <w:pStyle w:val="4"/>
        <w:rPr>
          <w:rFonts w:hint="eastAsia"/>
        </w:rPr>
      </w:pPr>
      <w:r>
        <w:rPr>
          <w:rFonts w:hint="eastAsia" w:ascii="宋体" w:hAnsi="宋体" w:eastAsia="宋体" w:cs="宋体"/>
          <w:color w:val="000000"/>
          <w:sz w:val="44"/>
          <w:szCs w:val="44"/>
          <w:lang w:val="en-US" w:eastAsia="zh-CN"/>
        </w:rPr>
        <w:br w:type="page"/>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广东省人民政府办公厅转发省卫生健康委、</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人力资源社会保障厅、财政厅关于做好</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color w:val="424242"/>
        </w:rPr>
      </w:pPr>
      <w:r>
        <w:rPr>
          <w:rFonts w:hint="eastAsia" w:ascii="Times New Roman" w:hAnsi="Times New Roman" w:eastAsia="宋体" w:cs="Times New Roman"/>
          <w:bCs/>
          <w:kern w:val="44"/>
          <w:sz w:val="44"/>
          <w:szCs w:val="44"/>
          <w:lang w:val="en-US" w:eastAsia="zh-CN" w:bidi="ar-SA"/>
        </w:rPr>
        <w:t>一线医务人员及其家属保障工作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若干措施的通知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粤府办〔2020〕4号</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微软雅黑" w:hAnsi="微软雅黑" w:eastAsia="微软雅黑" w:cs="微软雅黑"/>
          <w:i w:val="0"/>
          <w:caps w:val="0"/>
          <w:color w:val="424242"/>
          <w:spacing w:val="0"/>
          <w:sz w:val="27"/>
          <w:szCs w:val="27"/>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省卫生健康委、人力资源社会保障厅、财政厅《关于做好一线医务人员及其家属保障工作的若干措施》已经省人民政府同意，现转发给你们，请认真贯彻执行。实施中遇到的问题，请径向省卫生健康委、人力资源社会保障厅、财政厅反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广东省人民政府办公厅</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2020年2月18日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firstLine="640" w:firstLineChars="20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为深入贯彻落实习近平总书记重要讲话和重要指示批示精神，切实改善一线医务人员工作条件，及时有效为一线医务人员解除后顾之忧，使他们更好地投入新型冠状病毒肺炎疫情防控工作，根据《国务院办公厅转发国家卫生健康委、人力资源社会保障部、财政部关于改善一线医务人员工作条件切实关心医务人员身心健康若干措施的通知》（国办发〔2020〕4号）和《国务院应对新型冠状病毒肺炎疫情联防联控机制关于全力做好一线医务人员及其家属保障工作的通知》（肺炎机制发〔2020〕23号）要求，结合我省实际情况，提出以下措施。</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一、加强生活保障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一）以适当形式开展对一线医务人员慰问活动，深入了解一线医务人员尤其是援助湖北医疗队队员及其家属生活保障方面较集中较突出的困难和需求，及时反馈相关单位研究解决。（省卫生健康委、教育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（二）安排落实一线医务人员的专项慰问资金，并通过困难职工帮扶基金加大对一线医务人员及其家属的支持帮扶力度。（省总工会牵头，各地级以上市政府负责）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（三）开展形式多样的关爱公益活动，定期组织免费提供食品配送、家政服务等，协调落实一线医务人员家庭基本生活用品供给保障。（省总工会、妇联、工商联、农业农村厅牵头，各地级以上市政府负责）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二、加强心理保障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（四）组建心理救援专家组，制定紧急心理危机干预和心理疏导工作方案，安排专家对一线医务人员及其家属心理辅导工作进行技术培训指导。（省卫生健康委牵头，各地级以上市政府负责）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五）组建心理辅导志愿者队伍，建立健全一线医务人员及其家属谈心台账，安排志愿工作者以适当形式开展心理辅导，关心了解存在困难，汇总登记需求情况。（团省委、省教育厅牵头，各地级以上市政府负责）   </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六）拓宽咨询服务渠道，通过粤省事小程序、12355青年心理咨询热线、12351职工热线、12320卫生在线、市级健康APP平台、粤工惠APP平台等，为一线医务人员及其家属提供24小时心理咨询等服务。（省总工会、省卫生健康委、团省委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三、加强人文保障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七）为一线医务人员提供必要的隔离休息场所，保障医务人员充足的睡眠。优化医疗人员调配、合理分工排班，尽量不安排双职工的医务工作者同时到一线工作，对家有老人和孩子需要照顾的医务人员，要尽可能使其兼顾家庭。（省卫生健康委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（八）畅通一线医务人员和家属通讯联络及网络沟通渠道，协调落实疫情防控期间减免一线医务人员电话费等费用。（省卫生健康委牵头，省通信管理局、各地级以上市政府负责）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四、加强安全保障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（九）协调保险公司签订协议，向全省一线医务工作者和援助湖北医疗队队员捐赠新冠肺炎综合保险保障。（省卫生健康委、广东银保监局牵头）</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各级新冠肺炎防控指挥部要根据卫生健康部门提出的物资需求，做好物资调拨计划，并由各级医疗机构做好对一线医务人员及其家属口罩等防护用品的配给，优先保障辖区内定点收治医院及援助湖北医疗队队员防护用品的供应。（省工业和信息化厅、卫生健康委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一）对有交通出行困难的医护人员及其家属提供必要的帮助。各城市交通运输主管部门要指导行业协会或出租汽车企业发挥“党员示范车”“星级文明示范车队”“爱心送考车队”等先进作用，组建应急保障医护人员车队，利用全国交通运输服务统一热线12328或本地电召平台设立专线服务。鼓励有条件的网约车平台提供专门定制服务，为一线医务人员出行提供保障。（省交通运输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（十二）将依法防控普法宣传挂图、宣传视频、广播音频等推送到各医疗机构和防控场所，营造良好的疫情防控法治氛围，积极维护医务人员人身安全和人格尊严。（省司法厅牵头，各地级以上市政府负责）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（十三）保障医务人员安全，维护良好医疗秩序，严厉打击侵犯医务人员安全、扰乱医疗秩序的行为，对构成犯罪的，依法追究刑事责任。（省公安厅牵头，各地级以上市政府负责）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五、其他方面保障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（十四）对参与救治新冠肺炎患者作出突出贡献的一线医务人员，其子女入学教育享受相应优待政策，具体由省教育厅会省卫生健康委研究制定。（省教育厅、卫生健康委牵头）</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（十五）按照《中共广东省委办公厅 广东省人民政府办公厅印发〈关于激励医务防疫人员在打赢疫情防控阻击战中担当作为的若干措施〉的通知》（粤委办发电〔2020〕22号）要求，落实对医务防疫人员的各项激励措施。（省卫生健康委、人力资源社会保障厅、财政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（十六）加大典型人物、事迹的发掘和宣传力度，及时表彰，弘扬正气，传播正能量，增强一线医务人员及其家属荣誉感。（省政府新闻办牵头）</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各地级以上市卫生健康部门要组建专人专班，以高度负责的态度落实一线医务人员及其家属的保障工作，采取务实、贴心、到位的举措，帮助他们解决实际困难。相关落实情况要及时报省卫生健康委。</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广东省人民政府办公厅关于一视同仁</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做好疫情防控有关工作的通知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firstLine="2880" w:firstLineChars="900"/>
        <w:jc w:val="both"/>
        <w:rPr>
          <w:rFonts w:hint="eastAsia" w:ascii="楷体" w:hAnsi="楷体" w:eastAsia="楷体" w:cs="楷体"/>
          <w:color w:val="424242"/>
          <w:sz w:val="32"/>
          <w:szCs w:val="32"/>
        </w:rPr>
      </w:pPr>
      <w:r>
        <w:rPr>
          <w:rFonts w:hint="eastAsia" w:ascii="楷体" w:hAnsi="楷体" w:eastAsia="楷体" w:cs="楷体"/>
          <w:i w:val="0"/>
          <w:caps w:val="0"/>
          <w:color w:val="424242"/>
          <w:spacing w:val="0"/>
          <w:sz w:val="32"/>
          <w:szCs w:val="32"/>
          <w:shd w:val="clear" w:color="auto" w:fill="FFFFFF"/>
        </w:rPr>
        <w:t>粤办函〔2020〕66号</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新冠肺炎疫情发生以来，在习近平总书记、党中央的坚强领导下，各地、各部门认真落实省委、省政府有关部署要求，依法、科学、有序开展疫情防控工作，经过不懈努力，全省疫情防控持续向好态势不断拓展。为不断巩固疫情防控持续向好形势，各地、各部门要抓紧抓实抓细常态化疫情防控，着力提高工作针对性、精准度和有效性，坚持一视同仁做好疫情防控有关工作，切实保障在粤中外人士的生命安全和身体健康。经省人民政府同意，现就有关事项通知如下：</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一、要依法依规、严格执行无差别的健康服务管理措施，对所有在粤的中国公民和外国侨民一视同仁，对所有国家在华侨民一视同仁。</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二、坚持人文关怀，在实施疫情防控措施和健康管理服务时，充分考虑中外人士的合理关切，提供必要的保障和服务，切实保障其合法权益。</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三、督促引导在粤的中国公民和外国侨民认真履行义务，积极配合各级政府和有关部门实施防疫抗疫措施；对违反法律法规的人员依法依规追究其法律责任。</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四、在开展疫情防控工作中，坚决反对任何针对特定人群的差异性做法，对歧视性言行零容忍。</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五、加强对社区、商场、公园、旅店、商业楼宇等场所的管理，不得因国籍、种族、性别、肤色等原因，限制或拒绝特定人群出入。</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六、一视同仁为在粤的中国公民和外国侨民提供搭乘地铁、公交车、出租车等公共交通工具，以及理发、购物、餐饮和依法依规租赁房屋等日常生活服务，不得因国籍、种族、性别、肤色等原因，限制或拒绝为特定人群提供服务。</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七、加强对医疗机构的管理，不得因国籍、种族、性别、肤色等原因，对特定人群就医采取区别对待和歧视性做法。</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八、尊重和保护外国在华外交领事人员的外交领事特权与豁免，并为其履行外交领事职责提供便利。</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九、加强宣传教育和沟通解释，引导在粤的中外人士通过权威媒体渠道了解疫情防控信息，理性看待，正确判断，保持理性，明辨是非。</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十、省政府外办要进一步做好24小时多语种热线电话咨询服务，积极为在粤外国人反映涉疫情防控的合理诉求提供协助。</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firstLine="5120" w:firstLineChars="160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省政府办公厅</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right="0" w:firstLine="4800" w:firstLineChars="150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2020年4月28日</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p>
    <w:p>
      <w:pPr>
        <w:rPr>
          <w:rFonts w:hint="eastAsia" w:ascii="方正小标宋_GBK" w:hAnsi="方正小标宋_GBK" w:eastAsia="方正小标宋_GBK" w:cs="方正小标宋_GBK"/>
          <w:b w:val="0"/>
          <w:bCs/>
          <w:sz w:val="32"/>
          <w:szCs w:val="32"/>
          <w:lang w:val="en-US" w:eastAsia="zh-CN"/>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rPr>
          <w:rFonts w:hint="eastAsia" w:ascii="Times New Roman" w:hAnsi="Times New Roman" w:eastAsia="宋体" w:cs="Times New Roman"/>
          <w:bCs/>
          <w:kern w:val="44"/>
          <w:sz w:val="44"/>
          <w:szCs w:val="44"/>
          <w:lang w:val="en-US" w:eastAsia="zh-CN" w:bidi="ar-SA"/>
        </w:rPr>
      </w:pPr>
      <w:bookmarkStart w:id="492" w:name="_Toc13765"/>
      <w:bookmarkStart w:id="493" w:name="_Toc3520"/>
      <w:bookmarkStart w:id="494" w:name="_Toc22678"/>
      <w:bookmarkStart w:id="495" w:name="_Toc394"/>
      <w:bookmarkStart w:id="496" w:name="_Toc23021"/>
      <w:bookmarkStart w:id="497" w:name="_Toc31313"/>
      <w:bookmarkStart w:id="498" w:name="_Toc15217"/>
      <w:bookmarkStart w:id="499" w:name="_Toc23386"/>
      <w:bookmarkStart w:id="500" w:name="_Toc15711"/>
      <w:r>
        <w:rPr>
          <w:rFonts w:hint="eastAsia" w:ascii="Times New Roman" w:hAnsi="Times New Roman" w:eastAsia="宋体" w:cs="Times New Roman"/>
          <w:bCs/>
          <w:kern w:val="44"/>
          <w:sz w:val="44"/>
          <w:szCs w:val="44"/>
          <w:lang w:val="en-US" w:eastAsia="zh-CN" w:bidi="ar-SA"/>
        </w:rPr>
        <w:br w:type="page"/>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01" w:name="_Toc26806"/>
      <w:r>
        <w:rPr>
          <w:rFonts w:hint="eastAsia" w:ascii="Times New Roman" w:hAnsi="Times New Roman" w:eastAsia="宋体" w:cs="Times New Roman"/>
          <w:bCs/>
          <w:kern w:val="44"/>
          <w:sz w:val="44"/>
          <w:szCs w:val="44"/>
          <w:lang w:val="en-US" w:eastAsia="zh-CN" w:bidi="ar-SA"/>
        </w:rPr>
        <w:t>广东省突发公共事件总体应急预案</w:t>
      </w:r>
      <w:bookmarkEnd w:id="492"/>
      <w:bookmarkEnd w:id="493"/>
      <w:bookmarkEnd w:id="494"/>
      <w:bookmarkEnd w:id="495"/>
      <w:bookmarkEnd w:id="496"/>
      <w:bookmarkEnd w:id="497"/>
      <w:bookmarkEnd w:id="498"/>
      <w:bookmarkEnd w:id="499"/>
      <w:bookmarkEnd w:id="500"/>
      <w:bookmarkEnd w:id="501"/>
    </w:p>
    <w:p>
      <w:pPr>
        <w:widowControl w:val="0"/>
        <w:wordWrap/>
        <w:adjustRightInd w:val="0"/>
        <w:snapToGrid/>
        <w:spacing w:line="560" w:lineRule="exact"/>
        <w:ind w:left="0" w:leftChars="0" w:right="0" w:firstLine="640" w:firstLineChars="200"/>
        <w:jc w:val="both"/>
        <w:textAlignment w:val="auto"/>
        <w:outlineLvl w:val="9"/>
        <w:rPr>
          <w:rFonts w:hint="eastAsia" w:ascii="宋体" w:hAnsi="宋体" w:cs="Times New Roman"/>
        </w:rPr>
      </w:pP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　 总则</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1.1　编制目的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提高广东省各级政府保障公共安全和处置突发公共事件的能力，最大限度预防和减少突发公共事件及其造成的损害，保障公众生命财产安全，维护社会安全和稳定，促进广东省经济社会全面、协调和可持续发展，为建设经济强省、文化大省、法治社会、和谐广东提供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1.3　分类分级</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本预案所称突发公共事件是指突然发生，造成或者可能造成重大人员伤亡、财产损失、生态环境破坏和严重社会危害，危及公共安全的紧急事件。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根据突发公共事件的起因、性质、机理和发生过程，突发公共事件主要分为以下四类：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自然灾害。主要包括水旱灾害，台风、严寒、高温、雷电、灰霾、冰雹、大雾、大风、沙尘暴等气象灾害，火山、地震灾害，山体崩塌、滑坡、泥石流等地质灾害，风暴潮、海啸、赤潮等海洋灾害，重大生物灾害和森林草原火灾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事故灾难。主要包括民航、铁路、公路、水运等交通运输事故，工矿商贸企业、建设工程、公共场所及机关、事业单位发生的各类安全事故，造成重大影响和损失的供水、供电、供油、供气，通信、信息网络、特种设备等安全事故，环境污染和生态破坏事故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（3）公共卫生事件。主要包括传染病疫情、群体性不明原因疾病、食品安全和职业危害，动物疫情，以及其他严重影响公众健康和生命安全的事件。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（4）社会安全事件。主要包括恐怖袭击事件、经济安全事件和涉外突发事件等。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各类突发公共事件按照其性质、严重程度、可控性和影响范围等因素，一般分为四级：Ⅰ级（特别重大）、Ⅱ级（重大）、Ⅲ级（较大）和Ⅳ级（一般）。</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1.4　适用范围</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本预案主要适用于涉及跨地级以上市行政区划的，或超出事发地地级以上市人民政府处置能力的特别重大、重大突发公共事件的应对工作。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本预案指导广东省的突发公共事件应对工作。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1.5　工作原则</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（1）以人为本，减少危害。切实履行政府的社会管理和公共服务职能，把保障公众健康和生命财产安全作为首要任务，最大限度地减少突发公共事件及其造成的人员伤亡和危害。</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预防为主，依法规范。坚持预防与应急相结合，常态与非常态相结合，把预防危害性突发公共事件作为应急管理工作的基础和中心环节，防患于未然；完善工作机制，形成工作合力，将应急工作纳入规范化、制度化和法制化轨道，提高对突发公共事件全过程的综合管理和紧急处置能力。</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统一领导，分级负责。在省委、省政府的统一领导下，建立健全分类管理、分级负责、条块结合、属地为主的应急管理体制。实行在党委领导下的行政领导责任制，提高各级人民政府对处置本行政区域内重大突发公共事件实施统一指挥和协调的能力，加强部门之间的配合，充分发挥专业应急指挥机构的作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平战结合，协同应对。要做好应对突发公共事件的各项准备，将日常工作和应急救援工作结合起来，加强培训演练，提高快速反应能力。重视提高广大群众的危机意识，依靠公众力量，充分发挥乡镇、社区、企事业单位、社会团体和志愿者队伍的作用，形成统一指挥、功能齐全、反应灵敏、协同有序、运转高效的应急管理机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依靠科技，提高素质。要积极运用高新技术，改进和提高预警、预防和应急处置的技术与手段，充分发挥专家和专业人员的作用，提高应对突发公共事件的专业化水平和指挥能力，完善决策执行机制，避免发生次生、衍生事件。加强宣传和培训教育工作，提高公众自救、互救和应对各类突发公共事件的综合素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1.6　应急预案体系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广东省突发公共事件应急预案体系包括：</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（1）突发公共事件总体应急预案。总体应急预案是广东省应急预案体系的总纲，是省人民政府应对各类特别重大、重大突发公共事件的规范性文件。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（2）突发公共事件专项应急预案。专项应急预案主要是省人民政府及其有关部门为应对某一类型或某几种类型突发公共事件而制订的应急预案。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（3）突发公共事件部门应急预案。部门应急预案是省人民政府有关部门根据总体应急预案、专项应急预案和部门职责，为应对突发公共事件制订的预案。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（4）突发公共事件地方应急预案。具体包括：各地级以上市人民政府制订的突发公共事件总体应急预案、专项应急预案和部门应急预案；各县（市、区）、镇人民政府制订的突发公共事件应急预案。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（5）企事业单位根据有关法律法规制订的应急预案。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（6）举办大型会展和文化体育等重大活动，主办单位应当制订应急预案。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各类预案将根据实际情况变化，不断补充、完善。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　 组织体系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2.1　领导机构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政府是广东省突发公共事件应急管理工作的最高行政领导机构，在省长的领导下，由省政府常务会议和省相关突发公共事件应急指挥机构负责突发公共事件的应急管理工作；必要时，派出省政府工作组指导有关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省政府按照“精简、统一、高效”的原则，设立广东省突发公共事件应急委员会（以下简称省应急委员会），作为广东省突发公共事件应急领导机构。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2.2　办事机构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省府办公厅内设省政府应急管理办公室，履行值守应急、信息汇总和综合协调职责，发挥运转枢纽作用。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2.3　工作机构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省应急委员会对外下设5个应急指挥机构：省自然灾害应急领导小组、省安全生产委员会、省突发公共卫生事件应急指挥部、省社会安全事件应急领导小组、省防震抗震救灾工作领导小组。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省各应急指挥机构的主要职责：按照省应急委员会的部署和要求，落实本系统内各项应急措施。</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2.4　地方机构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各级人民政府是本行政区域内突发公共事件应急管理工作的行政领导机构，负责本行政区域内各类突发公共事件的应对工作。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2.5　专家组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省政府和各应急管理机构建立各类专业人才库，根据实际需要聘请有关专家组成专家组，为应急管理提供决策咨询和建议，必要时参加突发公共事件的应急处置工作。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　 运行机制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3.1　预测与预警</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各地、各有关部门要针对各种可能发生的突发公共事件，完善预测预警机制，开展风险分析，做到早发现、早报告、早处置。</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3.1.1　预警级别</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根据预测分析结果，对可能发生和可以预警的突发公共事件进行预警。预警级别依据突发公共事件可能造成的危害程度、紧急程度和发展态势，可分为Ⅰ级（特别严重）、Ⅱ级（严重）、Ⅲ级（较重）、Ⅳ级（一般）四级预警，分别以红色、橙色、黄色和蓝色表示。</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3.1.2　预警信息发布</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预警信息包括可能发生的突发公共事件的类别、起始时间、可能影响范围、预警级别、警示事项、相关措施和发布机关等。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预警信息的发布、调整和解除可通过广播、电视、报刊、通信、信息网络、警报器、宣传车或组织人员逐户通知等方式进行；对老、幼、病、残、孕等特殊人群以及学校等特殊场所和警报盲区，应当采取有针对性的公告方式。</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　应急处置</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3.2.1　信息报告发生较大、重大、特别重大突发公共事件时，各地级以上市人民政府、省有关部门应立即如实向省政府报告，特别重大、重大突发公共事件及其先期处置的相关情况，要在事件发生后的两小时内报省政府应急办，同时通报有关地区和部门，并及时反馈后续处置情况。</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3.2.2　先期处置突发公共事件发生后，事发地地级以上市人民政府或者省有关部门在报告突发公共事件信息的同时，要根据职责和规定的权限启动相关应急预案，及时、有效地进行处置，控制事态。</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3.2.3　应急响应对于先期处置未能有效控制事态的重大、特别重大突发公共事件，要及时启动相关预案，由省政府相关应急指挥机构或省政府工作组统一指挥或指导有关地区、部门开展处置工作。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现场应急指挥机构，负责现场的应急处置工作。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需要多个省有关部门共同参与处置的突发公共事件，由该类突发公共事件的业务主管部门牵头，其他部门予以协助。</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3.2.4　应急结束特别重大、重大突发公共事件应急处置工作结束，或者相关危险因素消除后，现场应急指挥机构予以撤销。</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3.3 恢复与重建</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3.3.1　善后处置要积极稳妥、深入细致地做好善后处置工作。对突发公共事件中的伤亡人员、应急处置工作人员以及紧急调集、征用有关单位及个人的物资，要按照规定给予抚恤、补助或补偿，并提供心理及司法援助。有关部门要做好疫病防治和环境污染消除工作，使社区尽快恢复正常的生产和生活秩序。保险监管部门要督促有关保险机构及时做好有关单位和个人的理赔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3.3.2　调查与评估</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对特别重大、重大突发公共事件的起因、性质、影响、责任、经验教训和恢复重建等问题进行调查评估。</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3.3.3　恢复重建根据受灾地区恢复重建计划，组织实施恢复重建工作。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3.4　信息发布</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突发公共事件的信息发布应当及时、准确、客观、全面。在事件发生后的第一时间要向社会发布简要信息，随后发布初步核实情况、政府应对措施和公众防范措施等，并根据事件处置情况做好后续信息发布工作。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信息发布形式主要包括授权发布、散发新闻稿、组织报道、接受记者采访、举行新闻发布会等。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　 应急保障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有关部门要按照职责分工和相关预案要求，根据平战结合的原则，切实做好应对突发公共事件的人力、物力、财力、交通运输、医疗卫生及通信保障等工作，保证应急救援工作和恢复重建工作的顺利进行，以及灾区群众的基本生活需要。</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4.1　人力资源</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公安（消防）、医疗卫生、地震救援、海上搜救、矿山救护、森林消防、防洪抢险、核与辐射、环境监控、危险化学品事故救援，铁路事故、民航事故、基础信息网络和重要信息系统事故处置，以及地质、水、电、油、气等工程抢险救援队伍是应急救援的专业队伍和骨干力量。各级人民政府、各有关单位要加强应急救援队伍的业务培训及应急演练，建立联动协调机制，提高装备水平；动员社会团体、企事业单位以及志愿者等各种社会力量参与应急救援工作；增进国际间的交流与合作。要加强以乡镇和社区为单位的公众应急能力建设，发挥其在应对突发公共事件中的重要作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中国人民解放军和中国人民武装警察部队是处置突发公共事件的骨干和突击力量，按照国家有关规定参加应急处置工作。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4.2　财力保障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保证所需突发公共事件应急准备和救援工作资金。对受突发公共事件影响较大的行业、企事业单位和个人，要及时研究提出相应的补偿或救助政策。要对突发公共事件应急保障资金的使用和效果进行监管和评估。</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鼓励自然人、法人或者其他组织（包括国际组织）按照《中华人民共和国公益事业捐赠法》等有关法律、法规的规定进行捐赠和援助。</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4.3　物资保障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建立健广东省重要应急物资监测网络、预警体系和应急物资生产、储备、调拨及紧急配送体系，完善应急工作程序，确保应急所需物资和生活用品的及时供应，并加强对物资储备的监督管理，及时予以补充和更新。</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各级人民政府应根据有关法律、法规和应急预案的规定，做好物资储备工作。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4.4　基本生活保障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要做好受灾群众的基本生活保障工作，确保灾区群众有饭吃、有水喝、有衣穿、有住处，有病能得到及时医治。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4.5　医疗卫生保障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卫生部门负责组建医疗卫生应急专业技术队伍，根据需要及时赴现场救援，并指导和协助当地医疗救治、疾病预防控制等卫生应急工作，及时为受灾地区提供药品、器械等卫生和医疗设备。必要时，组织动员红十字会等社会卫生力量参与医疗卫生救助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4.6　交通运输保障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要保证紧急情况下应急交通工具的优先安排、优先调度、优先放行，确保运输安全畅通；要依法建立紧急情况社会交通运输工具的征用程序，确保抢险救灾物资和人员能够及时、安全运达。</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根据应急处置需要，对事故现场及相关通道实行交通管制，开设应急救援“绿色通道”，保证应急救援工作的顺利开展。</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4.7　治安维护</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要加强对重点地区、重点场所、重点人群、重要物资设备的防范保护，维持现场秩序，依法严厉打击违法犯罪活动。必要时，依法采取有效管制措施，控制事态，维护社会秩序。</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4.8　人员防护</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要指定或建立与人口密度、城市规模相适应的应急避险场所，完善紧急疏散管理办法和程序，明确各级责任人，确保在紧急情况下公众安全、有序的转移或疏散。</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要采取必要的防护措施，严格按照程序开展应急救援工作，确保人员安全。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4.9　通信保障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建立健全应急通信、应急广播电视保障工作体系，完善公用通信网，建立有线和无线相结合、基础电信网络与机动通信系统相配套的应急通信系统，确保通信畅通。</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4.10　公共设施</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有关部门要按照职责分工，分别负责或协调煤、电、油、气、水的供给以及废水、废气、固体废弃物等有害物质的监测和处理。</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4.11　科技支撑</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积极开展公共安全领域的科学研究；加大公共安全监测、预测、预警、预防和应急处置技术研发的投入，不断改进技术装备，建立健全公共安全应急技术平台，提高广东省公共安全科技水平；注意发挥企业在公共安全领域的研发作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　 监督管理</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5.1　预案演练</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各地、各有关部门要结合实际，有计划、有重点地组织有关部门对相关预案进行演练。</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5.2　宣传和培训</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宣传、教育、文化、广电、新闻出版等有关部门要通过图书、报刊、音像制品和电子出版物、广播、电视、网络等，广泛宣传应急法律法规和预防、避险、自救、互救、减灾等常识，增强公众的忧患意识、社会责任意识和自救、互救能力。各有关方面要有计划地对应急救援和管理人员进行培训，提高其专业技能。</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5.3　责任与奖惩</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突发公共事件应急处置工作实行行政领导负责制和责任追究制。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对在突发公共事件应急管理工作中做出突出贡献的先进集体和个人要给予表彰和奖励。</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对迟报、谎报、瞒报和漏报突发公共事件重要情况或者在应急管理工作中有其他失职、渎职行为的有关责任人，要依法依规给予行政处分；构成犯罪的，依法追究其刑事责任。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6.　 附则</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6.1　预案管理</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根据实际情况的变化，及时修订本预案。</w:t>
      </w:r>
    </w:p>
    <w:p>
      <w:pPr>
        <w:ind w:firstLine="640" w:firstLineChars="200"/>
        <w:rPr>
          <w:rFonts w:hint="eastAsia" w:ascii="仿宋" w:hAnsi="仿宋" w:eastAsia="仿宋" w:cs="仿宋"/>
        </w:rPr>
      </w:pPr>
      <w:r>
        <w:rPr>
          <w:rFonts w:hint="eastAsia" w:ascii="仿宋" w:hAnsi="仿宋" w:eastAsia="仿宋" w:cs="仿宋"/>
        </w:rPr>
        <w:t>本预案自发布之日起实施。</w:t>
      </w:r>
    </w:p>
    <w:p>
      <w:pPr>
        <w:keepNext/>
        <w:keepLines/>
        <w:widowControl w:val="0"/>
        <w:spacing w:line="700" w:lineRule="exact"/>
        <w:jc w:val="center"/>
        <w:outlineLvl w:val="0"/>
        <w:rPr>
          <w:rFonts w:hint="eastAsia" w:ascii="宋体" w:hAnsi="宋体" w:eastAsia="宋体" w:cs="Times New Roman"/>
          <w:bCs/>
          <w:kern w:val="44"/>
          <w:sz w:val="44"/>
          <w:szCs w:val="44"/>
          <w:lang w:val="en-US" w:eastAsia="zh-CN" w:bidi="ar-SA"/>
        </w:rPr>
      </w:pPr>
    </w:p>
    <w:p>
      <w:pPr>
        <w:widowControl w:val="0"/>
        <w:wordWrap/>
        <w:adjustRightInd/>
        <w:snapToGrid/>
        <w:spacing w:line="560" w:lineRule="exact"/>
        <w:ind w:right="0" w:firstLine="560" w:firstLineChars="200"/>
        <w:jc w:val="both"/>
        <w:textAlignment w:val="auto"/>
        <w:outlineLvl w:val="9"/>
        <w:rPr>
          <w:rFonts w:hint="eastAsia" w:ascii="仿宋_GB2312" w:hAnsi="仿宋_GB2312" w:eastAsia="仿宋_GB2312" w:cs="仿宋_GB2312"/>
          <w:color w:val="000000"/>
          <w:kern w:val="0"/>
          <w:sz w:val="28"/>
          <w:szCs w:val="28"/>
          <w:lang w:val="en-US" w:eastAsia="zh-CN"/>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rPr>
          <w:rFonts w:hint="eastAsia" w:ascii="Times New Roman" w:hAnsi="Times New Roman" w:eastAsia="宋体" w:cs="Times New Roman"/>
          <w:bCs/>
          <w:kern w:val="44"/>
          <w:sz w:val="44"/>
          <w:szCs w:val="44"/>
          <w:lang w:val="en-US" w:eastAsia="zh-CN" w:bidi="ar-SA"/>
        </w:rPr>
      </w:pPr>
      <w:bookmarkStart w:id="502" w:name="_Toc12344"/>
      <w:bookmarkStart w:id="503" w:name="_Toc15146"/>
      <w:bookmarkStart w:id="504" w:name="_Toc16208"/>
      <w:bookmarkStart w:id="505" w:name="_Toc25012"/>
      <w:bookmarkStart w:id="506" w:name="_Toc6943"/>
      <w:bookmarkStart w:id="507" w:name="_Toc27063"/>
      <w:bookmarkStart w:id="508" w:name="_Toc5507"/>
      <w:bookmarkStart w:id="509" w:name="_Toc25823"/>
      <w:bookmarkStart w:id="510" w:name="_Toc825"/>
      <w:bookmarkStart w:id="511" w:name="_Toc20823"/>
      <w:r>
        <w:rPr>
          <w:rFonts w:hint="eastAsia" w:ascii="Times New Roman" w:hAnsi="Times New Roman" w:eastAsia="宋体" w:cs="Times New Roman"/>
          <w:bCs/>
          <w:kern w:val="44"/>
          <w:sz w:val="44"/>
          <w:szCs w:val="44"/>
          <w:lang w:val="en-US" w:eastAsia="zh-CN" w:bidi="ar-SA"/>
        </w:rPr>
        <w:br w:type="page"/>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12" w:name="_Toc3541"/>
      <w:r>
        <w:rPr>
          <w:rFonts w:hint="eastAsia" w:ascii="Times New Roman" w:hAnsi="Times New Roman" w:eastAsia="宋体" w:cs="Times New Roman"/>
          <w:bCs/>
          <w:kern w:val="44"/>
          <w:sz w:val="44"/>
          <w:szCs w:val="44"/>
          <w:lang w:val="en-US" w:eastAsia="zh-CN" w:bidi="ar-SA"/>
        </w:rPr>
        <w:t>广东省推出防控新型冠状病毒感染的肺炎疫情一级响应16条措施</w:t>
      </w:r>
      <w:bookmarkEnd w:id="502"/>
      <w:bookmarkEnd w:id="503"/>
      <w:bookmarkEnd w:id="504"/>
      <w:bookmarkEnd w:id="505"/>
      <w:bookmarkEnd w:id="506"/>
      <w:bookmarkEnd w:id="507"/>
      <w:bookmarkEnd w:id="508"/>
      <w:bookmarkEnd w:id="509"/>
      <w:bookmarkEnd w:id="510"/>
      <w:bookmarkEnd w:id="512"/>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一、健全防控机制。健全党委政府主要领导负总责、分管领导具体负责，成立工作专班跟进处置，制定行动方案统筹应对，统一口径上报和发布信息的突发事件处置“四个一”机制，有序组织应对处置工作。</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二、强化联防联控。加强部门间信息互通和措施互动，迅速形成防控合力，定期会商研判疫情发展趋势，商定防控政策、应对预案和重大措施，统筹协调指导各地各部门落实疫情防控、医疗救治、科研攻关、外事沟通、宣传发动、物资保障等各项措施，组织对各地落实情况进行督导检查。</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三、严防疫情传播。实行最大限度减少公众聚集活动的管制措施，立即停止存在明显交叉感染风险的公众聚集活动。根据疫情防控需要，可以临时征用房屋、交通工具以及相关设施设备。</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四、加强病例管理。对传染病病人、疑似病人采取就地隔离、就地观察、就地治疗措施。对密切接触者采取有效隔离措施，并实施医学观察。</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五、实施交通检疫。民航、铁路、交通运输部门与卫生健康、公安部门要在机场、码头、火车站、省际长途汽车客运站设立联合检疫站，对所有来往人员进行体温检测，对病人、疑似病人及其密切接触者实施临时隔离、留验，并向地方卫生健康行政部门指定机构移交。加强出入境口岸的检验检疫。</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六、全力救治患者。强化定点医院及后备医院能力建设。按照“集中病例、集中专家、集中资源、集中救治”的原则，建立完善医疗救治运行机制，将确诊病例集中安排在定点医疗机构救治，竭尽全力救治患者，确保将病死率降至最低。</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七、保护医务人员。实行最周密的医务人员安全防护措施，保护医务人员健康安全。严格落实防止院内感染的各项措施，所有医务人员和进入医院的人员须佩戴口罩。相关部门加强对医疗废弃物全过程规范管理，防止二次污染及传染。</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八、聚焦重点人群。加强病人、疑似病人、密切接触者的管理。严格相关地区来粤人员监测筛查。密切关注老年人群，做好各地乡镇敬老院等疫情防控准备。做好返校师生和返岗人员的健康提示和健康管理。</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九、联合科学攻关。组织协调应急技术攻关，追踪病源、摸清新型冠状病毒感染的肺炎流行病学特征，确定病原及其生物学特性，研究提出有效防治措施，将研究成果迅速应用于临床。</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十、注重人文关怀。对患者和被隔离群众落实人文关怀，及时提供心理健康疏导。</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一、强化环境整治。深入开展爱国卫生运动，全面清理重点部位、重点地带、重点场所的环境卫生，清除病媒孳生地。强化农贸市场环境整治，严格落实活禽经营市场“一日一清洗、一周一大扫除、一月一休市、活禽零存栏”（“1110”）制度。</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十二、开展群防群控。深入发动群众，街道、乡（镇）以及居委会、村委会全力协助卫生健康行政部门协调有关单位、医疗机构，做好疫情信息的收集、报告、人员隔离及公共卫生措施的实施工作。</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十三、规范信息发布。实行严格的疫情报告、信息发布和舆情管控，加强舆情引导，及时公开透明发布疫情和防控工作信息，科学解疑释惑，客观回应社会关切。</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十四、加强科普宣传。全面开展防治知识宣传引导，提高全民防护意识和居民健康素养。</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十五、做好物资保障。落实负压救护车、负压病房、治疗药物、消杀药品、检测试剂、医疗器械、防护用品等各项保障。</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十六、维护社会稳定。加强急需用品的生产调配，保障商品供应，平抑物价，防止哄抢。严厉打击造谣传谣、哄抬物价、囤积居奇、造假售假等违法犯罪和扰乱社会治安的行为。</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4480" w:firstLineChars="14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广东省防控新型冠状病毒感染的肺炎疫情工作领导小组办公室</w:t>
      </w:r>
    </w:p>
    <w:p>
      <w:pPr>
        <w:widowControl w:val="0"/>
        <w:wordWrap/>
        <w:adjustRightInd/>
        <w:snapToGrid/>
        <w:spacing w:line="580" w:lineRule="exact"/>
        <w:ind w:right="0" w:firstLine="4480" w:firstLineChars="1400"/>
        <w:jc w:val="right"/>
        <w:textAlignment w:val="auto"/>
        <w:outlineLvl w:val="9"/>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32"/>
          <w:szCs w:val="32"/>
          <w:lang w:val="en-US" w:eastAsia="zh-CN"/>
        </w:rPr>
        <w:t>2020年1月24日</w:t>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p>
    <w:p>
      <w:pPr>
        <w:rPr>
          <w:rFonts w:hint="eastAsia" w:ascii="Times New Roman" w:hAnsi="Times New Roman" w:cs="Times New Roman"/>
          <w:lang w:val="en-US" w:eastAsia="zh-CN"/>
        </w:rPr>
      </w:pPr>
    </w:p>
    <w:p>
      <w:pPr>
        <w:keepNext/>
        <w:keepLines/>
        <w:widowControl w:val="0"/>
        <w:wordWrap/>
        <w:adjustRightInd/>
        <w:snapToGrid/>
        <w:spacing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513" w:name="_Toc24251"/>
      <w:bookmarkStart w:id="514" w:name="_Toc22809"/>
      <w:bookmarkStart w:id="515" w:name="_Toc11952"/>
      <w:bookmarkStart w:id="516" w:name="_Toc19108"/>
      <w:bookmarkStart w:id="517" w:name="_Toc25925"/>
      <w:bookmarkStart w:id="518" w:name="_Toc2427"/>
      <w:bookmarkStart w:id="519" w:name="_Toc27342"/>
      <w:bookmarkStart w:id="520" w:name="_Toc8864"/>
      <w:bookmarkStart w:id="521" w:name="_Toc21286"/>
      <w:r>
        <w:rPr>
          <w:rFonts w:hint="eastAsia" w:ascii="Times New Roman" w:hAnsi="Times New Roman" w:eastAsia="宋体" w:cs="Times New Roman"/>
          <w:bCs/>
          <w:kern w:val="44"/>
          <w:sz w:val="44"/>
          <w:szCs w:val="44"/>
          <w:lang w:val="en-US" w:eastAsia="zh-CN" w:bidi="ar-SA"/>
        </w:rPr>
        <w:br w:type="page"/>
      </w:r>
      <w:bookmarkEnd w:id="511"/>
      <w:bookmarkEnd w:id="513"/>
      <w:bookmarkEnd w:id="514"/>
      <w:bookmarkEnd w:id="515"/>
      <w:bookmarkEnd w:id="516"/>
      <w:bookmarkEnd w:id="517"/>
      <w:bookmarkEnd w:id="518"/>
      <w:bookmarkEnd w:id="519"/>
      <w:bookmarkEnd w:id="520"/>
      <w:bookmarkEnd w:id="521"/>
      <w:bookmarkStart w:id="522" w:name="_Toc13331"/>
      <w:bookmarkStart w:id="523" w:name="_Toc5174"/>
      <w:bookmarkStart w:id="524" w:name="_Toc26268"/>
      <w:bookmarkStart w:id="525" w:name="_Toc15784"/>
      <w:bookmarkStart w:id="526" w:name="_Toc16931"/>
      <w:bookmarkStart w:id="527" w:name="_Toc17842"/>
      <w:bookmarkStart w:id="528" w:name="_Toc26522"/>
      <w:bookmarkStart w:id="529" w:name="_Toc21733"/>
      <w:bookmarkStart w:id="530" w:name="_Toc14980"/>
      <w:bookmarkStart w:id="531" w:name="_Toc3737"/>
      <w:r>
        <w:rPr>
          <w:rFonts w:hint="eastAsia" w:ascii="Times New Roman" w:hAnsi="Times New Roman" w:eastAsia="宋体" w:cs="Times New Roman"/>
          <w:bCs/>
          <w:kern w:val="44"/>
          <w:sz w:val="44"/>
          <w:szCs w:val="44"/>
          <w:lang w:val="en-US" w:eastAsia="zh-CN" w:bidi="ar-SA"/>
        </w:rPr>
        <w:t>广东省新型冠状病毒感染的肺炎疫情</w:t>
      </w:r>
      <w:bookmarkEnd w:id="522"/>
    </w:p>
    <w:p>
      <w:pPr>
        <w:keepNext/>
        <w:keepLines/>
        <w:widowControl w:val="0"/>
        <w:wordWrap/>
        <w:adjustRightInd/>
        <w:snapToGrid/>
        <w:spacing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532" w:name="_Toc20733"/>
      <w:r>
        <w:rPr>
          <w:rFonts w:hint="eastAsia" w:ascii="Times New Roman" w:hAnsi="Times New Roman" w:eastAsia="宋体" w:cs="Times New Roman"/>
          <w:bCs/>
          <w:kern w:val="44"/>
          <w:sz w:val="44"/>
          <w:szCs w:val="44"/>
          <w:lang w:val="en-US" w:eastAsia="zh-CN" w:bidi="ar-SA"/>
        </w:rPr>
        <w:t>防控指挥部办公室通告</w:t>
      </w:r>
      <w:bookmarkEnd w:id="532"/>
    </w:p>
    <w:p>
      <w:pPr>
        <w:widowControl w:val="0"/>
        <w:wordWrap/>
        <w:adjustRightInd/>
        <w:snapToGrid/>
        <w:spacing w:line="560" w:lineRule="exact"/>
        <w:ind w:right="0"/>
        <w:jc w:val="center"/>
        <w:textAlignment w:val="auto"/>
        <w:outlineLvl w:val="0"/>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right="0"/>
        <w:jc w:val="center"/>
        <w:textAlignment w:val="auto"/>
        <w:outlineLvl w:val="0"/>
        <w:rPr>
          <w:rFonts w:hint="eastAsia" w:ascii="楷体" w:hAnsi="楷体" w:eastAsia="楷体" w:cs="楷体"/>
          <w:color w:val="000000"/>
          <w:kern w:val="0"/>
          <w:sz w:val="32"/>
          <w:szCs w:val="32"/>
          <w:lang w:val="en-US" w:eastAsia="zh-CN"/>
        </w:rPr>
      </w:pPr>
      <w:bookmarkStart w:id="533" w:name="_Toc6658"/>
      <w:r>
        <w:rPr>
          <w:rFonts w:hint="eastAsia" w:ascii="楷体" w:hAnsi="楷体" w:eastAsia="楷体" w:cs="楷体"/>
          <w:color w:val="000000"/>
          <w:kern w:val="0"/>
          <w:sz w:val="32"/>
          <w:szCs w:val="32"/>
          <w:lang w:val="en-US" w:eastAsia="zh-CN"/>
        </w:rPr>
        <w:t>粤防疫指办通〔2020〕2号</w:t>
      </w:r>
      <w:bookmarkEnd w:id="533"/>
    </w:p>
    <w:p>
      <w:pPr>
        <w:widowControl w:val="0"/>
        <w:wordWrap/>
        <w:adjustRightInd/>
        <w:snapToGrid/>
        <w:spacing w:line="560" w:lineRule="exact"/>
        <w:ind w:right="0" w:firstLine="560" w:firstLineChars="200"/>
        <w:jc w:val="center"/>
        <w:textAlignment w:val="auto"/>
        <w:outlineLvl w:val="9"/>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仿宋_GB2312" w:hAnsi="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为进一步落实国家对新型冠状病毒感染的肺炎疫情防控工作的部署，全面落实省突发公共卫生事件一级响应，加强公共场所管理，切断病毒传播途径，切实防止新型冠状病毒感染的肺炎疫情传播扩散，依照《中华人民共和国传染病防治法》《中华人民共和国突发事件应对法》《突发公共卫生事件应急条例》《公共场所卫生管理条例》等规定，结合国家已发布的《预防新型冠状病毒感染的肺炎口罩使用指南》，现就我省公共场所实施佩戴口罩的控制措施要求事项通告如下：</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一、实施范围</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（一）宾馆（酒店）、旅店、招待所、饭馆、咖啡馆、酒吧、茶座；</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（二）公共浴室、理发店、美容店；</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（三）影剧院、卡拉OK厅、录像厅（室）、游艺厅（室）、舞厅、音乐厅；</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（四）体育场（馆）、游泳场（馆），景区、宗教场所、商业街、步行街；</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（五）超市、农（集）贸市场、商场（店）、书店；</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（六）候诊室、候车（机、船）室、高速公路服务区、公共交通工具（含网约车、出租车）；</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（七）展览馆、博物馆、美术馆、图书馆；</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（八）其他人群密集或密闭的公共场所。</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二、实施要求</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各公共场所经营者、管理者应当要求进入其场所的人员佩戴口罩后方可进入其经营的公共场所，并在场所入口处设置醒目、清晰的佩戴口罩的提示；对未佩戴口罩进入场所者应当予以劝阻，对不听劝阻的人员依据《中华人民共和国传染病防治法》和《公共场所卫生管理条例》的规定向相关主管部门报告，由各相关主管部门按照各自职责依法处理。阻碍突发事件应急处理工作人员执行职务，触犯《中华人民共和国治安管理处罚法》，构成违反治安管理行为的，由公安机关依法予以处罚；构成犯罪的，依法追究刑事责任。</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三、口罩佩戴原则</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基本原则是科学合理佩戴，规范使用，有效防护。具体如下：</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（一）个人独处、自己开车或独自到公园散步等感染风险较低时，不需要佩戴口罩。</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（二）在非疫区空旷且通风场所不需要佩戴口罩，进入人员密集或密闭公共场所需要佩戴口罩。</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（三）在疫情高发地区空旷且通风场所建议佩戴一次性使用医用口罩；进入人员密集或密闭公共场所佩戴医用外科口罩或颗粒物防护口罩。</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（四）有疑似症状到医院就诊时，需佩戴不含呼气阀的颗粒物防护口罩或医用防护口罩。</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（五）有呼吸道基础疾病患者需在医生指导下使用防护口罩。年龄极小的婴幼儿不能戴口罩，易引起窒息。</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（六）棉纱口罩、海绵口罩和活性炭口罩对预防病毒感染无保护作用。</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本通告自发布之日起施行，终止日期另行通告。原粤防疫指办通〔2020〕1号废止。</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广东省新型冠状病毒感染的</w:t>
      </w:r>
    </w:p>
    <w:p>
      <w:pPr>
        <w:widowControl w:val="0"/>
        <w:wordWrap/>
        <w:adjustRightInd/>
        <w:snapToGrid/>
        <w:spacing w:line="560" w:lineRule="exact"/>
        <w:ind w:left="0" w:leftChars="0" w:right="0" w:firstLine="0" w:firstLineChars="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肺炎疫情防控指挥部办公室</w:t>
      </w:r>
    </w:p>
    <w:p>
      <w:pPr>
        <w:widowControl w:val="0"/>
        <w:wordWrap/>
        <w:adjustRightInd/>
        <w:snapToGrid/>
        <w:spacing w:line="560" w:lineRule="exact"/>
        <w:ind w:left="0" w:leftChars="0" w:right="0" w:firstLine="640" w:firstLineChars="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2020年2月5日</w:t>
      </w:r>
    </w:p>
    <w:p>
      <w:pPr>
        <w:pStyle w:val="4"/>
        <w:ind w:firstLine="640"/>
        <w:rPr>
          <w:rFonts w:hint="eastAsia"/>
          <w:lang w:val="en-US" w:eastAsia="zh-CN"/>
        </w:rPr>
      </w:pPr>
    </w:p>
    <w:p>
      <w:pPr>
        <w:rPr>
          <w:rFonts w:hint="eastAsia"/>
          <w:lang w:val="en-US" w:eastAsia="zh-CN"/>
        </w:rPr>
      </w:pPr>
    </w:p>
    <w:p>
      <w:pPr>
        <w:pStyle w:val="4"/>
        <w:rPr>
          <w:rFonts w:hint="eastAsia"/>
          <w:lang w:val="en-US" w:eastAsia="zh-CN"/>
        </w:rPr>
      </w:pPr>
    </w:p>
    <w:p>
      <w:pPr>
        <w:rPr>
          <w:rFonts w:hint="eastAsia"/>
          <w:lang w:val="en-US" w:eastAsia="zh-CN"/>
        </w:rPr>
      </w:pPr>
    </w:p>
    <w:p>
      <w:pPr>
        <w:pStyle w:val="4"/>
        <w:widowControl/>
        <w:pBdr>
          <w:top w:val="none" w:color="auto" w:sz="0" w:space="0"/>
          <w:left w:val="none" w:color="auto" w:sz="0" w:space="0"/>
          <w:bottom w:val="none" w:color="auto" w:sz="0" w:space="0"/>
          <w:right w:val="none" w:color="auto" w:sz="0" w:space="0"/>
        </w:pBdr>
        <w:shd w:val="clear" w:color="auto" w:fill="FFFFFF"/>
        <w:wordWrap/>
        <w:adjustRightInd/>
        <w:snapToGrid/>
        <w:spacing w:before="300" w:beforeAutospacing="0" w:after="375" w:afterAutospacing="0" w:line="0" w:lineRule="atLeast"/>
        <w:ind w:left="0" w:right="0" w:firstLine="0"/>
        <w:jc w:val="center"/>
        <w:textAlignment w:val="auto"/>
        <w:outlineLvl w:val="0"/>
        <w:rPr>
          <w:rFonts w:hint="eastAsia" w:ascii="宋体" w:hAnsi="宋体" w:eastAsia="宋体" w:cs="宋体"/>
          <w:b w:val="0"/>
          <w:bCs w:val="0"/>
          <w:i w:val="0"/>
          <w:caps w:val="0"/>
          <w:color w:val="2D66A5"/>
          <w:spacing w:val="0"/>
          <w:sz w:val="44"/>
          <w:szCs w:val="44"/>
          <w:shd w:val="clear" w:color="auto" w:fill="FFFFFF"/>
        </w:rPr>
      </w:pPr>
      <w:r>
        <w:rPr>
          <w:rFonts w:hint="eastAsia" w:ascii="宋体" w:hAnsi="宋体" w:eastAsia="宋体" w:cs="宋体"/>
          <w:b w:val="0"/>
          <w:bCs w:val="0"/>
          <w:i w:val="0"/>
          <w:caps w:val="0"/>
          <w:color w:val="2D66A5"/>
          <w:spacing w:val="0"/>
          <w:sz w:val="44"/>
          <w:szCs w:val="44"/>
          <w:shd w:val="clear" w:color="auto" w:fill="FFFFFF"/>
        </w:rPr>
        <w:t>印发《关于应对疫情影响加大对中小企业支持力度的若干政策措施》的通知</w:t>
      </w:r>
    </w:p>
    <w:p>
      <w:pPr>
        <w:rPr>
          <w:rFonts w:hint="eastAsi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各地级以上市党委和人民政府,省委各部委,省直各单位,省各人民团体,省法院,省检察院,中直驻粤各单位:</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《关于应对疫情影响加大对中小企业支持力度的若干政策措施》已经省委、省政府同意,现印发给你们,请认真组织实施。实施过程中遇到的问题,请径向省工业和信息化厅反映。</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广东省工业和信息化厅　　　广东省地方金融监管局</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广东省政务服务数据管理局　　　广东省发展改革委</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广东省财政厅　　　　广东省人力资源和社会保障厅</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广东省农业农村厅　　　　　　　　　广东省国资委</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国家税务总局广东省税务局</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2020年3月23日</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textAlignment w:val="auto"/>
        <w:outlineLvl w:val="9"/>
        <w:rPr>
          <w:color w:val="424242"/>
        </w:rPr>
      </w:pPr>
      <w:r>
        <w:rPr>
          <w:rFonts w:hint="eastAsia" w:ascii="宋体" w:hAnsi="宋体" w:eastAsia="宋体" w:cs="宋体"/>
          <w:i w:val="0"/>
          <w:caps w:val="0"/>
          <w:color w:val="424242"/>
          <w:spacing w:val="0"/>
          <w:sz w:val="27"/>
          <w:szCs w:val="27"/>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jc w:val="center"/>
        <w:rPr>
          <w:rStyle w:val="23"/>
          <w:rFonts w:hint="eastAsia" w:ascii="宋体" w:hAnsi="宋体" w:eastAsia="宋体" w:cs="宋体"/>
          <w:i w:val="0"/>
          <w:caps w:val="0"/>
          <w:color w:val="424242"/>
          <w:spacing w:val="0"/>
          <w:sz w:val="30"/>
          <w:szCs w:val="30"/>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jc w:val="center"/>
        <w:rPr>
          <w:rStyle w:val="23"/>
          <w:rFonts w:hint="eastAsia" w:ascii="宋体" w:hAnsi="宋体" w:eastAsia="宋体" w:cs="宋体"/>
          <w:i w:val="0"/>
          <w:caps w:val="0"/>
          <w:color w:val="424242"/>
          <w:spacing w:val="0"/>
          <w:sz w:val="30"/>
          <w:szCs w:val="30"/>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jc w:val="center"/>
        <w:rPr>
          <w:rStyle w:val="23"/>
          <w:rFonts w:hint="eastAsia" w:ascii="宋体" w:hAnsi="宋体" w:eastAsia="宋体" w:cs="宋体"/>
          <w:i w:val="0"/>
          <w:caps w:val="0"/>
          <w:color w:val="424242"/>
          <w:spacing w:val="0"/>
          <w:sz w:val="30"/>
          <w:szCs w:val="30"/>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jc w:val="center"/>
        <w:rPr>
          <w:color w:val="424242"/>
          <w:sz w:val="44"/>
          <w:szCs w:val="44"/>
        </w:rPr>
      </w:pPr>
      <w:r>
        <w:rPr>
          <w:rStyle w:val="23"/>
          <w:rFonts w:hint="eastAsia" w:ascii="宋体" w:hAnsi="宋体" w:eastAsia="宋体" w:cs="宋体"/>
          <w:i w:val="0"/>
          <w:caps w:val="0"/>
          <w:color w:val="424242"/>
          <w:spacing w:val="0"/>
          <w:sz w:val="44"/>
          <w:szCs w:val="44"/>
          <w:shd w:val="clear" w:color="auto" w:fill="FFFFFF"/>
        </w:rPr>
        <w:t>关于应对疫情影响加大对中小企业支持力度的若干政策措施</w:t>
      </w: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rPr>
          <w:color w:val="424242"/>
        </w:rPr>
      </w:pPr>
      <w:r>
        <w:rPr>
          <w:rFonts w:hint="eastAsia" w:ascii="宋体" w:hAnsi="宋体" w:eastAsia="宋体" w:cs="宋体"/>
          <w:i w:val="0"/>
          <w:caps w:val="0"/>
          <w:color w:val="424242"/>
          <w:spacing w:val="0"/>
          <w:sz w:val="27"/>
          <w:szCs w:val="27"/>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宋体" w:hAnsi="宋体" w:eastAsia="宋体" w:cs="宋体"/>
          <w:i w:val="0"/>
          <w:caps w:val="0"/>
          <w:color w:val="424242"/>
          <w:spacing w:val="0"/>
          <w:sz w:val="27"/>
          <w:szCs w:val="27"/>
          <w:shd w:val="clear" w:color="auto" w:fill="FFFFFF"/>
        </w:rPr>
        <w:t>　　</w:t>
      </w:r>
      <w:r>
        <w:rPr>
          <w:rFonts w:hint="eastAsia" w:ascii="仿宋_GB2312" w:hAnsi="仿宋_GB2312" w:eastAsia="仿宋_GB2312" w:cs="仿宋_GB2312"/>
          <w:i w:val="0"/>
          <w:caps w:val="0"/>
          <w:color w:val="424242"/>
          <w:spacing w:val="0"/>
          <w:sz w:val="32"/>
          <w:szCs w:val="32"/>
          <w:shd w:val="clear" w:color="auto" w:fill="FFFFFF"/>
        </w:rPr>
        <w:t>为深入贯彻习近平总书记重要讲话和重要指示批示精神,统筹推进新冠肺炎疫情防控和经济社会发展工作,支持我省中小企业应对疫情影响,保持平稳健康发展,现制定以下政策措施。</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一、大力支持中小企业复工复产</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1.保障复工复产防控物资。各地要加强口罩、防护服、消毒用品、测温仪等防控物资的市场供应,保障中小企业的防控物资需求。鼓励有条件的地市集中采购防控物资向中小企业提供。</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取消超出防疫必要的复工复产条件和要求。各地不得对中小企业复工复产设置歧视性条件,不得擅自下发推迟企业复工时间的文件,要立即对本地出台的不合理限制性措施进行修订和清理,取消超出防疫必要、不切实际的复工条件和要求,尽快推动中小企业复工复产。</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3.拓宽招工渠道。鼓励企业和行业协会、商会“点对点”组织专车、专列等方式帮助异地务工人员返粤返岗,各地可给予一定补助。实施线上“南粤春暖”活动,引导劳动者选择网上服务平台、微信公众号等非接触式途径,确保求职就业不停歇。对生产、配送疫情防控急需物资,在疫情防控期间新招用员工的企业,按每人不超过1000元标准给予一次性吸纳就业补助。人力资源服务机构为重点用工企业、高新技术企业介绍员工,符合条件的可按每人400元标准给予职业介绍补贴。</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二、阶段性降低中小企业运营成本</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4.降低用工成本。对不裁员、少减员的企业返还失业保险费,按企业及其职工上年度实际缴纳失业保险费总额的50%予以返还。对职工因疫情接受治疗或被医学观察隔离期间企业所支付的工资待遇,按照不超过该职工基本养老保险缴费工资基数的50%补贴企业。</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5.降低租金成本。国有资产类经营用房对受疫情影响较大不能正常经营的民营承租企业免收第一个月租金,减半收取第二、三个月租金,确保减免租金落到实际经营承租户。鼓励有条件的国有单位适当延长租金减免时限。对疫情防控期间为承租的中小企业减免租金的创业孵化示范基地、示范园区,各地可给予一定运营补贴。</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6.降低税费成本。疫情防控期间,准许企业延期申报纳税。对符合延期缴纳税款条件的企业,准许延长不超过3个月的税款缴纳期限。对纳税确有困难的企业,依法合理予以减免房产税、城镇土地使用税。落实好自2020年3月1日至5月31日,小规模纳税人增值税征收率由3%降至1%的政策。</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7.降低社保成本。自2020年2月1日至6月30日,阶段性免征中小企业养老、失业、工伤保险单位缴费。2020年2月至6月,职工医保统筹基金累计结余可支付月数大于6个月的统筹地区,职工医保单位缴费部分可减半征收;减半征收政策结束后,符合粤府〔2020〕12号文降费条件的统筹地区,可继续执行阶段性降费政策至2021年4月30日。对受疫情影响不能按时缴纳社保费的企业,允许延期至疫情解除后3个月内缴费,期间不加收滞纳金;受疫情影响生产出现严重困难的企业,可申请缓缴社保费,缓缴执行期为2020年内,缓缴期限原则上不超过6个月,缓缴期间免收滞纳金。</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8.降低水电气成本。自2020年2月1日至6月30日,督促中石油、中海油、中石化等气源供应企业执行国家政策降低气源价格;省内天然气管道运输价格下调10%;城镇燃气企业天然气购销价差下调10%;全省除高耗能行业外的工商业用户的电费统一按照原到户电价水平的95%结算;鼓励各市结合当地情况,适当下调这一期间当地非居民用水价格。</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9.实施住房公积金阶段性支持政策。2020年6月30日前,企业与职工充分协商的前提下,可自愿缴存住房公积金。</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10.加大工会经费返还补助力度。自2020年1月1日至2021年12月31日,对小微企业工会经费实行全额返还。对有困难的中型企业工会,县级以上工会安排专项资金予以回拨补助。</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三、缓解中小企业融资困难</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11.纾解现金流压力。对于2020年1月25日以来到期的困难中小企业贷款本金,银行业金融机构应根据企业延期还本申请,通过贷款展期、续贷等方式,给予企业一定期限的临时性延期还本安排,还本日期最长可延至2020年6月30日。对于2020年1月25日至6月30日中小企业需支付的贷款利息,银行业金融机构应根据企业延期付息申请,给予企业一定期限的延期付息安排,贷款付息日期最长可延至2020年6月30日,免收罚息。</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12.加大贷款支持力度。银行业金融机构应积极对接中小企业融资需求,建立绿色通道,简化贷款审批流程,适度下放审批权限,应贷尽贷快贷。要改进绩效考评、尽职免责等内部资源配置和政策安排,努力提高小微企业信用贷款、中长期贷款占比和“首贷率”。鼓励支持国有大型银行2020年上半年普惠型小微企业贷款同比增长30%以上。</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13.用好中国人民银行专项再贷款。对纳入全国性和地方性疫情防控重点保障名单的企业提供利率上限不超过一年期LPR减100个基点的优惠利率信贷支持,并通过配套的财政贴息,确保相关企业的实际融资成本降至1.6%以下。落实下调支农、支小再贷款利率0.25个百分点至2.5%的政策。</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14.利用供应链融资。在全省推广政府采购项下融资业务和应收账款融资业务,鼓励政府采购管理部门、核心企业等与中征应收账款融资服务平台和广东省中小企业融资平台进行系统对接,引导金融机构依托上述平台批量在线开展相关融资业务,金融机构在办理政府采购项下融资业务时原则上不得要求供应商提供担保。省财政对通过中征应收账款融资服务平台和广东省中小企业融资平台在线确认账款、支持我省上游中小企业融资的核心企业,按不超过实际年化融资额的1%给予奖励。</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15.优化小额贷款服务。各项监管指标优良、积极参与疫情防控的小额贷款公司,经省地方金融监管局批准,其融资余额可放宽至不超过净资产的5倍,单户贷款余额上限上调为不超过注册资本的5%且不超过1000万元。鼓励对受疫情影响企业和个人下调贷款利率、延期或展期贷款1-3个月、免除1-3个月罚息和增加信用贷款及中长期贷款。</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16.加大知识产权质押融资力度。用好知识产权质押融资风险补偿基金和专项资金,支持企业通过专利权、商标权质押获得资金支持。鼓励银行提前放款后续完成知识产权质押登记,组织评估机构提供公益性融资评估服务。提速知识产权质押融资登记服务,将办理时间压缩至1个工作日。推广“知识产权快融贷”服务,支持具有知识产权资产的企业获得低至3.15%的纯信用贷款。</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17.支持担保融资和租赁融资。省融资再担保公司对纳入国家融资担保基金支持范围内的融资担保业务免收再担保费,省财政对其业务实际代偿损失给予一定比例的补偿,对江门、惠州、肇庆市和粤东粤西粤北地区政府性融资担保机构开展的单户担保金额1000万元及以下、平均年化担保费率不超过1.5%的小微企业融资担保业务,省财政对有关保费给予不超过0.5%的财政补助。鼓励融资租赁公司对受疫情影响较大的承租企业通过延长租赁期、变更还款方式等调整还款计划,酌情减免不超过6个月的租金利息,免收租金罚息。</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18.充分发挥广东省中小企业融资平台功能。在广东省中小企业融资平台开设疫情防控金融服务专区,归集、整合疫情防控各项金融支持服务政策,为疫情防控相关企业和受疫情影响较大企业智能对接金融机构专项融资产品,量身订做一揽子、一站式专属融资服务。构建企业受疫情影响评估模型,对企业受疫情影响进行正负向评估,引导金融机构对正向企业给予专项贷款支持,对信用良好的负向企业给予利息减免、无还本续贷等支持。</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四、强化中小企业服务保障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19.加大科技型中小企业支持力度。进一步优化、简化科技创新券管理流程,依托第三方平台“华转网”实现全程线上操作、即兑即付。将疫情防控科技攻关所需的实验动物研究开发、检验检疫、材料测试等纳入创新券支持范围。提高对科技型中小企业和创新者的支持比例,珠三角地区由30%提高到40%,粤东粤西粤北地区由35%提高到45%。对已进入省级科技信贷风险准备金池的科技型企业,支持合作银行根据实际情况予以展期,贷款展期后继续享受省级科技信贷风险补偿政策。</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20.加大生产型外贸中小企业支持力度。完成技术改造的加工贸易制造业企业,除统一享受省财政技术改造事后奖补政策外,各地市政府根据其年度进出口规模和增长情况给予技术改造奖励。省政府设立加工贸易企业融资风险补偿资金池,由金融机构提供无抵押优惠利率贷款。支持港澳台资加工贸易企业扎根广东,推动解决企业的土地历史遗留问题,开辟绿色通道,依法加快办理企业不动产登记,盘活企业资产。</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21.加大文旅体中小企业支持力度。政府采购、购买服务等适当向文旅体企业倾斜。鼓励文旅体企业线上线下融合创新,研发新产品、新技术,增加高端文旅体产品供给,推广线上消费、体验消费、智能消费等消费新模式。</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22.加大清欠工作力度。加快清理政府部门、国有企业拖欠民营企业中小企业账款,做到应清尽清。政府部门、国有企业向民营企业中小企业购买产品服务、发包工程等,须按时足额支付合同款项,严禁新增拖欠民营企业中小企业账款。</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23.降低违约风险。2020年12月31日前,各地贸促会根据实际情况,免费为受疫情直接影响的企业出具与不可抗力相关的事实性证明。各地法院应当依法妥善审理涉企相关合同纠纷,由于疫情影响致使合同不能履行的,依照法律法规有关不可抗力等规定进行审理。</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24.慎用强制措施。坚持谦抑慎刑司法理念,对受疫情影响较大的中小企业涉及司法查封、扣押、冻结等强制措施的,要慎重使用,对企业相关人员慎重采取羁押强制措施,最大限度减少对企业正常生产经营活动的影响。</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25.加大法律服务力度。组织省中小企业律师服务团通过12348热线、“粤省事”法律服务专区及其他方式为企业免费提供法律咨询。挑选一批律师所免费为中小企业提供法治体检、纠纷化解、参与诉讼、出具法律意见等专项服务,由省律师协会在抗疫情专项公益基金中对律师服务费予以补贴。公证、仲裁等服务窗口开通绿色通道,对受疫情影响的企业,实行案件优先受理专人负责办理,部分事项实行减、免、缓收费制度。</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26.加强政务服务保障。利用“粤商通”平台提供一站式涉企政务信息服务,提供企业员工健康申报、国资物业租金减免、法律咨询、融资对接、网上招聘等服务。发挥中小企业诉求响应平台作用,推动各地各部门建立快速响应机制,及时解决中小企业疫情期间的突出问题。发布工业互联网、大数据、人工智能等软件产品和服务目录清单,通过减免费用等措施鼓励中小企业提升数字化能力。充分发挥“网上中博会”作用,为中小企业免费发布企业、产品信息,设立“抗击疫情”专栏,发布扶持政策,展示相关产品、智能技术及服务,线上线下相结合为中小企业拓展市场。</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本文件适用于工业和信息化部等四部门印发《中小企业划型标准规定》(工信部联企业〔2011〕300号)确定的中小企业,包括中型、小型和微型企业。各项政策措施除有明确规定的时限以外,执行至2020年12月31日。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附件:政策措施分工表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附件</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center"/>
        <w:textAlignment w:val="auto"/>
        <w:rPr>
          <w:rFonts w:hint="eastAsia" w:ascii="仿宋_GB2312" w:hAnsi="仿宋_GB2312" w:eastAsia="仿宋_GB2312" w:cs="仿宋_GB2312"/>
          <w:color w:val="424242"/>
          <w:sz w:val="32"/>
          <w:szCs w:val="32"/>
        </w:rPr>
      </w:pPr>
      <w:r>
        <w:rPr>
          <w:rStyle w:val="23"/>
          <w:rFonts w:hint="eastAsia" w:ascii="仿宋_GB2312" w:hAnsi="仿宋_GB2312" w:eastAsia="仿宋_GB2312" w:cs="仿宋_GB2312"/>
          <w:i w:val="0"/>
          <w:caps w:val="0"/>
          <w:color w:val="424242"/>
          <w:spacing w:val="0"/>
          <w:sz w:val="32"/>
          <w:szCs w:val="32"/>
          <w:shd w:val="clear" w:color="auto" w:fill="FFFFFF"/>
        </w:rPr>
        <w:t>政策措施分工表</w:t>
      </w:r>
    </w:p>
    <w:tbl>
      <w:tblPr>
        <w:tblStyle w:val="20"/>
        <w:tblW w:w="9059"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
      <w:tblGrid>
        <w:gridCol w:w="886"/>
        <w:gridCol w:w="3876"/>
        <w:gridCol w:w="429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Style w:val="23"/>
                <w:rFonts w:hint="eastAsia" w:ascii="仿宋_GB2312" w:hAnsi="仿宋_GB2312" w:eastAsia="仿宋_GB2312" w:cs="仿宋_GB2312"/>
                <w:color w:val="424242"/>
                <w:sz w:val="32"/>
                <w:szCs w:val="32"/>
              </w:rPr>
              <w:t>序号</w:t>
            </w:r>
          </w:p>
        </w:tc>
        <w:tc>
          <w:tcPr>
            <w:tcW w:w="3876" w:type="dxa"/>
            <w:tcBorders>
              <w:top w:val="single" w:color="000000" w:sz="8" w:space="0"/>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Style w:val="23"/>
                <w:rFonts w:hint="eastAsia" w:ascii="仿宋_GB2312" w:hAnsi="仿宋_GB2312" w:eastAsia="仿宋_GB2312" w:cs="仿宋_GB2312"/>
                <w:color w:val="424242"/>
                <w:sz w:val="32"/>
                <w:szCs w:val="32"/>
              </w:rPr>
              <w:t>政策措施</w:t>
            </w:r>
          </w:p>
        </w:tc>
        <w:tc>
          <w:tcPr>
            <w:tcW w:w="4297" w:type="dxa"/>
            <w:tcBorders>
              <w:top w:val="single" w:color="000000" w:sz="8" w:space="0"/>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Style w:val="23"/>
                <w:rFonts w:hint="eastAsia" w:ascii="仿宋_GB2312" w:hAnsi="仿宋_GB2312" w:eastAsia="仿宋_GB2312" w:cs="仿宋_GB2312"/>
                <w:color w:val="424242"/>
                <w:sz w:val="32"/>
                <w:szCs w:val="32"/>
              </w:rPr>
              <w:t>责任单位</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保障复工复产防控物资</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取消超出防疫必要的复工复产条件和要求</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3</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拓宽招工渠道</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省人力资源社会保障厅、省教育厅、省工商联,各地级以上市人民政府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4</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降低用工成本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省人力资源社会保障厅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5</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降低租金成本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省国资委、省财政厅、省人力资源社会保障厅,各地级以上市人民政府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6</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降低税费成本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省财政厅、省税务局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7</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降低社保成本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省人力资源社会保障厅、省医保局、省税务局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8</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降低水电气成本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省发展改革委,各地级以上市人民政府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9</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实施住房公积金阶段性支持政策</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省住房城乡建设厅,各地级以上市人民政府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10</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加大工会经费返还补助力度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省总工会</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11</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纾解现金流压力</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广东银保监局、人民银行广州分行</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12</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加大贷款支持力度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广东银保监局、人民银行广州分行</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13</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用好中国人民银行专项再贷款</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人民银行广州分行、省地方金融监管局、省工业和信息化厅、省财政厅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14</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利用供应链融资</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人民银行广州分行、省地方金融监管局、省工业和信息化厅、省财政厅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15</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优化小额贷款服务</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省地方金融监管局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16</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加大知识产权质押融资力度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省市场监管局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17</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支持担保融资和租赁融资</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省工业和信息化厅、省财政厅、省地方金融监管局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18</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充分发挥广东省中小企业融资平台功能</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省地方金融监管局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19</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加大科技型中小企业支持力度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省科技厅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20</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加大生产型外贸中小企业支持力度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省商务厅、省工业和信息化厅、省财政厅、省自然资源厅,各地级以上市人民政府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21</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加大文旅体中小企业支持力度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省文化和旅游厅、省体育局、省财政厅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22</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加大清欠工作力度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省工业和信息化厅、省财政厅、省国资委,各地级以上市人民政府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23</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降低违约风险</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省贸促会、省法院</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24</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慎用强制措施</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省委政法委</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25</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加大法律服务力度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省司法厅、省工商联</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26</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加强政务服务保障</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省政务服务数据管理局、省工业和信息化厅,各地级以上市人民政府</w:t>
            </w:r>
          </w:p>
        </w:tc>
      </w:tr>
    </w:tbl>
    <w:p>
      <w:pPr>
        <w:widowControl w:val="0"/>
        <w:wordWrap/>
        <w:adjustRightInd/>
        <w:snapToGrid/>
        <w:spacing w:line="0" w:lineRule="atLeast"/>
        <w:jc w:val="both"/>
        <w:textAlignment w:val="auto"/>
        <w:outlineLvl w:val="9"/>
        <w:rPr>
          <w:rFonts w:hint="eastAsia" w:ascii="Times New Roman" w:hAnsi="Times New Roman" w:eastAsia="宋体" w:cs="Times New Roman"/>
          <w:bCs/>
          <w:kern w:val="44"/>
          <w:sz w:val="44"/>
          <w:szCs w:val="44"/>
          <w:lang w:val="en-US" w:eastAsia="zh-CN" w:bidi="ar-SA"/>
        </w:rPr>
      </w:pPr>
      <w:bookmarkStart w:id="534" w:name="_Toc19746"/>
      <w:r>
        <w:rPr>
          <w:rFonts w:hint="eastAsia" w:ascii="Times New Roman" w:hAnsi="Times New Roman" w:eastAsia="宋体" w:cs="Times New Roman"/>
          <w:bCs/>
          <w:kern w:val="44"/>
          <w:sz w:val="44"/>
          <w:szCs w:val="44"/>
          <w:lang w:val="en-US" w:eastAsia="zh-CN" w:bidi="ar-SA"/>
        </w:rPr>
        <w:t>广东省住房和城乡建设厅关于进一步加强城市生活垃圾、污水及市容环境卫生管理工作的</w:t>
      </w:r>
      <w:bookmarkEnd w:id="534"/>
    </w:p>
    <w:p>
      <w:pPr>
        <w:widowControl w:val="0"/>
        <w:wordWrap/>
        <w:adjustRightInd/>
        <w:snapToGrid/>
        <w:spacing w:line="0" w:lineRule="atLeast"/>
        <w:jc w:val="center"/>
        <w:textAlignment w:val="auto"/>
        <w:outlineLvl w:val="0"/>
        <w:rPr>
          <w:rFonts w:hint="eastAsia" w:ascii="Times New Roman" w:hAnsi="Times New Roman" w:eastAsia="宋体" w:cs="Times New Roman"/>
          <w:b w:val="0"/>
          <w:lang w:val="en-US" w:eastAsia="zh-CN"/>
        </w:rPr>
      </w:pPr>
      <w:bookmarkStart w:id="535" w:name="_Toc16667"/>
      <w:r>
        <w:rPr>
          <w:rFonts w:hint="eastAsia" w:ascii="Times New Roman" w:hAnsi="Times New Roman" w:eastAsia="宋体" w:cs="Times New Roman"/>
          <w:bCs/>
          <w:kern w:val="44"/>
          <w:sz w:val="44"/>
          <w:szCs w:val="44"/>
          <w:lang w:val="en-US" w:eastAsia="zh-CN" w:bidi="ar-SA"/>
        </w:rPr>
        <w:t>紧急通知</w:t>
      </w:r>
      <w:bookmarkEnd w:id="523"/>
      <w:bookmarkEnd w:id="524"/>
      <w:bookmarkEnd w:id="525"/>
      <w:bookmarkEnd w:id="526"/>
      <w:bookmarkEnd w:id="527"/>
      <w:bookmarkEnd w:id="528"/>
      <w:bookmarkEnd w:id="529"/>
      <w:bookmarkEnd w:id="530"/>
      <w:bookmarkEnd w:id="531"/>
      <w:bookmarkEnd w:id="535"/>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jc w:val="center"/>
        <w:rPr>
          <w:rFonts w:hint="eastAsia" w:ascii="楷体" w:hAnsi="楷体" w:eastAsia="楷体" w:cs="楷体"/>
        </w:rPr>
      </w:pPr>
      <w:r>
        <w:rPr>
          <w:rFonts w:hint="eastAsia" w:ascii="楷体" w:hAnsi="楷体" w:eastAsia="楷体" w:cs="楷体"/>
        </w:rPr>
        <w:t>粤建城〔2020〕18号</w:t>
      </w:r>
    </w:p>
    <w:p>
      <w:pPr>
        <w:widowControl w:val="0"/>
        <w:wordWrap/>
        <w:adjustRightInd/>
        <w:snapToGrid/>
        <w:spacing w:line="58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各地级以上市生活垃圾、污水、环卫主管部门：</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为坚决贯彻落实习近平总书记关于新型冠状病毒感染的肺炎疫情的重要指示精神，迅速落实省委、省政府有关全国、全省“一盘棋”应急响应机制，进一步加强对城市生活垃圾、污水及市容环境卫生的管理，维护好城市环境卫生，全力做好新型冠状病毒感染的肺炎疫情的防控工作，现就有关要求紧急通知如下：</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一、加强生活垃圾收运处理管理</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加强对生活垃圾的清扫、收集、运输、处理全过程的监督检查，及时对生活垃圾进行无害化处理，严格禁止医疗废弃物混入生活垃圾处理系统。要确保生活垃圾及时清运，并合理安排生活垃圾收运路线，尽量避开人流密集区域，缩短交接时间，防止跑冒滴漏，做到定时、定点和密闭化收运。加强对生活垃圾收集转运设施、运输工具、处置场所等的消杀处理。生活垃圾填埋场要及时覆盖，严防生活垃圾散落、飞扬、露天堆放。严格做好生活垃圾处理设施场所封闭，禁止一切无关人员进入。</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二、加强生活污水管理</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加强排污口及排水单元管控，做好水厂运行监测。会同其他相关部门，加强联合执法监督。严禁污水直排，对企事业单位等产生的非生活污水进入市政污水收集设施情况进行排查评估，经评估认定不能被城镇污水处理厂有效处理或可能影响城镇污水处理厂出水稳定达标的，要限期退出。严禁在市政排水管网上私搭乱接，杜绝通过雨水口、雨水管网违法排污。</w:t>
      </w:r>
    </w:p>
    <w:p>
      <w:pPr>
        <w:widowControl w:val="0"/>
        <w:wordWrap/>
        <w:adjustRightInd/>
        <w:snapToGrid/>
        <w:spacing w:line="560" w:lineRule="exact"/>
        <w:ind w:right="0"/>
        <w:textAlignment w:val="auto"/>
        <w:outlineLvl w:val="9"/>
        <w:rPr>
          <w:rFonts w:hint="eastAsia" w:ascii="黑体" w:hAnsi="黑体" w:eastAsia="黑体" w:cs="黑体"/>
          <w:sz w:val="32"/>
          <w:szCs w:val="32"/>
        </w:rPr>
      </w:pPr>
      <w:r>
        <w:rPr>
          <w:rFonts w:hint="eastAsia" w:ascii="黑体" w:hAnsi="黑体" w:eastAsia="黑体" w:cs="黑体"/>
          <w:sz w:val="32"/>
          <w:szCs w:val="32"/>
        </w:rPr>
        <w:t>　　三、加大清扫保洁力度</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提升环卫清扫清运作业水平，加强城市清洁，改善城市环境。提升道路清扫率，特别是要做好重点部位、卫生死角的环境卫生工作，最大程度上抑制病毒的生存，减少病毒的滋生、传播。通过提高机械化清扫率，提高保洁效率和质量。采取机械化清扫联合作业模式，实施道路冲刷、清洗、吸扫联合作业。市区主次干道和具备机扫条件的支路以机械化清扫为主，人工拾扫为辅。</w:t>
      </w:r>
    </w:p>
    <w:p>
      <w:pPr>
        <w:widowControl w:val="0"/>
        <w:wordWrap/>
        <w:adjustRightInd/>
        <w:snapToGrid/>
        <w:spacing w:line="560" w:lineRule="exact"/>
        <w:ind w:right="0"/>
        <w:textAlignment w:val="auto"/>
        <w:outlineLvl w:val="9"/>
        <w:rPr>
          <w:rFonts w:hint="eastAsia" w:ascii="黑体" w:hAnsi="黑体" w:eastAsia="黑体" w:cs="黑体"/>
          <w:sz w:val="32"/>
          <w:szCs w:val="32"/>
        </w:rPr>
      </w:pPr>
      <w:r>
        <w:rPr>
          <w:rFonts w:hint="eastAsia" w:ascii="黑体" w:hAnsi="黑体" w:eastAsia="黑体" w:cs="黑体"/>
          <w:sz w:val="32"/>
          <w:szCs w:val="32"/>
        </w:rPr>
        <w:t>　　四、加强重点部位环境卫生管理</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改善集贸市场环境卫生状况，做到摊位布局合理，防止病毒传播和交叉感染。集贸市场内应配备清洁工具、消毒器具、药品和垃圾箱等，并请专业消杀公司或设专人负责清洁和消毒，确保每天至少一次消杀、作业无死角。及时清理集贸市场产生的垃圾，清洗市场摊位及地面油污尘垢。集贸市场应采取有效措施加强自然通风，减少病毒感染。</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五、加强环卫人员作业防护</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采取积极有效措施，做好环卫人员的安全防护工作。为作业人员配备必备的劳动安全防护用品，对其工作、休息环境及劳动工具设备及时消毒。尤其接触生活垃圾、污水的操作人员应按规定做好自身防护，工作时要戴好手套、口罩，必要时穿好防护服。</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各地要加强对城市生活垃圾、污水及市容环境卫生的管理，加强检查、监控、督导，积极配合生态环境、卫生健康等部门做好相关工作，确保市容环境整洁卫生，并做好舆情监控和信息报送相关工作。</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rPr>
        <w:t>广东省住房和城乡建设厅</w:t>
      </w:r>
    </w:p>
    <w:p>
      <w:pPr>
        <w:widowControl w:val="0"/>
        <w:wordWrap/>
        <w:adjustRightInd/>
        <w:snapToGrid/>
        <w:spacing w:line="560" w:lineRule="exact"/>
        <w:ind w:right="0" w:firstLine="4480" w:firstLineChars="1400"/>
        <w:jc w:val="righ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2020年1月23日</w:t>
      </w:r>
    </w:p>
    <w:p>
      <w:pPr>
        <w:widowControl w:val="0"/>
        <w:wordWrap/>
        <w:adjustRightInd/>
        <w:snapToGrid/>
        <w:spacing w:line="560" w:lineRule="exact"/>
        <w:ind w:right="0" w:firstLine="6240" w:firstLineChars="260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firstLine="6240" w:firstLineChars="260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36" w:name="_Toc2311"/>
      <w:bookmarkStart w:id="537" w:name="_Toc6298"/>
      <w:bookmarkStart w:id="538" w:name="_Toc9371"/>
      <w:bookmarkStart w:id="539" w:name="_Toc26137"/>
      <w:bookmarkStart w:id="540" w:name="_Toc27673"/>
      <w:bookmarkStart w:id="541" w:name="_Toc32589"/>
      <w:bookmarkStart w:id="542" w:name="_Toc923"/>
      <w:bookmarkStart w:id="543" w:name="_Toc28592"/>
      <w:bookmarkStart w:id="544" w:name="_Toc1425"/>
      <w:bookmarkStart w:id="545" w:name="_Toc15923"/>
      <w:bookmarkStart w:id="546" w:name="_Toc25675"/>
      <w:r>
        <w:rPr>
          <w:rFonts w:hint="eastAsia" w:ascii="Times New Roman" w:hAnsi="Times New Roman" w:eastAsia="宋体" w:cs="Times New Roman"/>
          <w:bCs/>
          <w:kern w:val="44"/>
          <w:sz w:val="44"/>
          <w:szCs w:val="44"/>
          <w:lang w:val="en-US" w:eastAsia="zh-CN" w:bidi="ar-SA"/>
        </w:rPr>
        <w:t>广东省住房和城乡建设厅关于加强废弃口罩</w:t>
      </w:r>
      <w:bookmarkEnd w:id="536"/>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47" w:name="_Toc21676"/>
      <w:r>
        <w:rPr>
          <w:rFonts w:hint="eastAsia" w:ascii="Times New Roman" w:hAnsi="Times New Roman" w:eastAsia="宋体" w:cs="Times New Roman"/>
          <w:bCs/>
          <w:kern w:val="44"/>
          <w:sz w:val="44"/>
          <w:szCs w:val="44"/>
          <w:lang w:val="en-US" w:eastAsia="zh-CN" w:bidi="ar-SA"/>
        </w:rPr>
        <w:t>管理做好新型冠状病毒感染的肺炎防范</w:t>
      </w:r>
      <w:bookmarkEnd w:id="547"/>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48" w:name="_Toc6830"/>
      <w:r>
        <w:rPr>
          <w:rFonts w:hint="eastAsia" w:ascii="Times New Roman" w:hAnsi="Times New Roman" w:eastAsia="宋体" w:cs="Times New Roman"/>
          <w:bCs/>
          <w:kern w:val="44"/>
          <w:sz w:val="44"/>
          <w:szCs w:val="44"/>
          <w:lang w:val="en-US" w:eastAsia="zh-CN" w:bidi="ar-SA"/>
        </w:rPr>
        <w:t>有关工作的紧急通知</w:t>
      </w:r>
      <w:bookmarkEnd w:id="537"/>
      <w:bookmarkEnd w:id="538"/>
      <w:bookmarkEnd w:id="539"/>
      <w:bookmarkEnd w:id="540"/>
      <w:bookmarkEnd w:id="541"/>
      <w:bookmarkEnd w:id="542"/>
      <w:bookmarkEnd w:id="543"/>
      <w:bookmarkEnd w:id="544"/>
      <w:bookmarkEnd w:id="545"/>
      <w:bookmarkEnd w:id="546"/>
      <w:bookmarkEnd w:id="548"/>
    </w:p>
    <w:p>
      <w:pPr>
        <w:jc w:val="center"/>
        <w:rPr>
          <w:rFonts w:hint="eastAsia" w:ascii="楷体" w:hAnsi="楷体" w:eastAsia="楷体" w:cs="楷体"/>
        </w:rPr>
      </w:pPr>
    </w:p>
    <w:p>
      <w:pPr>
        <w:jc w:val="center"/>
        <w:rPr>
          <w:rFonts w:hint="eastAsia" w:ascii="楷体" w:hAnsi="楷体" w:eastAsia="楷体" w:cs="楷体"/>
        </w:rPr>
      </w:pPr>
      <w:r>
        <w:rPr>
          <w:rFonts w:hint="eastAsia" w:ascii="楷体" w:hAnsi="楷体" w:eastAsia="楷体" w:cs="楷体"/>
        </w:rPr>
        <w:t>粤建城函〔2020〕14号</w:t>
      </w:r>
    </w:p>
    <w:p>
      <w:pPr>
        <w:jc w:val="center"/>
        <w:rPr>
          <w:rFonts w:hint="eastAsia" w:ascii="楷体" w:hAnsi="楷体" w:eastAsia="楷体" w:cs="楷体"/>
        </w:rPr>
      </w:pPr>
    </w:p>
    <w:p>
      <w:pPr>
        <w:widowControl w:val="0"/>
        <w:wordWrap/>
        <w:adjustRightInd/>
        <w:snapToGrid/>
        <w:spacing w:line="560" w:lineRule="exact"/>
        <w:ind w:right="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各地级以上市环卫主管部门：</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坚决贯彻落实习近平总书记关于新型冠状病毒感染的肺炎疫情重要指示精神，切实落实省委、省政府有关工作部署，积极做好应对新型冠状病毒感染的肺炎疫情，确保废弃口罩得到安全有效处理，有效切断病毒传播途径，坚决遏制疫情蔓延，现就应急防控期间规范废弃口罩处置工作有关要求通知如下：</w:t>
      </w:r>
    </w:p>
    <w:p>
      <w:pPr>
        <w:widowControl w:val="0"/>
        <w:wordWrap/>
        <w:adjustRightInd/>
        <w:snapToGrid/>
        <w:spacing w:line="560" w:lineRule="exact"/>
        <w:ind w:right="0" w:firstLine="640" w:firstLineChars="200"/>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一、规范废弃口罩投放</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当前全省各地口罩用量增加，为防止废弃口罩随意丢弃产生二次污染，分区域分类规范废 弃口罩投放。</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（一）在医疗机构时，应将废弃口罩直接投入医疗废物垃圾袋中，作为医疗废物收集处置。</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（二）对于普通人日常使用口罩，按照生活垃圾分类的要求，可以直接丢入“其他垃圾”桶，严禁回收及分拣。</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对于存在发热、咳嗽、咳痰、打喷嚏症状的人，或接触过此类人群的人，可将废弃口罩丢入垃圾袋，再使用5%的84消毒液按照1:99配比后，撒至口罩上进行处理。如无消毒液可使用密封袋或保鲜袋，将废弃口罩密封后丢入“其他垃圾”桶。</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（四）对于疑似新型冠状病毒感染的肺炎患者及其护理人员，应在就诊或接受调查处置时，将使用过的口罩作为感染性医疗废物进行收集处置。</w:t>
      </w:r>
    </w:p>
    <w:p>
      <w:pPr>
        <w:widowControl w:val="0"/>
        <w:wordWrap/>
        <w:adjustRightInd/>
        <w:snapToGrid/>
        <w:spacing w:line="560" w:lineRule="exact"/>
        <w:ind w:right="0" w:firstLine="640" w:firstLineChars="200"/>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二、规范废弃口罩收运处置</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加强收集管理。加强对生活垃圾投放点管理，及时对垃圾投放点和收集站进行消杀。各地根据自身实际情况或疫情防控需要，可在居民小区、机关企事业单位、公共场所和商圈等人员密集场所的原有垃圾分类投放点增设专门垃圾收集容器，用于收集废弃口罩。收集容器应内设塑料袋，避免废弃口罩投放时与容器直接接触。废弃口罩经过消杀后，按“其他垃圾”处理。</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及时清运消杀。各地要严格按照清洁运输的要求，对生活垃圾及时清运、日产日清。加强垃圾中转（压缩）站等管理，严格作业流程，强化标准化管理，定期开展清洗、消杀、除臭工作。加强垃圾运输车消杀，垃圾运输车必须密闭，在垃圾中转处理后要对垃圾运输车进行消杀。</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（三）规范分类处置。医疗机构收集的废弃口罩按照医疗废物管理，由专业处理机构进行集中处置，严禁医疗废物混入生活垃圾收运系统。其他区域收集的废弃口罩按照其他垃圾进行无害化处理。</w:t>
      </w:r>
    </w:p>
    <w:p>
      <w:pPr>
        <w:widowControl w:val="0"/>
        <w:wordWrap/>
        <w:adjustRightInd/>
        <w:snapToGrid/>
        <w:spacing w:line="560" w:lineRule="exact"/>
        <w:ind w:right="0" w:firstLine="640" w:firstLineChars="200"/>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三、暂停实施特定区域生活垃圾分类</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对各地指定的新型冠状病毒感染的肺炎定点收治机构或病区、集中隔离观察点、居家隔离观察点（户）产生的其它生活垃圾（除应纳入医疗废物管理范畴的垃圾外），暂停实施生活垃圾分类，由各地安排专车收运，直送生活垃圾处理厂（场）处置。</w:t>
      </w:r>
    </w:p>
    <w:p>
      <w:pPr>
        <w:widowControl w:val="0"/>
        <w:wordWrap/>
        <w:adjustRightInd/>
        <w:snapToGrid/>
        <w:spacing w:line="560" w:lineRule="exact"/>
        <w:ind w:right="0" w:firstLine="640" w:firstLineChars="200"/>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四、加强环卫作业人员的健康防护</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地要做好收集、转运、处理的环卫作业人员及生活垃圾焚烧厂现场工作人员自身防护措施，相关人员在作业时要佩戴口罩和手套等防护用具。要积极开展从业人员安全意识、防护用具和作业程序的专业培训，增强环卫工人自我保护意识，做好作业工具和场所的消毒灭菌工作，确保日常环卫作业健康安全。</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文件适用时间为新型冠状病毒感染肺炎疫情应急防控期间。</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p>
    <w:p>
      <w:pPr>
        <w:widowControl w:val="0"/>
        <w:wordWrap/>
        <w:adjustRightInd/>
        <w:snapToGrid/>
        <w:spacing w:line="560" w:lineRule="exact"/>
        <w:ind w:right="0" w:firstLine="4160" w:firstLineChars="1300"/>
        <w:jc w:val="right"/>
        <w:textAlignment w:val="auto"/>
        <w:outlineLvl w:val="9"/>
        <w:rPr>
          <w:rFonts w:hint="eastAsia" w:ascii="仿宋" w:hAnsi="仿宋" w:eastAsia="仿宋" w:cs="仿宋"/>
          <w:kern w:val="0"/>
          <w:sz w:val="32"/>
          <w:szCs w:val="32"/>
        </w:rPr>
      </w:pPr>
      <w:r>
        <w:rPr>
          <w:rFonts w:hint="eastAsia" w:ascii="仿宋" w:hAnsi="仿宋" w:eastAsia="仿宋" w:cs="仿宋"/>
          <w:kern w:val="0"/>
          <w:sz w:val="32"/>
          <w:szCs w:val="32"/>
        </w:rPr>
        <w:t>广东省住房和城乡建设厅</w:t>
      </w:r>
    </w:p>
    <w:p>
      <w:pPr>
        <w:widowControl w:val="0"/>
        <w:wordWrap/>
        <w:adjustRightInd/>
        <w:snapToGrid/>
        <w:spacing w:line="560" w:lineRule="exact"/>
        <w:ind w:right="0" w:firstLine="5760" w:firstLineChars="1800"/>
        <w:jc w:val="right"/>
        <w:textAlignment w:val="auto"/>
        <w:outlineLvl w:val="9"/>
        <w:rPr>
          <w:rFonts w:hint="eastAsia" w:ascii="仿宋" w:hAnsi="仿宋" w:eastAsia="仿宋" w:cs="仿宋"/>
          <w:kern w:val="0"/>
          <w:sz w:val="24"/>
          <w:szCs w:val="24"/>
        </w:rPr>
      </w:pPr>
      <w:r>
        <w:rPr>
          <w:rFonts w:hint="eastAsia" w:ascii="仿宋" w:hAnsi="仿宋" w:eastAsia="仿宋" w:cs="仿宋"/>
          <w:kern w:val="0"/>
          <w:sz w:val="32"/>
          <w:szCs w:val="32"/>
        </w:rPr>
        <w:t>2020年1月29日　</w:t>
      </w:r>
      <w:r>
        <w:rPr>
          <w:rFonts w:hint="eastAsia" w:ascii="仿宋" w:hAnsi="仿宋" w:eastAsia="仿宋" w:cs="仿宋"/>
          <w:kern w:val="0"/>
          <w:sz w:val="28"/>
          <w:szCs w:val="28"/>
        </w:rPr>
        <w:t>　</w:t>
      </w:r>
      <w:r>
        <w:rPr>
          <w:rFonts w:hint="eastAsia" w:ascii="仿宋" w:hAnsi="仿宋" w:eastAsia="仿宋" w:cs="仿宋"/>
          <w:kern w:val="0"/>
          <w:sz w:val="24"/>
          <w:szCs w:val="24"/>
        </w:rPr>
        <w:t>　</w:t>
      </w:r>
    </w:p>
    <w:p>
      <w:pPr>
        <w:widowControl w:val="0"/>
        <w:wordWrap/>
        <w:adjustRightInd/>
        <w:snapToGrid/>
        <w:spacing w:line="560" w:lineRule="exact"/>
        <w:ind w:right="0" w:firstLine="480" w:firstLineChars="200"/>
        <w:textAlignment w:val="auto"/>
        <w:outlineLvl w:val="9"/>
        <w:rPr>
          <w:rFonts w:hint="eastAsia" w:ascii="Times New Roman" w:hAnsi="宋体" w:cs="Times New Roman"/>
          <w:kern w:val="0"/>
          <w:sz w:val="24"/>
          <w:szCs w:val="24"/>
        </w:rPr>
      </w:pPr>
    </w:p>
    <w:p>
      <w:pPr>
        <w:widowControl w:val="0"/>
        <w:wordWrap/>
        <w:adjustRightInd/>
        <w:snapToGrid/>
        <w:spacing w:line="560" w:lineRule="exact"/>
        <w:ind w:right="0"/>
        <w:jc w:val="center"/>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jc w:val="center"/>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jc w:val="center"/>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rPr>
          <w:rFonts w:hint="eastAsia" w:ascii="Times New Roman" w:hAnsi="Times New Roman" w:eastAsia="宋体" w:cs="Times New Roman"/>
          <w:bCs/>
          <w:kern w:val="44"/>
          <w:sz w:val="44"/>
          <w:szCs w:val="44"/>
          <w:lang w:val="en-US" w:eastAsia="zh-CN" w:bidi="ar-SA"/>
        </w:rPr>
      </w:pPr>
      <w:bookmarkStart w:id="549" w:name="_Toc11913"/>
      <w:bookmarkStart w:id="550" w:name="_Toc32458"/>
      <w:bookmarkStart w:id="551" w:name="_Toc4915"/>
      <w:bookmarkStart w:id="552" w:name="_Toc22894"/>
      <w:bookmarkStart w:id="553" w:name="_Toc24351"/>
      <w:bookmarkStart w:id="554" w:name="_Toc20036"/>
      <w:bookmarkStart w:id="555" w:name="_Toc23075"/>
      <w:bookmarkStart w:id="556" w:name="_Toc24192"/>
      <w:bookmarkStart w:id="557" w:name="_Toc31003"/>
      <w:bookmarkStart w:id="558" w:name="_Toc16858"/>
      <w:r>
        <w:rPr>
          <w:rFonts w:hint="eastAsia" w:ascii="Times New Roman" w:hAnsi="Times New Roman" w:eastAsia="宋体" w:cs="Times New Roman"/>
          <w:bCs/>
          <w:kern w:val="44"/>
          <w:sz w:val="44"/>
          <w:szCs w:val="44"/>
          <w:lang w:val="en-US" w:eastAsia="zh-CN" w:bidi="ar-SA"/>
        </w:rPr>
        <w:br w:type="page"/>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59" w:name="_Toc21579"/>
      <w:r>
        <w:rPr>
          <w:rFonts w:hint="eastAsia" w:ascii="Times New Roman" w:hAnsi="Times New Roman" w:eastAsia="宋体" w:cs="Times New Roman"/>
          <w:bCs/>
          <w:kern w:val="44"/>
          <w:sz w:val="44"/>
          <w:szCs w:val="44"/>
          <w:lang w:val="en-US" w:eastAsia="zh-CN" w:bidi="ar-SA"/>
        </w:rPr>
        <w:t>广东省住房和城乡建设厅关于印发新型冠状</w:t>
      </w:r>
      <w:bookmarkEnd w:id="559"/>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60" w:name="_Toc12600"/>
      <w:r>
        <w:rPr>
          <w:rFonts w:hint="eastAsia" w:ascii="Times New Roman" w:hAnsi="Times New Roman" w:eastAsia="宋体" w:cs="Times New Roman"/>
          <w:bCs/>
          <w:kern w:val="44"/>
          <w:sz w:val="44"/>
          <w:szCs w:val="44"/>
          <w:lang w:val="en-US" w:eastAsia="zh-CN" w:bidi="ar-SA"/>
        </w:rPr>
        <w:t>病毒感染肺炎疫情防控工作指引的通知</w:t>
      </w:r>
      <w:bookmarkEnd w:id="549"/>
      <w:bookmarkEnd w:id="550"/>
      <w:bookmarkEnd w:id="551"/>
      <w:bookmarkEnd w:id="552"/>
      <w:bookmarkEnd w:id="553"/>
      <w:bookmarkEnd w:id="554"/>
      <w:bookmarkEnd w:id="555"/>
      <w:bookmarkEnd w:id="556"/>
      <w:bookmarkEnd w:id="557"/>
      <w:bookmarkEnd w:id="558"/>
      <w:bookmarkEnd w:id="560"/>
    </w:p>
    <w:p>
      <w:pPr>
        <w:widowControl w:val="0"/>
        <w:wordWrap/>
        <w:adjustRightInd/>
        <w:snapToGrid/>
        <w:spacing w:line="560" w:lineRule="exact"/>
        <w:ind w:right="0" w:firstLine="3920" w:firstLineChars="1400"/>
        <w:jc w:val="both"/>
        <w:textAlignment w:val="auto"/>
        <w:outlineLvl w:val="9"/>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right="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各地级以上市住房和城乡建设、城市管理和综合执法主管部门，广州、深圳、佛山、惠州、东莞、中山市交通运输局，佛山、东莞市轨道交通局，广州、深圳、珠海、河源、东莞、中山、阳江、湛江、茂名市水务局，清远市水利局，广州市林业和园林局，佛山、河源、东莞市环保局：</w:t>
      </w:r>
    </w:p>
    <w:p>
      <w:pPr>
        <w:widowControl w:val="0"/>
        <w:wordWrap/>
        <w:adjustRightInd/>
        <w:snapToGrid/>
        <w:spacing w:line="560" w:lineRule="exact"/>
        <w:ind w:right="0" w:firstLine="640" w:firstLineChars="20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为坚决贯彻落实习近平总书记关于新型冠状病毒感染肺炎疫情防控工作的重要指示精神，切实落实省委、省政府有关工作部署，我厅制定了全省住房城乡建设系统疫情防控工作指引。现印发给你们，请按照属地党委、政府的统一安排，全力配合当地卫生健康部门，结合住建系统实际，认真贯彻落实。</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一、切实加强组织领导。</w:t>
      </w:r>
      <w:r>
        <w:rPr>
          <w:rFonts w:hint="eastAsia" w:ascii="仿宋_GB2312" w:hAnsi="仿宋_GB2312" w:eastAsia="仿宋_GB2312" w:cs="仿宋_GB2312"/>
          <w:color w:val="000000"/>
          <w:kern w:val="0"/>
          <w:sz w:val="32"/>
          <w:szCs w:val="32"/>
          <w:lang w:val="en-US" w:eastAsia="zh-CN"/>
        </w:rPr>
        <w:t>要以习近平总书记的重要指示精神为根本遵循，把人民群众生命安全和身体健康放在第一位，把疫情防控工作作为当前压倒一切的重要政治任务来抓紧抓实。要充分认识疫情形势的严峻性、危害性、艰巨性，切实增强责任感、紧迫感和使命感。各级主管部门要按照省防控工作领导小组（指挥部）的要求，迅速成立指挥部或工作专班，制订工作方案，完善工作机制，查找工作漏洞，䃼齐工作短板，根据疫情变化，即时研究对策，督促指导有关各方落实主体责任，配合做好联防联控联治工作。</w:t>
      </w:r>
    </w:p>
    <w:p>
      <w:pPr>
        <w:widowControl w:val="0"/>
        <w:numPr>
          <w:ilvl w:val="0"/>
          <w:numId w:val="0"/>
        </w:numPr>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二、认真落实宣传责任。</w:t>
      </w:r>
      <w:r>
        <w:rPr>
          <w:rFonts w:hint="eastAsia" w:ascii="仿宋_GB2312" w:hAnsi="仿宋_GB2312" w:eastAsia="仿宋_GB2312" w:cs="仿宋_GB2312"/>
          <w:color w:val="000000"/>
          <w:kern w:val="0"/>
          <w:sz w:val="32"/>
          <w:szCs w:val="32"/>
          <w:lang w:val="en-US" w:eastAsia="zh-CN"/>
        </w:rPr>
        <w:t>疫情瞬息万变，要密切关注国家、省和属地发布的最新动态，通过有效途径，运用大数据技术信息等手段，迅速将党中央、国务院的决策部署，省防控工作领导小组（指挥部）的要求，及时传达到各区域内的每一个房屋市政工程参建单位、市政环卫单位、相关物业服务企业、房屋市政和城市轨道交通工程在建工地等。横向到边，纵向到底，做到全方位、全覆盖，无死角、无盲区。要督促企业认真落实主体责任，有效防止疫情传播。</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三、加强来粤人员管护。</w:t>
      </w:r>
      <w:r>
        <w:rPr>
          <w:rFonts w:hint="eastAsia" w:ascii="仿宋_GB2312" w:hAnsi="仿宋_GB2312" w:eastAsia="仿宋_GB2312" w:cs="仿宋_GB2312"/>
          <w:color w:val="000000"/>
          <w:kern w:val="0"/>
          <w:sz w:val="32"/>
          <w:szCs w:val="32"/>
          <w:lang w:val="en-US" w:eastAsia="zh-CN"/>
        </w:rPr>
        <w:t>迅速对全省32000多个在建工地、各地市政环卫单位以及相关物业服务企业开展排查，摸清底数，精确到人。突出重点，对目前已在疫区休假的从业人员登记造册，由所在企业负责逐一进行联系，要求其在未收到企业通知前，暂缓返回广东，并及时将情况报告属地卫生健康部门。对节日期间未停工的工程项目，所有在岗人员都要每日进行体温检测并作记录，特别要确保近期出入过疫区的人员自行居家健康监测不少于14天，未发现疑似症状方可上岗，误工费用按有关规定严格执行，不得进行变通。</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四、加强在建工地监测。</w:t>
      </w:r>
      <w:r>
        <w:rPr>
          <w:rFonts w:hint="eastAsia" w:ascii="仿宋_GB2312" w:hAnsi="仿宋_GB2312" w:eastAsia="仿宋_GB2312" w:cs="仿宋_GB2312"/>
          <w:color w:val="000000"/>
          <w:kern w:val="0"/>
          <w:sz w:val="32"/>
          <w:szCs w:val="32"/>
          <w:lang w:val="en-US" w:eastAsia="zh-CN"/>
        </w:rPr>
        <w:t>按照全省重大突发公共卫生事件一级响应机制，督促各地在每一个工作场所特别是工地现场、工人生活区等设置体温检测点，确保对入场作业人员进行体温测试；按时配发口罩，确保有限空间作业人员按规定佩戴；严格控制外来人员随意进入工作场所，严禁从业人员携带野生动物和家禽家畜进入工作场所，抵制食用野生动物；要求从业人员外出时做足防疫措施，尽量减少到通风不畅和人流密集场所活动。不参加聚集性活动，加强工地疫情监测，对所有在建工地从业人员实行疫情日报制度。</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五、做好节后复工预案。</w:t>
      </w:r>
      <w:r>
        <w:rPr>
          <w:rFonts w:hint="eastAsia" w:ascii="仿宋_GB2312" w:hAnsi="仿宋_GB2312" w:eastAsia="仿宋_GB2312" w:cs="仿宋_GB2312"/>
          <w:color w:val="000000"/>
          <w:kern w:val="0"/>
          <w:sz w:val="32"/>
          <w:szCs w:val="32"/>
          <w:lang w:val="en-US" w:eastAsia="zh-CN"/>
        </w:rPr>
        <w:t>鼓励和支持建筑施工企业在条件许可的情况下延迟开工。督促工程建设各方主体针对房屋市政工程从业人员流动性大、异地务工人员多的特点，采取严密的复工应对措施，制定周密的工作预案，预案应包括根据疫情变化，加强对从业人员的疫情监测和防控，强化工地饮食、环境卫生管理，确保开工后对从业人员每日进行体温检测，建立假期与疫区相关人员接触情况报告台账，明确突发事件应急处置措施等。协助房屋市政工程建设企事业单位提前与当地卫生健康部门协商，明确收治医院，一旦发现从业人员出现疑似症状，要第一时间隔离观察，及时送院诊治，并对密切接触者采取防护措施，做到早发现、早报告、早隔离、早处置。</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六、广泛开展爱国卫生运动。</w:t>
      </w:r>
      <w:r>
        <w:rPr>
          <w:rFonts w:hint="eastAsia" w:ascii="仿宋_GB2312" w:hAnsi="仿宋_GB2312" w:eastAsia="仿宋_GB2312" w:cs="仿宋_GB2312"/>
          <w:color w:val="000000"/>
          <w:kern w:val="0"/>
          <w:sz w:val="32"/>
          <w:szCs w:val="32"/>
          <w:lang w:val="en-US" w:eastAsia="zh-CN"/>
        </w:rPr>
        <w:t>配合当地卫生健康部门实行联防联控，加强部门、上下、社区协作，深入开展爱国卫生运动，实施工地生活区等从业人员聚集区环境卫生整治，落实通风、消毒和清洁措施，清除病媒孳生。提高个人文明素养，戴口罩，勤洗手，不随地吐痰，咳嗽或打喷嚏时捂住鼻子，将肉蛋食物彻底煮熟等，提高自我保护意识和能力。</w:t>
      </w:r>
    </w:p>
    <w:p>
      <w:pPr>
        <w:widowControl w:val="0"/>
        <w:wordWrap/>
        <w:adjustRightInd/>
        <w:snapToGrid/>
        <w:spacing w:line="560" w:lineRule="exact"/>
        <w:ind w:right="0" w:firstLine="640" w:firstLineChars="200"/>
        <w:jc w:val="both"/>
        <w:textAlignment w:val="auto"/>
        <w:outlineLvl w:val="9"/>
        <w:rPr>
          <w:rFonts w:hint="eastAsia" w:ascii="仿宋" w:hAnsi="仿宋" w:eastAsia="仿宋" w:cs="仿宋"/>
          <w:color w:val="000000"/>
          <w:kern w:val="0"/>
          <w:sz w:val="32"/>
          <w:szCs w:val="32"/>
          <w:lang w:val="en-US" w:eastAsia="zh-CN"/>
        </w:rPr>
      </w:pPr>
      <w:r>
        <w:rPr>
          <w:rFonts w:hint="eastAsia" w:ascii="黑体" w:hAnsi="黑体" w:eastAsia="黑体" w:cs="黑体"/>
          <w:kern w:val="0"/>
          <w:sz w:val="32"/>
          <w:szCs w:val="32"/>
          <w:lang w:val="en-US" w:eastAsia="zh-CN"/>
        </w:rPr>
        <w:t>七、强化城市公园防控。</w:t>
      </w:r>
      <w:r>
        <w:rPr>
          <w:rFonts w:hint="eastAsia" w:ascii="仿宋" w:hAnsi="仿宋" w:eastAsia="仿宋" w:cs="仿宋"/>
          <w:color w:val="000000"/>
          <w:kern w:val="0"/>
          <w:sz w:val="32"/>
          <w:szCs w:val="32"/>
          <w:lang w:val="en-US" w:eastAsia="zh-CN"/>
        </w:rPr>
        <w:t>进一步加大对城市公园室外区域及办公场所的清扫、保洁及消毒力度，为作业人员及时配备必备的劳动安全防护用品，对其工作、休息环境及劳动工具设备及时消毒。疫情结束前，严防在公园内开展群聚性聚会、跳广场舞等活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八、加强环卫行业管理。</w:t>
      </w:r>
      <w:r>
        <w:rPr>
          <w:rFonts w:hint="eastAsia" w:ascii="仿宋_GB2312" w:hAnsi="仿宋_GB2312" w:eastAsia="仿宋_GB2312" w:cs="仿宋_GB2312"/>
          <w:color w:val="000000"/>
          <w:kern w:val="0"/>
          <w:sz w:val="32"/>
          <w:szCs w:val="32"/>
          <w:lang w:val="en-US" w:eastAsia="zh-CN"/>
        </w:rPr>
        <w:t>及时对生活垃圾进行无害化处理，严格禁止医疗废弃物混入生活垃圾处理系统；加强供水水质监测，严防供水水质污染；加强排污口及排水单元管控，做好水厂运行监测，严禁污水直排；对生活垃圾运输工具和处置场所以及城市公厕等及时消毒，加强市容环境卫生管理；妥善做好医疗机构等相关场所生活垃圾处置工作，确保环卫工作在作业服务中防护安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九、做好物业小区管控。</w:t>
      </w:r>
      <w:r>
        <w:rPr>
          <w:rFonts w:hint="eastAsia" w:ascii="仿宋_GB2312" w:hAnsi="仿宋_GB2312" w:eastAsia="仿宋_GB2312" w:cs="仿宋_GB2312"/>
          <w:color w:val="000000"/>
          <w:kern w:val="0"/>
          <w:sz w:val="32"/>
          <w:szCs w:val="32"/>
          <w:lang w:val="en-US" w:eastAsia="zh-CN"/>
        </w:rPr>
        <w:t>督导各物业服务企业切实加强物业服务区域和从业人员的疫情防控，门卫、保洁等岗位人员必须佩戴口罩，身体不适的要立即停岗隔离观察；认真做好小区出入口、楼栋大堂、箱式电梯等人员流动场所的环境清洁和卫生消毒工作，增加清洁消毒频次，切实减少交叉感染风险；加强物业管理区域秩序维护，完善外地车辆、人员进出小区管理制度，做到防控无盲区；配合属地卫生健康部门做好重点观察人群的登记和报告工作。督促各房地产开发企业、中介机构暂停举办集中宣传、促销等公众聚集活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十、加强应急值守。</w:t>
      </w:r>
      <w:r>
        <w:rPr>
          <w:rFonts w:hint="eastAsia" w:ascii="仿宋_GB2312" w:hAnsi="仿宋_GB2312" w:eastAsia="仿宋_GB2312" w:cs="仿宋_GB2312"/>
          <w:color w:val="000000"/>
          <w:kern w:val="0"/>
          <w:sz w:val="32"/>
          <w:szCs w:val="32"/>
          <w:lang w:val="en-US" w:eastAsia="zh-CN"/>
        </w:rPr>
        <w:t>严格落实领导带班，值班人员24小时在岗值班值守制度，时刻保持响应状态。各地主管部门要向社会公开举报电话号码，对未按规定执行的进行严肃处理。要做好信息报送，落实每日一报制度，各地级以上市住建系统各主管部门每天下午16点前填写《全省住房城乡建设系统疫情防控信息情况表》（见附件），并报送我厅工程质量安全监管处（邮箱：aqglc@126.com）。</w:t>
      </w:r>
    </w:p>
    <w:p>
      <w:pPr>
        <w:widowControl w:val="0"/>
        <w:wordWrap/>
        <w:adjustRightInd/>
        <w:snapToGrid/>
        <w:spacing w:line="560" w:lineRule="exact"/>
        <w:ind w:right="0" w:firstLine="4480" w:firstLineChars="14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4480" w:firstLineChars="14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4480" w:firstLineChars="14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xml:space="preserve">  广东省住房和城乡建设厅</w:t>
      </w:r>
    </w:p>
    <w:p>
      <w:pPr>
        <w:widowControl w:val="0"/>
        <w:wordWrap/>
        <w:adjustRightInd/>
        <w:snapToGrid/>
        <w:spacing w:line="560" w:lineRule="exact"/>
        <w:ind w:right="0"/>
        <w:textAlignment w:val="auto"/>
        <w:outlineLvl w:val="9"/>
        <w:rPr>
          <w:rFonts w:hint="eastAsia" w:ascii="Times New Roman" w:hAnsi="Times New Roman" w:cs="Times New Roman"/>
          <w:sz w:val="32"/>
          <w:szCs w:val="32"/>
        </w:rPr>
      </w:pP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2020年1月27日　</w:t>
      </w:r>
    </w:p>
    <w:p>
      <w:pPr>
        <w:keepNext/>
        <w:keepLines/>
        <w:widowControl w:val="0"/>
        <w:wordWrap/>
        <w:adjustRightInd/>
        <w:snapToGrid/>
        <w:spacing w:line="560" w:lineRule="exact"/>
        <w:jc w:val="center"/>
        <w:textAlignment w:val="auto"/>
        <w:outlineLvl w:val="0"/>
        <w:rPr>
          <w:rFonts w:hint="eastAsia" w:ascii="Times New Roman" w:hAnsi="Times New Roman" w:eastAsia="宋体" w:cs="Times New Roman"/>
          <w:bCs/>
          <w:kern w:val="44"/>
          <w:sz w:val="32"/>
          <w:szCs w:val="32"/>
          <w:lang w:val="en-US" w:eastAsia="zh-CN" w:bidi="ar-SA"/>
        </w:rPr>
      </w:pPr>
      <w:bookmarkStart w:id="561" w:name="_Toc27408"/>
    </w:p>
    <w:p>
      <w:pPr>
        <w:widowControl w:val="0"/>
        <w:wordWrap/>
        <w:adjustRightInd/>
        <w:snapToGrid/>
        <w:spacing w:line="560" w:lineRule="exact"/>
        <w:textAlignment w:val="auto"/>
        <w:rPr>
          <w:rFonts w:hint="eastAsia" w:ascii="Times New Roman" w:hAnsi="Times New Roman" w:cs="Times New Roman"/>
          <w:sz w:val="32"/>
          <w:szCs w:val="32"/>
          <w:lang w:val="en-US" w:eastAsia="zh-CN"/>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rPr>
          <w:rFonts w:hint="eastAsia" w:ascii="Times New Roman" w:hAnsi="Times New Roman" w:eastAsia="宋体" w:cs="Times New Roman"/>
          <w:bCs/>
          <w:kern w:val="44"/>
          <w:sz w:val="44"/>
          <w:szCs w:val="44"/>
          <w:lang w:val="en-US" w:eastAsia="zh-CN" w:bidi="ar-SA"/>
        </w:rPr>
      </w:pPr>
      <w:bookmarkStart w:id="562" w:name="_Toc6829"/>
      <w:bookmarkStart w:id="563" w:name="_Toc10606"/>
      <w:bookmarkStart w:id="564" w:name="_Toc20423"/>
      <w:bookmarkStart w:id="565" w:name="_Toc2521"/>
      <w:bookmarkStart w:id="566" w:name="_Toc29330"/>
      <w:bookmarkStart w:id="567" w:name="_Toc11267"/>
      <w:bookmarkStart w:id="568" w:name="_Toc4789"/>
      <w:bookmarkStart w:id="569" w:name="_Toc17296"/>
      <w:bookmarkStart w:id="570" w:name="_Toc26607"/>
      <w:r>
        <w:rPr>
          <w:rFonts w:hint="eastAsia" w:ascii="Times New Roman" w:hAnsi="Times New Roman" w:eastAsia="宋体" w:cs="Times New Roman"/>
          <w:bCs/>
          <w:kern w:val="44"/>
          <w:sz w:val="44"/>
          <w:szCs w:val="44"/>
          <w:lang w:val="en-US" w:eastAsia="zh-CN" w:bidi="ar-SA"/>
        </w:rPr>
        <w:br w:type="page"/>
      </w:r>
    </w:p>
    <w:p>
      <w:pPr>
        <w:wordWrap/>
        <w:adjustRightInd/>
        <w:snapToGrid/>
        <w:spacing w:afterAutospacing="0" w:line="560" w:lineRule="exact"/>
        <w:jc w:val="center"/>
        <w:textAlignment w:val="auto"/>
        <w:outlineLvl w:val="0"/>
        <w:rPr>
          <w:rFonts w:hint="eastAsia" w:ascii="宋体" w:hAnsi="宋体" w:eastAsia="宋体" w:cs="宋体"/>
          <w:bCs/>
          <w:kern w:val="44"/>
          <w:sz w:val="44"/>
          <w:szCs w:val="44"/>
          <w:lang w:val="en-US" w:eastAsia="zh-CN" w:bidi="ar-SA"/>
        </w:rPr>
      </w:pPr>
      <w:bookmarkStart w:id="571" w:name="_Toc14098"/>
      <w:r>
        <w:rPr>
          <w:rFonts w:hint="eastAsia" w:ascii="宋体" w:hAnsi="宋体" w:eastAsia="宋体" w:cs="宋体"/>
          <w:bCs/>
          <w:kern w:val="44"/>
          <w:sz w:val="44"/>
          <w:szCs w:val="44"/>
          <w:lang w:val="en-US" w:eastAsia="zh-CN" w:bidi="ar-SA"/>
        </w:rPr>
        <w:t>广东省住房和城乡建设厅关于印发《广东省</w:t>
      </w:r>
    </w:p>
    <w:p>
      <w:pPr>
        <w:wordWrap/>
        <w:adjustRightInd/>
        <w:snapToGrid/>
        <w:spacing w:afterAutospacing="0" w:line="560" w:lineRule="exact"/>
        <w:jc w:val="center"/>
        <w:textAlignment w:val="auto"/>
        <w:outlineLvl w:val="0"/>
        <w:rPr>
          <w:rFonts w:hint="eastAsia" w:ascii="宋体" w:hAnsi="宋体" w:eastAsia="宋体" w:cs="宋体"/>
          <w:bCs/>
          <w:kern w:val="44"/>
          <w:sz w:val="44"/>
          <w:szCs w:val="44"/>
          <w:lang w:val="en-US" w:eastAsia="zh-CN" w:bidi="ar-SA"/>
        </w:rPr>
      </w:pPr>
      <w:r>
        <w:rPr>
          <w:rFonts w:hint="eastAsia" w:ascii="宋体" w:hAnsi="宋体" w:eastAsia="宋体" w:cs="宋体"/>
          <w:bCs/>
          <w:kern w:val="44"/>
          <w:sz w:val="44"/>
          <w:szCs w:val="44"/>
          <w:lang w:val="en-US" w:eastAsia="zh-CN" w:bidi="ar-SA"/>
        </w:rPr>
        <w:t>物业管理区域新型冠状病毒感染的肺炎疫情</w:t>
      </w:r>
    </w:p>
    <w:p>
      <w:pPr>
        <w:wordWrap/>
        <w:adjustRightInd/>
        <w:snapToGrid/>
        <w:spacing w:afterAutospacing="0" w:line="560" w:lineRule="exact"/>
        <w:jc w:val="center"/>
        <w:textAlignment w:val="auto"/>
        <w:outlineLvl w:val="0"/>
        <w:rPr>
          <w:rFonts w:hint="eastAsia" w:ascii="宋体" w:hAnsi="宋体" w:eastAsia="宋体" w:cs="宋体"/>
          <w:bCs/>
          <w:kern w:val="44"/>
          <w:sz w:val="44"/>
          <w:szCs w:val="44"/>
          <w:lang w:val="en-US" w:eastAsia="zh-CN" w:bidi="ar-SA"/>
        </w:rPr>
      </w:pPr>
      <w:r>
        <w:rPr>
          <w:rFonts w:hint="eastAsia" w:ascii="宋体" w:hAnsi="宋体" w:eastAsia="宋体" w:cs="宋体"/>
          <w:bCs/>
          <w:kern w:val="44"/>
          <w:sz w:val="44"/>
          <w:szCs w:val="44"/>
          <w:lang w:val="en-US" w:eastAsia="zh-CN" w:bidi="ar-SA"/>
        </w:rPr>
        <w:t>防控工作指引（试行）》的通知</w:t>
      </w:r>
      <w:bookmarkEnd w:id="571"/>
    </w:p>
    <w:p>
      <w:pPr>
        <w:wordWrap/>
        <w:adjustRightInd/>
        <w:snapToGrid/>
        <w:spacing w:afterAutospacing="0" w:line="560" w:lineRule="exact"/>
        <w:textAlignment w:val="auto"/>
        <w:rPr>
          <w:rFonts w:hint="eastAsia" w:ascii="仿宋" w:hAnsi="仿宋" w:eastAsia="仿宋" w:cs="仿宋"/>
          <w:bCs/>
          <w:kern w:val="44"/>
          <w:sz w:val="32"/>
          <w:szCs w:val="32"/>
          <w:lang w:val="en-US" w:eastAsia="zh-CN" w:bidi="ar-SA"/>
        </w:rPr>
      </w:pPr>
    </w:p>
    <w:p>
      <w:pPr>
        <w:jc w:val="center"/>
        <w:rPr>
          <w:rFonts w:hint="eastAsia" w:ascii="楷体" w:hAnsi="楷体" w:eastAsia="楷体" w:cs="楷体"/>
          <w:lang w:val="en-US" w:eastAsia="zh-CN"/>
        </w:rPr>
      </w:pPr>
      <w:r>
        <w:rPr>
          <w:rFonts w:hint="eastAsia" w:ascii="楷体" w:hAnsi="楷体" w:eastAsia="楷体" w:cs="楷体"/>
        </w:rPr>
        <w:t>粤建电发〔2020〕7号</w:t>
      </w:r>
    </w:p>
    <w:p>
      <w:pPr>
        <w:pStyle w:val="3"/>
        <w:rPr>
          <w:rFonts w:hint="eastAsia" w:ascii="仿宋" w:hAnsi="仿宋" w:eastAsia="仿宋" w:cs="仿宋"/>
          <w:bCs/>
          <w:kern w:val="44"/>
          <w:sz w:val="32"/>
          <w:szCs w:val="32"/>
          <w:lang w:val="en-US" w:eastAsia="zh-CN" w:bidi="ar-SA"/>
        </w:rPr>
      </w:pPr>
    </w:p>
    <w:p>
      <w:pPr>
        <w:jc w:val="center"/>
        <w:rPr>
          <w:rFonts w:hint="eastAsia"/>
          <w:lang w:val="en-US" w:eastAsia="zh-CN"/>
        </w:rPr>
      </w:pPr>
      <w:r>
        <w:rPr>
          <w:rFonts w:hint="eastAsia"/>
          <w:lang w:val="en-US" w:eastAsia="zh-CN"/>
        </w:rPr>
        <w:t>各地级以上市住房</w:t>
      </w:r>
      <w:r>
        <w:rPr>
          <w:rFonts w:hint="eastAsia" w:ascii="楷体" w:hAnsi="楷体" w:eastAsia="楷体" w:cs="楷体"/>
          <w:lang w:val="en-US" w:eastAsia="zh-CN"/>
        </w:rPr>
        <w:t>城乡</w:t>
      </w:r>
      <w:r>
        <w:rPr>
          <w:rFonts w:hint="eastAsia"/>
          <w:lang w:val="en-US" w:eastAsia="zh-CN"/>
        </w:rPr>
        <w:t>建设局，各物业管理协会、物业服务企业：</w:t>
      </w:r>
    </w:p>
    <w:p>
      <w:pPr>
        <w:pStyle w:val="3"/>
        <w:rPr>
          <w:rFonts w:hint="eastAsia"/>
          <w:lang w:val="en-US" w:eastAsia="zh-CN"/>
        </w:rPr>
      </w:pPr>
      <w:r>
        <w:rPr>
          <w:rFonts w:hint="eastAsia"/>
          <w:lang w:val="en-US" w:eastAsia="zh-CN"/>
        </w:rPr>
        <w:t>　　为进一步做好物业管理区域新型冠状病毒感染的肺炎疫情防控工作，依据《中华人民共和国突发事件应对法》《中华人民共和国传染病防治法》等法律法规，结合当前实际，我厅会同省疫情防控指挥部办公室疫情防控组组织有关专家研究制定了《广东省物业管理区域新型冠状病毒感染的肺炎疫情防控工作指引（试行）》，现印发给你们，请参照执行。</w:t>
      </w:r>
    </w:p>
    <w:p>
      <w:pPr>
        <w:pStyle w:val="3"/>
        <w:rPr>
          <w:rFonts w:hint="eastAsia"/>
          <w:lang w:val="en-US" w:eastAsia="zh-CN"/>
        </w:rPr>
      </w:pPr>
    </w:p>
    <w:p>
      <w:pPr>
        <w:pStyle w:val="3"/>
        <w:jc w:val="right"/>
        <w:rPr>
          <w:rFonts w:hint="eastAsia"/>
          <w:lang w:val="en-US" w:eastAsia="zh-CN"/>
        </w:rPr>
      </w:pPr>
      <w:r>
        <w:rPr>
          <w:rFonts w:hint="eastAsia"/>
          <w:lang w:val="en-US" w:eastAsia="zh-CN"/>
        </w:rPr>
        <w:t xml:space="preserve">广东省住房和城乡建设厅 </w:t>
      </w:r>
    </w:p>
    <w:p>
      <w:pPr>
        <w:pStyle w:val="3"/>
        <w:jc w:val="right"/>
        <w:rPr>
          <w:rFonts w:hint="eastAsia"/>
          <w:lang w:val="en-US" w:eastAsia="zh-CN"/>
        </w:rPr>
      </w:pPr>
      <w:r>
        <w:rPr>
          <w:rFonts w:hint="eastAsia"/>
          <w:lang w:val="en-US" w:eastAsia="zh-CN"/>
        </w:rPr>
        <w:t>2020年2月4日　　</w:t>
      </w:r>
    </w:p>
    <w:p>
      <w:pPr>
        <w:pStyle w:val="3"/>
        <w:rPr>
          <w:rFonts w:hint="eastAsia"/>
          <w:lang w:val="en-US" w:eastAsia="zh-CN"/>
        </w:rPr>
      </w:pPr>
    </w:p>
    <w:p>
      <w:pPr>
        <w:rPr>
          <w:rFonts w:hint="eastAsia"/>
          <w:lang w:val="en-US" w:eastAsia="zh-CN"/>
        </w:rPr>
      </w:pPr>
      <w:r>
        <w:rPr>
          <w:rFonts w:hint="eastAsia"/>
          <w:lang w:val="en-US" w:eastAsia="zh-CN"/>
        </w:rPr>
        <w:br w:type="page"/>
      </w:r>
    </w:p>
    <w:p>
      <w:pPr>
        <w:pStyle w:val="3"/>
        <w:jc w:val="center"/>
        <w:rPr>
          <w:rFonts w:hint="eastAsia"/>
          <w:lang w:val="en-US" w:eastAsia="zh-CN"/>
        </w:rPr>
      </w:pPr>
      <w:r>
        <w:rPr>
          <w:rFonts w:hint="eastAsia"/>
          <w:lang w:val="en-US" w:eastAsia="zh-CN"/>
        </w:rPr>
        <w:t>广东省物业管理区域新型冠状病毒感染的</w:t>
      </w:r>
    </w:p>
    <w:p>
      <w:pPr>
        <w:pStyle w:val="3"/>
        <w:jc w:val="center"/>
        <w:rPr>
          <w:rFonts w:hint="eastAsia"/>
          <w:lang w:val="en-US" w:eastAsia="zh-CN"/>
        </w:rPr>
      </w:pPr>
      <w:r>
        <w:rPr>
          <w:rFonts w:hint="eastAsia"/>
          <w:lang w:val="en-US" w:eastAsia="zh-CN"/>
        </w:rPr>
        <w:t>肺炎疫情防控工作指引（试行）</w:t>
      </w:r>
    </w:p>
    <w:p>
      <w:pPr>
        <w:pStyle w:val="3"/>
        <w:rPr>
          <w:rFonts w:hint="eastAsia"/>
          <w:lang w:val="en-US" w:eastAsia="zh-CN"/>
        </w:rPr>
      </w:pPr>
    </w:p>
    <w:p>
      <w:pPr>
        <w:pStyle w:val="18"/>
        <w:widowControl/>
        <w:wordWrap/>
        <w:adjustRightInd/>
        <w:snapToGrid/>
        <w:spacing w:before="0" w:beforeAutospacing="0" w:afterAutospacing="0"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为贯彻落实习近平总书记关于防控新型冠状病毒感染的肺炎疫情的重要指示精神和党中央、国务院决策部署，切实落实省委、省政府有关工作安排，根据应对新型冠状病毒感染的肺炎疫情联防联控工作要求制定本指引。</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一、总则</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（一）本指引适用于新型冠状病毒感染的肺炎疫情防控期间物业管理区域疫情防控工作。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（二）物业服务企业管理的项目按此指引执行，社区代管或业主大会自管项目，可参照本指引执行。</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（三）各市房地产行政主管部门负责监督指导物业服务企业落实本指引的各项要求。</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二、出入口设置及防护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对物业管理区域实施封闭管理。限制非本小区业主或使用人及车辆进入物业管理区域（包括但不限于快递员、外卖员等人群及其车辆）。快递公司、外卖等所配送的物品应送至指定存放区域进行临时存放，由客户自行领取。各出入口应设置防控卡点，防控卡点实行24小时人员值班制度。无门卫值守的出入口暂时关闭。</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加强人员（车辆）出入管理。人员（车辆）出入口卡点标识醒目，每个卡点配备至少1个快速红外体温探测仪，所有进入区域范围内的人员须测量体温，对体温超过37.3摄氏度的，来访人员实施劝返，本小区业主或使用人劝其回家自我隔离观察，及时向社区居委会报告，并协助做好相关处置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做好信息登记录入工作。根据物业管理区域规模合理确定卡点防控人数，便捷、快速做好来访人姓名、体温、联系方式、是否来自疫情地区或近期接触疫情地区人员、到访住址、进出时间等基本信息登记。未经到访业主或使用人同意，来访人员不得进入。</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四）做好防控人员自我防护。防控人员穿戴整齐，佩戴登记人员标识，穿着符合要求的口罩、手套、防护服等护具。与接触人员之间保持1米以上距离，保持勤洗手、多饮水，坚持在进食前、如厕后用洗手液、流动水严格按照六步法洗手。触碰眼睛前必须先洗手。</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三、重点人群防护服务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做好重点人群防护工作。积极配合政府和相关部门做好疫情联防联控工作，重点加强对疫情地区来粤人员以及家庭成员在疫情地区工作生活、近期有在疫情地区活动经历以及有疑似肺炎症状人员的观察，配合做好提醒、报告和隔离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协助做好特殊群体服务。在保障防护安全的前提下，与残疾人、独居老人、行动不便的住户或其他有特殊需求的住户进行定期沟通，了解特殊群体的需求和困难，及时向社区居委会和有关行政部门报告情况，协助特殊群体做好疫情防范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四、重点公共区域防护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（一）关闭人员聚集场所。疫情期间，关闭小区会所、图书馆、棋牌室、老人活动室、儿童活动室等人员聚集场所。</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做好公共区域清洁消毒工作。加强楼栋大堂、走廊、停车场、楼梯间等公共区域的清洁消毒管理，保持室内空气流通，每日通风2-3次，每次不少于30分钟；空气湿度大时，可采用换气净化器或其他通风装置协助进行通风。楼栋大堂、走廊、楼梯间等每日使用有效氯浓度为250-500mg/L的消毒液喷洒消毒1-2次。出入口不宜设置地毯，确需铺设地毯的，应每日使用清水冲洗，并使用有效氯浓度为250-500mg/L的消毒液喷洒消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（三）做好常触部件消毒工作。认真做好出入口门把手、可视门禁系统面板、各楼层通道门拉手、楼梯扶手等常触部件的消毒工作，每日使用有效氯浓度为250-500mg/L的消毒液或浓度为75%的医用酒精擦拭消毒2-4次。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五、重点设施设备防护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（一）认真做好电梯防护。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1.电梯轿厢每日使用有效氯浓度为250-500mg/L的消毒液喷洒消毒不少于4次，并做好消毒记录。电梯轿厢通风系统应处于常开状态，并确保正常使用。</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2.电梯按键、轿厢扶手、轿厢壁等应保持清洁卫生，每日使用有效氯浓度为250-500mg/L的消毒液或浓度为75%的医用酒精进行擦拭不少于4次，轿厢壁和电梯门的擦拭高度不少于1.6米。电梯厅、电梯轿厢内外的控制面板（按键）可贴膜保护，可每两小时在保护膜上喷洒酒精消毒，发现破损及时更换。</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3.在大堂电梯门口和轿厢内外张贴告示，提醒乘客乘坐电梯时戴好口罩，尽量避免身体皮肤直接接触按键；乘坐电梯时，即使无其他乘客同时乘坐电梯，也勿取下口罩。建议在大堂电梯门口安装抽纸（干纸巾和湿纸巾均可）或非接触式快速手消毒液。</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4.电梯维保维修后，应先对电梯轿厢内及相应的外呼部位进行消毒后再投入使用；维修现场有维修材料要处理的，应先消毒再收纳；纸质维修维保单的填写与确认不紧急的可后补，必须签字确认的，双方都应佩戴手套填写、交接。</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5.有疫情病例的建筑，所有电梯轿厢、井道、层站和电梯机房，应全面消毒后再使用。</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（二）做好中央空调防护。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1.疫情期间建议停止集中式中央空调的使用，并封闭内循环的风口，尽量采用直接开窗通风。</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2.因各种原因必须使用集中式中央空调的，有外窗的房间，使用过程中宜适当使外窗保持一定的开度；无外窗且没有设置机械排风的房间，可采用增加设置双向节能换气机的方式来增加房间的新风量。空调通风系统宜按全新风工况运行，防止回风带来的交叉污染。新风吸入口区域应定期检查，确保新风吸入口周边无污染、无杂物。</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3.疫情期间应增加空调通风系统中的空气处理设备的清洁消毒或更换频次，空气过滤器、表面式冷却器、加热器、加湿器、凝结水盘等易集聚灰层和滋生细菌的部件应及时消毒或更换；空调系统的所有过滤器，宜每周清洗或更换一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4.中央空调系统正常使用时，若出现疫情或有疑似病例，不要停止风机运行，立即撤离人员，对排风支管封闭，运行一段时间后关闭新风排风系统。中央空调系统和整个环境进行消毒处理，经过专家评价合格后，方可重新使用。</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做好日常活动设施消毒工作。公共座椅、健身器材、儿童娱乐设施等室外日常活动设施要保持清洁卫生，每日至少消毒1-2次，使用有效氯浓度为250-500mg/L的消毒液或浓度为75%的医用酒精进行擦拭。地面用有效氯浓度为250-500mg/L的消毒液进行喷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仿宋" w:hAnsi="仿宋" w:eastAsia="仿宋" w:cs="仿宋"/>
          <w:b/>
          <w:sz w:val="32"/>
          <w:szCs w:val="32"/>
        </w:rPr>
        <w:t>　</w:t>
      </w:r>
      <w:r>
        <w:rPr>
          <w:rStyle w:val="23"/>
          <w:rFonts w:hint="eastAsia" w:ascii="黑体" w:hAnsi="黑体" w:eastAsia="黑体" w:cs="黑体"/>
          <w:b w:val="0"/>
          <w:bCs w:val="0"/>
          <w:sz w:val="32"/>
          <w:szCs w:val="32"/>
        </w:rPr>
        <w:t>六、环境卫生清洁防护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及时对垃圾及收集容器消毒。对果皮箱、垃圾桶等垃圾收集容器，应每天清理、收集垃圾2次以上。对垃圾量大的收集点，要随满随清。收集容器每天用水清洗一次，并用有效氯浓度为1000-2000mg/L的消毒液消毒一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规范废弃口罩投放。有条件的小区应增设专门垃圾收集容器，用于收集废弃口罩。收集容器应内设塑料袋，避免废弃口罩投放时与容器直接接触。废弃口罩用有效氯浓度为500-1000mg/L的消毒液喷洒或浇洒垃圾至完全湿润，然后扎紧塑料袋口，按“其他垃圾”处理。</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做好垃圾转运站、环卫工具房消毒。垃圾转运站每次作业完成后，用水全面冲洗一次，再用有效氯浓度为1000-2000mg/L的消毒液对墙面、地面、站台、压缩装置、周围环境喷洒消毒一次，喷药量为200-300mL/平方米。每次作业完成后，用水将手推车、垃圾运输车等环卫工具冲洗一次，再用有效氯浓度为1000-2000mg/L的消毒液对环卫工具喷洒消毒一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四）做好卫生间保洁工作。保持卫生间良好通风，必要时应安装排气设施，强制排气。保洁员每天要对卫生间全面冲洗一次，并随时保洁；每天用有效氯浓度为1000-2000mg/L的消毒液全面喷洒消毒二次，喷药量为200-300mL/平方米，采用有效氯浓度为1000mg/L的消毒液对门把手、水阀等部位进行擦拭，对地面、蹲位等进行湿拖，并对清洁工具进行浸泡消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五）减少化粪池清掏作业。疫情期间原则上不进行化粪池清掏作业，确有必要清掏的，现场工作人员需在原有操作规范的基础上，佩戴一次性医用外科口罩或N95医用防护口罩，穿戴防护服、鞋套，清理完成后快速将现场清理干净，用有效氯浓度为500-1000mg/L的消毒液或75%酒精消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（六）加强排水沟清洁。排水沟每日至少消毒1-2次，用有效氯浓度为250-500mg/L的消毒液进行喷洒。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七）加强污水管道检查。疫情期间应对污水管道进行全面的检查，如发现有破损应立即维修。加强对小区住户卫生间清洁消毒的提醒，即居民卫生间地漏口非排水时用盖子遮挡，并每周一次将一杯清水（约500mL）倒进排水口，然后倒入有效氯浓度为2500mg/L的消毒液10mL（一茶匙），30分钟后再倒入一杯清水。</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八）加强清洁人员防护。清洁人员在作业时需穿着工作服（或防护服装），佩戴口罩和手套等护具。作业完成后要及时洗手，换洗工作服，保持个人卫生。建立每日健康检查制度，一旦发现清洁人员有发热、咳嗽等症状，立即停岗隔离观察。</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七、疫情社区防护工作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发现病例立即上报。物业管理区域发现新型冠状病毒感染的肺炎疑似病例或暴露病例时，物业服务企业应立即上报属地疾控中心和社区居委会，患病人应立即隔离，在疾控部门指导下确定密切接触人员，并对相关环境实施消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依规范做好清洁消毒。消毒人员应在疾控部门指导下做好个人卫生防护，消毒完成后及时清洁双手。疑似病例和密接人员的生活用品和随身物品可采用有效氯浓度为500-1000mg/L的消毒液擦拭或浸泡消毒。疑似病例的排泄物和呕吐物可用含固态过氧乙酸应急呕吐包覆盖包裹，或用干毛巾覆盖后喷洒有效氯浓度为10000mg/L的消毒液至湿润。污物污染的台面和地面应及时消毒，可用有效氯浓度为1000-2000mg/L的消毒液擦拭或拖拭，消毒范围为呕吐物周围2米，作用30分钟。建议擦拭2遍。</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依部署做好后续防控工作。对于已发生疫情或疑似疫情的物业管理区域，物业服务企业要严格遵照卫生健康部门工作要求，配合做好各类清洁消毒工作，严格按照地方政府和卫生健康、应急管理等部门有关工作部署，迅速做好隔离防控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八、企业内部防护管理</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加强员工防护管理。物业服务企业应加强内部员工的疫情知识培训和自我防护知识培训。加强员工身体检查，建立员工体温测量登记册，每日对员工体温测量2次并登记。员工体温超过37.3摄氏度的立即停岗隔离观察，并及时上报社区居委会。对在疫情地区停留过的员工、与疫情地区人员有亲密接触的员工的信息应进行报备，并按卫生健康部门的要求隔离观察，同时做好登记、追踪、观察等工作，确认无异常后方可上岗。员工上岗前应正确佩戴符合卫生要求的口罩；口罩原则上一次性使用，并按要求进行更换，医用防护用品紧缺情况下，普通岗位可视清洁程度适当延长使用时间，或采用其他防护口罩。鼓励员工错峰上班或者自驾车上班，尽量减少上下班时段的人员接触。</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加强员工宿舍管理。员工宿舍每日消毒。对于需要隔离而不能自行隔离的员工，依项目情况设立隔离观察区。观察区宜设置在适当位置，并有独立出入口为宜；观察区应配置备用防护、消毒用品2套以上；隔离区工作人员按照特殊岗位人员进行个人防护；隔离区垃圾统一收集，在没有出现疑似病例或确诊病例前按其他垃圾处理；应及时通报被隔离区人员的情况，但不得泄露其个人信息；隔离区按重点区域消毒作业。</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多渠道筹集防护物资。物业服务企业应多渠道、多方式筹集物质，确保清洁消毒物资充足，清洁消毒工作到位。确实存在物资短缺的，应及时向社区居委会及卫生健康、住建等有关部门报告。物业服务企业可积极向小区业主请求帮助，拓展物资筹集渠道。疫情防控过程中的各项支出费用，应做好登记，以备后续处理。</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九、疫情防控宣传工作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（一）加强疫情知识宣传。物业服务企业应通过短信、微信、朋友圈、公告栏、宣传栏等方式，及时向业主或使用人宣传疫情防控要求，普及疫情防控知识。</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及时通报疫情情况。物业服务区域及周边发生疫情后，物业服务企业应积极协助社区居委会和有关部门及时向业主和使用人通报疫情情况和下一步防控要求。物业服务企业通报的疫情信息必须真实准确、来源可靠，不得擅自捏造、传播不实疫情信息。</w:t>
      </w:r>
    </w:p>
    <w:p>
      <w:pPr>
        <w:pStyle w:val="18"/>
        <w:widowControl/>
        <w:wordWrap/>
        <w:adjustRightInd/>
        <w:snapToGrid/>
        <w:spacing w:before="0" w:beforeAutospacing="0" w:afterAutospacing="0" w:line="560" w:lineRule="exact"/>
        <w:textAlignment w:val="auto"/>
        <w:rPr>
          <w:rFonts w:hint="eastAsia" w:ascii="仿宋" w:hAnsi="仿宋" w:eastAsia="仿宋" w:cs="仿宋"/>
          <w:sz w:val="32"/>
          <w:szCs w:val="32"/>
        </w:rPr>
      </w:pPr>
    </w:p>
    <w:p>
      <w:pPr>
        <w:wordWrap/>
        <w:adjustRightInd/>
        <w:snapToGrid/>
        <w:spacing w:afterAutospacing="0" w:line="560" w:lineRule="exact"/>
        <w:textAlignment w:val="auto"/>
        <w:rPr>
          <w:rFonts w:hint="eastAsia" w:ascii="Times New Roman" w:hAnsi="Times New Roman" w:eastAsia="宋体" w:cs="Times New Roman"/>
          <w:bCs/>
          <w:kern w:val="44"/>
          <w:sz w:val="44"/>
          <w:szCs w:val="44"/>
          <w:lang w:val="en-US" w:eastAsia="zh-CN" w:bidi="ar-SA"/>
        </w:rPr>
      </w:pPr>
      <w:r>
        <w:rPr>
          <w:rFonts w:hint="eastAsia" w:ascii="仿宋" w:hAnsi="仿宋" w:eastAsia="仿宋" w:cs="仿宋"/>
          <w:bCs/>
          <w:kern w:val="44"/>
          <w:sz w:val="32"/>
          <w:szCs w:val="32"/>
          <w:lang w:val="en-US" w:eastAsia="zh-CN" w:bidi="ar-SA"/>
        </w:rPr>
        <w:br w:type="page"/>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72" w:name="_Toc25046"/>
      <w:r>
        <w:rPr>
          <w:rFonts w:hint="eastAsia" w:ascii="Times New Roman" w:hAnsi="Times New Roman" w:eastAsia="宋体" w:cs="Times New Roman"/>
          <w:bCs/>
          <w:kern w:val="44"/>
          <w:sz w:val="44"/>
          <w:szCs w:val="44"/>
          <w:lang w:val="en-US" w:eastAsia="zh-CN" w:bidi="ar-SA"/>
        </w:rPr>
        <w:t>广东省人力资源和社会保障厅关于积极应对新型冠状病毒感染肺炎疫情做好劳动关系</w:t>
      </w:r>
      <w:bookmarkEnd w:id="572"/>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73" w:name="_Toc13822"/>
      <w:r>
        <w:rPr>
          <w:rFonts w:hint="eastAsia" w:ascii="Times New Roman" w:hAnsi="Times New Roman" w:eastAsia="宋体" w:cs="Times New Roman"/>
          <w:bCs/>
          <w:kern w:val="44"/>
          <w:sz w:val="44"/>
          <w:szCs w:val="44"/>
          <w:lang w:val="en-US" w:eastAsia="zh-CN" w:bidi="ar-SA"/>
        </w:rPr>
        <w:t>相关工作的通知</w:t>
      </w:r>
      <w:bookmarkEnd w:id="561"/>
      <w:bookmarkEnd w:id="562"/>
      <w:bookmarkEnd w:id="563"/>
      <w:bookmarkEnd w:id="564"/>
      <w:bookmarkEnd w:id="565"/>
      <w:bookmarkEnd w:id="566"/>
      <w:bookmarkEnd w:id="567"/>
      <w:bookmarkEnd w:id="568"/>
      <w:bookmarkEnd w:id="569"/>
      <w:bookmarkEnd w:id="570"/>
      <w:bookmarkEnd w:id="573"/>
    </w:p>
    <w:p>
      <w:pPr>
        <w:widowControl w:val="0"/>
        <w:wordWrap/>
        <w:adjustRightInd/>
        <w:snapToGrid/>
        <w:spacing w:line="560" w:lineRule="exact"/>
        <w:ind w:right="0"/>
        <w:jc w:val="left"/>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各地级以上市人力资源和社会保障局：</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为做好新型冠状病毒感染的肺炎疫情防控工作，妥善处理好疫情防控期间劳动关系问题，维护职工合法权益，保障企业正常生产经营秩序，促进劳动关系和谐稳定，根据《人力资源社会保障部办公厅关于妥善处理新型冠状病毒感染的肺炎疫情防控期间劳动关系问题的通知》（人社厅发明电〔2020〕5号）精神，现就有关工作通知如下：</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黑体" w:hAnsi="黑体" w:eastAsia="黑体" w:cs="黑体"/>
          <w:sz w:val="32"/>
          <w:szCs w:val="32"/>
          <w:lang w:eastAsia="zh-CN"/>
        </w:rPr>
        <w:t>　</w:t>
      </w:r>
      <w:r>
        <w:rPr>
          <w:rFonts w:hint="eastAsia" w:ascii="黑体" w:hAnsi="黑体" w:eastAsia="黑体" w:cs="黑体"/>
          <w:sz w:val="32"/>
          <w:szCs w:val="32"/>
        </w:rPr>
        <w:t>一、全力维护劳动关系稳定</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企业不得依据劳动合同法第四十条、四十一条与在隔离治疗期间或医学观察期间以及因政府实施隔离措施或采取其他紧急措施不能提供正常劳动的新型冠状病毒感染的肺炎患者、疑似病人、密切接触者解除劳动合同。在职工隔离治疗期间或医学观察、政府实施隔离措施或采取其他紧急措施期间劳动合同到期的，分别顺延至职工医疗期期满、医学观察期期满、隔离期期满或者政府采取的紧急措施结束。</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二、保障职工工资报酬权益</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对新型冠状病毒感染的肺炎患者、疑似病人、密切接触者在其隔离治疗期间或医学观察期间以及因政府实施隔离措施或采取其他紧急措施导致不能提供正常劳动的职工，企业应当视同提供正常劳动并支付职工正常工作时间工资。</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黑体" w:hAnsi="黑体" w:eastAsia="黑体" w:cs="黑体"/>
          <w:sz w:val="32"/>
          <w:szCs w:val="32"/>
          <w:lang w:eastAsia="zh-CN"/>
        </w:rPr>
        <w:t>　</w:t>
      </w:r>
      <w:r>
        <w:rPr>
          <w:rFonts w:hint="eastAsia" w:ascii="黑体" w:hAnsi="黑体" w:eastAsia="黑体" w:cs="黑体"/>
          <w:sz w:val="32"/>
          <w:szCs w:val="32"/>
        </w:rPr>
        <w:t>三、合理安排未返粤复工职工休息休假</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对于因疫情未及时返粤复工的职工，经与职工协商一致，企业可以优先考虑安排职工带薪年休假。其中，职工累计工作已满1年不满10年的，年休假5天；已满10年不满20年的，年休假10天；已满20年的，年休假15天。职工在带薪年休假期间享受与正常工作期间相同的工资收入。</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四、保障企业正常生产经营秩序</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企业因受疫情影响导致生产经营困难的，可以通过与职工协商一致采取调整薪酬、轮岗轮休、缩短工时、待岗等方式稳定工作岗位，尽量不裁员或者少裁员。鼓励受疫情影响的企业采取集中工作、集中休息方式保持正常生产经营。符合条件的企业，可按规定享受稳岗补贴。</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五、保障职工停工停产期间待遇</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企业因受疫情影响导致停工停产的，未超过一个工资支付周期（最长三十日）的，应当按照正常工作时间支付工资。超过一个工资支付周期的，可以根据职工提供的劳动，按照双方新约定的标准支付工资；企业没有安排职工工作的，应当按照不低于当地最低工资标准的80%支付职工生活费，生活费发放至企业复工、复产或者解除劳动关系。</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六、加强劳动人事争议预防调处</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引导受疫情影响的当事人通过粤省事微信小程序申请先行调解，通过电话调解、在线视频调解等非接触即时沟通方式，异地化解纠纷，减少当事人往返和聚集次数。因受疫情影响造成当事人不能在法定仲裁时效期间申请劳动人事争议仲裁的，仲裁时效中止。从中止时效的原因消除之日起，仲裁时效期间继续计算。受疫情影响的当事人或代理人，无法到仲裁机构参加庭审的，可以向仲裁机构申请延期开庭审理。因受疫情影响导致劳动人事争议仲裁机构难以按法定时限审理案件的，可相应顺延审理期限。</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七、做好服务指导和监测处置工作</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人力资源社会保障部门要落实属地责任，加强对受疫情影响企业的劳动用工指导，加大劳动关系风险预测预警力度，切实维护职工合法权益。要结合疫情防控工作要求，加强对用工密集、人员流动性大的企业的用工监测，有效防范和处置突发情况。</w:t>
      </w:r>
    </w:p>
    <w:p>
      <w:pPr>
        <w:widowControl w:val="0"/>
        <w:wordWrap/>
        <w:adjustRightInd/>
        <w:snapToGrid/>
        <w:spacing w:line="560" w:lineRule="exact"/>
        <w:ind w:right="0" w:firstLine="42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广东省人力资源和社会保障厅</w:t>
      </w:r>
    </w:p>
    <w:p>
      <w:pPr>
        <w:widowControl w:val="0"/>
        <w:wordWrap/>
        <w:adjustRightInd/>
        <w:snapToGrid/>
        <w:spacing w:line="560" w:lineRule="exact"/>
        <w:ind w:right="0" w:firstLine="4800" w:firstLineChars="15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2020年1月25日</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28"/>
          <w:szCs w:val="28"/>
        </w:rPr>
      </w:pPr>
    </w:p>
    <w:p>
      <w:pPr>
        <w:widowControl w:val="0"/>
        <w:wordWrap/>
        <w:adjustRightInd/>
        <w:snapToGrid/>
        <w:spacing w:line="560" w:lineRule="exact"/>
        <w:ind w:right="0"/>
        <w:jc w:val="left"/>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74" w:name="_Toc24535"/>
      <w:bookmarkStart w:id="575" w:name="_Toc2631"/>
      <w:bookmarkStart w:id="576" w:name="_Toc29322"/>
      <w:bookmarkStart w:id="577" w:name="_Toc354"/>
      <w:bookmarkStart w:id="578" w:name="_Toc28953"/>
      <w:bookmarkStart w:id="579" w:name="_Toc29192"/>
      <w:bookmarkStart w:id="580" w:name="_Toc1982"/>
      <w:bookmarkStart w:id="581" w:name="_Toc15030"/>
      <w:bookmarkStart w:id="582" w:name="_Toc22655"/>
      <w:bookmarkStart w:id="583" w:name="_Toc7745"/>
      <w:r>
        <w:rPr>
          <w:rFonts w:hint="eastAsia" w:ascii="Times New Roman" w:hAnsi="Times New Roman" w:eastAsia="宋体" w:cs="Times New Roman"/>
          <w:bCs/>
          <w:kern w:val="44"/>
          <w:sz w:val="44"/>
          <w:szCs w:val="44"/>
          <w:lang w:val="en-US" w:eastAsia="zh-CN" w:bidi="ar-SA"/>
        </w:rPr>
        <w:t>广东省人力资源和社会保障厅 广东省财政厅</w:t>
      </w:r>
      <w:r>
        <w:rPr>
          <w:rFonts w:hint="eastAsia" w:eastAsia="宋体" w:cs="Times New Roman"/>
          <w:bCs/>
          <w:kern w:val="44"/>
          <w:sz w:val="44"/>
          <w:szCs w:val="44"/>
          <w:lang w:val="en-US" w:eastAsia="zh-CN" w:bidi="ar-SA"/>
        </w:rPr>
        <w:t xml:space="preserve"> </w:t>
      </w:r>
      <w:r>
        <w:rPr>
          <w:rFonts w:hint="eastAsia" w:ascii="Times New Roman" w:hAnsi="Times New Roman" w:eastAsia="宋体" w:cs="Times New Roman"/>
          <w:bCs/>
          <w:kern w:val="44"/>
          <w:sz w:val="44"/>
          <w:szCs w:val="44"/>
          <w:lang w:val="en-US" w:eastAsia="zh-CN" w:bidi="ar-SA"/>
        </w:rPr>
        <w:t xml:space="preserve">  广东省卫生健康委员会转发人力资源社会保障部 财政部 国家卫生健康委关于因履行工作</w:t>
      </w:r>
      <w:bookmarkEnd w:id="574"/>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84" w:name="_Toc17484"/>
      <w:r>
        <w:rPr>
          <w:rFonts w:hint="eastAsia" w:ascii="Times New Roman" w:hAnsi="Times New Roman" w:eastAsia="宋体" w:cs="Times New Roman"/>
          <w:bCs/>
          <w:kern w:val="44"/>
          <w:sz w:val="44"/>
          <w:szCs w:val="44"/>
          <w:lang w:val="en-US" w:eastAsia="zh-CN" w:bidi="ar-SA"/>
        </w:rPr>
        <w:t>职责感染新型冠状病毒肺炎的医护及相关</w:t>
      </w:r>
      <w:bookmarkEnd w:id="584"/>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85" w:name="_Toc12833"/>
      <w:r>
        <w:rPr>
          <w:rFonts w:hint="eastAsia" w:ascii="Times New Roman" w:hAnsi="Times New Roman" w:eastAsia="宋体" w:cs="Times New Roman"/>
          <w:bCs/>
          <w:kern w:val="44"/>
          <w:sz w:val="44"/>
          <w:szCs w:val="44"/>
          <w:lang w:val="en-US" w:eastAsia="zh-CN" w:bidi="ar-SA"/>
        </w:rPr>
        <w:t>工作人员有关保障问题的通知</w:t>
      </w:r>
      <w:bookmarkEnd w:id="575"/>
      <w:bookmarkEnd w:id="576"/>
      <w:bookmarkEnd w:id="577"/>
      <w:bookmarkEnd w:id="578"/>
      <w:bookmarkEnd w:id="579"/>
      <w:bookmarkEnd w:id="580"/>
      <w:bookmarkEnd w:id="581"/>
      <w:bookmarkEnd w:id="582"/>
      <w:bookmarkEnd w:id="583"/>
      <w:bookmarkEnd w:id="585"/>
    </w:p>
    <w:p>
      <w:pPr>
        <w:widowControl w:val="0"/>
        <w:wordWrap/>
        <w:adjustRightInd/>
        <w:snapToGrid/>
        <w:spacing w:line="580" w:lineRule="exact"/>
        <w:ind w:right="0" w:firstLine="420"/>
        <w:jc w:val="center"/>
        <w:textAlignment w:val="auto"/>
        <w:outlineLvl w:val="9"/>
        <w:rPr>
          <w:rFonts w:hint="eastAsia" w:ascii="楷体" w:hAnsi="楷体" w:eastAsia="楷体" w:cs="楷体"/>
          <w:sz w:val="32"/>
          <w:szCs w:val="32"/>
        </w:rPr>
      </w:pPr>
    </w:p>
    <w:p>
      <w:pPr>
        <w:widowControl w:val="0"/>
        <w:wordWrap/>
        <w:adjustRightInd/>
        <w:snapToGrid/>
        <w:spacing w:line="580" w:lineRule="exact"/>
        <w:ind w:right="0" w:firstLine="420"/>
        <w:jc w:val="center"/>
        <w:textAlignment w:val="auto"/>
        <w:outlineLvl w:val="9"/>
        <w:rPr>
          <w:rFonts w:hint="eastAsia" w:ascii="仿宋_GB2312" w:hAnsi="仿宋_GB2312" w:eastAsia="仿宋_GB2312" w:cs="仿宋_GB2312"/>
          <w:sz w:val="28"/>
          <w:szCs w:val="28"/>
        </w:rPr>
      </w:pPr>
      <w:r>
        <w:rPr>
          <w:rFonts w:hint="eastAsia" w:ascii="楷体" w:hAnsi="楷体" w:eastAsia="楷体" w:cs="楷体"/>
          <w:sz w:val="32"/>
          <w:szCs w:val="32"/>
        </w:rPr>
        <w:t>粤人社函〔2020〕17号</w:t>
      </w:r>
    </w:p>
    <w:p>
      <w:pPr>
        <w:widowControl w:val="0"/>
        <w:wordWrap/>
        <w:adjustRightInd/>
        <w:snapToGrid/>
        <w:spacing w:line="580" w:lineRule="exact"/>
        <w:ind w:right="0" w:firstLine="420"/>
        <w:jc w:val="left"/>
        <w:textAlignment w:val="auto"/>
        <w:outlineLvl w:val="9"/>
        <w:rPr>
          <w:rFonts w:hint="eastAsia" w:ascii="仿宋_GB2312" w:hAnsi="仿宋_GB2312" w:eastAsia="仿宋_GB2312" w:cs="仿宋_GB2312"/>
          <w:sz w:val="28"/>
          <w:szCs w:val="28"/>
        </w:rPr>
      </w:pP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各地级以上市人力资源和社会保障局、财政局、卫生健康委（局）：</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现将《人力资源社会保障部 财政部 国家卫生健康委关于因履行工作职责感染新型冠状病毒肺炎的医护及相关工作人员有关保障问题的通知》（人社部函〔2020〕11号）转发给你们，并结合我省实际提出以下意见，请一并贯彻执行。</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 一、切实做好工伤认定工作。</w:t>
      </w:r>
      <w:r>
        <w:rPr>
          <w:rFonts w:hint="eastAsia" w:ascii="仿宋_GB2312" w:hAnsi="仿宋_GB2312" w:eastAsia="仿宋_GB2312" w:cs="仿宋_GB2312"/>
          <w:sz w:val="32"/>
          <w:szCs w:val="32"/>
        </w:rPr>
        <w:t>对于参与新型冠状病毒感染的肺炎疫情防控处置的医护、防疫等有关工作人员因履行工作职责而感染新型冠状病毒肺炎的，应参照《广东省工伤保险条例》第九条第一项规定认定为工伤。对于用人单位指派到湖北省出差（工作）的职工感染新型冠状病毒肺炎的，应参照《广东省工伤保险条例》第十条第四项规定视同工伤。因新型冠状病毒感染的肺炎疫情防控处置和救治等特殊原因的，用人单位申请工伤认定时限予以适当延长。</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 二、切实做好工伤医疗救治工作。</w:t>
      </w:r>
      <w:r>
        <w:rPr>
          <w:rFonts w:hint="eastAsia" w:ascii="仿宋_GB2312" w:hAnsi="仿宋_GB2312" w:eastAsia="仿宋_GB2312" w:cs="仿宋_GB2312"/>
          <w:sz w:val="32"/>
          <w:szCs w:val="32"/>
        </w:rPr>
        <w:t>依法保障工伤职工享受工伤医疗救治等工伤保险待遇权利。对于感染新型冠状病毒肺炎的工伤职工救治使用的国家卫生健康委《新型冠状病毒感染的肺炎诊疗方案》所涵盖的药品和诊疗项目以及其使用有关住院服务设施费用，纳入工伤保险基金支付范围。根据《广东省工伤保险条例》第二十一条第四款规定，工伤职工在认定工伤前已由基本医疗保险基金按照规定支付的医疗费用，在认定工伤后由工伤保险基金按照规定向基本医疗保险基金结算。</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三、切实做好工伤保险服务工作。</w:t>
      </w:r>
      <w:r>
        <w:rPr>
          <w:rFonts w:hint="eastAsia" w:ascii="仿宋_GB2312" w:hAnsi="仿宋_GB2312" w:eastAsia="仿宋_GB2312" w:cs="仿宋_GB2312"/>
          <w:sz w:val="32"/>
          <w:szCs w:val="32"/>
        </w:rPr>
        <w:t>各地区人力资源社会保障部门遇有感染新型冠状病毒肺炎相关的工伤申报案件，要开通绿色通道，提供优先服务，缩短办理时限，积极主动指导相关单位依法及时落实工伤保险待遇，并请及时向省人力资源社会保障厅报告有关处理情况。</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widowControl w:val="0"/>
        <w:wordWrap/>
        <w:adjustRightInd/>
        <w:snapToGrid/>
        <w:spacing w:line="560" w:lineRule="exact"/>
        <w:ind w:right="0" w:firstLine="3296" w:firstLineChars="1030"/>
        <w:jc w:val="righ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广东省人力资源和社会保障厅</w:t>
      </w:r>
      <w:r>
        <w:rPr>
          <w:rFonts w:hint="eastAsia" w:ascii="仿宋_GB2312" w:hAnsi="仿宋_GB2312" w:eastAsia="仿宋_GB2312" w:cs="仿宋_GB2312"/>
          <w:sz w:val="32"/>
          <w:szCs w:val="32"/>
          <w:lang w:val="en-US" w:eastAsia="zh-CN"/>
        </w:rPr>
        <w:t xml:space="preserve">     </w:t>
      </w:r>
    </w:p>
    <w:p>
      <w:pPr>
        <w:widowControl w:val="0"/>
        <w:wordWrap/>
        <w:adjustRightInd/>
        <w:snapToGrid/>
        <w:spacing w:line="560" w:lineRule="exact"/>
        <w:ind w:right="0" w:firstLine="5532" w:firstLineChars="1729"/>
        <w:jc w:val="righ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广东省财政厅</w:t>
      </w:r>
    </w:p>
    <w:p>
      <w:pPr>
        <w:widowControl w:val="0"/>
        <w:wordWrap/>
        <w:adjustRightInd/>
        <w:snapToGrid/>
        <w:spacing w:line="560" w:lineRule="exact"/>
        <w:ind w:right="0" w:firstLine="420"/>
        <w:jc w:val="righ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广东省卫生健康委员会</w:t>
      </w:r>
    </w:p>
    <w:p>
      <w:pPr>
        <w:widowControl w:val="0"/>
        <w:wordWrap/>
        <w:adjustRightInd/>
        <w:snapToGrid/>
        <w:spacing w:line="560" w:lineRule="exact"/>
        <w:ind w:right="0" w:firstLine="5120" w:firstLineChars="1600"/>
        <w:jc w:val="right"/>
        <w:textAlignment w:val="auto"/>
        <w:outlineLvl w:val="9"/>
        <w:rPr>
          <w:rFonts w:hint="eastAsia" w:ascii="宋体" w:hAnsi="宋体" w:eastAsia="宋体" w:cs="宋体"/>
          <w:b w:val="0"/>
          <w:bCs w:val="0"/>
          <w:color w:val="auto"/>
          <w:kern w:val="44"/>
          <w:sz w:val="44"/>
          <w:szCs w:val="44"/>
          <w:lang w:val="en-US" w:eastAsia="zh-CN" w:bidi="ar-SA"/>
        </w:rPr>
      </w:pPr>
      <w:r>
        <w:rPr>
          <w:rFonts w:hint="eastAsia" w:ascii="仿宋_GB2312" w:hAnsi="仿宋_GB2312" w:eastAsia="仿宋_GB2312" w:cs="仿宋_GB2312"/>
          <w:sz w:val="32"/>
          <w:szCs w:val="32"/>
        </w:rPr>
        <w:t>2020年1月24日</w:t>
      </w:r>
    </w:p>
    <w:p>
      <w:pPr>
        <w:pStyle w:val="4"/>
        <w:spacing w:before="0" w:after="0" w:line="700" w:lineRule="exact"/>
        <w:jc w:val="center"/>
        <w:rPr>
          <w:rFonts w:hint="eastAsia" w:ascii="Times New Roman" w:hAnsi="Times New Roman" w:eastAsia="宋体" w:cs="Times New Roman"/>
          <w:b w:val="0"/>
          <w:lang w:val="en-US" w:eastAsia="zh-CN"/>
        </w:rPr>
      </w:pPr>
      <w:r>
        <w:rPr>
          <w:rFonts w:hint="eastAsia" w:ascii="宋体" w:hAnsi="宋体" w:eastAsia="宋体" w:cs="宋体"/>
          <w:b w:val="0"/>
          <w:bCs w:val="0"/>
          <w:color w:val="auto"/>
          <w:kern w:val="44"/>
          <w:sz w:val="44"/>
          <w:szCs w:val="44"/>
          <w:lang w:val="en-US" w:eastAsia="zh-CN" w:bidi="ar-SA"/>
        </w:rPr>
        <w:br w:type="page"/>
      </w:r>
      <w:bookmarkStart w:id="586" w:name="_Toc14047"/>
      <w:bookmarkStart w:id="587" w:name="_Toc1650"/>
      <w:bookmarkStart w:id="588" w:name="_Toc4812"/>
      <w:bookmarkStart w:id="589" w:name="_Toc10935"/>
      <w:bookmarkStart w:id="590" w:name="_Toc16691"/>
      <w:bookmarkStart w:id="591" w:name="_Toc1055"/>
      <w:bookmarkStart w:id="592" w:name="_Toc9617"/>
      <w:bookmarkStart w:id="593" w:name="_Toc4981"/>
      <w:bookmarkStart w:id="594" w:name="_Toc14216"/>
      <w:bookmarkStart w:id="595" w:name="_Toc28387"/>
      <w:r>
        <w:rPr>
          <w:rFonts w:hint="eastAsia" w:ascii="宋体" w:hAnsi="宋体" w:eastAsia="宋体" w:cs="宋体"/>
          <w:b w:val="0"/>
          <w:bCs w:val="0"/>
          <w:color w:val="auto"/>
          <w:kern w:val="44"/>
          <w:sz w:val="44"/>
          <w:szCs w:val="44"/>
          <w:lang w:val="en-US" w:eastAsia="zh-CN" w:bidi="ar-SA"/>
        </w:rPr>
        <w:t>广东省防控新型冠状病毒感染的肺炎疫情工作领导小组办公室</w:t>
      </w:r>
      <w:r>
        <w:rPr>
          <w:rFonts w:hint="eastAsia" w:ascii="Times New Roman" w:hAnsi="Times New Roman" w:eastAsia="宋体" w:cs="Times New Roman"/>
          <w:b w:val="0"/>
          <w:lang w:val="en-US" w:eastAsia="zh-CN"/>
        </w:rPr>
        <w:t>关于印发广东省新型冠状病毒感染的肺炎重点场所预防控制工作指引的通知</w:t>
      </w:r>
      <w:bookmarkEnd w:id="586"/>
      <w:bookmarkEnd w:id="587"/>
      <w:bookmarkEnd w:id="588"/>
      <w:bookmarkEnd w:id="589"/>
      <w:bookmarkEnd w:id="590"/>
      <w:bookmarkEnd w:id="591"/>
      <w:bookmarkEnd w:id="592"/>
      <w:bookmarkEnd w:id="593"/>
      <w:bookmarkEnd w:id="594"/>
      <w:bookmarkEnd w:id="595"/>
    </w:p>
    <w:p>
      <w:pPr>
        <w:widowControl w:val="0"/>
        <w:wordWrap/>
        <w:adjustRightInd/>
        <w:snapToGrid/>
        <w:spacing w:line="560" w:lineRule="exact"/>
        <w:ind w:right="0" w:firstLine="2656" w:firstLineChars="830"/>
        <w:jc w:val="both"/>
        <w:textAlignment w:val="auto"/>
        <w:outlineLvl w:val="9"/>
        <w:rPr>
          <w:rFonts w:hint="eastAsia" w:ascii="楷体" w:hAnsi="楷体" w:eastAsia="楷体" w:cs="楷体"/>
          <w:bCs/>
          <w:kern w:val="44"/>
          <w:sz w:val="32"/>
          <w:szCs w:val="32"/>
          <w:lang w:val="en-US" w:eastAsia="zh-CN" w:bidi="ar-SA"/>
        </w:rPr>
      </w:pPr>
    </w:p>
    <w:p>
      <w:pPr>
        <w:widowControl w:val="0"/>
        <w:wordWrap/>
        <w:adjustRightInd/>
        <w:snapToGrid/>
        <w:spacing w:line="560" w:lineRule="exact"/>
        <w:ind w:right="0" w:firstLine="2656" w:firstLineChars="830"/>
        <w:jc w:val="both"/>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（粤卫函〔2020〕4号）</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各地级以上市防控新型冠状病毒感染的肺炎疫情工作领导小组、省防控新型冠状病毒感染的肺炎疫情工作领导小组相关成员单位：</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前，多地报告新型冠状病毒感染的肺炎确诊病例和疑似病例，疫情防控形势非常严峻。我省启动了重大突发公共卫生事件一级响应。为贯彻落实党中央国务院、省委省政府的部署，我办制定了公共场所、公共交通工具、小学及托幼机构、大专院校、职业技术学校及初高级中学、企事业等集体单位、养老院、普通家庭等10种重点场所预防控制指引。现印发给你们，请参照执行。</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2240" w:leftChars="200" w:right="0" w:hanging="1600" w:hangingChars="500"/>
        <w:jc w:val="both"/>
        <w:textAlignment w:val="auto"/>
        <w:outlineLvl w:val="9"/>
        <w:rPr>
          <w:rFonts w:hint="eastAsia" w:ascii="仿宋_GB2312" w:hAnsi="仿宋_GB2312" w:cs="仿宋_GB2312"/>
          <w:sz w:val="32"/>
          <w:szCs w:val="32"/>
          <w:lang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"http://wsjkw.gd.gov.cn/attachment/0/385/385668/2881153.docx" \t "http://wsjkw.gd.gov.cn/zwgk_bmwj/content/_blank"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1.普通家庭新型冠状病毒感染的肺炎预防控制</w:t>
      </w:r>
      <w:r>
        <w:rPr>
          <w:rFonts w:hint="eastAsia" w:ascii="仿宋_GB2312" w:hAnsi="仿宋_GB2312" w:cs="仿宋_GB2312"/>
          <w:sz w:val="32"/>
          <w:szCs w:val="32"/>
          <w:lang w:eastAsia="zh-CN"/>
        </w:rPr>
        <w:t>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cs="仿宋_GB2312"/>
          <w:sz w:val="32"/>
          <w:szCs w:val="32"/>
          <w:lang w:eastAsia="zh-CN"/>
        </w:rPr>
      </w:pPr>
      <w:r>
        <w:rPr>
          <w:rFonts w:hint="eastAsia" w:ascii="仿宋_GB2312" w:hAnsi="仿宋_GB2312" w:cs="仿宋_GB2312"/>
          <w:sz w:val="32"/>
          <w:szCs w:val="32"/>
          <w:lang w:val="en-US" w:eastAsia="zh-CN"/>
        </w:rPr>
        <w:t xml:space="preserve">          2.</w:t>
      </w:r>
      <w:r>
        <w:rPr>
          <w:rFonts w:hint="eastAsia" w:ascii="仿宋_GB2312" w:hAnsi="仿宋_GB2312" w:eastAsia="仿宋_GB2312" w:cs="仿宋_GB2312"/>
          <w:sz w:val="32"/>
          <w:szCs w:val="32"/>
        </w:rPr>
        <w:t>公共场所新型冠状病毒感染的肺炎预防控制</w:t>
      </w:r>
      <w:r>
        <w:rPr>
          <w:rFonts w:hint="eastAsia" w:ascii="仿宋_GB2312" w:hAnsi="仿宋_GB2312" w:cs="仿宋_GB2312"/>
          <w:sz w:val="32"/>
          <w:szCs w:val="32"/>
          <w:lang w:eastAsia="zh-CN"/>
        </w:rPr>
        <w:t>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cs="仿宋_GB2312"/>
          <w:sz w:val="32"/>
          <w:szCs w:val="32"/>
          <w:lang w:eastAsia="zh-CN"/>
        </w:rPr>
      </w:pPr>
      <w:r>
        <w:rPr>
          <w:rFonts w:hint="eastAsia" w:ascii="仿宋_GB2312" w:hAnsi="仿宋_GB2312" w:cs="仿宋_GB2312"/>
          <w:sz w:val="32"/>
          <w:szCs w:val="32"/>
          <w:lang w:val="en-US" w:eastAsia="zh-CN"/>
        </w:rPr>
        <w:t xml:space="preserve">          3.</w:t>
      </w:r>
      <w:r>
        <w:rPr>
          <w:rFonts w:hint="eastAsia" w:ascii="仿宋_GB2312" w:hAnsi="仿宋_GB2312" w:eastAsia="仿宋_GB2312" w:cs="仿宋_GB2312"/>
          <w:sz w:val="32"/>
          <w:szCs w:val="32"/>
        </w:rPr>
        <w:t>公共场所新型冠状病毒感染的肺炎预防控制</w:t>
      </w:r>
      <w:r>
        <w:rPr>
          <w:rFonts w:hint="eastAsia" w:ascii="仿宋_GB2312" w:hAnsi="仿宋_GB2312" w:cs="仿宋_GB2312"/>
          <w:sz w:val="32"/>
          <w:szCs w:val="32"/>
          <w:lang w:eastAsia="zh-CN"/>
        </w:rPr>
        <w:t>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4.</w:t>
      </w:r>
      <w:r>
        <w:rPr>
          <w:rFonts w:hint="eastAsia" w:ascii="仿宋_GB2312" w:hAnsi="仿宋_GB2312" w:eastAsia="仿宋_GB2312" w:cs="仿宋_GB2312"/>
          <w:sz w:val="32"/>
          <w:szCs w:val="32"/>
        </w:rPr>
        <w:t>火车站、高铁站、地铁站、汽车客运站、飞机场和</w:t>
      </w:r>
    </w:p>
    <w:p>
      <w:pPr>
        <w:widowControl w:val="0"/>
        <w:wordWrap/>
        <w:adjustRightInd/>
        <w:snapToGrid/>
        <w:spacing w:line="560" w:lineRule="exact"/>
        <w:ind w:left="0" w:leftChars="0" w:right="0" w:firstLine="1920" w:firstLineChars="6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港口码头新型冠状病毒感染的肺炎预防控制指引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 xml:space="preserve">          5.</w:t>
      </w:r>
      <w:r>
        <w:rPr>
          <w:rFonts w:hint="eastAsia" w:ascii="仿宋_GB2312" w:hAnsi="仿宋_GB2312" w:eastAsia="仿宋_GB2312" w:cs="仿宋_GB2312"/>
          <w:sz w:val="32"/>
          <w:szCs w:val="32"/>
        </w:rPr>
        <w:t>小学及托幼机构新型冠状病毒感染的肺炎预防控</w:t>
      </w:r>
      <w:r>
        <w:rPr>
          <w:rFonts w:hint="eastAsia" w:ascii="仿宋_GB2312" w:hAnsi="仿宋_GB2312" w:cs="仿宋_GB2312"/>
          <w:sz w:val="32"/>
          <w:szCs w:val="32"/>
          <w:lang w:val="en-US" w:eastAsia="zh-CN"/>
        </w:rPr>
        <w:t xml:space="preserve">    </w:t>
      </w:r>
    </w:p>
    <w:p>
      <w:pPr>
        <w:widowControl w:val="0"/>
        <w:wordWrap/>
        <w:adjustRightInd/>
        <w:snapToGrid/>
        <w:spacing w:line="560" w:lineRule="exact"/>
        <w:ind w:left="0" w:leftChars="0" w:right="0" w:firstLine="1920" w:firstLineChars="6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制指引</w:t>
      </w:r>
    </w:p>
    <w:p>
      <w:pPr>
        <w:widowControl w:val="0"/>
        <w:wordWrap/>
        <w:adjustRightInd/>
        <w:snapToGrid/>
        <w:spacing w:line="560" w:lineRule="exact"/>
        <w:ind w:left="1920" w:leftChars="0" w:right="0" w:hanging="1920" w:hangingChars="600"/>
        <w:jc w:val="both"/>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6.</w:t>
      </w:r>
      <w:r>
        <w:rPr>
          <w:rFonts w:hint="eastAsia" w:ascii="仿宋_GB2312" w:hAnsi="仿宋_GB2312" w:eastAsia="仿宋_GB2312" w:cs="仿宋_GB2312"/>
          <w:sz w:val="32"/>
          <w:szCs w:val="32"/>
        </w:rPr>
        <w:t>大专院校、职业技术学校及初高级中学新型冠状病毒感染的肺炎预防控制指引</w:t>
      </w:r>
    </w:p>
    <w:p>
      <w:pPr>
        <w:widowControl w:val="0"/>
        <w:wordWrap/>
        <w:adjustRightInd/>
        <w:snapToGrid/>
        <w:spacing w:line="560" w:lineRule="exact"/>
        <w:ind w:left="1920" w:leftChars="0" w:right="0" w:hanging="1920" w:hangingChars="600"/>
        <w:jc w:val="both"/>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7.</w:t>
      </w:r>
      <w:r>
        <w:rPr>
          <w:rFonts w:hint="eastAsia" w:ascii="仿宋_GB2312" w:hAnsi="仿宋_GB2312" w:eastAsia="仿宋_GB2312" w:cs="仿宋_GB2312"/>
          <w:sz w:val="32"/>
          <w:szCs w:val="32"/>
        </w:rPr>
        <w:t>企事业等集体单位新型冠状病毒感染的肺炎预防控制指引</w:t>
      </w:r>
    </w:p>
    <w:p>
      <w:pPr>
        <w:widowControl w:val="0"/>
        <w:wordWrap/>
        <w:adjustRightInd/>
        <w:snapToGrid/>
        <w:spacing w:line="560" w:lineRule="exact"/>
        <w:ind w:left="1920" w:leftChars="0" w:right="0" w:hanging="1920" w:hangingChars="6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 xml:space="preserve">          8.</w:t>
      </w:r>
      <w:r>
        <w:rPr>
          <w:rFonts w:hint="eastAsia" w:ascii="仿宋_GB2312" w:hAnsi="仿宋_GB2312" w:eastAsia="仿宋_GB2312" w:cs="仿宋_GB2312"/>
          <w:sz w:val="32"/>
          <w:szCs w:val="32"/>
        </w:rPr>
        <w:t>养老机构新型冠状病毒感染的肺炎预防控制指引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r>
        <w:rPr>
          <w:rFonts w:hint="eastAsia" w:ascii="仿宋_GB2312" w:hAnsi="仿宋_GB2312" w:cs="仿宋_GB2312"/>
          <w:sz w:val="32"/>
          <w:szCs w:val="32"/>
          <w:lang w:val="en-US" w:eastAsia="zh-CN"/>
        </w:rPr>
        <w:t xml:space="preserve">          9.</w:t>
      </w:r>
      <w:r>
        <w:rPr>
          <w:rFonts w:hint="eastAsia" w:ascii="仿宋_GB2312" w:hAnsi="仿宋_GB2312" w:eastAsia="仿宋_GB2312" w:cs="仿宋_GB2312"/>
          <w:sz w:val="32"/>
          <w:szCs w:val="32"/>
        </w:rPr>
        <w:t>畜禽养殖、运输、屠宰场所新型冠状病毒感染的肺</w:t>
      </w:r>
    </w:p>
    <w:p>
      <w:pPr>
        <w:widowControl w:val="0"/>
        <w:wordWrap/>
        <w:adjustRightInd/>
        <w:snapToGrid/>
        <w:spacing w:line="560" w:lineRule="exact"/>
        <w:ind w:left="0" w:leftChars="0" w:right="0" w:firstLine="1920" w:firstLineChars="6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炎预防控制指引</w:t>
      </w:r>
    </w:p>
    <w:p>
      <w:pPr>
        <w:widowControl w:val="0"/>
        <w:numPr>
          <w:ilvl w:val="0"/>
          <w:numId w:val="0"/>
        </w:numPr>
        <w:wordWrap/>
        <w:adjustRightInd/>
        <w:snapToGrid/>
        <w:spacing w:line="560" w:lineRule="exact"/>
        <w:ind w:left="0" w:leftChars="0" w:right="0" w:firstLine="1600" w:firstLineChars="500"/>
        <w:jc w:val="both"/>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11.</w:t>
      </w:r>
      <w:r>
        <w:rPr>
          <w:rFonts w:hint="eastAsia" w:ascii="仿宋_GB2312" w:hAnsi="仿宋_GB2312" w:eastAsia="仿宋_GB2312" w:cs="仿宋_GB2312"/>
          <w:sz w:val="32"/>
          <w:szCs w:val="32"/>
        </w:rPr>
        <w:t>农贸交易市场预防新型冠状病毒感染的肺炎疫情</w:t>
      </w:r>
    </w:p>
    <w:p>
      <w:pPr>
        <w:widowControl w:val="0"/>
        <w:numPr>
          <w:ilvl w:val="0"/>
          <w:numId w:val="0"/>
        </w:numPr>
        <w:wordWrap/>
        <w:adjustRightInd/>
        <w:snapToGrid/>
        <w:spacing w:line="560" w:lineRule="exact"/>
        <w:ind w:left="0" w:leftChars="0" w:right="0" w:firstLine="1920" w:firstLineChars="6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预防控制指引</w:t>
      </w:r>
    </w:p>
    <w:p>
      <w:pPr>
        <w:widowControl w:val="0"/>
        <w:wordWrap/>
        <w:adjustRightInd/>
        <w:snapToGrid/>
        <w:spacing w:line="560" w:lineRule="exact"/>
        <w:ind w:right="0" w:firstLine="1600" w:firstLineChars="500"/>
        <w:jc w:val="both"/>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firstLine="1600" w:firstLineChars="500"/>
        <w:jc w:val="both"/>
        <w:textAlignment w:val="auto"/>
        <w:outlineLvl w:val="9"/>
        <w:rPr>
          <w:rFonts w:hint="eastAsia" w:ascii="仿宋_GB2312" w:hAnsi="仿宋_GB2312" w:eastAsia="仿宋_GB2312" w:cs="仿宋_GB2312"/>
          <w:sz w:val="32"/>
          <w:szCs w:val="32"/>
        </w:rPr>
      </w:pP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widowControl w:val="0"/>
        <w:spacing w:line="640" w:lineRule="exact"/>
        <w:ind w:firstLine="2560" w:firstLineChars="8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省防控新型冠状病毒感染的肺炎疫情工作</w:t>
      </w:r>
    </w:p>
    <w:p>
      <w:pPr>
        <w:widowControl w:val="0"/>
        <w:spacing w:line="640" w:lineRule="exact"/>
        <w:ind w:firstLine="4160" w:firstLineChars="13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领导小组办公室</w:t>
      </w:r>
    </w:p>
    <w:p>
      <w:pPr>
        <w:widowControl w:val="0"/>
        <w:spacing w:line="640" w:lineRule="exact"/>
        <w:ind w:firstLine="4160" w:firstLineChars="13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2020年1月25日</w:t>
      </w: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br w:type="page"/>
      </w:r>
    </w:p>
    <w:p>
      <w:pPr>
        <w:widowControl w:val="0"/>
        <w:spacing w:line="640" w:lineRule="exact"/>
        <w:jc w:val="both"/>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附件1</w:t>
      </w:r>
    </w:p>
    <w:p>
      <w:pPr>
        <w:pStyle w:val="3"/>
        <w:rPr>
          <w:rFonts w:hint="eastAsia"/>
          <w:lang w:val="en-US" w:eastAsia="zh-CN"/>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普通家庭新型冠状病毒感染的肺炎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仿宋_GB2312" w:cs="Times New Roman"/>
          <w:kern w:val="2"/>
          <w:sz w:val="32"/>
          <w:szCs w:val="24"/>
          <w:lang w:val="en-US" w:eastAsia="zh-CN" w:bidi="ar-SA"/>
        </w:rPr>
      </w:pP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一、家居环境</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Times New Roman" w:cs="Times New Roman"/>
          <w:sz w:val="32"/>
        </w:rPr>
      </w:pPr>
      <w:r>
        <w:rPr>
          <w:rFonts w:hint="default" w:ascii="Times New Roman" w:hAnsi="Times New Roman" w:eastAsia="仿宋_GB2312" w:cs="Times New Roman"/>
          <w:sz w:val="32"/>
        </w:rPr>
        <w:t>每天开窗通风，不能自然通风的可采用排气扇等机械通风；每天清洁家居，保持家居环境和物品清洁卫生。</w:t>
      </w: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二、个人卫生</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（一）什么情况戴口罩：到医院必须戴口罩。到人群密集通风不良的公共场所，农贸市场，乘坐公共交通工具建议戴口罩。</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（二）尽量避免到人群密集通风不良的公共场所，与别人谈话时尽量保持1米以上距离，回家后请第一时间用洗手液和流动水洗手或用含醇的手消毒剂进行手卫生。到医院回来尽量先洗澡，换洗衣物。</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（三）尽量避免与活禽接触，不购买、宰杀、接触野生动物。</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四）注意咳嗽礼仪和手卫生。咳嗽、吐痰或者打喷嚏时用纸巾遮掩口鼻或采用肘护，在接触呼吸道分泌物后应立即使用流动水和洗手液洗手。餐前便后、擦眼睛前后、接触宠物或家禽后、接触病人前后等应及时洗手。</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（五）毛巾采用一人一巾一用原则，使用后悬挂于通风干燥处。</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color w:val="FF0000"/>
          <w:sz w:val="32"/>
        </w:rPr>
      </w:pPr>
      <w:r>
        <w:rPr>
          <w:rFonts w:hint="default" w:ascii="Times New Roman" w:hAnsi="Times New Roman" w:eastAsia="仿宋_GB2312" w:cs="Times New Roman"/>
          <w:sz w:val="32"/>
        </w:rPr>
        <w:t>（六）设置套有塑料袋并加盖的垃圾桶，用过的纸巾、口罩等放置到加盖垃圾桶里，每天清理，清理时扎紧塑料袋口，再投放到分类垃圾桶里。</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Times New Roman" w:cs="Times New Roman"/>
          <w:sz w:val="32"/>
        </w:rPr>
      </w:pPr>
      <w:r>
        <w:rPr>
          <w:rFonts w:hint="default" w:ascii="Times New Roman" w:hAnsi="Times New Roman" w:eastAsia="仿宋_GB2312" w:cs="Times New Roman"/>
          <w:sz w:val="32"/>
        </w:rPr>
        <w:t>（七）若有发热、咳嗽、乏力等呼吸道症状，并且近期有与野生动物或发热咳嗽病人接触史，请戴上一次性医用口罩及时到医院就诊。</w:t>
      </w: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三、日常清洁及预防性消毒</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环境及物品以清洁为主，预防性消毒为辅，应避免过度消毒，受到污染时随时进行清洁消毒。消毒方法如下：</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（一）餐饮具和茶具：首选物理消毒，煮沸15-30min，或按说明书使用高温消毒箱（柜）消毒；也可使用含氯消毒剂（有效氯浓度250 mg/L～500 mg/L）浸泡30 min后，再用清水漂洗干净。</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（二）物体表面：对台面、门把手、电话机、开关、热水壶把手、洗手盆、坐便器等经常接触的物体表面，可使用含氯消毒剂（有效氯浓度250 mg/L～500 mg/L）擦拭，作用30min，再用清水擦净。</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（三）地面：可使用含氯消毒剂（有效氯浓度250 mg/L～500 mg/L）用拖布湿式拖拭，作用30min，再用清水洗净。</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（四）普通织物：对毛巾、衣物、被罩等可使用含氯消毒剂（有效氯浓度250 mg/L～500 mg/L）浸泡30min，再用清水漂洗干净。（注意：含氯消毒剂对织物有漂白作用），或采用其它衣物消毒液按说明书使用。</w:t>
      </w: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四、常见消毒剂及配制使用</w:t>
      </w:r>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596" w:name="_Toc24189"/>
      <w:bookmarkStart w:id="597" w:name="_Toc16024"/>
      <w:bookmarkStart w:id="598" w:name="_Toc42"/>
      <w:bookmarkStart w:id="599" w:name="_Toc10733"/>
      <w:bookmarkStart w:id="600" w:name="_Toc22442"/>
      <w:bookmarkStart w:id="601" w:name="_Toc5928"/>
      <w:bookmarkStart w:id="602" w:name="_Toc12990"/>
      <w:bookmarkStart w:id="603" w:name="_Toc31019"/>
      <w:bookmarkStart w:id="604" w:name="_Toc2745"/>
      <w:r>
        <w:rPr>
          <w:rFonts w:hint="default" w:ascii="Times New Roman" w:hAnsi="Times New Roman" w:eastAsia="仿宋_GB2312" w:cs="Times New Roman"/>
          <w:sz w:val="32"/>
        </w:rPr>
        <w:t>（一）有效氯浓度500 mg/L的含氯消毒剂配制方法：</w:t>
      </w:r>
      <w:bookmarkEnd w:id="596"/>
      <w:bookmarkEnd w:id="597"/>
      <w:bookmarkEnd w:id="598"/>
      <w:bookmarkEnd w:id="599"/>
      <w:bookmarkEnd w:id="600"/>
      <w:bookmarkEnd w:id="601"/>
      <w:bookmarkEnd w:id="602"/>
      <w:bookmarkEnd w:id="603"/>
      <w:bookmarkEnd w:id="604"/>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05" w:name="_Toc30797"/>
      <w:bookmarkStart w:id="606" w:name="_Toc22312"/>
      <w:bookmarkStart w:id="607" w:name="_Toc28764"/>
      <w:bookmarkStart w:id="608" w:name="_Toc22717"/>
      <w:bookmarkStart w:id="609" w:name="_Toc21329"/>
      <w:bookmarkStart w:id="610" w:name="_Toc17611"/>
      <w:bookmarkStart w:id="611" w:name="_Toc746"/>
      <w:bookmarkStart w:id="612" w:name="_Toc9457"/>
      <w:bookmarkStart w:id="613" w:name="_Toc5085"/>
      <w:r>
        <w:rPr>
          <w:rFonts w:hint="default" w:ascii="Times New Roman" w:hAnsi="Times New Roman" w:eastAsia="仿宋_GB2312" w:cs="Times New Roman"/>
          <w:sz w:val="32"/>
        </w:rPr>
        <w:t>1</w:t>
      </w:r>
      <w:r>
        <w:rPr>
          <w:rFonts w:hint="eastAsia" w:ascii="仿宋_GB2312" w:hAnsi="仿宋_GB2312" w:eastAsia="仿宋_GB2312" w:cs="仿宋_GB2312"/>
          <w:sz w:val="32"/>
        </w:rPr>
        <w:t>.</w:t>
      </w:r>
      <w:r>
        <w:rPr>
          <w:rFonts w:hint="default" w:ascii="Times New Roman" w:hAnsi="Times New Roman" w:eastAsia="仿宋_GB2312" w:cs="Times New Roman"/>
          <w:sz w:val="32"/>
        </w:rPr>
        <w:t>使用84消毒液（有效氯含量5%）：按消毒液：水为1:100比例稀释；</w:t>
      </w:r>
      <w:bookmarkEnd w:id="605"/>
      <w:bookmarkEnd w:id="606"/>
      <w:bookmarkEnd w:id="607"/>
      <w:bookmarkEnd w:id="608"/>
      <w:bookmarkEnd w:id="609"/>
      <w:bookmarkEnd w:id="610"/>
      <w:bookmarkEnd w:id="611"/>
      <w:bookmarkEnd w:id="612"/>
      <w:bookmarkEnd w:id="613"/>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14" w:name="_Hlk30708993"/>
      <w:bookmarkStart w:id="615" w:name="_Toc24607"/>
      <w:bookmarkStart w:id="616" w:name="_Toc26284"/>
      <w:bookmarkStart w:id="617" w:name="_Toc2535"/>
      <w:bookmarkStart w:id="618" w:name="_Toc20465"/>
      <w:bookmarkStart w:id="619" w:name="_Toc18693"/>
      <w:bookmarkStart w:id="620" w:name="_Toc18040"/>
      <w:bookmarkStart w:id="621" w:name="_Toc18321"/>
      <w:bookmarkStart w:id="622" w:name="_Toc16265"/>
      <w:bookmarkStart w:id="623" w:name="_Toc5539"/>
      <w:r>
        <w:rPr>
          <w:rFonts w:hint="default" w:ascii="Times New Roman" w:hAnsi="Times New Roman" w:eastAsia="仿宋_GB2312" w:cs="Times New Roman"/>
          <w:sz w:val="32"/>
        </w:rPr>
        <w:t>2</w:t>
      </w:r>
      <w:r>
        <w:rPr>
          <w:rFonts w:hint="eastAsia" w:ascii="仿宋_GB2312" w:hAnsi="仿宋_GB2312" w:eastAsia="仿宋_GB2312" w:cs="仿宋_GB2312"/>
          <w:sz w:val="32"/>
        </w:rPr>
        <w:t>.</w:t>
      </w:r>
      <w:r>
        <w:rPr>
          <w:rFonts w:hint="default" w:ascii="Times New Roman" w:hAnsi="Times New Roman" w:eastAsia="仿宋_GB2312" w:cs="Times New Roman"/>
          <w:sz w:val="32"/>
        </w:rPr>
        <w:t>消毒粉（有效氯含量12-13%，20克/包）</w:t>
      </w:r>
      <w:bookmarkEnd w:id="614"/>
      <w:r>
        <w:rPr>
          <w:rFonts w:hint="default" w:ascii="Times New Roman" w:hAnsi="Times New Roman" w:eastAsia="仿宋_GB2312" w:cs="Times New Roman"/>
          <w:sz w:val="32"/>
        </w:rPr>
        <w:t>：1包消毒粉加4.8升水；</w:t>
      </w:r>
      <w:bookmarkEnd w:id="615"/>
      <w:bookmarkEnd w:id="616"/>
      <w:bookmarkEnd w:id="617"/>
      <w:bookmarkEnd w:id="618"/>
      <w:bookmarkEnd w:id="619"/>
      <w:bookmarkEnd w:id="620"/>
      <w:bookmarkEnd w:id="621"/>
      <w:bookmarkEnd w:id="622"/>
      <w:bookmarkEnd w:id="623"/>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24" w:name="_Toc7279"/>
      <w:bookmarkStart w:id="625" w:name="_Toc14478"/>
      <w:bookmarkStart w:id="626" w:name="_Toc9337"/>
      <w:bookmarkStart w:id="627" w:name="_Toc480"/>
      <w:bookmarkStart w:id="628" w:name="_Toc30725"/>
      <w:bookmarkStart w:id="629" w:name="_Toc16094"/>
      <w:bookmarkStart w:id="630" w:name="_Toc1581"/>
      <w:bookmarkStart w:id="631" w:name="_Toc17621"/>
      <w:bookmarkStart w:id="632" w:name="_Toc1176"/>
      <w:r>
        <w:rPr>
          <w:rFonts w:hint="default" w:ascii="Times New Roman" w:hAnsi="Times New Roman" w:eastAsia="仿宋_GB2312" w:cs="Times New Roman"/>
          <w:sz w:val="32"/>
        </w:rPr>
        <w:t>3</w:t>
      </w:r>
      <w:r>
        <w:rPr>
          <w:rFonts w:hint="eastAsia" w:ascii="仿宋_GB2312" w:hAnsi="仿宋_GB2312" w:eastAsia="仿宋_GB2312" w:cs="仿宋_GB2312"/>
          <w:sz w:val="32"/>
        </w:rPr>
        <w:t>.</w:t>
      </w:r>
      <w:r>
        <w:rPr>
          <w:rFonts w:hint="default" w:ascii="Times New Roman" w:hAnsi="Times New Roman" w:eastAsia="仿宋_GB2312" w:cs="Times New Roman"/>
          <w:sz w:val="32"/>
        </w:rPr>
        <w:t>含氯泡腾片（有效氯含量480mg/片-580mg/片）：1片溶于1升水。</w:t>
      </w:r>
      <w:bookmarkEnd w:id="624"/>
      <w:bookmarkEnd w:id="625"/>
      <w:bookmarkEnd w:id="626"/>
      <w:bookmarkEnd w:id="627"/>
      <w:bookmarkEnd w:id="628"/>
      <w:bookmarkEnd w:id="629"/>
      <w:bookmarkEnd w:id="630"/>
      <w:bookmarkEnd w:id="631"/>
      <w:bookmarkEnd w:id="632"/>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33" w:name="_Toc22727"/>
      <w:bookmarkStart w:id="634" w:name="_Toc7187"/>
      <w:bookmarkStart w:id="635" w:name="_Toc12002"/>
      <w:bookmarkStart w:id="636" w:name="_Toc22703"/>
      <w:bookmarkStart w:id="637" w:name="_Toc28224"/>
      <w:bookmarkStart w:id="638" w:name="_Toc20268"/>
      <w:bookmarkStart w:id="639" w:name="_Toc21994"/>
      <w:bookmarkStart w:id="640" w:name="_Toc6037"/>
      <w:bookmarkStart w:id="641" w:name="_Toc5960"/>
      <w:r>
        <w:rPr>
          <w:rFonts w:hint="default" w:ascii="Times New Roman" w:hAnsi="Times New Roman" w:eastAsia="仿宋_GB2312" w:cs="Times New Roman"/>
          <w:sz w:val="32"/>
        </w:rPr>
        <w:t>（二）75%乙醇消毒液：直接使用。</w:t>
      </w:r>
      <w:bookmarkEnd w:id="633"/>
      <w:bookmarkEnd w:id="634"/>
      <w:bookmarkEnd w:id="635"/>
      <w:bookmarkEnd w:id="636"/>
      <w:bookmarkEnd w:id="637"/>
      <w:bookmarkEnd w:id="638"/>
      <w:bookmarkEnd w:id="639"/>
      <w:bookmarkEnd w:id="640"/>
      <w:bookmarkEnd w:id="641"/>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42" w:name="_Toc1767"/>
      <w:bookmarkStart w:id="643" w:name="_Toc21208"/>
      <w:bookmarkStart w:id="644" w:name="_Toc13449"/>
      <w:bookmarkStart w:id="645" w:name="_Toc2382"/>
      <w:bookmarkStart w:id="646" w:name="_Toc15377"/>
      <w:bookmarkStart w:id="647" w:name="_Toc14473"/>
      <w:bookmarkStart w:id="648" w:name="_Toc19861"/>
      <w:bookmarkStart w:id="649" w:name="_Toc12547"/>
      <w:bookmarkStart w:id="650" w:name="_Toc3477"/>
      <w:r>
        <w:rPr>
          <w:rFonts w:hint="default" w:ascii="Times New Roman" w:hAnsi="Times New Roman" w:eastAsia="仿宋_GB2312" w:cs="Times New Roman"/>
          <w:sz w:val="32"/>
        </w:rPr>
        <w:t>（三）其他消毒剂按产品标签标识以杀灭肠道致病菌的浓度进行配制和使用。</w:t>
      </w:r>
      <w:bookmarkEnd w:id="642"/>
      <w:bookmarkEnd w:id="643"/>
      <w:bookmarkEnd w:id="644"/>
      <w:bookmarkEnd w:id="645"/>
      <w:bookmarkEnd w:id="646"/>
      <w:bookmarkEnd w:id="647"/>
      <w:bookmarkEnd w:id="648"/>
      <w:bookmarkEnd w:id="649"/>
      <w:bookmarkEnd w:id="650"/>
    </w:p>
    <w:p>
      <w:pPr>
        <w:widowControl w:val="0"/>
        <w:wordWrap/>
        <w:adjustRightInd/>
        <w:snapToGrid/>
        <w:spacing w:beforeLines="0" w:afterLines="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五、注意事项</w:t>
      </w:r>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r>
        <w:rPr>
          <w:rFonts w:hint="default" w:ascii="Times New Roman" w:hAnsi="Times New Roman" w:eastAsia="仿宋_GB2312" w:cs="Times New Roman"/>
          <w:sz w:val="32"/>
        </w:rPr>
        <w:t>（一）含氯消毒剂有皮肤黏膜刺激性，配置和使用时建议佩戴口罩和手套，儿童请勿触碰。</w:t>
      </w:r>
    </w:p>
    <w:p>
      <w:pPr>
        <w:wordWrap/>
        <w:adjustRightInd/>
        <w:snapToGrid/>
        <w:spacing w:line="560" w:lineRule="exact"/>
        <w:ind w:firstLine="640" w:firstLineChars="200"/>
        <w:textAlignment w:val="auto"/>
        <w:outlineLvl w:val="9"/>
        <w:rPr>
          <w:rFonts w:ascii="Times New Roman" w:hAnsi="Times New Roman" w:cs="Times New Roman"/>
        </w:rPr>
      </w:pPr>
      <w:r>
        <w:rPr>
          <w:rFonts w:hint="default" w:ascii="Times New Roman" w:hAnsi="Times New Roman" w:eastAsia="仿宋_GB2312" w:cs="Times New Roman"/>
          <w:sz w:val="32"/>
        </w:rPr>
        <w:t>（二）乙醇消毒液使用应远离火源。</w:t>
      </w: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wordWrap/>
        <w:adjustRightInd/>
        <w:snapToGrid/>
        <w:spacing w:before="0" w:after="0" w:line="560" w:lineRule="exact"/>
        <w:ind w:left="0" w:leftChars="0" w:right="0" w:firstLine="0" w:firstLineChars="0"/>
        <w:jc w:val="both"/>
        <w:textAlignment w:val="auto"/>
        <w:outlineLvl w:val="9"/>
        <w:rPr>
          <w:rFonts w:hint="default" w:ascii="Times New Roman" w:hAnsi="Times New Roman" w:eastAsia="宋体" w:cs="Times New Roman"/>
          <w:b w:val="0"/>
          <w:bCs/>
          <w:kern w:val="2"/>
          <w:sz w:val="32"/>
          <w:szCs w:val="32"/>
          <w:lang w:val="en-US" w:eastAsia="zh-CN" w:bidi="ar-SA"/>
        </w:rPr>
      </w:pPr>
    </w:p>
    <w:p>
      <w:pPr>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br w:type="page"/>
      </w:r>
    </w:p>
    <w:p>
      <w:pPr>
        <w:widowControl w:val="0"/>
        <w:wordWrap/>
        <w:adjustRightInd/>
        <w:snapToGrid/>
        <w:spacing w:before="0" w:after="0" w:line="560" w:lineRule="exact"/>
        <w:ind w:left="0" w:leftChars="0" w:right="0" w:firstLine="0" w:firstLineChars="0"/>
        <w:jc w:val="both"/>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附件2</w:t>
      </w:r>
    </w:p>
    <w:p>
      <w:pPr>
        <w:widowControl w:val="0"/>
        <w:wordWrap/>
        <w:adjustRightInd/>
        <w:snapToGrid/>
        <w:spacing w:line="560" w:lineRule="exact"/>
        <w:ind w:left="0" w:leftChars="0" w:right="0" w:firstLine="0" w:firstLineChars="0"/>
        <w:jc w:val="both"/>
        <w:textAlignment w:val="auto"/>
        <w:outlineLvl w:val="9"/>
        <w:rPr>
          <w:rFonts w:hint="eastAsia" w:ascii="Times New Roman" w:hAnsi="Times New Roman" w:cs="Times New Roman"/>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公共场所新型冠状病毒感染的肺炎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p>
    <w:p>
      <w:pPr>
        <w:widowControl w:val="0"/>
        <w:wordWrap/>
        <w:adjustRightInd/>
        <w:snapToGrid/>
        <w:spacing w:beforeLines="0" w:afterLines="0" w:line="560" w:lineRule="exact"/>
        <w:ind w:left="0" w:leftChars="0" w:right="0" w:firstLine="640" w:firstLineChars="200"/>
        <w:jc w:val="both"/>
        <w:textAlignment w:val="auto"/>
        <w:outlineLvl w:val="9"/>
        <w:rPr>
          <w:rFonts w:hint="default" w:ascii="Times New Roman" w:hAnsi="Times New Roman" w:eastAsia="黑体" w:cs="Times New Roman"/>
          <w:kern w:val="2"/>
          <w:sz w:val="32"/>
          <w:szCs w:val="24"/>
          <w:lang w:val="en-US" w:eastAsia="zh-CN" w:bidi="ar-SA"/>
        </w:rPr>
      </w:pP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一、预防控制措施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（一）保持公共场所内空气流通。保证空调系统或排气扇运转正常，定期清洗空调滤网，加强开窗通风换气。</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（二）保持环境卫生清洁，及时清理垃圾。</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（三）公共场所进出口处和洗手间要配备足够的洗手液，洗手间保证水龙头等供水设施正常工作。</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（四）公用物品及公共接触物品或部位要加强清洗和消毒。</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（五）加强宣传教育，设置新型冠状病毒感染的肺炎相关防控知识宣传栏。利用各种显示屏宣传新型冠状病毒和冬春季传染病防控。</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（六）建议在入口处使用快速红外体温探测仪对进入人员检测体温。</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（七）在门口提供一次性口罩，供进入人员使用。</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八）公共场所工作人员要实行健康监测，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（九）取消非必需的室内外群众性活动</w:t>
      </w:r>
      <w:r>
        <w:rPr>
          <w:rFonts w:hint="default" w:ascii="Times New Roman" w:hAnsi="Times New Roman" w:eastAsia="仿宋_GB2312" w:cs="Times New Roman"/>
          <w:kern w:val="0"/>
          <w:sz w:val="32"/>
          <w:szCs w:val="32"/>
          <w:lang w:val="en-US" w:eastAsia="zh-CN"/>
        </w:rPr>
        <w:t>。</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（十）限制人流密集、流动性大且通风不良的室内公共场所（如商场、影院、网吧、KTV等）开放。应做到以下几点：</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进入人员要戴口罩，在门口提供一次性口罩。</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在入口处使用快速红外体温探测仪。发现发热症状病人，如是14天内从疫区来粤人员，给他戴上口罩，通知120急救车将病人转运到定点收治医院。如是其他地方的人员，劝导到就近发热门诊就诊。</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严格执行网吧管理规定，严禁未成年人进入网吧，必要时控制网吧人员密度。</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4</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强制通风，开窗或使用排气扇换气。</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5</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每天使用消毒剂对物体表面（地面、桌椅、电脑键盘、鼠标、麦克风等人体常接触的物体）进行消毒。</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二、日常清洁及预防性消毒</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环境及物品以清洁为主，预防性消毒为辅，应避免过度消毒，受到污染时随时进行清洁消毒。消毒方法如下：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（一）物体表面：</w:t>
      </w:r>
      <w:r>
        <w:rPr>
          <w:rFonts w:hint="default" w:ascii="Times New Roman" w:hAnsi="Times New Roman" w:eastAsia="仿宋_GB2312" w:cs="Times New Roman"/>
          <w:sz w:val="32"/>
          <w:szCs w:val="32"/>
        </w:rPr>
        <w:t>对台面、门把手、电话机、开关、热水壶把手、洗手盆、坐便器等经常接触的物体表面，可使用含氯消毒剂（有效氯浓度250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（二）地面：</w:t>
      </w:r>
      <w:r>
        <w:rPr>
          <w:rFonts w:hint="default" w:ascii="Times New Roman" w:hAnsi="Times New Roman" w:eastAsia="仿宋_GB2312" w:cs="Times New Roman"/>
          <w:sz w:val="32"/>
          <w:szCs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三、常见消毒剂及配制使用</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51" w:name="_Toc29451"/>
      <w:bookmarkStart w:id="652" w:name="_Toc7854"/>
      <w:bookmarkStart w:id="653" w:name="_Toc17137"/>
      <w:bookmarkStart w:id="654" w:name="_Toc5725"/>
      <w:bookmarkStart w:id="655" w:name="_Toc12739"/>
      <w:bookmarkStart w:id="656" w:name="_Toc10993"/>
      <w:bookmarkStart w:id="657" w:name="_Toc18681"/>
      <w:bookmarkStart w:id="658" w:name="_Toc12154"/>
      <w:bookmarkStart w:id="659" w:name="_Toc28929"/>
      <w:r>
        <w:rPr>
          <w:rFonts w:hint="default" w:ascii="Times New Roman" w:hAnsi="Times New Roman" w:eastAsia="仿宋_GB2312" w:cs="Times New Roman"/>
          <w:sz w:val="32"/>
          <w:szCs w:val="32"/>
        </w:rPr>
        <w:t>（一）有效氯浓度500 mg/L的含氯消毒剂配制方法：</w:t>
      </w:r>
      <w:bookmarkEnd w:id="651"/>
      <w:bookmarkEnd w:id="652"/>
      <w:bookmarkEnd w:id="653"/>
      <w:bookmarkEnd w:id="654"/>
      <w:bookmarkEnd w:id="655"/>
      <w:bookmarkEnd w:id="656"/>
      <w:bookmarkEnd w:id="657"/>
      <w:bookmarkEnd w:id="658"/>
      <w:bookmarkEnd w:id="659"/>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60" w:name="_Toc23659"/>
      <w:bookmarkStart w:id="661" w:name="_Toc6070"/>
      <w:bookmarkStart w:id="662" w:name="_Toc192"/>
      <w:bookmarkStart w:id="663" w:name="_Toc7178"/>
      <w:bookmarkStart w:id="664" w:name="_Toc5296"/>
      <w:bookmarkStart w:id="665" w:name="_Toc13206"/>
      <w:bookmarkStart w:id="666" w:name="_Toc11985"/>
      <w:bookmarkStart w:id="667" w:name="_Toc7825"/>
      <w:bookmarkStart w:id="668" w:name="_Toc2757"/>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84消毒液（有效氯含量5%）：按消毒液：水为1:100比例稀释；</w:t>
      </w:r>
      <w:bookmarkEnd w:id="660"/>
      <w:bookmarkEnd w:id="661"/>
      <w:bookmarkEnd w:id="662"/>
      <w:bookmarkEnd w:id="663"/>
      <w:bookmarkEnd w:id="664"/>
      <w:bookmarkEnd w:id="665"/>
      <w:bookmarkEnd w:id="666"/>
      <w:bookmarkEnd w:id="667"/>
      <w:bookmarkEnd w:id="668"/>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69" w:name="_Toc15873"/>
      <w:bookmarkStart w:id="670" w:name="_Toc9867"/>
      <w:bookmarkStart w:id="671" w:name="_Toc7729"/>
      <w:bookmarkStart w:id="672" w:name="_Toc28095"/>
      <w:bookmarkStart w:id="673" w:name="_Toc24997"/>
      <w:bookmarkStart w:id="674" w:name="_Toc27822"/>
      <w:bookmarkStart w:id="675" w:name="_Toc5587"/>
      <w:bookmarkStart w:id="676" w:name="_Toc15084"/>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消毒粉（有效氯含量12-13%，20克/包）：1包消毒粉加4.8升水；</w:t>
      </w:r>
      <w:bookmarkEnd w:id="669"/>
      <w:bookmarkEnd w:id="670"/>
      <w:bookmarkEnd w:id="671"/>
      <w:bookmarkEnd w:id="672"/>
      <w:bookmarkEnd w:id="673"/>
      <w:bookmarkEnd w:id="674"/>
      <w:bookmarkEnd w:id="675"/>
      <w:bookmarkEnd w:id="676"/>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77" w:name="_Toc26092"/>
      <w:bookmarkStart w:id="678" w:name="_Toc20237"/>
      <w:bookmarkStart w:id="679" w:name="_Toc16196"/>
      <w:bookmarkStart w:id="680" w:name="_Toc11444"/>
      <w:bookmarkStart w:id="681" w:name="_Toc14573"/>
      <w:bookmarkStart w:id="682" w:name="_Toc27951"/>
      <w:bookmarkStart w:id="683" w:name="_Toc13694"/>
      <w:bookmarkStart w:id="684" w:name="_Toc28651"/>
      <w:bookmarkStart w:id="685" w:name="_Toc5470"/>
      <w:r>
        <w:rPr>
          <w:rFonts w:hint="default" w:ascii="Times New Roman" w:hAnsi="Times New Roman" w:eastAsia="仿宋_GB2312" w:cs="Times New Roman"/>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含氯泡腾片（有效氯含量480mg/片-580mg/片）：1片溶于1升水。</w:t>
      </w:r>
      <w:bookmarkEnd w:id="677"/>
      <w:bookmarkEnd w:id="678"/>
      <w:bookmarkEnd w:id="679"/>
      <w:bookmarkEnd w:id="680"/>
      <w:bookmarkEnd w:id="681"/>
      <w:bookmarkEnd w:id="682"/>
      <w:bookmarkEnd w:id="683"/>
      <w:bookmarkEnd w:id="684"/>
      <w:bookmarkEnd w:id="685"/>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86" w:name="_Toc26624"/>
      <w:bookmarkStart w:id="687" w:name="_Toc12157"/>
      <w:bookmarkStart w:id="688" w:name="_Toc1934"/>
      <w:bookmarkStart w:id="689" w:name="_Toc18328"/>
      <w:bookmarkStart w:id="690" w:name="_Toc12371"/>
      <w:bookmarkStart w:id="691" w:name="_Toc21698"/>
      <w:bookmarkStart w:id="692" w:name="_Toc23299"/>
      <w:bookmarkStart w:id="693" w:name="_Toc1946"/>
      <w:bookmarkStart w:id="694" w:name="_Toc11539"/>
      <w:r>
        <w:rPr>
          <w:rFonts w:hint="default" w:ascii="Times New Roman" w:hAnsi="Times New Roman" w:eastAsia="仿宋_GB2312" w:cs="Times New Roman"/>
          <w:sz w:val="32"/>
          <w:szCs w:val="32"/>
        </w:rPr>
        <w:t>（二）75%乙醇消毒液：直接使用。</w:t>
      </w:r>
      <w:bookmarkEnd w:id="686"/>
      <w:bookmarkEnd w:id="687"/>
      <w:bookmarkEnd w:id="688"/>
      <w:bookmarkEnd w:id="689"/>
      <w:bookmarkEnd w:id="690"/>
      <w:bookmarkEnd w:id="691"/>
      <w:bookmarkEnd w:id="692"/>
      <w:bookmarkEnd w:id="693"/>
      <w:bookmarkEnd w:id="694"/>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95" w:name="_Toc12395"/>
      <w:bookmarkStart w:id="696" w:name="_Toc24597"/>
      <w:bookmarkStart w:id="697" w:name="_Toc315"/>
      <w:bookmarkStart w:id="698" w:name="_Toc20573"/>
      <w:bookmarkStart w:id="699" w:name="_Toc31769"/>
      <w:bookmarkStart w:id="700" w:name="_Toc5939"/>
      <w:bookmarkStart w:id="701" w:name="_Toc6944"/>
      <w:bookmarkStart w:id="702" w:name="_Toc13654"/>
      <w:bookmarkStart w:id="703" w:name="_Toc12851"/>
      <w:r>
        <w:rPr>
          <w:rFonts w:hint="default" w:ascii="Times New Roman" w:hAnsi="Times New Roman" w:eastAsia="仿宋_GB2312" w:cs="Times New Roman"/>
          <w:sz w:val="32"/>
          <w:szCs w:val="32"/>
        </w:rPr>
        <w:t>（三）其他消毒剂按产品标签标识以杀灭肠道致病菌的浓度进行配制和使用。</w:t>
      </w:r>
      <w:bookmarkEnd w:id="695"/>
      <w:bookmarkEnd w:id="696"/>
      <w:bookmarkEnd w:id="697"/>
      <w:bookmarkEnd w:id="698"/>
      <w:bookmarkEnd w:id="699"/>
      <w:bookmarkEnd w:id="700"/>
      <w:bookmarkEnd w:id="701"/>
      <w:bookmarkEnd w:id="702"/>
      <w:bookmarkEnd w:id="703"/>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四、注意事项</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（二）乙醇消毒液使用应远离火源。</w:t>
      </w: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outlineLvl w:val="9"/>
        <w:rPr>
          <w:rFonts w:hint="eastAsia" w:ascii="仿宋_GB2312" w:hAnsi="仿宋_GB2312" w:eastAsia="仿宋_GB2312" w:cs="仿宋_GB2312"/>
          <w:b w:val="0"/>
          <w:bCs/>
          <w:kern w:val="2"/>
          <w:sz w:val="32"/>
          <w:szCs w:val="32"/>
          <w:lang w:val="en-US" w:eastAsia="zh-CN" w:bidi="ar-SA"/>
        </w:rPr>
      </w:pPr>
      <w:bookmarkStart w:id="704" w:name="_Toc233645385"/>
      <w:bookmarkStart w:id="705" w:name="_Toc320795570"/>
      <w:bookmarkStart w:id="706" w:name="_Toc320776600"/>
      <w:r>
        <w:rPr>
          <w:rFonts w:hint="eastAsia" w:ascii="仿宋_GB2312" w:hAnsi="仿宋_GB2312" w:eastAsia="仿宋_GB2312" w:cs="仿宋_GB2312"/>
          <w:b w:val="0"/>
          <w:bCs/>
          <w:kern w:val="2"/>
          <w:sz w:val="32"/>
          <w:szCs w:val="32"/>
          <w:lang w:val="en-US" w:eastAsia="zh-CN" w:bidi="ar-SA"/>
        </w:rPr>
        <w:br w:type="page"/>
      </w:r>
    </w:p>
    <w:p>
      <w:pPr>
        <w:widowControl w:val="0"/>
        <w:spacing w:before="0" w:beforeLines="0" w:after="0" w:afterLines="0" w:line="600" w:lineRule="exact"/>
        <w:ind w:left="0" w:leftChars="0" w:right="67" w:rightChars="21" w:firstLine="0" w:firstLineChars="0"/>
        <w:jc w:val="left"/>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附件3</w:t>
      </w:r>
    </w:p>
    <w:p>
      <w:pPr>
        <w:outlineLvl w:val="9"/>
        <w:rPr>
          <w:rFonts w:hint="eastAsia" w:ascii="Times New Roman" w:hAnsi="Times New Roman" w:cs="Times New Roman"/>
        </w:rPr>
      </w:pPr>
    </w:p>
    <w:bookmarkEnd w:id="704"/>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公共交通工具新型冠状病毒感染的肺炎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bookmarkEnd w:id="705"/>
      <w:bookmarkEnd w:id="706"/>
    </w:p>
    <w:p>
      <w:pPr>
        <w:wordWrap/>
        <w:adjustRightInd/>
        <w:snapToGrid/>
        <w:spacing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rPr>
      </w:pPr>
    </w:p>
    <w:p>
      <w:pPr>
        <w:widowControl w:val="0"/>
        <w:numPr>
          <w:ilvl w:val="0"/>
          <w:numId w:val="21"/>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黑体" w:cs="Times New Roman"/>
          <w:snapToGrid w:val="0"/>
          <w:kern w:val="0"/>
          <w:sz w:val="32"/>
          <w:szCs w:val="32"/>
          <w:lang w:val="en-US" w:eastAsia="zh-CN"/>
        </w:rPr>
      </w:pPr>
      <w:r>
        <w:rPr>
          <w:rFonts w:hint="default" w:ascii="Times New Roman" w:hAnsi="Times New Roman" w:eastAsia="黑体" w:cs="Times New Roman"/>
          <w:snapToGrid w:val="0"/>
          <w:kern w:val="0"/>
          <w:sz w:val="32"/>
          <w:szCs w:val="32"/>
          <w:lang w:val="en-US" w:eastAsia="zh-CN"/>
        </w:rPr>
        <w:t>预防控制措施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（一）非空调车的车窗应尽量打开，保持车内良好通风状态；密闭的空调车要开启换气扇及空调排风装置，以增加空气流通。</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（二）保持车站、车厢内的卫生整洁，及时打扫卫生和清理垃圾。</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（三）司机和乘务人员要戴一次性口罩（每4小时换一次），在上车入口提供一次性口罩。</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（四）自觉有发热、咳嗽、乏力的人员建议不乘坐公共交通工具，普通乘客建议戴一次性口罩（每4小时换一次）。</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（五）增加车站、车厢内清洁消毒频次，指派专人进行清洁消毒工作的督导检查，做好清洁消毒工作记录和标识。</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六）司机等工作人员要实行健康监测，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（七）做好司乘人员工作与轮休安排，确保司乘人员得到足够休息。</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（八）加强健康教育。设置新型冠状病毒感染的肺炎相关防控知识宣传栏。利用各种显示屏宣传新型冠状病毒和冬春季传染病防控。</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二、日常清洁及预防性消毒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（一）表面：可使用含氯消毒剂（有效氯浓度250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（二）地面：可使用含氯消毒剂（有效氯浓度250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三、常见消毒剂及配制使用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07" w:name="_Toc28096"/>
      <w:bookmarkStart w:id="708" w:name="_Toc15796"/>
      <w:bookmarkStart w:id="709" w:name="_Toc2203"/>
      <w:bookmarkStart w:id="710" w:name="_Toc27721"/>
      <w:bookmarkStart w:id="711" w:name="_Toc9208"/>
      <w:bookmarkStart w:id="712" w:name="_Toc316"/>
      <w:bookmarkStart w:id="713" w:name="_Toc5046"/>
      <w:bookmarkStart w:id="714" w:name="_Toc28613"/>
      <w:bookmarkStart w:id="715" w:name="_Toc8671"/>
      <w:r>
        <w:rPr>
          <w:rFonts w:hint="default" w:ascii="Times New Roman" w:hAnsi="Times New Roman" w:eastAsia="仿宋_GB2312" w:cs="Times New Roman"/>
          <w:snapToGrid w:val="0"/>
          <w:kern w:val="0"/>
          <w:sz w:val="32"/>
          <w:szCs w:val="32"/>
        </w:rPr>
        <w:t>（一）有效氯浓度500 mg/L的含氯消毒剂配制方法：</w:t>
      </w:r>
      <w:bookmarkEnd w:id="707"/>
      <w:bookmarkEnd w:id="708"/>
      <w:bookmarkEnd w:id="709"/>
      <w:bookmarkEnd w:id="710"/>
      <w:bookmarkEnd w:id="711"/>
      <w:bookmarkEnd w:id="712"/>
      <w:bookmarkEnd w:id="713"/>
      <w:bookmarkEnd w:id="714"/>
      <w:bookmarkEnd w:id="715"/>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16" w:name="_Toc18188"/>
      <w:bookmarkStart w:id="717" w:name="_Toc26707"/>
      <w:bookmarkStart w:id="718" w:name="_Toc26744"/>
      <w:bookmarkStart w:id="719" w:name="_Toc28194"/>
      <w:bookmarkStart w:id="720" w:name="_Toc12487"/>
      <w:bookmarkStart w:id="721" w:name="_Toc18684"/>
      <w:bookmarkStart w:id="722" w:name="_Toc23584"/>
      <w:bookmarkStart w:id="723" w:name="_Toc29405"/>
      <w:bookmarkStart w:id="724" w:name="_Toc23178"/>
      <w:r>
        <w:rPr>
          <w:rFonts w:hint="default" w:ascii="Times New Roman" w:hAnsi="Times New Roman" w:eastAsia="仿宋_GB2312" w:cs="Times New Roman"/>
          <w:snapToGrid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84消毒液（有效氯含量5%）：按消毒液：水为1:100比例稀释；</w:t>
      </w:r>
      <w:bookmarkEnd w:id="716"/>
      <w:bookmarkEnd w:id="717"/>
      <w:bookmarkEnd w:id="718"/>
      <w:bookmarkEnd w:id="719"/>
      <w:bookmarkEnd w:id="720"/>
      <w:bookmarkEnd w:id="721"/>
      <w:bookmarkEnd w:id="722"/>
      <w:bookmarkEnd w:id="723"/>
      <w:bookmarkEnd w:id="724"/>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25" w:name="_Toc8169"/>
      <w:bookmarkStart w:id="726" w:name="_Toc7350"/>
      <w:bookmarkStart w:id="727" w:name="_Toc18453"/>
      <w:bookmarkStart w:id="728" w:name="_Toc23348"/>
      <w:bookmarkStart w:id="729" w:name="_Toc26824"/>
      <w:bookmarkStart w:id="730" w:name="_Toc23173"/>
      <w:bookmarkStart w:id="731" w:name="_Toc29486"/>
      <w:bookmarkStart w:id="732" w:name="_Toc10853"/>
      <w:bookmarkStart w:id="733" w:name="_Toc13591"/>
      <w:r>
        <w:rPr>
          <w:rFonts w:hint="default" w:ascii="Times New Roman" w:hAnsi="Times New Roman" w:eastAsia="仿宋_GB2312" w:cs="Times New Roman"/>
          <w:snapToGrid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消毒粉（有效氯含量12-13%，20克/包）：1包消毒粉加4.8升水；</w:t>
      </w:r>
      <w:bookmarkEnd w:id="725"/>
      <w:bookmarkEnd w:id="726"/>
      <w:bookmarkEnd w:id="727"/>
      <w:bookmarkEnd w:id="728"/>
      <w:bookmarkEnd w:id="729"/>
      <w:bookmarkEnd w:id="730"/>
      <w:bookmarkEnd w:id="731"/>
      <w:bookmarkEnd w:id="732"/>
      <w:bookmarkEnd w:id="733"/>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34" w:name="_Toc18539"/>
      <w:bookmarkStart w:id="735" w:name="_Toc29039"/>
      <w:bookmarkStart w:id="736" w:name="_Toc28410"/>
      <w:bookmarkStart w:id="737" w:name="_Toc24274"/>
      <w:bookmarkStart w:id="738" w:name="_Toc3678"/>
      <w:bookmarkStart w:id="739" w:name="_Toc30868"/>
      <w:bookmarkStart w:id="740" w:name="_Toc3123"/>
      <w:bookmarkStart w:id="741" w:name="_Toc6069"/>
      <w:bookmarkStart w:id="742" w:name="_Toc30025"/>
      <w:r>
        <w:rPr>
          <w:rFonts w:hint="default" w:ascii="Times New Roman" w:hAnsi="Times New Roman" w:eastAsia="仿宋_GB2312" w:cs="Times New Roman"/>
          <w:snapToGrid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含氯泡腾片（有效氯含量480mg/片-580mg/片）：1片溶于1升水。</w:t>
      </w:r>
      <w:bookmarkEnd w:id="734"/>
      <w:bookmarkEnd w:id="735"/>
      <w:bookmarkEnd w:id="736"/>
      <w:bookmarkEnd w:id="737"/>
      <w:bookmarkEnd w:id="738"/>
      <w:bookmarkEnd w:id="739"/>
      <w:bookmarkEnd w:id="740"/>
      <w:bookmarkEnd w:id="741"/>
      <w:bookmarkEnd w:id="742"/>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43" w:name="_Toc27784"/>
      <w:bookmarkStart w:id="744" w:name="_Toc27216"/>
      <w:bookmarkStart w:id="745" w:name="_Toc20258"/>
      <w:bookmarkStart w:id="746" w:name="_Toc9797"/>
      <w:bookmarkStart w:id="747" w:name="_Toc19294"/>
      <w:bookmarkStart w:id="748" w:name="_Toc4412"/>
      <w:bookmarkStart w:id="749" w:name="_Toc11210"/>
      <w:bookmarkStart w:id="750" w:name="_Toc63"/>
      <w:bookmarkStart w:id="751" w:name="_Toc24488"/>
      <w:r>
        <w:rPr>
          <w:rFonts w:hint="default" w:ascii="Times New Roman" w:hAnsi="Times New Roman" w:eastAsia="仿宋_GB2312" w:cs="Times New Roman"/>
          <w:snapToGrid w:val="0"/>
          <w:kern w:val="0"/>
          <w:sz w:val="32"/>
          <w:szCs w:val="32"/>
        </w:rPr>
        <w:t>（二）75%乙醇消毒液：直接使用。</w:t>
      </w:r>
      <w:bookmarkEnd w:id="743"/>
      <w:bookmarkEnd w:id="744"/>
      <w:bookmarkEnd w:id="745"/>
      <w:bookmarkEnd w:id="746"/>
      <w:bookmarkEnd w:id="747"/>
      <w:bookmarkEnd w:id="748"/>
      <w:bookmarkEnd w:id="749"/>
      <w:bookmarkEnd w:id="750"/>
      <w:bookmarkEnd w:id="751"/>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52" w:name="_Toc31675"/>
      <w:bookmarkStart w:id="753" w:name="_Toc12992"/>
      <w:bookmarkStart w:id="754" w:name="_Toc18584"/>
      <w:bookmarkStart w:id="755" w:name="_Toc2122"/>
      <w:bookmarkStart w:id="756" w:name="_Toc25145"/>
      <w:bookmarkStart w:id="757" w:name="_Toc18581"/>
      <w:bookmarkStart w:id="758" w:name="_Toc8373"/>
      <w:bookmarkStart w:id="759" w:name="_Toc4017"/>
      <w:bookmarkStart w:id="760" w:name="_Toc189"/>
      <w:r>
        <w:rPr>
          <w:rFonts w:hint="default" w:ascii="Times New Roman" w:hAnsi="Times New Roman" w:eastAsia="仿宋_GB2312" w:cs="Times New Roman"/>
          <w:snapToGrid w:val="0"/>
          <w:kern w:val="0"/>
          <w:sz w:val="32"/>
          <w:szCs w:val="32"/>
        </w:rPr>
        <w:t>（三）其他消毒剂按产品标签标识以杀灭肠道致病菌的浓度进行配制和使用。</w:t>
      </w:r>
      <w:bookmarkEnd w:id="752"/>
      <w:bookmarkEnd w:id="753"/>
      <w:bookmarkEnd w:id="754"/>
      <w:bookmarkEnd w:id="755"/>
      <w:bookmarkEnd w:id="756"/>
      <w:bookmarkEnd w:id="757"/>
      <w:bookmarkEnd w:id="758"/>
      <w:bookmarkEnd w:id="759"/>
      <w:bookmarkEnd w:id="760"/>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四、注意事项</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（二）乙醇消毒液使用应远离火源。</w:t>
      </w: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outlineLvl w:val="9"/>
        <w:rPr>
          <w:rFonts w:hint="eastAsia" w:ascii="仿宋_GB2312" w:hAnsi="仿宋_GB2312" w:eastAsia="仿宋_GB2312" w:cs="仿宋_GB2312"/>
          <w:sz w:val="32"/>
        </w:rPr>
      </w:pPr>
      <w:r>
        <w:rPr>
          <w:rFonts w:hint="eastAsia" w:ascii="仿宋_GB2312" w:hAnsi="仿宋_GB2312" w:eastAsia="仿宋_GB2312" w:cs="仿宋_GB2312"/>
          <w:sz w:val="32"/>
        </w:rPr>
        <w:br w:type="page"/>
      </w:r>
    </w:p>
    <w:p>
      <w:pPr>
        <w:widowControl w:val="0"/>
        <w:wordWrap/>
        <w:adjustRightInd/>
        <w:snapToGrid/>
        <w:spacing w:line="540" w:lineRule="exact"/>
        <w:ind w:left="0" w:leftChars="0" w:right="0" w:firstLine="0" w:firstLineChars="0"/>
        <w:jc w:val="left"/>
        <w:textAlignment w:val="auto"/>
        <w:outlineLvl w:val="9"/>
        <w:rPr>
          <w:rFonts w:hint="eastAsia" w:ascii="仿宋_GB2312" w:hAnsi="仿宋_GB2312" w:eastAsia="仿宋_GB2312" w:cs="仿宋_GB2312"/>
          <w:sz w:val="32"/>
        </w:rPr>
      </w:pPr>
      <w:r>
        <w:rPr>
          <w:rFonts w:hint="eastAsia" w:ascii="仿宋_GB2312" w:hAnsi="仿宋_GB2312" w:eastAsia="仿宋_GB2312" w:cs="仿宋_GB2312"/>
          <w:sz w:val="32"/>
        </w:rPr>
        <w:t>附件4</w:t>
      </w:r>
    </w:p>
    <w:p>
      <w:pPr>
        <w:widowControl w:val="0"/>
        <w:wordWrap/>
        <w:adjustRightInd/>
        <w:snapToGrid/>
        <w:spacing w:beforeLines="0" w:afterLines="0" w:line="540" w:lineRule="exact"/>
        <w:ind w:left="0" w:leftChars="0" w:right="0" w:firstLine="0" w:firstLineChars="0"/>
        <w:jc w:val="both"/>
        <w:textAlignment w:val="auto"/>
        <w:outlineLvl w:val="9"/>
        <w:rPr>
          <w:rFonts w:hint="default" w:ascii="Times New Roman" w:hAnsi="Times New Roman" w:eastAsia="黑体" w:cs="Times New Roman"/>
          <w:kern w:val="2"/>
          <w:sz w:val="32"/>
          <w:szCs w:val="24"/>
          <w:lang w:val="en-US" w:eastAsia="zh-CN" w:bidi="ar-SA"/>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火车站、高铁站、地铁站、汽车客运站、</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飞机场和港口码头新型冠状病毒感染的</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肺炎预防控制指引</w:t>
      </w:r>
    </w:p>
    <w:p>
      <w:pPr>
        <w:adjustRightInd w:val="0"/>
        <w:snapToGrid w:val="0"/>
        <w:spacing w:beforeLines="0" w:afterLines="0" w:line="600" w:lineRule="exact"/>
        <w:ind w:firstLine="640" w:firstLineChars="200"/>
        <w:outlineLvl w:val="9"/>
        <w:rPr>
          <w:rFonts w:hint="eastAsia" w:ascii="Times New Roman" w:hAnsi="Times New Roman" w:eastAsia="Times New Roman" w:cs="Times New Roman"/>
          <w:sz w:val="32"/>
        </w:rPr>
      </w:pP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为做好新型冠状病毒感染的肺炎疫情防控工作，最大程度减少新型冠状病毒对公众健康造成的危害，防止疫情通过火车站（含高铁站）、地铁站、汽车客运站、飞机场和港口码头传播，保障广大人民群众身体健康和生命安全，维护正常的运输生产秩序，特制订本消毒指引。</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一、通风换气，保持空气流通</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非空调公共交通等候室、购票厅等及公共交通工具的窗户应尽量打开，保持室（车）内良好的通风状态。</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密闭的空调等候室及公共交通工具可调节新风装置，加大新风量和换气量或开启换气扇以增加空气流通。对初效滤网应每周清洁消毒一次，可浸泡于有效氯含量为250mg/L～500mg/L的消毒液中30min后，用清水冲净晾干后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二、清理清洁，保持卫生整洁</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公共交通等候室、购票厅等公共交通服务场所及公共交通工具车厢内应保持卫生整洁，及时打扫卫生和清理垃圾。</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lang w:val="en-US" w:eastAsia="zh-CN" w:bidi="ar-SA"/>
        </w:rPr>
      </w:pP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黑体" w:cs="Times New Roman"/>
          <w:snapToGrid w:val="0"/>
          <w:kern w:val="0"/>
          <w:sz w:val="32"/>
          <w:szCs w:val="32"/>
        </w:rPr>
      </w:pPr>
      <w:r>
        <w:rPr>
          <w:rFonts w:hint="default" w:ascii="Times New Roman" w:hAnsi="Times New Roman" w:eastAsia="黑体" w:cs="Times New Roman"/>
          <w:snapToGrid w:val="0"/>
          <w:kern w:val="0"/>
          <w:sz w:val="32"/>
          <w:szCs w:val="32"/>
        </w:rPr>
        <w:t>三、加强设施设备配置</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（一）入口处使用快速红外体温探测仪对人员检测体温。</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（二）进出口处和洗手间要配备足够的洗手液，洗手间保证水龙头等供水设施正常工作。</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（三）在门口提供一次性口罩，供进入人员使用。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黑体" w:cs="Times New Roman"/>
          <w:snapToGrid w:val="0"/>
          <w:kern w:val="0"/>
          <w:sz w:val="32"/>
          <w:szCs w:val="32"/>
        </w:rPr>
      </w:pPr>
      <w:r>
        <w:rPr>
          <w:rFonts w:hint="default" w:ascii="Times New Roman" w:hAnsi="Times New Roman" w:eastAsia="黑体" w:cs="Times New Roman"/>
          <w:snapToGrid w:val="0"/>
          <w:kern w:val="0"/>
          <w:sz w:val="32"/>
          <w:szCs w:val="32"/>
        </w:rPr>
        <w:t>四、加强宣传教育</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设置新型冠状病毒感染的肺炎相关防控知识宣传栏。利用各种显示屏宣传新型冠状病毒和冬春季传染病防控。</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五、公共场所工作人员要实行健康监测</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建立工作人员体温监测登记本，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六、规范作业，重点部位擦拭消毒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对等候室和公共交通工具的高频接触部位，例如门把手、座椅扶手、电梯开关、电梯扶手、方向盘、地铁车厢内扶杆、掉环拉手等重点部位，应严格按以下消毒作业方法进行消毒。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七、增加频次，专人督导检查</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新型冠状病毒感染的肺炎疫情时期需增加等候室、临时隔离室和车厢内清洁消毒频次（至少每天一次），指派专人进行清洁消毒工作的检查，并做好清洁消毒工作记录和标识。</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八、消毒作业方法</w:t>
      </w:r>
    </w:p>
    <w:p>
      <w:pPr>
        <w:widowControl w:val="0"/>
        <w:wordWrap/>
        <w:adjustRightInd/>
        <w:snapToGrid/>
        <w:spacing w:beforeAutospacing="0" w:afterAutospacing="0" w:line="560" w:lineRule="exact"/>
        <w:ind w:left="0" w:leftChars="0" w:right="0" w:firstLine="640" w:firstLineChars="200"/>
        <w:textAlignment w:val="auto"/>
        <w:outlineLvl w:val="9"/>
        <w:rPr>
          <w:rFonts w:hint="eastAsia" w:ascii="楷体_GB2312" w:hAnsi="楷体_GB2312" w:eastAsia="楷体_GB2312" w:cs="楷体_GB2312"/>
          <w:snapToGrid w:val="0"/>
          <w:kern w:val="0"/>
          <w:sz w:val="32"/>
          <w:szCs w:val="32"/>
        </w:rPr>
      </w:pPr>
      <w:r>
        <w:rPr>
          <w:rFonts w:hint="eastAsia" w:ascii="楷体_GB2312" w:hAnsi="楷体_GB2312" w:eastAsia="楷体_GB2312" w:cs="楷体_GB2312"/>
          <w:snapToGrid w:val="0"/>
          <w:kern w:val="0"/>
          <w:sz w:val="32"/>
          <w:szCs w:val="32"/>
        </w:rPr>
        <w:t>（一）日常消毒</w:t>
      </w:r>
      <w:r>
        <w:rPr>
          <w:rFonts w:hint="eastAsia" w:ascii="楷体_GB2312" w:hAnsi="楷体_GB2312" w:eastAsia="楷体_GB2312" w:cs="楷体_GB2312"/>
          <w:snapToGrid w:val="0"/>
          <w:kern w:val="0"/>
          <w:sz w:val="32"/>
          <w:szCs w:val="32"/>
          <w:lang w:eastAsia="zh-CN"/>
        </w:rPr>
        <w:t>。</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由保洁人员进行，使用含氯消毒剂（有效氯浓度500 mg/L）擦拭重点部位，每天1次。</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楷体_GB2312" w:hAnsi="楷体_GB2312" w:eastAsia="楷体_GB2312" w:cs="楷体_GB2312"/>
          <w:snapToGrid w:val="0"/>
          <w:kern w:val="0"/>
          <w:sz w:val="32"/>
          <w:szCs w:val="32"/>
        </w:rPr>
      </w:pPr>
      <w:r>
        <w:rPr>
          <w:rFonts w:hint="default" w:ascii="楷体_GB2312" w:hAnsi="楷体_GB2312" w:eastAsia="楷体_GB2312" w:cs="楷体_GB2312"/>
          <w:snapToGrid w:val="0"/>
          <w:kern w:val="0"/>
          <w:sz w:val="32"/>
          <w:szCs w:val="32"/>
        </w:rPr>
        <w:t>（二）随时消毒</w:t>
      </w:r>
      <w:r>
        <w:rPr>
          <w:rFonts w:hint="default" w:ascii="楷体_GB2312" w:hAnsi="楷体_GB2312" w:eastAsia="楷体_GB2312" w:cs="楷体_GB2312"/>
          <w:snapToGrid w:val="0"/>
          <w:kern w:val="0"/>
          <w:sz w:val="32"/>
          <w:szCs w:val="32"/>
          <w:lang w:eastAsia="zh-CN"/>
        </w:rPr>
        <w:t>。</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公共交通工具在运营途中发现新型冠状病毒感染的肺炎疑似病例时，跟班工作人员在疾控部门指导下实施。</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消毒人员做好个人卫生防护，消毒完成后及时消毒双手。</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根据疾控部门的指导确定消毒范围，对疑似病例的生活用品（包括餐具、洗漱用品、痰罐等）、排泄物、呕吐物（含口鼻分泌物、脓液、痂皮等）等，用应急呕吐包覆盖包裹，或用干毛巾覆盖后喷洒10000mg/L含氯消毒剂至湿润；对疑似病例座位及其前后三排座位用有效氯1000mg/L-2000mg/L含氯消毒剂进行喷雾处理或2-3遍的擦拭消毒。具体方法由疾控中心对相关人员进行培训。</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卫生间消毒：可使用含氯消毒剂（有效氯浓度2000mg/L）喷雾（洒）消毒。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4</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填写并保存随时消毒处理记录（附表）。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楷体_GB2312" w:hAnsi="楷体_GB2312" w:eastAsia="楷体_GB2312" w:cs="楷体_GB2312"/>
          <w:snapToGrid w:val="0"/>
          <w:kern w:val="0"/>
          <w:sz w:val="32"/>
          <w:szCs w:val="32"/>
        </w:rPr>
      </w:pPr>
      <w:r>
        <w:rPr>
          <w:rFonts w:hint="default" w:ascii="楷体_GB2312" w:hAnsi="楷体_GB2312" w:eastAsia="楷体_GB2312" w:cs="楷体_GB2312"/>
          <w:snapToGrid w:val="0"/>
          <w:kern w:val="0"/>
          <w:sz w:val="32"/>
          <w:szCs w:val="32"/>
        </w:rPr>
        <w:t>（三）终末消毒</w:t>
      </w:r>
      <w:r>
        <w:rPr>
          <w:rFonts w:hint="default" w:ascii="楷体_GB2312" w:hAnsi="楷体_GB2312" w:eastAsia="楷体_GB2312" w:cs="楷体_GB2312"/>
          <w:snapToGrid w:val="0"/>
          <w:kern w:val="0"/>
          <w:sz w:val="32"/>
          <w:szCs w:val="32"/>
          <w:lang w:eastAsia="zh-CN"/>
        </w:rPr>
        <w:t>。</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该交通工具到达终点后，疾控部门按照《疫源地消毒总则》（GB 19193-2015）要求，在交通工具维护维修点或站台对病人曾就座的厢体实施终末消毒。</w:t>
      </w:r>
    </w:p>
    <w:p>
      <w:pPr>
        <w:widowControl w:val="0"/>
        <w:wordWrap/>
        <w:adjustRightInd/>
        <w:snapToGrid/>
        <w:spacing w:beforeLines="0" w:beforeAutospacing="0" w:afterLines="0" w:afterAutospacing="0" w:line="560" w:lineRule="exact"/>
        <w:ind w:left="0" w:leftChars="0" w:right="0" w:firstLine="0" w:firstLineChars="0"/>
        <w:jc w:val="center"/>
        <w:textAlignment w:val="auto"/>
        <w:outlineLvl w:val="9"/>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随时（应急）消毒工作记录</w:t>
      </w:r>
    </w:p>
    <w:p>
      <w:pPr>
        <w:widowControl w:val="0"/>
        <w:wordWrap/>
        <w:adjustRightInd/>
        <w:snapToGrid/>
        <w:spacing w:beforeLines="0" w:beforeAutospacing="0" w:afterLines="0" w:afterAutospacing="0" w:line="560" w:lineRule="exact"/>
        <w:ind w:firstLine="0" w:firstLineChars="0"/>
        <w:jc w:val="center"/>
        <w:textAlignment w:val="auto"/>
        <w:outlineLvl w:val="9"/>
        <w:rPr>
          <w:rFonts w:hint="eastAsia" w:ascii="Times New Roman" w:hAnsi="Times New Roman" w:eastAsia="Times New Roman" w:cs="Times New Roman"/>
          <w:kern w:val="2"/>
          <w:sz w:val="32"/>
          <w:szCs w:val="32"/>
          <w:lang w:val="en-US" w:eastAsia="zh-CN" w:bidi="ar-SA"/>
        </w:rPr>
      </w:pP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32"/>
          <w:szCs w:val="32"/>
          <w:u w:val="single"/>
        </w:rPr>
      </w:pPr>
      <w:r>
        <w:rPr>
          <w:rFonts w:hint="eastAsia" w:ascii="Times New Roman" w:hAnsi="Times New Roman" w:cs="Times New Roman"/>
          <w:sz w:val="32"/>
          <w:szCs w:val="32"/>
        </w:rPr>
        <w:t xml:space="preserve">班次 ：            组号 ：         </w:t>
      </w: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rPr>
        <w:t xml:space="preserve">    事由：</w:t>
      </w: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32"/>
          <w:szCs w:val="32"/>
          <w:u w:val="single"/>
        </w:rPr>
      </w:pPr>
      <w:r>
        <w:rPr>
          <w:rFonts w:hint="eastAsia" w:ascii="Times New Roman" w:hAnsi="Times New Roman" w:cs="Times New Roman"/>
          <w:sz w:val="32"/>
          <w:szCs w:val="32"/>
        </w:rPr>
        <w:t xml:space="preserve">通知单位：         通知人：        </w:t>
      </w: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rPr>
        <w:t xml:space="preserve">    通知时间：</w:t>
      </w: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32"/>
          <w:szCs w:val="32"/>
          <w:u w:val="single"/>
        </w:rPr>
      </w:pPr>
      <w:r>
        <w:rPr>
          <w:rFonts w:hint="eastAsia" w:ascii="Times New Roman" w:hAnsi="Times New Roman" w:cs="Times New Roman"/>
          <w:sz w:val="32"/>
          <w:szCs w:val="32"/>
        </w:rPr>
        <w:t xml:space="preserve">接报人：                           </w:t>
      </w: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rPr>
        <w:t xml:space="preserve">    接报时间：</w:t>
      </w: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32"/>
          <w:szCs w:val="32"/>
          <w:u w:val="single"/>
        </w:rPr>
      </w:pPr>
      <w:r>
        <w:rPr>
          <w:rFonts w:hint="eastAsia" w:ascii="Times New Roman" w:hAnsi="Times New Roman" w:cs="Times New Roman"/>
          <w:sz w:val="32"/>
          <w:szCs w:val="32"/>
        </w:rPr>
        <w:t xml:space="preserve">消毒位置：     </w:t>
      </w: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rPr>
        <w:t xml:space="preserve">   车厢号：             疑似病例座位号：</w:t>
      </w: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28"/>
        </w:rPr>
      </w:pPr>
      <w:r>
        <w:rPr>
          <w:rFonts w:hint="eastAsia" w:ascii="Times New Roman" w:hAnsi="Times New Roman" w:cs="Times New Roman"/>
          <w:sz w:val="32"/>
          <w:szCs w:val="32"/>
        </w:rPr>
        <w:t>前后三排座位号：</w:t>
      </w:r>
    </w:p>
    <w:tbl>
      <w:tblPr>
        <w:tblStyle w:val="20"/>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690"/>
        <w:gridCol w:w="1963"/>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1" w:type="dxa"/>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center"/>
              <w:textAlignment w:val="auto"/>
              <w:outlineLvl w:val="9"/>
              <w:rPr>
                <w:rFonts w:hint="eastAsia" w:ascii="Times New Roman" w:hAnsi="Times New Roman" w:eastAsia="Times New Roman" w:cs="Times New Roman"/>
                <w:sz w:val="24"/>
              </w:rPr>
            </w:pPr>
            <w:r>
              <w:rPr>
                <w:rFonts w:hint="eastAsia" w:ascii="Times New Roman" w:hAnsi="宋体" w:cs="Times New Roman"/>
                <w:sz w:val="24"/>
              </w:rPr>
              <w:t>消毒起止时间</w:t>
            </w:r>
          </w:p>
        </w:tc>
        <w:tc>
          <w:tcPr>
            <w:tcW w:w="1690" w:type="dxa"/>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center"/>
              <w:textAlignment w:val="auto"/>
              <w:outlineLvl w:val="9"/>
              <w:rPr>
                <w:rFonts w:hint="eastAsia" w:ascii="Times New Roman" w:hAnsi="Times New Roman" w:eastAsia="Times New Roman" w:cs="Times New Roman"/>
                <w:sz w:val="24"/>
              </w:rPr>
            </w:pPr>
            <w:r>
              <w:rPr>
                <w:rFonts w:hint="eastAsia" w:ascii="Times New Roman" w:hAnsi="宋体" w:cs="Times New Roman"/>
                <w:sz w:val="24"/>
              </w:rPr>
              <w:t>对象</w:t>
            </w:r>
          </w:p>
        </w:tc>
        <w:tc>
          <w:tcPr>
            <w:tcW w:w="1963" w:type="dxa"/>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center"/>
              <w:textAlignment w:val="auto"/>
              <w:outlineLvl w:val="9"/>
              <w:rPr>
                <w:rFonts w:hint="eastAsia" w:ascii="Times New Roman" w:hAnsi="Times New Roman" w:eastAsia="Times New Roman" w:cs="Times New Roman"/>
                <w:sz w:val="24"/>
              </w:rPr>
            </w:pPr>
            <w:r>
              <w:rPr>
                <w:rFonts w:hint="eastAsia" w:ascii="Times New Roman" w:hAnsi="宋体" w:cs="Times New Roman"/>
                <w:sz w:val="24"/>
              </w:rPr>
              <w:t>消毒配制</w:t>
            </w:r>
          </w:p>
        </w:tc>
        <w:tc>
          <w:tcPr>
            <w:tcW w:w="3626" w:type="dxa"/>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center"/>
              <w:textAlignment w:val="auto"/>
              <w:outlineLvl w:val="9"/>
              <w:rPr>
                <w:rFonts w:hint="eastAsia" w:ascii="Times New Roman" w:hAnsi="Times New Roman" w:eastAsia="Times New Roman" w:cs="Times New Roman"/>
                <w:sz w:val="24"/>
              </w:rPr>
            </w:pPr>
            <w:r>
              <w:rPr>
                <w:rFonts w:hint="eastAsia" w:ascii="Times New Roman" w:hAnsi="宋体" w:cs="Times New Roman"/>
                <w:sz w:val="24"/>
              </w:rPr>
              <w:t>消毒方法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1"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时分</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至时分</w:t>
            </w:r>
          </w:p>
        </w:tc>
        <w:tc>
          <w:tcPr>
            <w:tcW w:w="169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地面</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车厢壁</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物体表面</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w:t>
            </w:r>
            <w:r>
              <w:rPr>
                <w:rFonts w:hint="eastAsia" w:ascii="Times New Roman" w:hAnsi="Times New Roman" w:eastAsia="Times New Roman" w:cs="Times New Roman"/>
                <w:sz w:val="21"/>
              </w:rPr>
              <w:t xml:space="preserve"> </w:t>
            </w:r>
            <w:r>
              <w:rPr>
                <w:rFonts w:hint="eastAsia" w:ascii="Times New Roman" w:hAnsi="宋体" w:eastAsia="宋体" w:cs="Times New Roman"/>
                <w:sz w:val="21"/>
              </w:rPr>
              <w:t>）</w:t>
            </w: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28"/>
              </w:rPr>
            </w:pPr>
            <w:r>
              <w:rPr>
                <w:rFonts w:hint="eastAsia" w:ascii="Times New Roman" w:hAnsi="Times New Roman" w:eastAsia="Times New Roman" w:cs="Times New Roman"/>
                <w:sz w:val="22"/>
              </w:rPr>
              <w:t>1</w:t>
            </w:r>
            <w:r>
              <w:rPr>
                <w:rFonts w:hint="eastAsia" w:ascii="Times New Roman" w:hAnsi="宋体" w:cs="Times New Roman"/>
                <w:sz w:val="22"/>
              </w:rPr>
              <w:t>包消毒粉</w:t>
            </w:r>
            <w:r>
              <w:rPr>
                <w:rFonts w:hint="eastAsia" w:ascii="Times New Roman" w:hAnsi="Times New Roman" w:eastAsia="Times New Roman" w:cs="Times New Roman"/>
                <w:sz w:val="22"/>
              </w:rPr>
              <w:t>+4.8</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□500mg/L</w:t>
            </w:r>
            <w:r>
              <w:rPr>
                <w:rFonts w:hint="eastAsia" w:ascii="Times New Roman" w:hAnsi="Times New Roman" w:cs="Times New Roman"/>
                <w:sz w:val="22"/>
              </w:rPr>
              <w:t>含氯消毒剂</w:t>
            </w:r>
          </w:p>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w:t>
            </w:r>
            <w:r>
              <w:rPr>
                <w:rFonts w:hint="eastAsia" w:ascii="Times New Roman" w:hAnsi="Times New Roman" w:cs="Times New Roman"/>
                <w:sz w:val="22"/>
              </w:rPr>
              <w:t>擦拭□喷洒消毒60分钟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21"/>
              </w:rPr>
            </w:pPr>
          </w:p>
        </w:tc>
        <w:tc>
          <w:tcPr>
            <w:tcW w:w="169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28"/>
              </w:rPr>
            </w:pPr>
            <w:r>
              <w:rPr>
                <w:rFonts w:hint="eastAsia" w:ascii="Times New Roman" w:hAnsi="Times New Roman" w:eastAsia="Times New Roman" w:cs="Times New Roman"/>
                <w:sz w:val="22"/>
              </w:rPr>
              <w:t>1</w:t>
            </w:r>
            <w:r>
              <w:rPr>
                <w:rFonts w:hint="eastAsia" w:ascii="Times New Roman" w:hAnsi="宋体" w:cs="Times New Roman"/>
                <w:sz w:val="22"/>
              </w:rPr>
              <w:t>包消毒粉</w:t>
            </w:r>
            <w:r>
              <w:rPr>
                <w:rFonts w:hint="eastAsia" w:ascii="Times New Roman" w:hAnsi="Times New Roman" w:eastAsia="Times New Roman" w:cs="Times New Roman"/>
                <w:sz w:val="22"/>
              </w:rPr>
              <w:t>+2.4</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□1000mg/L</w:t>
            </w:r>
            <w:r>
              <w:rPr>
                <w:rFonts w:hint="eastAsia" w:ascii="Times New Roman" w:hAnsi="Times New Roman" w:cs="Times New Roman"/>
                <w:sz w:val="22"/>
              </w:rPr>
              <w:t>含氯消毒剂</w:t>
            </w:r>
          </w:p>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w:t>
            </w:r>
            <w:r>
              <w:rPr>
                <w:rFonts w:hint="eastAsia" w:ascii="Times New Roman" w:hAnsi="Times New Roman" w:cs="Times New Roman"/>
                <w:sz w:val="22"/>
              </w:rPr>
              <w:t>擦拭  □喷洒消毒60分钟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1781"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时分</w:t>
            </w:r>
          </w:p>
          <w:p>
            <w:pPr>
              <w:widowControl w:val="0"/>
              <w:wordWrap/>
              <w:spacing w:line="400" w:lineRule="exact"/>
              <w:ind w:right="0"/>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至时分</w:t>
            </w:r>
          </w:p>
        </w:tc>
        <w:tc>
          <w:tcPr>
            <w:tcW w:w="169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宋体" w:eastAsia="宋体"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座位</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卫生间</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其他（</w:t>
            </w:r>
            <w:r>
              <w:rPr>
                <w:rFonts w:hint="eastAsia" w:ascii="Times New Roman" w:hAnsi="Times New Roman" w:eastAsia="Times New Roman" w:cs="Times New Roman"/>
                <w:sz w:val="21"/>
              </w:rPr>
              <w:t xml:space="preserve"> </w:t>
            </w:r>
            <w:r>
              <w:rPr>
                <w:rFonts w:hint="eastAsia" w:ascii="Times New Roman" w:hAnsi="宋体" w:eastAsia="宋体" w:cs="Times New Roman"/>
                <w:sz w:val="21"/>
              </w:rPr>
              <w:t>）</w:t>
            </w: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32"/>
              </w:rPr>
            </w:pPr>
            <w:r>
              <w:rPr>
                <w:rFonts w:hint="eastAsia" w:ascii="Times New Roman" w:hAnsi="Times New Roman" w:eastAsia="Times New Roman" w:cs="Times New Roman"/>
                <w:sz w:val="22"/>
              </w:rPr>
              <w:t>2</w:t>
            </w:r>
            <w:r>
              <w:rPr>
                <w:rFonts w:hint="eastAsia" w:ascii="Times New Roman" w:hAnsi="宋体" w:cs="Times New Roman"/>
                <w:sz w:val="22"/>
              </w:rPr>
              <w:t>包消毒粉</w:t>
            </w:r>
            <w:r>
              <w:rPr>
                <w:rFonts w:hint="eastAsia" w:ascii="Times New Roman" w:hAnsi="Times New Roman" w:eastAsia="Times New Roman" w:cs="Times New Roman"/>
                <w:sz w:val="22"/>
              </w:rPr>
              <w:t>+2.4</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□2000mg/L</w:t>
            </w:r>
            <w:r>
              <w:rPr>
                <w:rFonts w:hint="eastAsia" w:ascii="Times New Roman" w:hAnsi="Times New Roman" w:cs="Times New Roman"/>
                <w:sz w:val="22"/>
              </w:rPr>
              <w:t>含氯消毒剂</w:t>
            </w:r>
          </w:p>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w:t>
            </w:r>
            <w:r>
              <w:rPr>
                <w:rFonts w:hint="eastAsia" w:ascii="Times New Roman" w:hAnsi="Times New Roman" w:cs="Times New Roman"/>
                <w:sz w:val="22"/>
              </w:rPr>
              <w:t>擦拭  □喷洒消毒60分钟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21"/>
              </w:rPr>
            </w:pPr>
          </w:p>
        </w:tc>
        <w:tc>
          <w:tcPr>
            <w:tcW w:w="169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呕吐物、稀便</w:t>
            </w: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32"/>
              </w:rPr>
            </w:pPr>
            <w:r>
              <w:rPr>
                <w:rFonts w:hint="eastAsia" w:ascii="Times New Roman" w:hAnsi="Times New Roman" w:eastAsia="Times New Roman" w:cs="Times New Roman"/>
                <w:sz w:val="22"/>
              </w:rPr>
              <w:t>10</w:t>
            </w:r>
            <w:r>
              <w:rPr>
                <w:rFonts w:hint="eastAsia" w:ascii="Times New Roman" w:hAnsi="宋体" w:cs="Times New Roman"/>
                <w:sz w:val="22"/>
              </w:rPr>
              <w:t>包消毒粉</w:t>
            </w:r>
            <w:r>
              <w:rPr>
                <w:rFonts w:hint="eastAsia" w:ascii="Times New Roman" w:hAnsi="Times New Roman" w:eastAsia="Times New Roman" w:cs="Times New Roman"/>
                <w:sz w:val="22"/>
              </w:rPr>
              <w:t>+2.4</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□10000mg/L</w:t>
            </w:r>
            <w:r>
              <w:rPr>
                <w:rFonts w:hint="eastAsia" w:ascii="Times New Roman" w:hAnsi="Times New Roman" w:cs="Times New Roman"/>
                <w:sz w:val="22"/>
              </w:rPr>
              <w:t>含氯消毒剂按粪、药比例1:2搅匀，消毒2小时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1"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时分</w:t>
            </w:r>
          </w:p>
          <w:p>
            <w:pPr>
              <w:widowControl w:val="0"/>
              <w:wordWrap/>
              <w:spacing w:line="400" w:lineRule="exact"/>
              <w:ind w:right="0"/>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至时分</w:t>
            </w:r>
          </w:p>
        </w:tc>
        <w:tc>
          <w:tcPr>
            <w:tcW w:w="169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衣服、纺织品</w:t>
            </w: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32"/>
              </w:rPr>
            </w:pPr>
            <w:r>
              <w:rPr>
                <w:rFonts w:hint="eastAsia" w:ascii="Times New Roman" w:hAnsi="Times New Roman" w:eastAsia="Times New Roman" w:cs="Times New Roman"/>
                <w:sz w:val="22"/>
              </w:rPr>
              <w:t>1</w:t>
            </w:r>
            <w:r>
              <w:rPr>
                <w:rFonts w:hint="eastAsia" w:ascii="Times New Roman" w:hAnsi="宋体" w:cs="Times New Roman"/>
                <w:sz w:val="22"/>
              </w:rPr>
              <w:t>包消毒粉</w:t>
            </w:r>
            <w:r>
              <w:rPr>
                <w:rFonts w:hint="eastAsia" w:ascii="Times New Roman" w:hAnsi="Times New Roman" w:eastAsia="Times New Roman" w:cs="Times New Roman"/>
                <w:sz w:val="22"/>
              </w:rPr>
              <w:t>+4.8</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□500mg/L</w:t>
            </w:r>
            <w:r>
              <w:rPr>
                <w:rFonts w:hint="eastAsia" w:ascii="Times New Roman" w:hAnsi="Times New Roman" w:cs="Times New Roman"/>
                <w:sz w:val="22"/>
              </w:rPr>
              <w:t>含氯消毒剂浸泡，消毒30分钟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1" w:hRule="atLeast"/>
          <w:jc w:val="center"/>
        </w:trPr>
        <w:tc>
          <w:tcPr>
            <w:tcW w:w="9060" w:type="dxa"/>
            <w:gridSpan w:val="4"/>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left"/>
              <w:textAlignment w:val="auto"/>
              <w:outlineLvl w:val="9"/>
              <w:rPr>
                <w:rFonts w:hint="eastAsia" w:ascii="Times New Roman" w:hAnsi="Times New Roman" w:eastAsia="Times New Roman" w:cs="Times New Roman"/>
                <w:sz w:val="28"/>
              </w:rPr>
            </w:pPr>
            <w:r>
              <w:rPr>
                <w:rFonts w:hint="eastAsia" w:ascii="Times New Roman" w:hAnsi="宋体" w:cs="Times New Roman"/>
                <w:sz w:val="28"/>
              </w:rPr>
              <w:t>交通工具运行状态：</w:t>
            </w:r>
          </w:p>
        </w:tc>
      </w:tr>
    </w:tbl>
    <w:p>
      <w:pPr>
        <w:widowControl w:val="0"/>
        <w:wordWrap/>
        <w:spacing w:line="400" w:lineRule="exact"/>
        <w:ind w:right="0"/>
        <w:textAlignment w:val="auto"/>
        <w:outlineLvl w:val="9"/>
        <w:rPr>
          <w:rFonts w:hint="eastAsia" w:ascii="Times New Roman" w:hAnsi="Times New Roman" w:eastAsia="Times New Roman" w:cs="Times New Roman"/>
          <w:sz w:val="24"/>
          <w:u w:val="single"/>
        </w:rPr>
      </w:pPr>
      <w:r>
        <w:rPr>
          <w:rFonts w:hint="eastAsia" w:ascii="Times New Roman" w:hAnsi="宋体" w:cs="Times New Roman"/>
          <w:sz w:val="24"/>
        </w:rPr>
        <w:t>消毒人员：</w:t>
      </w:r>
    </w:p>
    <w:p>
      <w:pPr>
        <w:widowControl w:val="0"/>
        <w:wordWrap/>
        <w:spacing w:line="400" w:lineRule="exact"/>
        <w:ind w:right="0"/>
        <w:textAlignment w:val="auto"/>
        <w:outlineLvl w:val="9"/>
        <w:rPr>
          <w:rFonts w:hint="eastAsia" w:ascii="Times New Roman" w:hAnsi="Times New Roman" w:eastAsia="Times New Roman" w:cs="Times New Roman"/>
          <w:sz w:val="24"/>
          <w:u w:val="single"/>
        </w:rPr>
      </w:pPr>
      <w:r>
        <w:rPr>
          <w:rFonts w:hint="eastAsia" w:ascii="Times New Roman" w:hAnsi="宋体" w:cs="Times New Roman"/>
          <w:sz w:val="24"/>
        </w:rPr>
        <w:t>交表日期：收表人：</w:t>
      </w:r>
    </w:p>
    <w:p>
      <w:pPr>
        <w:widowControl w:val="0"/>
        <w:wordWrap/>
        <w:spacing w:line="400" w:lineRule="exact"/>
        <w:ind w:right="0"/>
        <w:textAlignment w:val="auto"/>
        <w:outlineLvl w:val="9"/>
        <w:rPr>
          <w:rFonts w:hint="eastAsia" w:ascii="Times New Roman" w:hAnsi="Times New Roman" w:eastAsia="Times New Roman" w:cs="Times New Roman"/>
          <w:sz w:val="28"/>
        </w:rPr>
      </w:pPr>
      <w:r>
        <w:rPr>
          <w:rFonts w:hint="eastAsia" w:ascii="Times New Roman" w:hAnsi="宋体" w:cs="Times New Roman"/>
          <w:sz w:val="24"/>
        </w:rPr>
        <w:t>注：以上含氯消毒剂浓度配制以有效氯含量</w:t>
      </w:r>
      <w:r>
        <w:rPr>
          <w:rFonts w:hint="eastAsia" w:ascii="Times New Roman" w:hAnsi="Times New Roman" w:eastAsia="Times New Roman" w:cs="Times New Roman"/>
          <w:sz w:val="24"/>
        </w:rPr>
        <w:t>12-13%</w:t>
      </w:r>
      <w:r>
        <w:rPr>
          <w:rFonts w:hint="eastAsia" w:ascii="Times New Roman" w:hAnsi="宋体" w:cs="Times New Roman"/>
          <w:sz w:val="24"/>
        </w:rPr>
        <w:t>，</w:t>
      </w:r>
      <w:r>
        <w:rPr>
          <w:rFonts w:hint="eastAsia" w:ascii="Times New Roman" w:hAnsi="Times New Roman" w:eastAsia="Times New Roman" w:cs="Times New Roman"/>
          <w:sz w:val="24"/>
        </w:rPr>
        <w:t>20</w:t>
      </w:r>
      <w:r>
        <w:rPr>
          <w:rFonts w:hint="eastAsia" w:ascii="Times New Roman" w:hAnsi="宋体" w:cs="Times New Roman"/>
          <w:sz w:val="24"/>
        </w:rPr>
        <w:t>克</w:t>
      </w:r>
      <w:r>
        <w:rPr>
          <w:rFonts w:hint="eastAsia" w:ascii="Times New Roman" w:hAnsi="Times New Roman" w:eastAsia="Times New Roman" w:cs="Times New Roman"/>
          <w:sz w:val="24"/>
        </w:rPr>
        <w:t>/</w:t>
      </w:r>
      <w:r>
        <w:rPr>
          <w:rFonts w:hint="eastAsia" w:ascii="Times New Roman" w:hAnsi="宋体" w:cs="Times New Roman"/>
          <w:sz w:val="24"/>
        </w:rPr>
        <w:t>包的含氯消毒粉为例。</w:t>
      </w:r>
    </w:p>
    <w:p>
      <w:pPr>
        <w:outlineLvl w:val="9"/>
        <w:rPr>
          <w:rFonts w:ascii="Times New Roman" w:hAnsi="Times New Roman" w:cs="Times New Roman"/>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p>
      <w:pPr>
        <w:widowControl w:val="0"/>
        <w:wordWrap/>
        <w:adjustRightInd/>
        <w:snapToGrid/>
        <w:spacing w:line="560" w:lineRule="exact"/>
        <w:ind w:left="0" w:leftChars="0" w:right="0" w:firstLine="0" w:firstLineChars="0"/>
        <w:textAlignment w:val="auto"/>
        <w:outlineLvl w:val="9"/>
        <w:rPr>
          <w:rFonts w:hint="eastAsia" w:ascii="宋体" w:hAnsi="宋体" w:eastAsia="宋体" w:cs="宋体"/>
          <w:sz w:val="32"/>
          <w:szCs w:val="32"/>
        </w:rPr>
      </w:pPr>
      <w:r>
        <w:rPr>
          <w:rFonts w:hint="eastAsia" w:ascii="宋体" w:hAnsi="宋体" w:eastAsia="宋体" w:cs="宋体"/>
          <w:sz w:val="32"/>
          <w:szCs w:val="32"/>
        </w:rPr>
        <w:t>附件5</w:t>
      </w:r>
    </w:p>
    <w:p>
      <w:pPr>
        <w:widowControl w:val="0"/>
        <w:wordWrap/>
        <w:adjustRightInd/>
        <w:snapToGrid/>
        <w:spacing w:beforeLines="0" w:afterLines="0" w:line="560" w:lineRule="exact"/>
        <w:ind w:left="0" w:leftChars="0" w:right="0" w:firstLine="0" w:firstLineChars="0"/>
        <w:jc w:val="both"/>
        <w:textAlignment w:val="auto"/>
        <w:outlineLvl w:val="9"/>
        <w:rPr>
          <w:rFonts w:hint="default" w:ascii="仿宋_GB2312" w:hAnsi="宋体" w:eastAsia="仿宋_GB2312" w:cs="Times New Roman"/>
          <w:kern w:val="2"/>
          <w:sz w:val="32"/>
          <w:szCs w:val="24"/>
          <w:lang w:val="en-US" w:eastAsia="zh-CN" w:bidi="ar-SA"/>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小学及托幼机构新型冠状病毒感染的肺炎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p>
    <w:p>
      <w:pPr>
        <w:wordWrap/>
        <w:adjustRightInd/>
        <w:snapToGrid/>
        <w:spacing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rPr>
      </w:pP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黑体" w:cs="Times New Roman"/>
          <w:snapToGrid w:val="0"/>
          <w:spacing w:val="0"/>
          <w:kern w:val="0"/>
          <w:sz w:val="32"/>
          <w:szCs w:val="32"/>
          <w:lang w:val="en-US" w:eastAsia="zh-CN"/>
        </w:rPr>
        <w:t>一、日常预防控制工作</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（一）根据教育行政部门的部署，制定本单位传染病防控应急预案，建立领导责任制。并将责任分解到部门、单位和个人。</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（二）每学年开学后应即组织校医、园医或负责学校和托幼机构卫生工作的人员学习冬春季呼吸道传染病防控知识。</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（三）落实晨检制度，发现发热、咳嗽等呼吸道症状的学生和幼儿，立即电话通知其家长领返回家，尽早到医院或社区卫生服务中心就诊治疗。</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（四）做好因病缺勤及病因登记追踪制度，发现呼吸道传染病病例异常增多要及时报告当地疾病预防控制机构和教育行政部门。</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五）加强各类学习、生活、娱乐、工作场所（如教室、音乐室、舞蹈室、阅览室、保育室、宿舍、教研室）的卫生与通风，保持空气流通，保持室内外环境卫生整洁。公共上课场所（如音乐室、舞蹈室、电脑室）要求一批学生进去消毒一次。</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（六）加强师生健康知识教育，教育学生打喷嚏时要主动掩住口鼻，及时洗手，提高防病意识。</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（七）落实手部卫生，设置充足的洗手水龙头，配备洗手液或肥皂供师生使用，托幼机构由保育员每日落实幼儿勤洗手，推行六步洗手法。</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（八）在冬春呼吸道传染病的流行季节，集体性活动尽量安排在室外进行。</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spacing w:val="0"/>
          <w:kern w:val="0"/>
          <w:sz w:val="32"/>
          <w:szCs w:val="32"/>
          <w:lang w:val="en-US" w:eastAsia="zh-CN"/>
        </w:rPr>
      </w:pPr>
      <w:r>
        <w:rPr>
          <w:rFonts w:hint="default" w:ascii="Times New Roman" w:hAnsi="Times New Roman" w:eastAsia="黑体" w:cs="Times New Roman"/>
          <w:snapToGrid w:val="0"/>
          <w:spacing w:val="0"/>
          <w:kern w:val="0"/>
          <w:sz w:val="32"/>
          <w:szCs w:val="32"/>
          <w:lang w:val="en-US" w:eastAsia="zh-CN"/>
        </w:rPr>
        <w:t>二、出现发热、乏力、干咳及胸闷等</w:t>
      </w:r>
      <w:bookmarkStart w:id="761" w:name="_Hlk30575798"/>
      <w:r>
        <w:rPr>
          <w:rFonts w:hint="default" w:ascii="Times New Roman" w:hAnsi="Times New Roman" w:eastAsia="黑体" w:cs="Times New Roman"/>
          <w:snapToGrid w:val="0"/>
          <w:spacing w:val="0"/>
          <w:kern w:val="0"/>
          <w:sz w:val="32"/>
          <w:szCs w:val="32"/>
          <w:lang w:val="en-US" w:eastAsia="zh-CN"/>
        </w:rPr>
        <w:t>疑似</w:t>
      </w:r>
      <w:bookmarkEnd w:id="761"/>
      <w:r>
        <w:rPr>
          <w:rFonts w:hint="default" w:ascii="Times New Roman" w:hAnsi="Times New Roman" w:eastAsia="黑体" w:cs="Times New Roman"/>
          <w:snapToGrid w:val="0"/>
          <w:spacing w:val="0"/>
          <w:kern w:val="0"/>
          <w:sz w:val="32"/>
          <w:szCs w:val="32"/>
          <w:lang w:val="en-US" w:eastAsia="zh-CN"/>
        </w:rPr>
        <w:t>新型冠状病毒感染患者时</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除做好上述日常防控措施外，还须实施：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（一）疑似患者应立即戴上口罩就医。</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bookmarkStart w:id="762" w:name="_Hlk30575096"/>
      <w:r>
        <w:rPr>
          <w:rFonts w:hint="default" w:ascii="Times New Roman" w:hAnsi="Times New Roman" w:eastAsia="仿宋_GB2312" w:cs="Times New Roman"/>
          <w:snapToGrid w:val="0"/>
          <w:spacing w:val="0"/>
          <w:kern w:val="0"/>
          <w:sz w:val="32"/>
          <w:szCs w:val="32"/>
          <w:lang w:val="en-US" w:eastAsia="zh-CN"/>
        </w:rPr>
        <w:t>（二）尽快向当地疾病预防控制机构报告。</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bookmarkStart w:id="763" w:name="_Hlk30576305"/>
      <w:r>
        <w:rPr>
          <w:rFonts w:hint="default" w:ascii="Times New Roman" w:hAnsi="Times New Roman" w:eastAsia="仿宋_GB2312" w:cs="Times New Roman"/>
          <w:snapToGrid w:val="0"/>
          <w:spacing w:val="0"/>
          <w:kern w:val="0"/>
          <w:sz w:val="32"/>
          <w:szCs w:val="32"/>
          <w:lang w:val="en-US" w:eastAsia="zh-CN"/>
        </w:rPr>
        <w:t>（三）若被诊断为新型冠状病毒的肺炎患者，其密切接触者应接受14天隔离医学观察。</w:t>
      </w:r>
    </w:p>
    <w:bookmarkEnd w:id="762"/>
    <w:bookmarkEnd w:id="763"/>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（四）避免举办全校或全园性的室内集会等活动。</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（五）实施晨检和午检制度，发现发热、咳嗽等疑似新型冠状病毒感染症状立即电话其家长领返，尽早到医院或社区卫生服务中心诊治。</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（六）学校和托幼机构由专人负责与离校或离园的学生进行家访联系，了解其每日健康状况。</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（七）根据疾病预防控制机构的要求实行日报和零报告制度，掌握病例学生每日增减情况。</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（八）引导师生假期尽量不要前往疾病正在流行的地区，非去不可的要做好预防措施。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（九）学校要在当地疾病预防控制机构的指导下加强教室、寝室等的消毒与通风。配合卫生健康部门做好疫情处理等工作。</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bidi="ar-SA"/>
        </w:rPr>
      </w:pPr>
      <w:r>
        <w:rPr>
          <w:rFonts w:hint="default" w:ascii="Times New Roman" w:hAnsi="Times New Roman" w:eastAsia="仿宋_GB2312" w:cs="Times New Roman"/>
          <w:snapToGrid w:val="0"/>
          <w:spacing w:val="0"/>
          <w:kern w:val="0"/>
          <w:sz w:val="32"/>
          <w:szCs w:val="32"/>
          <w:lang w:val="en-US" w:eastAsia="zh-CN" w:bidi="ar-SA"/>
        </w:rPr>
        <w:t>（十）提前掌握学生假期有无到过疫区，如到过疫区，还没返粤的，请其推迟返粤时间。如已返粤的，请其到隔离留验场所隔离自离开疫区14天。</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三、日常清洁及预防性消毒</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eastAsia" w:ascii="楷体_GB2312" w:hAnsi="楷体_GB2312" w:eastAsia="楷体_GB2312" w:cs="楷体_GB2312"/>
          <w:snapToGrid w:val="0"/>
          <w:spacing w:val="0"/>
          <w:kern w:val="0"/>
          <w:sz w:val="32"/>
          <w:szCs w:val="32"/>
        </w:rPr>
        <w:t>（一）表面：</w:t>
      </w:r>
      <w:r>
        <w:rPr>
          <w:rFonts w:hint="default" w:ascii="Times New Roman" w:hAnsi="Times New Roman" w:eastAsia="仿宋_GB2312" w:cs="Times New Roman"/>
          <w:snapToGrid w:val="0"/>
          <w:spacing w:val="0"/>
          <w:kern w:val="0"/>
          <w:sz w:val="32"/>
          <w:szCs w:val="32"/>
        </w:rPr>
        <w:t>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rPr>
      </w:pPr>
      <w:r>
        <w:rPr>
          <w:rFonts w:hint="default" w:ascii="楷体_GB2312" w:hAnsi="楷体_GB2312" w:eastAsia="楷体_GB2312" w:cs="楷体_GB2312"/>
          <w:snapToGrid w:val="0"/>
          <w:spacing w:val="0"/>
          <w:kern w:val="0"/>
          <w:sz w:val="32"/>
          <w:szCs w:val="32"/>
        </w:rPr>
        <w:t>（二）地面：</w:t>
      </w:r>
      <w:r>
        <w:rPr>
          <w:rFonts w:hint="default" w:ascii="Times New Roman" w:hAnsi="Times New Roman" w:eastAsia="仿宋_GB2312" w:cs="Times New Roman"/>
          <w:snapToGrid w:val="0"/>
          <w:spacing w:val="0"/>
          <w:kern w:val="0"/>
          <w:sz w:val="32"/>
          <w:szCs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四、常见消毒剂及配制使用</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楷体_GB2312" w:hAnsi="楷体_GB2312" w:eastAsia="楷体_GB2312" w:cs="楷体_GB2312"/>
          <w:snapToGrid w:val="0"/>
          <w:spacing w:val="0"/>
          <w:kern w:val="0"/>
          <w:sz w:val="32"/>
          <w:szCs w:val="32"/>
        </w:rPr>
      </w:pPr>
      <w:r>
        <w:rPr>
          <w:rFonts w:hint="default" w:ascii="楷体_GB2312" w:hAnsi="楷体_GB2312" w:eastAsia="楷体_GB2312" w:cs="楷体_GB2312"/>
          <w:snapToGrid w:val="0"/>
          <w:spacing w:val="0"/>
          <w:kern w:val="0"/>
          <w:sz w:val="32"/>
          <w:szCs w:val="32"/>
        </w:rPr>
        <w:t>（一）有效氯浓度500 mg/L的含氯消毒剂配制方法：</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bookmarkStart w:id="764" w:name="_Toc5712"/>
      <w:bookmarkStart w:id="765" w:name="_Toc28722"/>
      <w:bookmarkStart w:id="766" w:name="_Toc8673"/>
      <w:bookmarkStart w:id="767" w:name="_Toc11599"/>
      <w:bookmarkStart w:id="768" w:name="_Toc13700"/>
      <w:bookmarkStart w:id="769" w:name="_Toc28312"/>
      <w:bookmarkStart w:id="770" w:name="_Toc10818"/>
      <w:bookmarkStart w:id="771" w:name="_Toc17367"/>
      <w:bookmarkStart w:id="772" w:name="_Toc7949"/>
      <w:r>
        <w:rPr>
          <w:rFonts w:hint="default" w:ascii="Times New Roman" w:hAnsi="Times New Roman" w:eastAsia="仿宋_GB2312" w:cs="Times New Roman"/>
          <w:snapToGrid w:val="0"/>
          <w:spacing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84消毒液（有效氯含量5%）：按消毒液：水为1:100比例稀释；</w:t>
      </w:r>
      <w:bookmarkEnd w:id="764"/>
      <w:bookmarkEnd w:id="765"/>
      <w:bookmarkEnd w:id="766"/>
      <w:bookmarkEnd w:id="767"/>
      <w:bookmarkEnd w:id="768"/>
      <w:bookmarkEnd w:id="769"/>
      <w:bookmarkEnd w:id="770"/>
      <w:bookmarkEnd w:id="771"/>
      <w:bookmarkEnd w:id="772"/>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bookmarkStart w:id="773" w:name="_Toc26831"/>
      <w:bookmarkStart w:id="774" w:name="_Toc15651"/>
      <w:bookmarkStart w:id="775" w:name="_Toc25927"/>
      <w:bookmarkStart w:id="776" w:name="_Toc86"/>
      <w:bookmarkStart w:id="777" w:name="_Toc26735"/>
      <w:bookmarkStart w:id="778" w:name="_Toc3898"/>
      <w:bookmarkStart w:id="779" w:name="_Toc633"/>
      <w:bookmarkStart w:id="780" w:name="_Toc20568"/>
      <w:bookmarkStart w:id="781" w:name="_Toc31896"/>
      <w:r>
        <w:rPr>
          <w:rFonts w:hint="default" w:ascii="Times New Roman" w:hAnsi="Times New Roman" w:eastAsia="仿宋_GB2312" w:cs="Times New Roman"/>
          <w:snapToGrid w:val="0"/>
          <w:spacing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消毒粉（有效氯含量12-13%，20克/包）：1包消毒粉加4.8升水；</w:t>
      </w:r>
      <w:bookmarkEnd w:id="773"/>
      <w:bookmarkEnd w:id="774"/>
      <w:bookmarkEnd w:id="775"/>
      <w:bookmarkEnd w:id="776"/>
      <w:bookmarkEnd w:id="777"/>
      <w:bookmarkEnd w:id="778"/>
      <w:bookmarkEnd w:id="779"/>
      <w:bookmarkEnd w:id="780"/>
      <w:bookmarkEnd w:id="781"/>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bookmarkStart w:id="782" w:name="_Toc15180"/>
      <w:bookmarkStart w:id="783" w:name="_Toc13303"/>
      <w:bookmarkStart w:id="784" w:name="_Toc10418"/>
      <w:bookmarkStart w:id="785" w:name="_Toc9490"/>
      <w:bookmarkStart w:id="786" w:name="_Toc18621"/>
      <w:bookmarkStart w:id="787" w:name="_Toc1826"/>
      <w:bookmarkStart w:id="788" w:name="_Toc2564"/>
      <w:bookmarkStart w:id="789" w:name="_Toc13556"/>
      <w:bookmarkStart w:id="790" w:name="_Toc17841"/>
      <w:r>
        <w:rPr>
          <w:rFonts w:hint="default" w:ascii="Times New Roman" w:hAnsi="Times New Roman" w:eastAsia="仿宋_GB2312" w:cs="Times New Roman"/>
          <w:snapToGrid w:val="0"/>
          <w:spacing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含氯泡腾片（有效氯含量480mg/片-580mg/片）：1片溶于1升水。</w:t>
      </w:r>
      <w:bookmarkEnd w:id="782"/>
      <w:bookmarkEnd w:id="783"/>
      <w:bookmarkEnd w:id="784"/>
      <w:bookmarkEnd w:id="785"/>
      <w:bookmarkEnd w:id="786"/>
      <w:bookmarkEnd w:id="787"/>
      <w:bookmarkEnd w:id="788"/>
      <w:bookmarkEnd w:id="789"/>
      <w:bookmarkEnd w:id="790"/>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楷体_GB2312" w:hAnsi="楷体_GB2312" w:eastAsia="楷体_GB2312" w:cs="楷体_GB2312"/>
          <w:snapToGrid w:val="0"/>
          <w:spacing w:val="0"/>
          <w:kern w:val="0"/>
          <w:sz w:val="32"/>
          <w:szCs w:val="32"/>
        </w:rPr>
      </w:pPr>
      <w:r>
        <w:rPr>
          <w:rFonts w:hint="default" w:ascii="楷体_GB2312" w:hAnsi="楷体_GB2312" w:eastAsia="楷体_GB2312" w:cs="楷体_GB2312"/>
          <w:snapToGrid w:val="0"/>
          <w:spacing w:val="0"/>
          <w:kern w:val="0"/>
          <w:sz w:val="32"/>
          <w:szCs w:val="32"/>
        </w:rPr>
        <w:t>（二）75%乙醇消毒液：直接使用。</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rPr>
      </w:pPr>
      <w:bookmarkStart w:id="791" w:name="_Toc12282"/>
      <w:bookmarkStart w:id="792" w:name="_Toc19010"/>
      <w:bookmarkStart w:id="793" w:name="_Toc4095"/>
      <w:bookmarkStart w:id="794" w:name="_Toc27542"/>
      <w:bookmarkStart w:id="795" w:name="_Toc24647"/>
      <w:bookmarkStart w:id="796" w:name="_Toc9785"/>
      <w:bookmarkStart w:id="797" w:name="_Toc6404"/>
      <w:bookmarkStart w:id="798" w:name="_Toc14758"/>
      <w:bookmarkStart w:id="799" w:name="_Toc14613"/>
      <w:r>
        <w:rPr>
          <w:rFonts w:hint="default" w:ascii="Times New Roman" w:hAnsi="Times New Roman" w:eastAsia="仿宋_GB2312" w:cs="Times New Roman"/>
          <w:snapToGrid w:val="0"/>
          <w:spacing w:val="0"/>
          <w:kern w:val="0"/>
          <w:sz w:val="32"/>
          <w:szCs w:val="32"/>
        </w:rPr>
        <w:t>（三）其他消毒剂按产品标签标识以杀灭肠道致病菌的浓度进行配制和使用。</w:t>
      </w:r>
      <w:bookmarkEnd w:id="791"/>
      <w:bookmarkEnd w:id="792"/>
      <w:bookmarkEnd w:id="793"/>
      <w:bookmarkEnd w:id="794"/>
      <w:bookmarkEnd w:id="795"/>
      <w:bookmarkEnd w:id="796"/>
      <w:bookmarkEnd w:id="797"/>
      <w:bookmarkEnd w:id="798"/>
      <w:bookmarkEnd w:id="799"/>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五、注意事项</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（二）乙醇消毒液使用应远离火源。</w:t>
      </w: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br w:type="page"/>
      </w:r>
    </w:p>
    <w:p>
      <w:pPr>
        <w:widowControl w:val="0"/>
        <w:wordWrap/>
        <w:adjustRightInd/>
        <w:snapToGrid/>
        <w:spacing w:before="0" w:beforeLines="0" w:after="0" w:afterLines="0" w:line="560" w:lineRule="exact"/>
        <w:ind w:left="0" w:leftChars="0" w:right="0" w:firstLine="0" w:firstLineChars="0"/>
        <w:jc w:val="both"/>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附件6</w:t>
      </w:r>
    </w:p>
    <w:p>
      <w:pPr>
        <w:widowControl w:val="0"/>
        <w:wordWrap/>
        <w:adjustRightInd/>
        <w:snapToGrid/>
        <w:spacing w:line="560" w:lineRule="exact"/>
        <w:ind w:left="0" w:leftChars="0" w:right="0" w:firstLine="0" w:firstLineChars="0"/>
        <w:jc w:val="both"/>
        <w:textAlignment w:val="auto"/>
        <w:outlineLvl w:val="9"/>
        <w:rPr>
          <w:rFonts w:hint="eastAsia" w:ascii="Times New Roman" w:hAnsi="Times New Roman" w:cs="Times New Roman"/>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大专院校、职业技术学校及初高级中学新型</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冠状病毒感染的肺炎预防控制指引</w:t>
      </w:r>
    </w:p>
    <w:p>
      <w:pPr>
        <w:wordWrap/>
        <w:adjustRightInd/>
        <w:snapToGrid/>
        <w:spacing w:line="560" w:lineRule="exact"/>
        <w:ind w:left="0" w:leftChars="0" w:right="0" w:firstLine="640" w:firstLineChars="200"/>
        <w:jc w:val="center"/>
        <w:textAlignment w:val="auto"/>
        <w:outlineLvl w:val="9"/>
        <w:rPr>
          <w:rFonts w:hint="default" w:ascii="Times New Roman" w:hAnsi="Times New Roman" w:eastAsia="Times New Roman" w:cs="Times New Roman"/>
          <w:snapToGrid w:val="0"/>
          <w:spacing w:val="0"/>
          <w:kern w:val="0"/>
          <w:sz w:val="32"/>
        </w:rPr>
      </w:pP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黑体" w:cs="Times New Roman"/>
          <w:snapToGrid w:val="0"/>
          <w:spacing w:val="0"/>
          <w:kern w:val="0"/>
          <w:sz w:val="32"/>
          <w:szCs w:val="32"/>
          <w:lang w:val="en-US" w:eastAsia="zh-CN"/>
        </w:rPr>
        <w:t>一、日常预防控制工作</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（一）开展多种形式的健康宣教，普及呼吸道传染病的防控知识，教育学生打喷嚏时要主动掩住口鼻，及时洗手，提高防病意识。</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（二）搞好学校各类场所环境卫生，加强通风，保持空气流通。</w:t>
      </w:r>
    </w:p>
    <w:p>
      <w:pPr>
        <w:widowControl w:val="0"/>
        <w:numPr>
          <w:ilvl w:val="0"/>
          <w:numId w:val="22"/>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公共上课场所（如音乐室、舞蹈室、电脑室）要求一批学生进去消毒一次。</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（四）减少不必要的校内各种大型师生集会和大型会议等活动。</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（五）开展手部卫生教育，各类场所应配备洗手龙头及洗手液。</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（六）若有老师或学生出现发热、咳嗽等呼吸道感染症状，应戴口罩并及时就医，避免带病上课。</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（七）学校校医室要储备一定数量的医用口罩、一次性手套、洗手液和感冒药品。要有专人落实晨午检制度、因病缺课登记追踪制度。</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（八）建立健全校内有关部门和人员、学校与家长、学校与当地医疗机构及教育行政部门的联系机制，完善信息收集报送渠道，保证信息畅通。</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bidi="ar-SA"/>
        </w:rPr>
      </w:pPr>
      <w:r>
        <w:rPr>
          <w:rFonts w:hint="default" w:ascii="Times New Roman" w:hAnsi="Times New Roman" w:eastAsia="仿宋_GB2312" w:cs="Times New Roman"/>
          <w:snapToGrid w:val="0"/>
          <w:spacing w:val="0"/>
          <w:kern w:val="0"/>
          <w:sz w:val="32"/>
          <w:szCs w:val="32"/>
          <w:lang w:val="en-US" w:eastAsia="zh-CN" w:bidi="ar-SA"/>
        </w:rPr>
        <w:t>（九）提前掌握学生假期有无到过疫区，如到过疫区，还没返粤的，请其推迟返粤时间。如已返粤的，请其到隔离留验场所隔离自离开疫区14天。</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黑体" w:cs="Times New Roman"/>
          <w:snapToGrid w:val="0"/>
          <w:spacing w:val="0"/>
          <w:kern w:val="0"/>
          <w:sz w:val="32"/>
          <w:szCs w:val="32"/>
          <w:lang w:val="en-US" w:eastAsia="zh-CN"/>
        </w:rPr>
        <w:t>二、出现发热、乏力、干咳及胸闷等疑似新型冠状病毒感染患者时</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除做好上述日常防控措施外，还须实施：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1</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疑似患者应立即戴上口罩就医。</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2</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及时报告当地疾病预防控制机构和教育行政部门。</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3</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若被诊断为新型冠状病毒的肺炎患者，其密切接触者应接受14天隔离医学观察。</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4</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启动以班级为单位的晨午检制度。</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5</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学校由专人负责离校学生的家访联系，了解其每日健康状况。</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6</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根据疾病预防控制机构的要求实行日报和零报告制度，掌握每日现症学生增减情况。</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7</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配合卫生健康部门做好疫情的处理等工作。</w:t>
      </w:r>
    </w:p>
    <w:p>
      <w:pPr>
        <w:widowControl w:val="0"/>
        <w:numPr>
          <w:ilvl w:val="0"/>
          <w:numId w:val="0"/>
        </w:numPr>
        <w:wordWrap/>
        <w:adjustRightInd/>
        <w:snapToGrid/>
        <w:spacing w:before="0" w:beforeLines="0" w:beforeAutospacing="0" w:after="0" w:afterLines="0" w:afterAutospacing="0" w:line="560" w:lineRule="exact"/>
        <w:ind w:left="0" w:leftChars="0" w:right="0" w:firstLine="640" w:firstLineChars="200"/>
        <w:jc w:val="left"/>
        <w:textAlignment w:val="auto"/>
        <w:outlineLvl w:val="9"/>
        <w:rPr>
          <w:rFonts w:hint="default" w:ascii="Times New Roman" w:hAnsi="Times New Roman" w:eastAsia="黑体"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8</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学校要在当地疾病预防控制机构的指导下，对教室、寝室及公共教室如电脑、视听、图书馆等的消毒与通风。</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三、日常清洁及预防性消毒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eastAsia" w:ascii="楷体_GB2312" w:hAnsi="楷体_GB2312" w:eastAsia="楷体_GB2312" w:cs="楷体_GB2312"/>
          <w:snapToGrid w:val="0"/>
          <w:spacing w:val="0"/>
          <w:kern w:val="0"/>
          <w:sz w:val="32"/>
          <w:szCs w:val="32"/>
        </w:rPr>
        <w:t>（一）表面：</w:t>
      </w:r>
      <w:r>
        <w:rPr>
          <w:rFonts w:hint="default" w:ascii="Times New Roman" w:hAnsi="Times New Roman" w:eastAsia="仿宋_GB2312" w:cs="Times New Roman"/>
          <w:snapToGrid w:val="0"/>
          <w:spacing w:val="0"/>
          <w:kern w:val="0"/>
          <w:sz w:val="32"/>
          <w:szCs w:val="32"/>
        </w:rPr>
        <w:t>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default" w:ascii="楷体_GB2312" w:hAnsi="楷体_GB2312" w:eastAsia="楷体_GB2312" w:cs="楷体_GB2312"/>
          <w:snapToGrid w:val="0"/>
          <w:spacing w:val="0"/>
          <w:kern w:val="0"/>
          <w:sz w:val="32"/>
          <w:szCs w:val="32"/>
        </w:rPr>
        <w:t>（二）地面：</w:t>
      </w:r>
      <w:r>
        <w:rPr>
          <w:rFonts w:hint="default" w:ascii="Times New Roman" w:hAnsi="Times New Roman" w:eastAsia="仿宋_GB2312" w:cs="Times New Roman"/>
          <w:snapToGrid w:val="0"/>
          <w:spacing w:val="0"/>
          <w:kern w:val="0"/>
          <w:sz w:val="32"/>
          <w:szCs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四、常见消毒剂及配制使用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00" w:name="_Toc22577"/>
      <w:bookmarkStart w:id="801" w:name="_Toc26539"/>
      <w:bookmarkStart w:id="802" w:name="_Toc16831"/>
      <w:bookmarkStart w:id="803" w:name="_Toc18386"/>
      <w:bookmarkStart w:id="804" w:name="_Toc26447"/>
      <w:bookmarkStart w:id="805" w:name="_Toc8956"/>
      <w:bookmarkStart w:id="806" w:name="_Toc7479"/>
      <w:bookmarkStart w:id="807" w:name="_Toc15219"/>
      <w:bookmarkStart w:id="808" w:name="_Toc16484"/>
      <w:r>
        <w:rPr>
          <w:rFonts w:hint="default" w:ascii="Times New Roman" w:hAnsi="Times New Roman" w:eastAsia="仿宋_GB2312" w:cs="Times New Roman"/>
          <w:snapToGrid w:val="0"/>
          <w:spacing w:val="0"/>
          <w:kern w:val="0"/>
          <w:sz w:val="32"/>
          <w:szCs w:val="32"/>
        </w:rPr>
        <w:t>（一）有效氯浓度500 mg/L的含氯消毒剂配制方法：</w:t>
      </w:r>
      <w:bookmarkEnd w:id="800"/>
      <w:bookmarkEnd w:id="801"/>
      <w:bookmarkEnd w:id="802"/>
      <w:bookmarkEnd w:id="803"/>
      <w:bookmarkEnd w:id="804"/>
      <w:bookmarkEnd w:id="805"/>
      <w:bookmarkEnd w:id="806"/>
      <w:bookmarkEnd w:id="807"/>
      <w:bookmarkEnd w:id="808"/>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09" w:name="_Toc28085"/>
      <w:bookmarkStart w:id="810" w:name="_Toc12144"/>
      <w:bookmarkStart w:id="811" w:name="_Toc25742"/>
      <w:bookmarkStart w:id="812" w:name="_Toc12115"/>
      <w:bookmarkStart w:id="813" w:name="_Toc24352"/>
      <w:bookmarkStart w:id="814" w:name="_Toc5145"/>
      <w:bookmarkStart w:id="815" w:name="_Toc5491"/>
      <w:bookmarkStart w:id="816" w:name="_Toc22706"/>
      <w:bookmarkStart w:id="817" w:name="_Toc21311"/>
      <w:r>
        <w:rPr>
          <w:rFonts w:hint="default" w:ascii="Times New Roman" w:hAnsi="Times New Roman" w:eastAsia="仿宋_GB2312" w:cs="Times New Roman"/>
          <w:snapToGrid w:val="0"/>
          <w:spacing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84消毒液（有效氯含量5%）：按消毒液：水为1:100比例稀释；</w:t>
      </w:r>
      <w:bookmarkEnd w:id="809"/>
      <w:bookmarkEnd w:id="810"/>
      <w:bookmarkEnd w:id="811"/>
      <w:bookmarkEnd w:id="812"/>
      <w:bookmarkEnd w:id="813"/>
      <w:bookmarkEnd w:id="814"/>
      <w:bookmarkEnd w:id="815"/>
      <w:bookmarkEnd w:id="816"/>
      <w:bookmarkEnd w:id="817"/>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18" w:name="_Toc6685"/>
      <w:bookmarkStart w:id="819" w:name="_Toc15038"/>
      <w:bookmarkStart w:id="820" w:name="_Toc3732"/>
      <w:bookmarkStart w:id="821" w:name="_Toc30864"/>
      <w:bookmarkStart w:id="822" w:name="_Toc14912"/>
      <w:bookmarkStart w:id="823" w:name="_Toc7227"/>
      <w:bookmarkStart w:id="824" w:name="_Toc13403"/>
      <w:bookmarkStart w:id="825" w:name="_Toc29048"/>
      <w:bookmarkStart w:id="826" w:name="_Toc24894"/>
      <w:r>
        <w:rPr>
          <w:rFonts w:hint="default" w:ascii="Times New Roman" w:hAnsi="Times New Roman" w:eastAsia="仿宋_GB2312" w:cs="Times New Roman"/>
          <w:snapToGrid w:val="0"/>
          <w:spacing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消毒粉（有效氯含量12-13%，20克/包）：1包消毒粉加4.8升水；</w:t>
      </w:r>
      <w:bookmarkEnd w:id="818"/>
      <w:bookmarkEnd w:id="819"/>
      <w:bookmarkEnd w:id="820"/>
      <w:bookmarkEnd w:id="821"/>
      <w:bookmarkEnd w:id="822"/>
      <w:bookmarkEnd w:id="823"/>
      <w:bookmarkEnd w:id="824"/>
      <w:bookmarkEnd w:id="825"/>
      <w:bookmarkEnd w:id="826"/>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27" w:name="_Toc18938"/>
      <w:bookmarkStart w:id="828" w:name="_Toc26488"/>
      <w:bookmarkStart w:id="829" w:name="_Toc24872"/>
      <w:bookmarkStart w:id="830" w:name="_Toc9280"/>
      <w:bookmarkStart w:id="831" w:name="_Toc8745"/>
      <w:bookmarkStart w:id="832" w:name="_Toc19235"/>
      <w:bookmarkStart w:id="833" w:name="_Toc8004"/>
      <w:bookmarkStart w:id="834" w:name="_Toc10532"/>
      <w:bookmarkStart w:id="835" w:name="_Toc13621"/>
      <w:r>
        <w:rPr>
          <w:rFonts w:hint="default" w:ascii="Times New Roman" w:hAnsi="Times New Roman" w:eastAsia="仿宋_GB2312" w:cs="Times New Roman"/>
          <w:snapToGrid w:val="0"/>
          <w:spacing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含氯泡腾片（有效氯含量480mg/片-580mg/片）：1片溶于1升水。</w:t>
      </w:r>
      <w:bookmarkEnd w:id="827"/>
      <w:bookmarkEnd w:id="828"/>
      <w:bookmarkEnd w:id="829"/>
      <w:bookmarkEnd w:id="830"/>
      <w:bookmarkEnd w:id="831"/>
      <w:bookmarkEnd w:id="832"/>
      <w:bookmarkEnd w:id="833"/>
      <w:bookmarkEnd w:id="834"/>
      <w:bookmarkEnd w:id="835"/>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36" w:name="_Toc30238"/>
      <w:bookmarkStart w:id="837" w:name="_Toc1308"/>
      <w:bookmarkStart w:id="838" w:name="_Toc1830"/>
      <w:bookmarkStart w:id="839" w:name="_Toc17213"/>
      <w:bookmarkStart w:id="840" w:name="_Toc30032"/>
      <w:bookmarkStart w:id="841" w:name="_Toc20166"/>
      <w:bookmarkStart w:id="842" w:name="_Toc27485"/>
      <w:bookmarkStart w:id="843" w:name="_Toc28544"/>
      <w:bookmarkStart w:id="844" w:name="_Toc14964"/>
      <w:r>
        <w:rPr>
          <w:rFonts w:hint="default" w:ascii="Times New Roman" w:hAnsi="Times New Roman" w:eastAsia="仿宋_GB2312" w:cs="Times New Roman"/>
          <w:snapToGrid w:val="0"/>
          <w:spacing w:val="0"/>
          <w:kern w:val="0"/>
          <w:sz w:val="32"/>
          <w:szCs w:val="32"/>
        </w:rPr>
        <w:t>（二）75%乙醇消毒液：直接使用。</w:t>
      </w:r>
      <w:bookmarkEnd w:id="836"/>
      <w:bookmarkEnd w:id="837"/>
      <w:bookmarkEnd w:id="838"/>
      <w:bookmarkEnd w:id="839"/>
      <w:bookmarkEnd w:id="840"/>
      <w:bookmarkEnd w:id="841"/>
      <w:bookmarkEnd w:id="842"/>
      <w:bookmarkEnd w:id="843"/>
      <w:bookmarkEnd w:id="844"/>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spacing w:val="0"/>
          <w:kern w:val="0"/>
          <w:sz w:val="32"/>
          <w:szCs w:val="32"/>
        </w:rPr>
      </w:pPr>
      <w:bookmarkStart w:id="845" w:name="_Toc23090"/>
      <w:bookmarkStart w:id="846" w:name="_Toc4140"/>
      <w:bookmarkStart w:id="847" w:name="_Toc6407"/>
      <w:bookmarkStart w:id="848" w:name="_Toc1183"/>
      <w:bookmarkStart w:id="849" w:name="_Toc18489"/>
      <w:bookmarkStart w:id="850" w:name="_Toc23270"/>
      <w:bookmarkStart w:id="851" w:name="_Toc1793"/>
      <w:bookmarkStart w:id="852" w:name="_Toc5206"/>
      <w:bookmarkStart w:id="853" w:name="_Toc32092"/>
      <w:r>
        <w:rPr>
          <w:rFonts w:hint="default" w:ascii="Times New Roman" w:hAnsi="Times New Roman" w:eastAsia="仿宋_GB2312" w:cs="Times New Roman"/>
          <w:snapToGrid w:val="0"/>
          <w:spacing w:val="0"/>
          <w:kern w:val="0"/>
          <w:sz w:val="32"/>
          <w:szCs w:val="32"/>
        </w:rPr>
        <w:t>（三）其他消毒剂按产品标签标识以杀灭肠道致病菌的浓度进行配制和使用。</w:t>
      </w:r>
      <w:bookmarkEnd w:id="845"/>
      <w:bookmarkEnd w:id="846"/>
      <w:bookmarkEnd w:id="847"/>
      <w:bookmarkEnd w:id="848"/>
      <w:bookmarkEnd w:id="849"/>
      <w:bookmarkEnd w:id="850"/>
      <w:bookmarkEnd w:id="851"/>
      <w:bookmarkEnd w:id="852"/>
      <w:bookmarkEnd w:id="853"/>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五、注意事项</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firstLine="640" w:firstLineChars="200"/>
        <w:textAlignment w:val="auto"/>
        <w:outlineLvl w:val="9"/>
        <w:rPr>
          <w:rFonts w:ascii="Times New Roman" w:hAnsi="Times New Roman" w:cs="Times New Roman"/>
          <w:sz w:val="32"/>
          <w:szCs w:val="32"/>
        </w:rPr>
      </w:pPr>
      <w:r>
        <w:rPr>
          <w:rFonts w:hint="default" w:ascii="Times New Roman" w:hAnsi="Times New Roman" w:eastAsia="仿宋_GB2312" w:cs="Times New Roman"/>
          <w:snapToGrid w:val="0"/>
          <w:spacing w:val="0"/>
          <w:kern w:val="0"/>
          <w:sz w:val="32"/>
          <w:szCs w:val="32"/>
        </w:rPr>
        <w:t>（二）乙醇消毒液使用应远离火源。</w:t>
      </w:r>
    </w:p>
    <w:p>
      <w:pPr>
        <w:outlineLvl w:val="9"/>
        <w:rPr>
          <w:rFonts w:ascii="Times New Roman" w:hAnsi="Times New Roman" w:cs="Times New Roman"/>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wordWrap/>
        <w:adjustRightInd/>
        <w:snapToGrid/>
        <w:spacing w:line="560" w:lineRule="exact"/>
        <w:ind w:left="0" w:leftChars="0" w:right="0" w:firstLine="0" w:firstLineChars="0"/>
        <w:textAlignment w:val="auto"/>
        <w:outlineLvl w:val="9"/>
        <w:rPr>
          <w:rFonts w:hint="eastAsia" w:ascii="仿宋_GB2312" w:hAnsi="仿宋_GB2312" w:eastAsia="仿宋_GB2312" w:cs="仿宋_GB2312"/>
          <w:sz w:val="32"/>
          <w:szCs w:val="32"/>
        </w:rPr>
      </w:pPr>
    </w:p>
    <w:p>
      <w:pPr>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val="0"/>
        <w:wordWrap/>
        <w:adjustRightInd/>
        <w:snapToGrid/>
        <w:spacing w:line="560" w:lineRule="exact"/>
        <w:ind w:left="0" w:leftChars="0" w:right="0" w:firstLine="0" w:firstLine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附件7</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企事业等集体单位新型冠状病毒</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感染的肺炎预防控制指引</w:t>
      </w:r>
    </w:p>
    <w:p>
      <w:pPr>
        <w:wordWrap/>
        <w:adjustRightInd/>
        <w:snapToGrid/>
        <w:spacing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rPr>
      </w:pP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kern w:val="0"/>
          <w:sz w:val="32"/>
          <w:szCs w:val="32"/>
          <w:lang w:val="en-US" w:eastAsia="zh-CN"/>
        </w:rPr>
      </w:pPr>
      <w:r>
        <w:rPr>
          <w:rFonts w:hint="default" w:ascii="Times New Roman" w:hAnsi="Times New Roman" w:eastAsia="黑体" w:cs="Times New Roman"/>
          <w:snapToGrid w:val="0"/>
          <w:kern w:val="0"/>
          <w:sz w:val="32"/>
          <w:szCs w:val="32"/>
          <w:lang w:val="en-US" w:eastAsia="zh-CN"/>
        </w:rPr>
        <w:t>一、日常预防控制工作</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（一）利用单位宣传栏开展新型冠状病毒和呼吸道传染病防治知识健康宣教。</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（二）确保工作环境清洁卫生，保持室内空气流通。使用空调系统的单位，要定期清洗空调。每天开启门窗，通风换气。开空调时，可同时开排气扇。定期用消毒水为办公室设备、门把手和电梯按钮进行消毒。</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（三）开展手部卫生教育，各类场所配备洗手龙头、洗手液、抹手纸或干手机。倡导员工养成经常洗手的好习惯。</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（四）减少不必要的各种大型集会和大型会议等活动。</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（五）推广健康的生活方式，有条件的单位安排做工间操。尽量不加班。</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（六）建立员工的病假记录制度。有员工出现发热、咳嗽等呼吸道症状应劝其不上班，并尽早到医院或社区卫生服务中心就诊治疗。</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kern w:val="0"/>
          <w:sz w:val="32"/>
          <w:szCs w:val="32"/>
          <w:lang w:val="en-US" w:eastAsia="zh-CN"/>
        </w:rPr>
      </w:pPr>
      <w:r>
        <w:rPr>
          <w:rFonts w:hint="default" w:ascii="Times New Roman" w:hAnsi="Times New Roman" w:eastAsia="黑体" w:cs="Times New Roman"/>
          <w:snapToGrid w:val="0"/>
          <w:kern w:val="0"/>
          <w:sz w:val="32"/>
          <w:szCs w:val="32"/>
          <w:lang w:val="en-US" w:eastAsia="zh-CN"/>
        </w:rPr>
        <w:t>二、出现发热、乏力、干咳及胸闷等疑似新型冠状病毒感染患者时</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（一）疑似患者应立即戴上口罩就医。</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（二）及时联系当地疾病预防控制中心请求指导处理，并协助开展相关调查处置工作。</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（三）若被诊断为新型冠状病毒的肺炎患者，其密切接触者应接受14天医学观察。</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（四）根据有关部门建议，实行轮休制度、休假等减少人员密集的措施。</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（五）停止或减少使用中央空调，并清洗消毒，保持室内空气流通。</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（六）启动晨检制度和健康申报制度。</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三、日常清洁及预防性消毒</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eastAsia" w:ascii="楷体_GB2312" w:hAnsi="楷体_GB2312" w:eastAsia="楷体_GB2312" w:cs="楷体_GB2312"/>
          <w:snapToGrid w:val="0"/>
          <w:kern w:val="0"/>
          <w:sz w:val="32"/>
          <w:szCs w:val="32"/>
        </w:rPr>
        <w:t>（一）表面：</w:t>
      </w:r>
      <w:r>
        <w:rPr>
          <w:rFonts w:hint="default" w:ascii="Times New Roman" w:hAnsi="Times New Roman" w:eastAsia="仿宋_GB2312" w:cs="Times New Roman"/>
          <w:snapToGrid w:val="0"/>
          <w:kern w:val="0"/>
          <w:sz w:val="32"/>
          <w:szCs w:val="32"/>
        </w:rPr>
        <w:t>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default" w:ascii="楷体_GB2312" w:hAnsi="楷体_GB2312" w:eastAsia="楷体_GB2312" w:cs="楷体_GB2312"/>
          <w:snapToGrid w:val="0"/>
          <w:kern w:val="0"/>
          <w:sz w:val="32"/>
          <w:szCs w:val="32"/>
        </w:rPr>
        <w:t>（二）地面：</w:t>
      </w:r>
      <w:r>
        <w:rPr>
          <w:rFonts w:hint="default" w:ascii="Times New Roman" w:hAnsi="Times New Roman" w:eastAsia="仿宋_GB2312" w:cs="Times New Roman"/>
          <w:snapToGrid w:val="0"/>
          <w:kern w:val="0"/>
          <w:sz w:val="32"/>
          <w:szCs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四、常见消毒剂及配制使用</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54" w:name="_Toc2205"/>
      <w:bookmarkStart w:id="855" w:name="_Toc28835"/>
      <w:bookmarkStart w:id="856" w:name="_Toc30921"/>
      <w:bookmarkStart w:id="857" w:name="_Toc5991"/>
      <w:bookmarkStart w:id="858" w:name="_Toc29018"/>
      <w:bookmarkStart w:id="859" w:name="_Toc21503"/>
      <w:bookmarkStart w:id="860" w:name="_Toc6120"/>
      <w:bookmarkStart w:id="861" w:name="_Toc28662"/>
      <w:bookmarkStart w:id="862" w:name="_Toc12991"/>
      <w:r>
        <w:rPr>
          <w:rFonts w:hint="default" w:ascii="Times New Roman" w:hAnsi="Times New Roman" w:eastAsia="仿宋_GB2312" w:cs="Times New Roman"/>
          <w:snapToGrid w:val="0"/>
          <w:kern w:val="0"/>
          <w:sz w:val="32"/>
          <w:szCs w:val="32"/>
        </w:rPr>
        <w:t>（一）有效氯浓度500 mg/L的含氯消毒剂配制方法：</w:t>
      </w:r>
      <w:bookmarkEnd w:id="854"/>
      <w:bookmarkEnd w:id="855"/>
      <w:bookmarkEnd w:id="856"/>
      <w:bookmarkEnd w:id="857"/>
      <w:bookmarkEnd w:id="858"/>
      <w:bookmarkEnd w:id="859"/>
      <w:bookmarkEnd w:id="860"/>
      <w:bookmarkEnd w:id="861"/>
      <w:bookmarkEnd w:id="862"/>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63" w:name="_Toc17580"/>
      <w:bookmarkStart w:id="864" w:name="_Toc6896"/>
      <w:bookmarkStart w:id="865" w:name="_Toc22486"/>
      <w:bookmarkStart w:id="866" w:name="_Toc25883"/>
      <w:bookmarkStart w:id="867" w:name="_Toc15097"/>
      <w:bookmarkStart w:id="868" w:name="_Toc12038"/>
      <w:bookmarkStart w:id="869" w:name="_Toc12790"/>
      <w:bookmarkStart w:id="870" w:name="_Toc31472"/>
      <w:bookmarkStart w:id="871" w:name="_Toc17777"/>
      <w:r>
        <w:rPr>
          <w:rFonts w:hint="default" w:ascii="Times New Roman" w:hAnsi="Times New Roman" w:eastAsia="仿宋_GB2312" w:cs="Times New Roman"/>
          <w:snapToGrid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84消毒液（有效氯含量5%）：按消毒液：水为1:100比例稀释；</w:t>
      </w:r>
      <w:bookmarkEnd w:id="863"/>
      <w:bookmarkEnd w:id="864"/>
      <w:bookmarkEnd w:id="865"/>
      <w:bookmarkEnd w:id="866"/>
      <w:bookmarkEnd w:id="867"/>
      <w:bookmarkEnd w:id="868"/>
      <w:bookmarkEnd w:id="869"/>
      <w:bookmarkEnd w:id="870"/>
      <w:bookmarkEnd w:id="871"/>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72" w:name="_Toc11633"/>
      <w:bookmarkStart w:id="873" w:name="_Toc24334"/>
      <w:bookmarkStart w:id="874" w:name="_Toc14636"/>
      <w:bookmarkStart w:id="875" w:name="_Toc24590"/>
      <w:bookmarkStart w:id="876" w:name="_Toc14191"/>
      <w:bookmarkStart w:id="877" w:name="_Toc23847"/>
      <w:bookmarkStart w:id="878" w:name="_Toc17990"/>
      <w:bookmarkStart w:id="879" w:name="_Toc20894"/>
      <w:r>
        <w:rPr>
          <w:rFonts w:hint="default" w:ascii="Times New Roman" w:hAnsi="Times New Roman" w:eastAsia="仿宋_GB2312" w:cs="Times New Roman"/>
          <w:snapToGrid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消毒粉（有效氯含量12-13%，20克/包）：1包消毒粉加4.8升水；</w:t>
      </w:r>
      <w:bookmarkEnd w:id="872"/>
      <w:bookmarkEnd w:id="873"/>
      <w:bookmarkEnd w:id="874"/>
      <w:bookmarkEnd w:id="875"/>
      <w:bookmarkEnd w:id="876"/>
      <w:bookmarkEnd w:id="877"/>
      <w:bookmarkEnd w:id="878"/>
      <w:bookmarkEnd w:id="879"/>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80" w:name="_Toc6272"/>
      <w:bookmarkStart w:id="881" w:name="_Toc10280"/>
      <w:bookmarkStart w:id="882" w:name="_Toc1316"/>
      <w:bookmarkStart w:id="883" w:name="_Toc24060"/>
      <w:bookmarkStart w:id="884" w:name="_Toc2799"/>
      <w:bookmarkStart w:id="885" w:name="_Toc19598"/>
      <w:bookmarkStart w:id="886" w:name="_Toc13526"/>
      <w:bookmarkStart w:id="887" w:name="_Toc18348"/>
      <w:bookmarkStart w:id="888" w:name="_Toc28374"/>
      <w:r>
        <w:rPr>
          <w:rFonts w:hint="default" w:ascii="Times New Roman" w:hAnsi="Times New Roman" w:eastAsia="仿宋_GB2312" w:cs="Times New Roman"/>
          <w:snapToGrid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含氯泡腾片（有效氯含量480mg/片-580mg/片）：1片溶于1升水。</w:t>
      </w:r>
      <w:bookmarkEnd w:id="880"/>
      <w:bookmarkEnd w:id="881"/>
      <w:bookmarkEnd w:id="882"/>
      <w:bookmarkEnd w:id="883"/>
      <w:bookmarkEnd w:id="884"/>
      <w:bookmarkEnd w:id="885"/>
      <w:bookmarkEnd w:id="886"/>
      <w:bookmarkEnd w:id="887"/>
      <w:bookmarkEnd w:id="888"/>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89" w:name="_Toc14411"/>
      <w:bookmarkStart w:id="890" w:name="_Toc21002"/>
      <w:bookmarkStart w:id="891" w:name="_Toc12512"/>
      <w:bookmarkStart w:id="892" w:name="_Toc25529"/>
      <w:bookmarkStart w:id="893" w:name="_Toc9969"/>
      <w:bookmarkStart w:id="894" w:name="_Toc29411"/>
      <w:bookmarkStart w:id="895" w:name="_Toc26331"/>
      <w:bookmarkStart w:id="896" w:name="_Toc12905"/>
      <w:bookmarkStart w:id="897" w:name="_Toc11425"/>
      <w:r>
        <w:rPr>
          <w:rFonts w:hint="default" w:ascii="Times New Roman" w:hAnsi="Times New Roman" w:eastAsia="仿宋_GB2312" w:cs="Times New Roman"/>
          <w:snapToGrid w:val="0"/>
          <w:kern w:val="0"/>
          <w:sz w:val="32"/>
          <w:szCs w:val="32"/>
        </w:rPr>
        <w:t>（二）75%乙醇消毒液：直接使用。</w:t>
      </w:r>
      <w:bookmarkEnd w:id="889"/>
      <w:bookmarkEnd w:id="890"/>
      <w:bookmarkEnd w:id="891"/>
      <w:bookmarkEnd w:id="892"/>
      <w:bookmarkEnd w:id="893"/>
      <w:bookmarkEnd w:id="894"/>
      <w:bookmarkEnd w:id="895"/>
      <w:bookmarkEnd w:id="896"/>
      <w:bookmarkEnd w:id="897"/>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98" w:name="_Toc11916"/>
      <w:bookmarkStart w:id="899" w:name="_Toc27322"/>
      <w:bookmarkStart w:id="900" w:name="_Toc26877"/>
      <w:bookmarkStart w:id="901" w:name="_Toc27541"/>
      <w:bookmarkStart w:id="902" w:name="_Toc25527"/>
      <w:bookmarkStart w:id="903" w:name="_Toc22348"/>
      <w:bookmarkStart w:id="904" w:name="_Toc13997"/>
      <w:bookmarkStart w:id="905" w:name="_Toc5781"/>
      <w:bookmarkStart w:id="906" w:name="_Toc20472"/>
      <w:r>
        <w:rPr>
          <w:rFonts w:hint="default" w:ascii="Times New Roman" w:hAnsi="Times New Roman" w:eastAsia="仿宋_GB2312" w:cs="Times New Roman"/>
          <w:snapToGrid w:val="0"/>
          <w:kern w:val="0"/>
          <w:sz w:val="32"/>
          <w:szCs w:val="32"/>
        </w:rPr>
        <w:t>（三）其他消毒剂按产品标签标识以杀灭肠道致病菌的浓度进行配制和使用。</w:t>
      </w:r>
      <w:bookmarkEnd w:id="898"/>
      <w:bookmarkEnd w:id="899"/>
      <w:bookmarkEnd w:id="900"/>
      <w:bookmarkEnd w:id="901"/>
      <w:bookmarkEnd w:id="902"/>
      <w:bookmarkEnd w:id="903"/>
      <w:bookmarkEnd w:id="904"/>
      <w:bookmarkEnd w:id="905"/>
      <w:bookmarkEnd w:id="906"/>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五、注意事项</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（二）乙醇消毒液使用应远离火源。</w:t>
      </w: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outlineLvl w:val="9"/>
        <w:rPr>
          <w:rFonts w:hint="eastAsia" w:ascii="仿宋_GB2312" w:hAnsi="仿宋_GB2312" w:eastAsia="仿宋_GB2312" w:cs="仿宋_GB2312"/>
          <w:b w:val="0"/>
          <w:bCs/>
          <w:kern w:val="2"/>
          <w:sz w:val="32"/>
          <w:szCs w:val="32"/>
          <w:lang w:val="en-US" w:eastAsia="zh-CN" w:bidi="ar-SA"/>
        </w:rPr>
      </w:pPr>
      <w:bookmarkStart w:id="907" w:name="_Hlk30518470"/>
      <w:r>
        <w:rPr>
          <w:rFonts w:hint="eastAsia" w:ascii="仿宋_GB2312" w:hAnsi="仿宋_GB2312" w:eastAsia="仿宋_GB2312" w:cs="仿宋_GB2312"/>
          <w:b w:val="0"/>
          <w:bCs/>
          <w:kern w:val="2"/>
          <w:sz w:val="32"/>
          <w:szCs w:val="32"/>
          <w:lang w:val="en-US" w:eastAsia="zh-CN" w:bidi="ar-SA"/>
        </w:rPr>
        <w:br w:type="page"/>
      </w:r>
    </w:p>
    <w:p>
      <w:pPr>
        <w:widowControl w:val="0"/>
        <w:snapToGrid w:val="0"/>
        <w:spacing w:before="0" w:beforeLines="0" w:after="0" w:afterLines="0" w:line="600" w:lineRule="exact"/>
        <w:ind w:left="0" w:leftChars="0" w:right="67" w:rightChars="21" w:firstLine="0" w:firstLineChars="0"/>
        <w:jc w:val="left"/>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附件8</w:t>
      </w:r>
    </w:p>
    <w:p>
      <w:pPr>
        <w:outlineLvl w:val="9"/>
        <w:rPr>
          <w:rFonts w:hint="default" w:ascii="Times New Roman" w:hAnsi="Times New Roman" w:cs="Times New Roman"/>
          <w:sz w:val="32"/>
          <w:szCs w:val="32"/>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养老机构新型冠状病毒感染的肺炎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p>
    <w:p>
      <w:pPr>
        <w:widowControl w:val="0"/>
        <w:wordWrap/>
        <w:adjustRightInd/>
        <w:snapToGrid/>
        <w:spacing w:before="0" w:beforeLines="0" w:after="0" w:afterLines="0" w:line="560" w:lineRule="exact"/>
        <w:ind w:left="0" w:leftChars="0" w:right="0" w:firstLine="880" w:firstLineChars="200"/>
        <w:jc w:val="center"/>
        <w:textAlignment w:val="auto"/>
        <w:outlineLvl w:val="9"/>
        <w:rPr>
          <w:rFonts w:hint="default" w:ascii="Times New Roman" w:hAnsi="Times New Roman" w:eastAsia="Times New Roman" w:cs="Times New Roman"/>
          <w:b w:val="0"/>
          <w:bCs/>
          <w:snapToGrid w:val="0"/>
          <w:kern w:val="0"/>
          <w:sz w:val="44"/>
          <w:szCs w:val="32"/>
          <w:lang w:val="en-US" w:eastAsia="zh-CN" w:bidi="ar-SA"/>
        </w:rPr>
      </w:pPr>
    </w:p>
    <w:bookmarkEnd w:id="907"/>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黑体" w:cs="Times New Roman"/>
          <w:snapToGrid w:val="0"/>
          <w:color w:val="auto"/>
          <w:kern w:val="0"/>
          <w:sz w:val="32"/>
          <w:szCs w:val="24"/>
          <w:lang w:val="en-US" w:eastAsia="zh-CN"/>
        </w:rPr>
        <w:t>一、日常预防控制工作</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（一）对工作人员和护养老人加强新型冠状病毒肺炎和冬春季呼吸道传染病防控的知识教育。</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（二）建立晨检制度和健康申报制度。建立老人和工作人员的健康档案。</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（三）工作人员一旦出现发热、咳嗽等呼吸道感染症状，应立即停止工作，尽早去医院就诊治疗。</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（四）建立探访人员登记制度，如探访人员有发热、咳嗽等呼吸道感染症状，应拒绝其探访。</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（五）确保环境清洁卫生，定期用消毒水为老人住所、厕所、休息聊天场所、活动器械等抹洗消毒。经常将老人的被褥衣服晒太阳。</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（六）尽量开启门窗，保持室内空气流通，使用空调系统的单位，要定期清洗空调。开空调时，可同时开排气扇。</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（七）设置适合老年人的洗手设施，提供洗手液、抹手纸或干手机。倡导老人养成经常洗手的好习惯。</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仿宋_GB2312" w:cs="Times New Roman"/>
          <w:snapToGrid w:val="0"/>
          <w:color w:val="auto"/>
          <w:kern w:val="0"/>
          <w:sz w:val="32"/>
          <w:szCs w:val="24"/>
          <w:lang w:val="en-US" w:eastAsia="zh-CN"/>
        </w:rPr>
        <w:t>（八）准备隔离后备房间（设置在人流不密集、通风、有独立厕所的房间），提供给急性发热、咳嗽的老人隔离治疗使用。有症状的老人应及时予以隔离，避免传染给其他老人。</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黑体" w:cs="Times New Roman"/>
          <w:snapToGrid w:val="0"/>
          <w:color w:val="auto"/>
          <w:kern w:val="0"/>
          <w:sz w:val="32"/>
          <w:szCs w:val="24"/>
          <w:lang w:val="en-US" w:eastAsia="zh-CN"/>
        </w:rPr>
        <w:t>二、出现发热、乏力、干咳及胸闷等疑似新型冠状病毒感染患者时</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除做好上述日常防控措施外，还须实施：</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（一）疑似患者应立即戴上口罩就医。</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（二）及时联系当地疾病预防控制中心请求指导，并协助开展相关调查处置工作。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（三）若被诊断为新型冠状病毒的肺炎患者，其密切接触者应接受14天医学观察。</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（四）暂停探访工作。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（五）减少不必要的聚会、聚餐等群体性活动。建议不安排集中用餐，可以安排老人在各自房间用餐。</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（六）落实晨检制度和健康申报制度，加强空气流通、环境清洁等工作。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（七）养老院要在当地疾病预防控制机构的指导下，对餐厅、卧室、公共活动室等场所进行消毒。</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bidi="ar-SA"/>
        </w:rPr>
      </w:pPr>
      <w:r>
        <w:rPr>
          <w:rFonts w:hint="default" w:ascii="Times New Roman" w:hAnsi="Times New Roman" w:eastAsia="黑体" w:cs="Times New Roman"/>
          <w:snapToGrid w:val="0"/>
          <w:color w:val="auto"/>
          <w:kern w:val="0"/>
          <w:sz w:val="32"/>
          <w:szCs w:val="24"/>
          <w:lang w:val="en-US" w:eastAsia="zh-CN" w:bidi="ar-SA"/>
        </w:rPr>
        <w:t>三、日常清洁及预防性消毒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eastAsia" w:ascii="楷体_GB2312" w:hAnsi="楷体_GB2312" w:eastAsia="楷体_GB2312" w:cs="楷体_GB2312"/>
          <w:snapToGrid w:val="0"/>
          <w:color w:val="auto"/>
          <w:kern w:val="0"/>
          <w:sz w:val="32"/>
        </w:rPr>
        <w:t>（一）表面：</w:t>
      </w:r>
      <w:r>
        <w:rPr>
          <w:rFonts w:hint="default" w:ascii="Times New Roman" w:hAnsi="Times New Roman" w:eastAsia="仿宋_GB2312" w:cs="Times New Roman"/>
          <w:snapToGrid w:val="0"/>
          <w:color w:val="auto"/>
          <w:kern w:val="0"/>
          <w:sz w:val="32"/>
        </w:rPr>
        <w:t>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楷体_GB2312" w:hAnsi="楷体_GB2312" w:eastAsia="楷体_GB2312" w:cs="楷体_GB2312"/>
          <w:snapToGrid w:val="0"/>
          <w:color w:val="auto"/>
          <w:kern w:val="0"/>
          <w:sz w:val="32"/>
        </w:rPr>
        <w:t>（二）地面：</w:t>
      </w:r>
      <w:r>
        <w:rPr>
          <w:rFonts w:hint="default" w:ascii="Times New Roman" w:hAnsi="Times New Roman" w:eastAsia="仿宋_GB2312" w:cs="Times New Roman"/>
          <w:snapToGrid w:val="0"/>
          <w:color w:val="auto"/>
          <w:kern w:val="0"/>
          <w:sz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bidi="ar-SA"/>
        </w:rPr>
      </w:pPr>
      <w:r>
        <w:rPr>
          <w:rFonts w:hint="default" w:ascii="Times New Roman" w:hAnsi="Times New Roman" w:eastAsia="黑体" w:cs="Times New Roman"/>
          <w:snapToGrid w:val="0"/>
          <w:color w:val="auto"/>
          <w:kern w:val="0"/>
          <w:sz w:val="32"/>
          <w:szCs w:val="24"/>
          <w:lang w:val="en-US" w:eastAsia="zh-CN" w:bidi="ar-SA"/>
        </w:rPr>
        <w:t>四、常见消毒剂及配制使用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08" w:name="_Toc7420"/>
      <w:bookmarkStart w:id="909" w:name="_Toc2376"/>
      <w:bookmarkStart w:id="910" w:name="_Toc9637"/>
      <w:bookmarkStart w:id="911" w:name="_Toc31346"/>
      <w:bookmarkStart w:id="912" w:name="_Toc30663"/>
      <w:bookmarkStart w:id="913" w:name="_Toc22033"/>
      <w:bookmarkStart w:id="914" w:name="_Toc3919"/>
      <w:bookmarkStart w:id="915" w:name="_Toc21246"/>
      <w:bookmarkStart w:id="916" w:name="_Toc31158"/>
      <w:r>
        <w:rPr>
          <w:rFonts w:hint="default" w:ascii="Times New Roman" w:hAnsi="Times New Roman" w:eastAsia="仿宋_GB2312" w:cs="Times New Roman"/>
          <w:snapToGrid w:val="0"/>
          <w:color w:val="auto"/>
          <w:kern w:val="0"/>
          <w:sz w:val="32"/>
        </w:rPr>
        <w:t>（一）有效氯浓度500 mg/L的含氯消毒剂配制方法：</w:t>
      </w:r>
      <w:bookmarkEnd w:id="908"/>
      <w:bookmarkEnd w:id="909"/>
      <w:bookmarkEnd w:id="910"/>
      <w:bookmarkEnd w:id="911"/>
      <w:bookmarkEnd w:id="912"/>
      <w:bookmarkEnd w:id="913"/>
      <w:bookmarkEnd w:id="914"/>
      <w:bookmarkEnd w:id="915"/>
      <w:bookmarkEnd w:id="916"/>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17" w:name="_Toc20872"/>
      <w:bookmarkStart w:id="918" w:name="_Toc20528"/>
      <w:bookmarkStart w:id="919" w:name="_Toc19252"/>
      <w:bookmarkStart w:id="920" w:name="_Toc3618"/>
      <w:bookmarkStart w:id="921" w:name="_Toc7958"/>
      <w:bookmarkStart w:id="922" w:name="_Toc25238"/>
      <w:bookmarkStart w:id="923" w:name="_Toc1067"/>
      <w:bookmarkStart w:id="924" w:name="_Toc13640"/>
      <w:bookmarkStart w:id="925" w:name="_Toc23620"/>
      <w:r>
        <w:rPr>
          <w:rFonts w:hint="default" w:ascii="Times New Roman" w:hAnsi="Times New Roman" w:eastAsia="仿宋_GB2312" w:cs="Times New Roman"/>
          <w:snapToGrid w:val="0"/>
          <w:color w:val="auto"/>
          <w:kern w:val="0"/>
          <w:sz w:val="32"/>
        </w:rPr>
        <w:t>1</w:t>
      </w:r>
      <w:r>
        <w:rPr>
          <w:rFonts w:hint="eastAsia" w:ascii="仿宋_GB2312" w:hAnsi="仿宋_GB2312" w:eastAsia="仿宋_GB2312" w:cs="仿宋_GB2312"/>
          <w:sz w:val="32"/>
        </w:rPr>
        <w:t>.</w:t>
      </w:r>
      <w:r>
        <w:rPr>
          <w:rFonts w:hint="default" w:ascii="Times New Roman" w:hAnsi="Times New Roman" w:eastAsia="仿宋_GB2312" w:cs="Times New Roman"/>
          <w:snapToGrid w:val="0"/>
          <w:color w:val="auto"/>
          <w:kern w:val="0"/>
          <w:sz w:val="32"/>
        </w:rPr>
        <w:t>84消毒液（有效氯含量5%）：按消毒液：水为1:100比例稀释；</w:t>
      </w:r>
      <w:bookmarkEnd w:id="917"/>
      <w:bookmarkEnd w:id="918"/>
      <w:bookmarkEnd w:id="919"/>
      <w:bookmarkEnd w:id="920"/>
      <w:bookmarkEnd w:id="921"/>
      <w:bookmarkEnd w:id="922"/>
      <w:bookmarkEnd w:id="923"/>
      <w:bookmarkEnd w:id="924"/>
      <w:bookmarkEnd w:id="925"/>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26" w:name="_Toc24641"/>
      <w:bookmarkStart w:id="927" w:name="_Toc14733"/>
      <w:bookmarkStart w:id="928" w:name="_Toc26884"/>
      <w:bookmarkStart w:id="929" w:name="_Toc29159"/>
      <w:bookmarkStart w:id="930" w:name="_Toc1874"/>
      <w:bookmarkStart w:id="931" w:name="_Toc945"/>
      <w:bookmarkStart w:id="932" w:name="_Toc220"/>
      <w:bookmarkStart w:id="933" w:name="_Toc4342"/>
      <w:bookmarkStart w:id="934" w:name="_Toc26436"/>
      <w:r>
        <w:rPr>
          <w:rFonts w:hint="default" w:ascii="Times New Roman" w:hAnsi="Times New Roman" w:eastAsia="仿宋_GB2312" w:cs="Times New Roman"/>
          <w:snapToGrid w:val="0"/>
          <w:color w:val="auto"/>
          <w:kern w:val="0"/>
          <w:sz w:val="32"/>
        </w:rPr>
        <w:t>2</w:t>
      </w:r>
      <w:r>
        <w:rPr>
          <w:rFonts w:hint="eastAsia" w:ascii="仿宋_GB2312" w:hAnsi="仿宋_GB2312" w:eastAsia="仿宋_GB2312" w:cs="仿宋_GB2312"/>
          <w:sz w:val="32"/>
        </w:rPr>
        <w:t>.</w:t>
      </w:r>
      <w:r>
        <w:rPr>
          <w:rFonts w:hint="default" w:ascii="Times New Roman" w:hAnsi="Times New Roman" w:eastAsia="仿宋_GB2312" w:cs="Times New Roman"/>
          <w:snapToGrid w:val="0"/>
          <w:color w:val="auto"/>
          <w:kern w:val="0"/>
          <w:sz w:val="32"/>
        </w:rPr>
        <w:t>消毒粉（有效氯含量12-13%，20克/包）：1包消毒粉加4.8升水；</w:t>
      </w:r>
      <w:bookmarkEnd w:id="926"/>
      <w:bookmarkEnd w:id="927"/>
      <w:bookmarkEnd w:id="928"/>
      <w:bookmarkEnd w:id="929"/>
      <w:bookmarkEnd w:id="930"/>
      <w:bookmarkEnd w:id="931"/>
      <w:bookmarkEnd w:id="932"/>
      <w:bookmarkEnd w:id="933"/>
      <w:bookmarkEnd w:id="934"/>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35" w:name="_Toc11829"/>
      <w:bookmarkStart w:id="936" w:name="_Toc26310"/>
      <w:bookmarkStart w:id="937" w:name="_Toc28286"/>
      <w:bookmarkStart w:id="938" w:name="_Toc18429"/>
      <w:bookmarkStart w:id="939" w:name="_Toc21162"/>
      <w:bookmarkStart w:id="940" w:name="_Toc29898"/>
      <w:bookmarkStart w:id="941" w:name="_Toc16127"/>
      <w:bookmarkStart w:id="942" w:name="_Toc3239"/>
      <w:bookmarkStart w:id="943" w:name="_Toc13076"/>
      <w:r>
        <w:rPr>
          <w:rFonts w:hint="default" w:ascii="Times New Roman" w:hAnsi="Times New Roman" w:eastAsia="仿宋_GB2312" w:cs="Times New Roman"/>
          <w:snapToGrid w:val="0"/>
          <w:color w:val="auto"/>
          <w:kern w:val="0"/>
          <w:sz w:val="32"/>
        </w:rPr>
        <w:t>3</w:t>
      </w:r>
      <w:r>
        <w:rPr>
          <w:rFonts w:hint="eastAsia" w:ascii="仿宋_GB2312" w:hAnsi="仿宋_GB2312" w:eastAsia="仿宋_GB2312" w:cs="仿宋_GB2312"/>
          <w:sz w:val="32"/>
        </w:rPr>
        <w:t>.</w:t>
      </w:r>
      <w:r>
        <w:rPr>
          <w:rFonts w:hint="default" w:ascii="Times New Roman" w:hAnsi="Times New Roman" w:eastAsia="仿宋_GB2312" w:cs="Times New Roman"/>
          <w:snapToGrid w:val="0"/>
          <w:color w:val="auto"/>
          <w:kern w:val="0"/>
          <w:sz w:val="32"/>
        </w:rPr>
        <w:t>含氯泡腾片（有效氯含量480mg/片-580mg/片）：1片溶于1升水。</w:t>
      </w:r>
      <w:bookmarkEnd w:id="935"/>
      <w:bookmarkEnd w:id="936"/>
      <w:bookmarkEnd w:id="937"/>
      <w:bookmarkEnd w:id="938"/>
      <w:bookmarkEnd w:id="939"/>
      <w:bookmarkEnd w:id="940"/>
      <w:bookmarkEnd w:id="941"/>
      <w:bookmarkEnd w:id="942"/>
      <w:bookmarkEnd w:id="943"/>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44" w:name="_Toc23820"/>
      <w:bookmarkStart w:id="945" w:name="_Toc16363"/>
      <w:bookmarkStart w:id="946" w:name="_Toc4212"/>
      <w:bookmarkStart w:id="947" w:name="_Toc19519"/>
      <w:bookmarkStart w:id="948" w:name="_Toc30173"/>
      <w:bookmarkStart w:id="949" w:name="_Toc20511"/>
      <w:bookmarkStart w:id="950" w:name="_Toc24017"/>
      <w:bookmarkStart w:id="951" w:name="_Toc4529"/>
      <w:bookmarkStart w:id="952" w:name="_Toc23185"/>
      <w:r>
        <w:rPr>
          <w:rFonts w:hint="default" w:ascii="Times New Roman" w:hAnsi="Times New Roman" w:eastAsia="仿宋_GB2312" w:cs="Times New Roman"/>
          <w:snapToGrid w:val="0"/>
          <w:color w:val="auto"/>
          <w:kern w:val="0"/>
          <w:sz w:val="32"/>
        </w:rPr>
        <w:t>（二）75%乙醇消毒液：直接使用。</w:t>
      </w:r>
      <w:bookmarkEnd w:id="944"/>
      <w:bookmarkEnd w:id="945"/>
      <w:bookmarkEnd w:id="946"/>
      <w:bookmarkEnd w:id="947"/>
      <w:bookmarkEnd w:id="948"/>
      <w:bookmarkEnd w:id="949"/>
      <w:bookmarkEnd w:id="950"/>
      <w:bookmarkEnd w:id="951"/>
      <w:bookmarkEnd w:id="952"/>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53" w:name="_Toc15546"/>
      <w:bookmarkStart w:id="954" w:name="_Toc31538"/>
      <w:bookmarkStart w:id="955" w:name="_Toc26758"/>
      <w:bookmarkStart w:id="956" w:name="_Toc31513"/>
      <w:bookmarkStart w:id="957" w:name="_Toc27713"/>
      <w:bookmarkStart w:id="958" w:name="_Toc12391"/>
      <w:bookmarkStart w:id="959" w:name="_Toc24155"/>
      <w:bookmarkStart w:id="960" w:name="_Toc22939"/>
      <w:bookmarkStart w:id="961" w:name="_Toc13921"/>
      <w:r>
        <w:rPr>
          <w:rFonts w:hint="default" w:ascii="Times New Roman" w:hAnsi="Times New Roman" w:eastAsia="仿宋_GB2312" w:cs="Times New Roman"/>
          <w:snapToGrid w:val="0"/>
          <w:color w:val="auto"/>
          <w:kern w:val="0"/>
          <w:sz w:val="32"/>
        </w:rPr>
        <w:t>（三）其他消毒剂按产品标签标识以杀灭肠道致病菌的浓度进行配制和使用。</w:t>
      </w:r>
      <w:bookmarkEnd w:id="953"/>
      <w:bookmarkEnd w:id="954"/>
      <w:bookmarkEnd w:id="955"/>
      <w:bookmarkEnd w:id="956"/>
      <w:bookmarkEnd w:id="957"/>
      <w:bookmarkEnd w:id="958"/>
      <w:bookmarkEnd w:id="959"/>
      <w:bookmarkEnd w:id="960"/>
      <w:bookmarkEnd w:id="961"/>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bidi="ar-SA"/>
        </w:rPr>
      </w:pPr>
      <w:r>
        <w:rPr>
          <w:rFonts w:hint="default" w:ascii="Times New Roman" w:hAnsi="Times New Roman" w:eastAsia="黑体" w:cs="Times New Roman"/>
          <w:snapToGrid w:val="0"/>
          <w:color w:val="auto"/>
          <w:kern w:val="0"/>
          <w:sz w:val="32"/>
          <w:szCs w:val="24"/>
          <w:lang w:val="en-US" w:eastAsia="zh-CN" w:bidi="ar-SA"/>
        </w:rPr>
        <w:t>五、注意事项</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（一）含氯消毒剂有皮肤黏膜刺激性，配置和使用时建议佩戴口罩和手套，儿童请勿触碰。</w:t>
      </w:r>
    </w:p>
    <w:p>
      <w:pPr>
        <w:widowControl w:val="0"/>
        <w:wordWrap/>
        <w:adjustRightInd/>
        <w:snapToGrid/>
        <w:spacing w:beforeAutospacing="0" w:afterAutospacing="0" w:line="560" w:lineRule="exact"/>
        <w:ind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（二）乙醇消毒液使用应远离火源。</w:t>
      </w: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val="0"/>
        <w:wordWrap/>
        <w:adjustRightInd/>
        <w:snapToGrid/>
        <w:spacing w:line="560" w:lineRule="exact"/>
        <w:ind w:left="0" w:leftChars="0" w:right="0" w:firstLine="0" w:firstLine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附件9</w:t>
      </w:r>
    </w:p>
    <w:p>
      <w:pPr>
        <w:widowControl w:val="0"/>
        <w:wordWrap/>
        <w:adjustRightInd/>
        <w:snapToGrid/>
        <w:spacing w:beforeLines="0" w:afterLines="0" w:line="560" w:lineRule="exact"/>
        <w:ind w:left="0" w:leftChars="0" w:right="0" w:firstLine="0" w:firstLineChars="0"/>
        <w:jc w:val="both"/>
        <w:textAlignment w:val="auto"/>
        <w:outlineLvl w:val="9"/>
        <w:rPr>
          <w:rFonts w:hint="default" w:ascii="Times New Roman" w:hAnsi="Times New Roman" w:eastAsia="仿宋_GB2312" w:cs="Times New Roman"/>
          <w:kern w:val="2"/>
          <w:sz w:val="32"/>
          <w:szCs w:val="32"/>
          <w:lang w:val="en-US" w:eastAsia="zh-CN" w:bidi="ar-SA"/>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畜禽养殖、运输、屠宰场所新型冠状病毒</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感染的肺炎预防控制指引</w:t>
      </w:r>
    </w:p>
    <w:p>
      <w:pPr>
        <w:wordWrap/>
        <w:adjustRightInd/>
        <w:snapToGrid/>
        <w:spacing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rPr>
      </w:pP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kern w:val="0"/>
          <w:sz w:val="32"/>
          <w:szCs w:val="24"/>
          <w:lang w:val="en-US" w:eastAsia="zh-CN"/>
        </w:rPr>
      </w:pPr>
      <w:r>
        <w:rPr>
          <w:rFonts w:hint="default" w:ascii="Times New Roman" w:hAnsi="Times New Roman" w:eastAsia="黑体" w:cs="Times New Roman"/>
          <w:snapToGrid w:val="0"/>
          <w:color w:val="000000"/>
          <w:kern w:val="0"/>
          <w:sz w:val="32"/>
          <w:szCs w:val="24"/>
          <w:lang w:val="en-US" w:eastAsia="zh-CN"/>
        </w:rPr>
        <w:t>一、一般措施</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（一）保持工作场所清洁卫生，应定期进行清洁、消毒，尤其是活禽畜类相关场所，垃圾、粪便集中进行无害化处理。</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（二）保持工作环境中空气流通。保持室内空气流通，每天开窗换气两次，每次至少10分钟，或使用排气扇保持空气流通。</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（三）发现不明原因病、死禽畜时要及时向农业农村部门报告，不自行处理病、死禽畜。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（四）不购进、不运输、不销售来源不明或非法捕获的野生动物及其制品，尽量避免野生动物与家禽、家畜接触。</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（五）从事禽畜养殖、分拣、运送、销售、宰杀等人员做好个人防护，穿戴口罩、工作帽、工作服、长筒胶鞋、橡胶手套等防护用品。</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kern w:val="0"/>
          <w:sz w:val="32"/>
          <w:szCs w:val="24"/>
          <w:lang w:val="en-US" w:eastAsia="zh-CN"/>
        </w:rPr>
      </w:pPr>
      <w:r>
        <w:rPr>
          <w:rFonts w:hint="default" w:ascii="Times New Roman" w:hAnsi="Times New Roman" w:eastAsia="黑体" w:cs="Times New Roman"/>
          <w:snapToGrid w:val="0"/>
          <w:color w:val="000000"/>
          <w:kern w:val="0"/>
          <w:sz w:val="32"/>
          <w:szCs w:val="24"/>
          <w:lang w:val="en-US" w:eastAsia="zh-CN"/>
        </w:rPr>
        <w:t>二、出现病、死禽畜时</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（一）任何单位和个人不得抛弃、收购、贩卖、屠宰加工病、死畜禽。</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（二）发现</w:t>
      </w:r>
      <w:bookmarkStart w:id="962" w:name="_Hlk30519561"/>
      <w:r>
        <w:rPr>
          <w:rFonts w:hint="default" w:ascii="Times New Roman" w:hAnsi="Times New Roman" w:eastAsia="仿宋_GB2312" w:cs="Times New Roman"/>
          <w:snapToGrid w:val="0"/>
          <w:kern w:val="0"/>
          <w:sz w:val="32"/>
        </w:rPr>
        <w:t>病、死禽畜</w:t>
      </w:r>
      <w:bookmarkEnd w:id="962"/>
      <w:r>
        <w:rPr>
          <w:rFonts w:hint="default" w:ascii="Times New Roman" w:hAnsi="Times New Roman" w:eastAsia="仿宋_GB2312" w:cs="Times New Roman"/>
          <w:snapToGrid w:val="0"/>
          <w:kern w:val="0"/>
          <w:sz w:val="32"/>
        </w:rPr>
        <w:t>要及时向畜牧兽医部门报告，并按照要求妥善处理病死禽畜。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（三）如果发现有禽畜类大量生病或死亡等异常情况，立即关闭工作场所，并及时向当地畜牧兽医部门报告。</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color w:val="000000"/>
          <w:kern w:val="0"/>
          <w:sz w:val="32"/>
        </w:rPr>
      </w:pPr>
      <w:r>
        <w:rPr>
          <w:rFonts w:hint="default" w:ascii="Times New Roman" w:hAnsi="Times New Roman" w:eastAsia="黑体" w:cs="Times New Roman"/>
          <w:snapToGrid w:val="0"/>
          <w:color w:val="000000"/>
          <w:kern w:val="0"/>
          <w:sz w:val="32"/>
        </w:rPr>
        <w:t>三、消毒</w:t>
      </w:r>
    </w:p>
    <w:p>
      <w:pPr>
        <w:widowControl w:val="0"/>
        <w:wordWrap/>
        <w:adjustRightInd/>
        <w:snapToGrid/>
        <w:spacing w:beforeAutospacing="0" w:afterAutospacing="0" w:line="560" w:lineRule="exact"/>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主要对清洁后的台面、地面进行消毒，可用10%含氯消毒粉按1袋（规格20克/袋）加入10斤水中，搅拌混匀，用喷壶喷洒，或擦拭或拖地，作用半小时再清洗。</w:t>
      </w: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wordWrap/>
        <w:adjustRightInd/>
        <w:snapToGrid/>
        <w:spacing w:line="560" w:lineRule="exact"/>
        <w:ind w:left="0" w:leftChars="0" w:right="0" w:firstLine="0" w:firstLineChars="0"/>
        <w:jc w:val="left"/>
        <w:textAlignment w:val="auto"/>
        <w:outlineLvl w:val="9"/>
        <w:rPr>
          <w:rFonts w:hint="eastAsia" w:ascii="Times New Roman" w:hAnsi="Times New Roman" w:eastAsia="黑体" w:cs="Times New Roman"/>
          <w:sz w:val="32"/>
        </w:rPr>
      </w:pPr>
    </w:p>
    <w:p>
      <w:pPr>
        <w:outlineLvl w:val="9"/>
        <w:rPr>
          <w:rFonts w:hint="eastAsia" w:ascii="Times New Roman" w:hAnsi="Times New Roman" w:eastAsia="黑体" w:cs="Times New Roman"/>
          <w:sz w:val="32"/>
        </w:rPr>
      </w:pPr>
      <w:r>
        <w:rPr>
          <w:rFonts w:hint="eastAsia" w:ascii="Times New Roman" w:hAnsi="Times New Roman" w:eastAsia="黑体" w:cs="Times New Roman"/>
          <w:sz w:val="32"/>
        </w:rPr>
        <w:br w:type="page"/>
      </w:r>
    </w:p>
    <w:p>
      <w:pPr>
        <w:widowControl w:val="0"/>
        <w:wordWrap/>
        <w:adjustRightInd/>
        <w:snapToGrid/>
        <w:spacing w:line="560" w:lineRule="exact"/>
        <w:ind w:left="0" w:leftChars="0" w:right="0" w:firstLine="0" w:firstLineChars="0"/>
        <w:jc w:val="left"/>
        <w:textAlignment w:val="auto"/>
        <w:outlineLvl w:val="9"/>
        <w:rPr>
          <w:rFonts w:hint="eastAsia" w:ascii="Times New Roman" w:hAnsi="Times New Roman" w:eastAsia="黑体" w:cs="Times New Roman"/>
          <w:sz w:val="32"/>
        </w:rPr>
      </w:pPr>
      <w:r>
        <w:rPr>
          <w:rFonts w:hint="eastAsia" w:ascii="Times New Roman" w:hAnsi="Times New Roman" w:eastAsia="黑体" w:cs="Times New Roman"/>
          <w:sz w:val="32"/>
        </w:rPr>
        <w:t>附件10</w:t>
      </w:r>
    </w:p>
    <w:p>
      <w:pPr>
        <w:widowControl w:val="0"/>
        <w:wordWrap/>
        <w:adjustRightInd/>
        <w:snapToGrid/>
        <w:spacing w:beforeLines="0" w:afterLines="0" w:line="560" w:lineRule="exact"/>
        <w:ind w:left="0" w:leftChars="0" w:right="0" w:firstLine="0" w:firstLineChars="0"/>
        <w:jc w:val="both"/>
        <w:textAlignment w:val="auto"/>
        <w:outlineLvl w:val="9"/>
        <w:rPr>
          <w:rFonts w:hint="eastAsia" w:ascii="仿宋_GB2312" w:hAnsi="宋体" w:eastAsia="仿宋_GB2312" w:cs="Times New Roman"/>
          <w:kern w:val="2"/>
          <w:sz w:val="32"/>
          <w:szCs w:val="24"/>
          <w:lang w:val="en-US" w:eastAsia="zh-CN" w:bidi="ar-SA"/>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农贸交易市场预防新型冠状病毒感染的</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肺炎疫情预防控制指引</w:t>
      </w:r>
    </w:p>
    <w:p>
      <w:pPr>
        <w:outlineLvl w:val="9"/>
        <w:rPr>
          <w:rFonts w:hint="eastAsia" w:ascii="Times New Roman" w:hAnsi="Times New Roman" w:cs="Times New Roman"/>
        </w:rPr>
      </w:pP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为做好新型冠状病毒感染的肺炎疫情防控工作，最大程度减少新型冠状病毒对公众健康造成的危害，防止疫情通过农贸市场、花鸟虫鱼交易市场、活禽（畜）交易市场传播，保障广大人民群众身体健康和生命安全，参照禽流感防控模式，“一日一清洁消毒、一周一大扫除、一月一大清洁”的防控措施，特制定本指引。</w:t>
      </w:r>
    </w:p>
    <w:p>
      <w:pPr>
        <w:spacing w:line="560" w:lineRule="exact"/>
        <w:ind w:firstLine="640" w:firstLineChars="200"/>
        <w:textAlignment w:val="auto"/>
        <w:outlineLvl w:val="9"/>
        <w:rPr>
          <w:rFonts w:hint="eastAsia" w:ascii="黑体" w:hAnsi="黑体" w:eastAsia="黑体" w:cs="黑体"/>
        </w:rPr>
      </w:pPr>
      <w:r>
        <w:rPr>
          <w:rFonts w:hint="eastAsia" w:ascii="黑体" w:hAnsi="黑体" w:eastAsia="黑体" w:cs="黑体"/>
        </w:rPr>
        <w:t>一、清洁消毒</w:t>
      </w:r>
    </w:p>
    <w:p>
      <w:pPr>
        <w:spacing w:line="560" w:lineRule="exact"/>
        <w:ind w:firstLine="320" w:firstLineChars="100"/>
        <w:textAlignment w:val="auto"/>
        <w:outlineLvl w:val="9"/>
        <w:rPr>
          <w:rFonts w:hint="eastAsia" w:ascii="Times New Roman" w:hAnsi="Times New Roman" w:cs="Times New Roman"/>
        </w:rPr>
      </w:pPr>
      <w:r>
        <w:rPr>
          <w:rFonts w:hint="eastAsia" w:ascii="Times New Roman" w:hAnsi="Times New Roman" w:cs="Times New Roman"/>
        </w:rPr>
        <w:t>（一）一日一清洁。</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以清洁为主，消毒为辅。售卖活体动物（禽类、海产品、野生动物等）市场经营者在每日收市后，必须做到“三清一消”。</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1.清除：必须把档口内鱼鳞，内脏、粪便、鸡毛、下脚料、其它垃圾等污物清除干净；</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2.清洁：用水将台面、地面、下水沟渠和店面周边地面清扫清洗干净；</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3.消毒：主要对清洁后的台面、屠宰工具、砧板用具、笼具、档口地面进行消毒（具体方法按本指引中“一（四）”操作）。</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4.清洗：用清水把消毒后的器具、台面、砧板等冲洗干净。</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（二）一周一大扫除，清洁与消毒并重。</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农贸交易市场经营者每周收市后，要进行大扫除和消毒。</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1.在“一日一清洁消毒”的基础上，重点对清空后的舍具、笼具、喂食具、鱼池（箱）、运输工具等进行彻底清扫；</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2.对下水道、店面周边地面、排泄物进行彻底大扫除，不留死角；</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3.清洗干净后进行全面喷洒消毒（具体方法按本指引中一（四）操作）；</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4.消毒剂作用30min后用清水冲洗干净。</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（三）一月一大清洁，清洁消毒要彻底。</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市场经营者在每月应进行一次彻底的清洁消毒</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1.有活禽（畜）清空存栏，实现零存栏；</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2.彻底清除粪便、垃圾和杂物；</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3.疏通下水道，并把档口地面、墙面、店面周边环境清洗干净；</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4.全面大清洗后，进行彻底消毒。</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（四）消毒剂配制、使用及作用时间。</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用10%含氯消毒粉按1袋（规格20 g/袋）加入5000ml水中，搅拌混匀，用喷壶或喷雾器喷洒，作用半小时。</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（五）个人防护要求。</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在进行清洗消毒时，要穿长筒水鞋、戴口罩、防水长手套，做好个人卫生防护。要注意场所通风（必要时采用机械通风）。清洗消毒结束后，将围裙、工作衣、用具等用按上述要求配制的消毒液浸泡半小时，用清水洗净晾干。</w:t>
      </w:r>
    </w:p>
    <w:p>
      <w:pPr>
        <w:spacing w:line="560" w:lineRule="exact"/>
        <w:ind w:firstLine="640" w:firstLineChars="200"/>
        <w:textAlignment w:val="auto"/>
        <w:outlineLvl w:val="9"/>
        <w:rPr>
          <w:rFonts w:hint="eastAsia" w:ascii="黑体" w:hAnsi="黑体" w:eastAsia="黑体" w:cs="黑体"/>
        </w:rPr>
      </w:pPr>
      <w:r>
        <w:rPr>
          <w:rFonts w:hint="eastAsia" w:ascii="黑体" w:hAnsi="黑体" w:eastAsia="黑体" w:cs="黑体"/>
        </w:rPr>
        <w:t>二、灭鼠除虫</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一）抓源头管好垃圾。市场管理者承担市场灭鼠除害的主体责任，确保市场鼠、蚊、蝇、蟑螂（病媒生物）控制水平达到国家标准要求。加强农贸市场垃圾管理，要求垃圾运输车和手推式垃圾收集车等密闭存放、运输，提高垃圾收集、运输、处理水平。</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二）安装防鼠、防蚊和防蝇设施。市场管理者要完善农贸市场病媒生物防制设施；市场地面硬底化，沟渠要疏通，坑洼地面要填平，墙洞地缝要堵抹，下水道和沟渠要密闭，下水道口要安装防鼠设施；加工、销售、存放直接入口食品场所的房间要配备纱窗、纱门、风帘机、纱罩、玻璃柜等防蝇设施；市场内及周边要按相关要求安置毒鼠屋。</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（三）控制病媒生物密度。每半月投放毒鼠饵料1次，减少鼠密度；每周巡查一次清除各类小容器积水，检查市场内花卉店铺积水，减少蚊虫孳生。每天清理垃圾，减少蝇类密度。</w:t>
      </w:r>
    </w:p>
    <w:p>
      <w:pPr>
        <w:spacing w:line="560" w:lineRule="exact"/>
        <w:ind w:firstLine="640" w:firstLineChars="200"/>
        <w:textAlignment w:val="auto"/>
        <w:outlineLvl w:val="9"/>
        <w:rPr>
          <w:rFonts w:hint="eastAsia" w:ascii="黑体" w:hAnsi="黑体" w:eastAsia="黑体" w:cs="黑体"/>
        </w:rPr>
      </w:pPr>
      <w:r>
        <w:rPr>
          <w:rFonts w:hint="eastAsia" w:ascii="黑体" w:hAnsi="黑体" w:eastAsia="黑体" w:cs="黑体"/>
        </w:rPr>
        <w:t>三、措施落实</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一）日常的清洁消毒工作由农贸交易市场经营者实施，对大型农贸交易市场的消毒工作可委托专业消杀公司进行。市场监管部门要加强监管，做到实施清洁消毒有计划、有记录。疾控部门要做好消毒与个人防护的技术指导工作。</w:t>
      </w:r>
    </w:p>
    <w:p>
      <w:pPr>
        <w:spacing w:line="560" w:lineRule="exact"/>
        <w:ind w:firstLine="640" w:firstLineChars="200"/>
        <w:textAlignment w:val="auto"/>
        <w:outlineLvl w:val="9"/>
        <w:rPr>
          <w:rFonts w:hint="eastAsia" w:ascii="宋体" w:hAnsi="宋体" w:eastAsia="宋体" w:cs="宋体"/>
          <w:b w:val="0"/>
          <w:bCs w:val="0"/>
          <w:color w:val="auto"/>
          <w:kern w:val="44"/>
          <w:sz w:val="44"/>
          <w:szCs w:val="44"/>
          <w:lang w:val="en-US" w:eastAsia="zh-CN" w:bidi="ar-SA"/>
        </w:rPr>
      </w:pPr>
      <w:r>
        <w:rPr>
          <w:rFonts w:hint="eastAsia" w:ascii="Times New Roman" w:hAnsi="Times New Roman" w:cs="Times New Roman"/>
          <w:lang w:eastAsia="zh-CN"/>
        </w:rPr>
        <w:t>（二）</w:t>
      </w:r>
      <w:r>
        <w:rPr>
          <w:rFonts w:hint="eastAsia" w:ascii="Times New Roman" w:hAnsi="Times New Roman" w:cs="Times New Roman"/>
        </w:rPr>
        <w:t>病媒生物密度控制可采用购买专业有害生物防制公司服务与市场管理者协同相结合的方法，重点是清理卫生死角，消除鼠蝇蚊蟑等病媒生物孳生场所。</w:t>
      </w:r>
    </w:p>
    <w:p>
      <w:pPr>
        <w:outlineLvl w:val="9"/>
        <w:rPr>
          <w:rFonts w:hint="eastAsia" w:ascii="宋体" w:hAnsi="宋体" w:eastAsia="宋体" w:cs="宋体"/>
          <w:b w:val="0"/>
          <w:bCs w:val="0"/>
          <w:color w:val="auto"/>
          <w:kern w:val="44"/>
          <w:sz w:val="44"/>
          <w:szCs w:val="44"/>
          <w:lang w:val="en-US" w:eastAsia="zh-CN" w:bidi="ar-SA"/>
        </w:rPr>
      </w:pPr>
      <w:r>
        <w:rPr>
          <w:rFonts w:hint="eastAsia" w:ascii="宋体" w:hAnsi="宋体" w:eastAsia="宋体" w:cs="宋体"/>
          <w:b w:val="0"/>
          <w:bCs w:val="0"/>
          <w:color w:val="auto"/>
          <w:kern w:val="44"/>
          <w:sz w:val="44"/>
          <w:szCs w:val="44"/>
          <w:lang w:val="en-US" w:eastAsia="zh-CN" w:bidi="ar-SA"/>
        </w:rPr>
        <w:br w:type="page"/>
      </w:r>
    </w:p>
    <w:p>
      <w:pPr>
        <w:keepNext/>
        <w:keepLines/>
        <w:widowControl w:val="0"/>
        <w:wordWrap/>
        <w:spacing w:before="0" w:beforeLines="0" w:after="0" w:line="560" w:lineRule="exact"/>
        <w:jc w:val="center"/>
        <w:textAlignment w:val="auto"/>
        <w:outlineLvl w:val="0"/>
        <w:rPr>
          <w:rFonts w:hint="eastAsia" w:ascii="宋体" w:hAnsi="宋体" w:eastAsia="宋体" w:cs="宋体"/>
          <w:b w:val="0"/>
          <w:bCs w:val="0"/>
          <w:color w:val="auto"/>
          <w:kern w:val="0"/>
          <w:sz w:val="44"/>
          <w:szCs w:val="44"/>
          <w:lang w:val="en-US" w:eastAsia="zh-CN" w:bidi="ar-SA"/>
        </w:rPr>
      </w:pPr>
      <w:bookmarkStart w:id="963" w:name="_Toc14768"/>
      <w:r>
        <w:rPr>
          <w:rFonts w:hint="eastAsia" w:ascii="宋体" w:hAnsi="宋体" w:eastAsia="宋体" w:cs="宋体"/>
          <w:b w:val="0"/>
          <w:bCs w:val="0"/>
          <w:color w:val="auto"/>
          <w:kern w:val="44"/>
          <w:sz w:val="44"/>
          <w:szCs w:val="44"/>
          <w:lang w:val="en-US" w:eastAsia="zh-CN" w:bidi="ar-SA"/>
        </w:rPr>
        <w:t>广东省市场监管领域防控新型冠状病毒感染的肺炎疫情工作领导小组办公室关于强化食品经营监管做好疫情防控的</w:t>
      </w:r>
      <w:bookmarkEnd w:id="963"/>
      <w:bookmarkStart w:id="964" w:name="_Toc18507"/>
      <w:r>
        <w:rPr>
          <w:rFonts w:hint="eastAsia" w:ascii="宋体" w:hAnsi="宋体" w:eastAsia="宋体" w:cs="宋体"/>
          <w:b w:val="0"/>
          <w:bCs w:val="0"/>
          <w:color w:val="auto"/>
          <w:kern w:val="44"/>
          <w:sz w:val="44"/>
          <w:szCs w:val="44"/>
          <w:lang w:val="en-US" w:eastAsia="zh-CN" w:bidi="ar-SA"/>
        </w:rPr>
        <w:t>公告</w:t>
      </w:r>
      <w:bookmarkEnd w:id="482"/>
      <w:bookmarkEnd w:id="483"/>
      <w:bookmarkEnd w:id="484"/>
      <w:bookmarkEnd w:id="485"/>
      <w:bookmarkEnd w:id="486"/>
      <w:bookmarkEnd w:id="487"/>
      <w:bookmarkEnd w:id="488"/>
      <w:bookmarkEnd w:id="489"/>
      <w:bookmarkEnd w:id="490"/>
      <w:bookmarkEnd w:id="491"/>
      <w:bookmarkEnd w:id="964"/>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2020年防控第3号</w:t>
      </w:r>
    </w:p>
    <w:p>
      <w:pPr>
        <w:widowControl w:val="0"/>
        <w:wordWrap/>
        <w:spacing w:before="0" w:beforeLines="0" w:after="0" w:line="560" w:lineRule="exact"/>
        <w:jc w:val="both"/>
        <w:textAlignment w:val="auto"/>
        <w:rPr>
          <w:rFonts w:hint="eastAsia" w:ascii="仿宋_GB2312" w:hAnsi="宋体" w:eastAsia="仿宋_GB2312" w:cs="Times New Roman"/>
          <w:color w:val="auto"/>
          <w:kern w:val="2"/>
          <w:sz w:val="32"/>
          <w:szCs w:val="24"/>
          <w:lang w:val="en-US" w:eastAsia="zh-CN" w:bidi="ar-SA"/>
        </w:rPr>
      </w:pP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rPr>
        <w:t>为贯彻党中央、国务院关于新型冠状病毒感染的肺炎疫情防控工作的决策部署和省委、省政府的工作部署，保障食品质量安全，现将疫</w:t>
      </w:r>
      <w:r>
        <w:rPr>
          <w:rFonts w:hint="eastAsia" w:ascii="仿宋_GB2312" w:hAnsi="仿宋_GB2312" w:eastAsia="仿宋_GB2312" w:cs="仿宋_GB2312"/>
          <w:color w:val="000000"/>
          <w:kern w:val="0"/>
          <w:sz w:val="32"/>
          <w:szCs w:val="32"/>
          <w:lang w:val="en-US" w:eastAsia="zh-CN" w:bidi="ar-SA"/>
        </w:rPr>
        <w:t>情防控期间关于强化食品经营监管，做好疫情防控工作八项措施公告如下：</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  一、禁止所有食品经营者、食用农产品销售者在任何场所以任何方式经营野生动物。</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  二、禁止餐饮服务提供者为年例、美食节、农村集体聚餐等聚集性餐饮活动提供服务；禁止餐饮服务从业人员外出承接上述聚餐服务。</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  三、食品经营者、食用农产品销售者必须严格实行健康监测，严禁有发热、感冒、咳嗽等呼吸道感染症状的员工上岗，严禁让未经筛查合格的有疾病流行地区旅行史的员工上岗。</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  四、严禁加工经营病死、毒死或者死因不明的禽、畜及其制品；严禁销售过期、腐败变质、掺假掺杂等食品。</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  五、禁止商场、超市、糕点店、水果店提供食品“试吃”服务。</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  六、食品经营者、食用农产品销售者必须严格落实进货查验制度，确保所经营的食品来源可溯、合法合规。</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  七、商场超市等食品销售经营者销售直接入口散装食品的，应当设置隔离设施以确保食品不被消费者直接触及，并有明显的禁止消费者触摸的标识。</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  八、商场超市、餐饮服务提供者必须每天对经营场所进行彻底消毒，保持经营场所空气流通。</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  社会各界发现违法食品经营行为的，欢迎拨打12345、12315热线举报。</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  特此公告。</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SA"/>
        </w:rPr>
      </w:pP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w:t>
      </w:r>
      <w:r>
        <w:rPr>
          <w:rFonts w:hint="eastAsia" w:ascii="仿宋_GB2312" w:hAnsi="仿宋_GB2312" w:eastAsia="宋体" w:cs="仿宋_GB2312"/>
          <w:color w:val="000000"/>
          <w:kern w:val="0"/>
          <w:sz w:val="32"/>
          <w:szCs w:val="32"/>
          <w:lang w:val="en-US" w:eastAsia="zh-CN" w:bidi="ar-SA"/>
        </w:rPr>
        <w:t xml:space="preserve">         </w:t>
      </w:r>
      <w:r>
        <w:rPr>
          <w:rFonts w:hint="eastAsia" w:ascii="仿宋_GB2312" w:hAnsi="仿宋_GB2312" w:eastAsia="仿宋_GB2312" w:cs="仿宋_GB2312"/>
          <w:color w:val="000000"/>
          <w:kern w:val="0"/>
          <w:sz w:val="32"/>
          <w:szCs w:val="32"/>
          <w:lang w:val="en-US" w:eastAsia="zh-CN" w:bidi="ar-SA"/>
        </w:rPr>
        <w:t>广东省市场监管领域防控新型冠状病毒感染</w:t>
      </w:r>
    </w:p>
    <w:p>
      <w:pPr>
        <w:widowControl w:val="0"/>
        <w:wordWrap/>
        <w:adjustRightInd/>
        <w:snapToGrid/>
        <w:spacing w:line="560" w:lineRule="exact"/>
        <w:ind w:right="0" w:firstLine="2880" w:firstLineChars="900"/>
        <w:jc w:val="left"/>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的肺炎疫情工作领导小组办公室</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w:t>
      </w:r>
      <w:r>
        <w:rPr>
          <w:rFonts w:hint="eastAsia" w:ascii="仿宋_GB2312" w:hAnsi="仿宋_GB2312" w:eastAsia="宋体" w:cs="仿宋_GB2312"/>
          <w:color w:val="000000"/>
          <w:kern w:val="0"/>
          <w:sz w:val="32"/>
          <w:szCs w:val="32"/>
          <w:lang w:val="en-US" w:eastAsia="zh-CN" w:bidi="ar-SA"/>
        </w:rPr>
        <w:t xml:space="preserve">                        </w:t>
      </w:r>
      <w:r>
        <w:rPr>
          <w:rFonts w:hint="eastAsia" w:ascii="仿宋_GB2312" w:hAnsi="仿宋_GB2312" w:eastAsia="仿宋_GB2312" w:cs="仿宋_GB2312"/>
          <w:color w:val="000000"/>
          <w:kern w:val="0"/>
          <w:sz w:val="32"/>
          <w:szCs w:val="32"/>
          <w:lang w:val="en-US" w:eastAsia="zh-CN" w:bidi="ar-SA"/>
        </w:rPr>
        <w:t>2020年1月30日</w:t>
      </w:r>
    </w:p>
    <w:p>
      <w:pPr>
        <w:widowControl w:val="0"/>
        <w:wordWrap/>
        <w:spacing w:before="0" w:beforeLines="0" w:after="0" w:line="560" w:lineRule="exact"/>
        <w:jc w:val="both"/>
        <w:textAlignment w:val="auto"/>
        <w:rPr>
          <w:rFonts w:hint="eastAsia" w:ascii="仿宋_GB2312" w:hAnsi="仿宋_GB2312" w:eastAsia="仿宋_GB2312" w:cs="仿宋_GB2312"/>
          <w:color w:val="000000"/>
          <w:kern w:val="0"/>
          <w:sz w:val="32"/>
          <w:szCs w:val="32"/>
          <w:lang w:val="en-US" w:eastAsia="zh-CN" w:bidi="ar-SA"/>
        </w:rPr>
      </w:pPr>
    </w:p>
    <w:p>
      <w:pPr>
        <w:wordWrap/>
        <w:spacing w:line="560" w:lineRule="exact"/>
        <w:textAlignment w:val="auto"/>
        <w:rPr>
          <w:rFonts w:hint="default" w:ascii="Calibri" w:hAnsi="Calibri" w:eastAsia="宋体" w:cs="Times New Roman"/>
          <w:sz w:val="21"/>
          <w:lang w:val="en-US" w:eastAsia="zh-CN"/>
        </w:rPr>
      </w:pPr>
      <w:r>
        <w:rPr>
          <w:rFonts w:hint="default" w:ascii="Calibri" w:hAnsi="Calibri" w:eastAsia="宋体" w:cs="Times New Roman"/>
          <w:sz w:val="21"/>
          <w:lang w:val="en-US" w:eastAsia="zh-CN"/>
        </w:rPr>
        <w:br w:type="page"/>
      </w:r>
    </w:p>
    <w:p>
      <w:pPr>
        <w:pStyle w:val="4"/>
        <w:widowControl w:val="0"/>
        <w:wordWrap/>
        <w:adjustRightInd/>
        <w:snapToGrid/>
        <w:spacing w:before="0" w:after="0" w:line="560" w:lineRule="exact"/>
        <w:jc w:val="both"/>
        <w:textAlignment w:val="auto"/>
        <w:rPr>
          <w:rFonts w:hint="default" w:ascii="Times New Roman" w:hAnsi="Times New Roman" w:eastAsia="宋体" w:cs="Times New Roman"/>
          <w:b w:val="0"/>
          <w:lang w:val="zh-CN" w:eastAsia="zh-CN"/>
        </w:rPr>
      </w:pPr>
      <w:bookmarkStart w:id="965" w:name="_Toc7357"/>
      <w:bookmarkStart w:id="966" w:name="_Toc10803"/>
      <w:bookmarkStart w:id="967" w:name="_Toc13934"/>
      <w:bookmarkStart w:id="968" w:name="_Toc3046"/>
      <w:bookmarkStart w:id="969" w:name="_Toc28271"/>
      <w:bookmarkStart w:id="970" w:name="_Toc19189"/>
      <w:bookmarkStart w:id="971" w:name="_Toc11827"/>
      <w:bookmarkStart w:id="972" w:name="_Toc21327"/>
      <w:bookmarkStart w:id="973" w:name="_Toc25804"/>
      <w:bookmarkStart w:id="974" w:name="_Toc14538"/>
      <w:bookmarkStart w:id="975" w:name="_Toc22590"/>
      <w:r>
        <w:rPr>
          <w:rFonts w:hint="default" w:ascii="Times New Roman" w:hAnsi="Times New Roman" w:eastAsia="宋体" w:cs="Times New Roman"/>
          <w:b w:val="0"/>
          <w:lang w:val="zh-CN" w:eastAsia="zh-CN"/>
        </w:rPr>
        <w:t>广东省市场监管领域防控新型冠状病毒肺炎疫情工作领导小组办公室关于从严打击哄抬物价、囤积居奇、强制搭售等违法行为的公告</w:t>
      </w:r>
      <w:bookmarkEnd w:id="965"/>
      <w:bookmarkEnd w:id="966"/>
      <w:bookmarkEnd w:id="967"/>
      <w:bookmarkEnd w:id="968"/>
      <w:bookmarkEnd w:id="969"/>
      <w:bookmarkEnd w:id="970"/>
      <w:bookmarkEnd w:id="971"/>
      <w:bookmarkEnd w:id="972"/>
      <w:bookmarkEnd w:id="973"/>
      <w:bookmarkEnd w:id="974"/>
    </w:p>
    <w:p>
      <w:pPr>
        <w:widowControl w:val="0"/>
        <w:wordWrap/>
        <w:adjustRightInd/>
        <w:snapToGrid/>
        <w:spacing w:line="560" w:lineRule="exact"/>
        <w:ind w:right="0"/>
        <w:jc w:val="center"/>
        <w:textAlignment w:val="auto"/>
        <w:outlineLvl w:val="9"/>
        <w:rPr>
          <w:rFonts w:hint="default" w:ascii="楷体" w:hAnsi="楷体" w:eastAsia="楷体" w:cs="楷体"/>
          <w:color w:val="000000"/>
          <w:kern w:val="0"/>
          <w:sz w:val="32"/>
          <w:szCs w:val="32"/>
          <w:lang w:val="zh-CN" w:eastAsia="zh-CN"/>
        </w:rPr>
      </w:pPr>
    </w:p>
    <w:p>
      <w:pPr>
        <w:widowControl w:val="0"/>
        <w:wordWrap/>
        <w:adjustRightInd/>
        <w:snapToGrid/>
        <w:spacing w:line="560" w:lineRule="exact"/>
        <w:ind w:right="0"/>
        <w:jc w:val="center"/>
        <w:textAlignment w:val="auto"/>
        <w:outlineLvl w:val="9"/>
        <w:rPr>
          <w:rFonts w:hint="default" w:ascii="楷体" w:hAnsi="楷体" w:eastAsia="楷体" w:cs="楷体"/>
          <w:color w:val="000000"/>
          <w:kern w:val="0"/>
          <w:sz w:val="32"/>
          <w:szCs w:val="32"/>
          <w:lang w:val="zh-CN" w:eastAsia="zh-CN"/>
        </w:rPr>
      </w:pPr>
      <w:r>
        <w:rPr>
          <w:rFonts w:hint="default" w:ascii="楷体" w:hAnsi="楷体" w:eastAsia="楷体" w:cs="楷体"/>
          <w:color w:val="000000"/>
          <w:kern w:val="0"/>
          <w:sz w:val="32"/>
          <w:szCs w:val="32"/>
          <w:lang w:val="zh-CN" w:eastAsia="zh-CN"/>
        </w:rPr>
        <w:t>2020年防控第2号</w:t>
      </w:r>
    </w:p>
    <w:p>
      <w:pPr>
        <w:widowControl w:val="0"/>
        <w:wordWrap/>
        <w:adjustRightInd/>
        <w:snapToGrid/>
        <w:spacing w:line="560" w:lineRule="exact"/>
        <w:textAlignment w:val="auto"/>
        <w:rPr>
          <w:rFonts w:hint="default" w:ascii="Times New Roman" w:hAnsi="Times New Roman" w:cs="Times New Roman"/>
          <w:sz w:val="24"/>
          <w:lang w:val="zh-CN"/>
        </w:rPr>
      </w:pPr>
    </w:p>
    <w:p>
      <w:pPr>
        <w:widowControl w:val="0"/>
        <w:wordWrap/>
        <w:adjustRightInd/>
        <w:snapToGrid/>
        <w:spacing w:line="560" w:lineRule="exact"/>
        <w:ind w:right="0" w:firstLine="640" w:firstLineChars="200"/>
        <w:jc w:val="both"/>
        <w:textAlignment w:val="auto"/>
        <w:outlineLvl w:val="9"/>
        <w:rPr>
          <w:rFonts w:hint="default" w:ascii="仿宋_GB2312" w:hAnsi="仿宋_GB2312" w:eastAsia="仿宋_GB2312" w:cs="仿宋_GB2312"/>
          <w:color w:val="000000"/>
          <w:kern w:val="0"/>
          <w:sz w:val="32"/>
          <w:szCs w:val="32"/>
          <w:lang w:val="zh-CN" w:eastAsia="zh-CN"/>
        </w:rPr>
      </w:pPr>
      <w:r>
        <w:rPr>
          <w:rFonts w:hint="default" w:ascii="仿宋_GB2312" w:hAnsi="仿宋_GB2312" w:eastAsia="仿宋_GB2312" w:cs="仿宋_GB2312"/>
          <w:color w:val="000000"/>
          <w:kern w:val="0"/>
          <w:sz w:val="32"/>
          <w:szCs w:val="32"/>
          <w:lang w:val="zh-CN" w:eastAsia="zh-CN"/>
        </w:rPr>
        <w:t>为防控新型冠状病毒感染的肺炎疫情，坚决打赢疫情防控阻击战，依据《价格法》《价格违法行为行政处罚规定》等法律法规，以及我省重大突发公共卫生事件一级响应要求，现就加强市场价格监管等有关事项公告如下：</w:t>
      </w:r>
    </w:p>
    <w:p>
      <w:pPr>
        <w:widowControl w:val="0"/>
        <w:wordWrap/>
        <w:adjustRightInd/>
        <w:snapToGrid/>
        <w:spacing w:line="560" w:lineRule="exact"/>
        <w:ind w:right="0" w:firstLine="640" w:firstLineChars="200"/>
        <w:jc w:val="both"/>
        <w:textAlignment w:val="auto"/>
        <w:outlineLvl w:val="9"/>
        <w:rPr>
          <w:rFonts w:hint="default" w:ascii="仿宋_GB2312" w:hAnsi="仿宋_GB2312" w:eastAsia="仿宋_GB2312" w:cs="仿宋_GB2312"/>
          <w:color w:val="000000"/>
          <w:kern w:val="0"/>
          <w:sz w:val="32"/>
          <w:szCs w:val="32"/>
          <w:lang w:val="zh-CN" w:eastAsia="zh-CN"/>
        </w:rPr>
      </w:pPr>
      <w:r>
        <w:rPr>
          <w:rFonts w:hint="default" w:ascii="仿宋_GB2312" w:hAnsi="仿宋_GB2312" w:eastAsia="仿宋_GB2312" w:cs="仿宋_GB2312"/>
          <w:color w:val="000000"/>
          <w:kern w:val="0"/>
          <w:sz w:val="32"/>
          <w:szCs w:val="32"/>
          <w:lang w:val="zh-CN" w:eastAsia="zh-CN"/>
        </w:rPr>
        <w:t>一、严禁经营者哄抬物价，囤积居奇，强制搭售，捏造、散布涨价信息，推动商品价格过高上涨；严禁相互串通，操纵市场价格；严禁利用虚假的或者使人误解的价格手段，诱骗消费者或者其他经营者与其进行交易；严禁违反明码标价规定以及其他违反价格法律法规的行为。对上述违法行为，一律依法从重查处。</w:t>
      </w:r>
    </w:p>
    <w:p>
      <w:pPr>
        <w:widowControl w:val="0"/>
        <w:wordWrap/>
        <w:adjustRightInd/>
        <w:snapToGrid/>
        <w:spacing w:line="560" w:lineRule="exact"/>
        <w:ind w:right="0" w:firstLine="640" w:firstLineChars="200"/>
        <w:jc w:val="both"/>
        <w:textAlignment w:val="auto"/>
        <w:outlineLvl w:val="9"/>
        <w:rPr>
          <w:rFonts w:hint="default" w:ascii="仿宋_GB2312" w:hAnsi="仿宋_GB2312" w:eastAsia="仿宋_GB2312" w:cs="仿宋_GB2312"/>
          <w:color w:val="000000"/>
          <w:kern w:val="0"/>
          <w:sz w:val="32"/>
          <w:szCs w:val="32"/>
          <w:lang w:val="zh-CN" w:eastAsia="zh-CN"/>
        </w:rPr>
      </w:pPr>
      <w:r>
        <w:rPr>
          <w:rFonts w:hint="default" w:ascii="仿宋_GB2312" w:hAnsi="仿宋_GB2312" w:eastAsia="仿宋_GB2312" w:cs="仿宋_GB2312"/>
          <w:color w:val="000000"/>
          <w:kern w:val="0"/>
          <w:sz w:val="32"/>
          <w:szCs w:val="32"/>
          <w:lang w:val="zh-CN" w:eastAsia="zh-CN"/>
        </w:rPr>
        <w:t>二、请广大群众积极监督，发现上述违法行为，及时拨打12315、12345热线举报。</w:t>
      </w:r>
    </w:p>
    <w:p>
      <w:pPr>
        <w:widowControl w:val="0"/>
        <w:wordWrap/>
        <w:adjustRightInd/>
        <w:snapToGrid/>
        <w:spacing w:line="560" w:lineRule="exact"/>
        <w:ind w:right="0" w:firstLine="640" w:firstLineChars="200"/>
        <w:jc w:val="both"/>
        <w:textAlignment w:val="auto"/>
        <w:outlineLvl w:val="9"/>
        <w:rPr>
          <w:rFonts w:hint="default" w:ascii="Times New Roman" w:hAnsi="Times New Roman" w:cs="Times New Roman"/>
          <w:sz w:val="24"/>
          <w:lang w:val="zh-CN"/>
        </w:rPr>
      </w:pPr>
      <w:r>
        <w:rPr>
          <w:rFonts w:hint="default" w:ascii="仿宋_GB2312" w:hAnsi="仿宋_GB2312" w:eastAsia="仿宋_GB2312" w:cs="仿宋_GB2312"/>
          <w:color w:val="000000"/>
          <w:kern w:val="0"/>
          <w:sz w:val="32"/>
          <w:szCs w:val="32"/>
          <w:lang w:val="zh-CN" w:eastAsia="zh-CN"/>
        </w:rPr>
        <w:t>三、全省各级市场监管部门要加强价格监管工作力度，依法从重从快查处各类违法案件，曝光典型案例，维护好市场价格秩序。</w:t>
      </w:r>
    </w:p>
    <w:p>
      <w:pPr>
        <w:widowControl w:val="0"/>
        <w:wordWrap/>
        <w:adjustRightInd/>
        <w:snapToGrid/>
        <w:spacing w:line="560" w:lineRule="exact"/>
        <w:ind w:firstLine="2160" w:firstLineChars="900"/>
        <w:textAlignment w:val="auto"/>
        <w:rPr>
          <w:rFonts w:hint="eastAsia" w:ascii="仿宋" w:hAnsi="仿宋" w:eastAsia="仿宋" w:cs="仿宋"/>
          <w:sz w:val="32"/>
          <w:szCs w:val="32"/>
          <w:lang w:val="zh-CN"/>
        </w:rPr>
      </w:pPr>
      <w:r>
        <w:rPr>
          <w:rFonts w:hint="default" w:ascii="Times New Roman" w:hAnsi="Times New Roman" w:cs="Times New Roman"/>
          <w:sz w:val="24"/>
          <w:lang w:val="zh-CN"/>
        </w:rPr>
        <w:t>　</w:t>
      </w:r>
      <w:r>
        <w:rPr>
          <w:rFonts w:hint="eastAsia" w:ascii="仿宋" w:hAnsi="仿宋" w:eastAsia="仿宋" w:cs="仿宋"/>
          <w:sz w:val="32"/>
          <w:szCs w:val="32"/>
          <w:lang w:val="zh-CN"/>
        </w:rPr>
        <w:t>广东省市场监管领域防控新型冠状病毒</w:t>
      </w:r>
    </w:p>
    <w:p>
      <w:pPr>
        <w:widowControl w:val="0"/>
        <w:wordWrap/>
        <w:adjustRightInd/>
        <w:snapToGrid/>
        <w:spacing w:line="560" w:lineRule="exact"/>
        <w:textAlignment w:val="auto"/>
        <w:rPr>
          <w:rFonts w:hint="eastAsia" w:ascii="仿宋" w:hAnsi="仿宋" w:eastAsia="仿宋" w:cs="仿宋"/>
          <w:sz w:val="32"/>
          <w:szCs w:val="32"/>
          <w:lang w:val="zh-CN"/>
        </w:rPr>
      </w:pPr>
      <w:r>
        <w:rPr>
          <w:rFonts w:hint="eastAsia" w:ascii="仿宋" w:hAnsi="仿宋" w:eastAsia="仿宋" w:cs="仿宋"/>
          <w:sz w:val="32"/>
          <w:szCs w:val="32"/>
          <w:lang w:val="zh-CN"/>
        </w:rPr>
        <w:t>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zh-CN"/>
        </w:rPr>
        <w:t>　肺炎疫情工作领导小组办公室</w:t>
      </w:r>
    </w:p>
    <w:p>
      <w:pPr>
        <w:widowControl w:val="0"/>
        <w:wordWrap/>
        <w:adjustRightInd/>
        <w:snapToGrid/>
        <w:spacing w:line="560" w:lineRule="exact"/>
        <w:textAlignment w:val="auto"/>
        <w:rPr>
          <w:rFonts w:hint="default" w:ascii="Times New Roman" w:hAnsi="Times New Roman" w:eastAsia="宋体" w:cs="Times New Roman"/>
          <w:bCs/>
          <w:color w:val="auto"/>
          <w:kern w:val="44"/>
          <w:sz w:val="44"/>
          <w:szCs w:val="44"/>
          <w:lang w:val="zh-CN" w:eastAsia="zh-CN" w:bidi="ar-SA"/>
        </w:rPr>
      </w:pPr>
      <w:r>
        <w:rPr>
          <w:rFonts w:hint="eastAsia" w:ascii="仿宋" w:hAnsi="仿宋" w:eastAsia="仿宋" w:cs="仿宋"/>
          <w:sz w:val="32"/>
          <w:szCs w:val="32"/>
          <w:lang w:val="zh-CN"/>
        </w:rPr>
        <w:t>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zh-CN"/>
        </w:rPr>
        <w:t>2020年1月28日</w:t>
      </w:r>
    </w:p>
    <w:p>
      <w:pPr>
        <w:widowControl w:val="0"/>
        <w:wordWrap/>
        <w:adjustRightInd/>
        <w:snapToGrid/>
        <w:spacing w:line="560" w:lineRule="exact"/>
        <w:textAlignment w:val="auto"/>
        <w:rPr>
          <w:rFonts w:hint="default" w:ascii="Times New Roman" w:hAnsi="Times New Roman" w:eastAsia="宋体" w:cs="Times New Roman"/>
          <w:bCs/>
          <w:color w:val="auto"/>
          <w:kern w:val="44"/>
          <w:sz w:val="44"/>
          <w:szCs w:val="44"/>
          <w:lang w:val="zh-CN" w:eastAsia="zh-CN" w:bidi="ar-SA"/>
        </w:rPr>
      </w:pPr>
      <w:r>
        <w:rPr>
          <w:rFonts w:hint="default" w:ascii="Times New Roman" w:hAnsi="Times New Roman" w:eastAsia="宋体" w:cs="Times New Roman"/>
          <w:bCs/>
          <w:color w:val="auto"/>
          <w:kern w:val="44"/>
          <w:sz w:val="44"/>
          <w:szCs w:val="44"/>
          <w:lang w:val="zh-CN" w:eastAsia="zh-CN" w:bidi="ar-SA"/>
        </w:rPr>
        <w:br w:type="page"/>
      </w:r>
    </w:p>
    <w:p>
      <w:pPr>
        <w:keepNext/>
        <w:keepLines/>
        <w:widowControl w:val="0"/>
        <w:wordWrap/>
        <w:spacing w:line="560" w:lineRule="exact"/>
        <w:jc w:val="center"/>
        <w:textAlignment w:val="auto"/>
        <w:outlineLvl w:val="0"/>
        <w:rPr>
          <w:rFonts w:hint="default" w:ascii="Times New Roman" w:hAnsi="Times New Roman" w:eastAsia="宋体" w:cs="Times New Roman"/>
          <w:bCs/>
          <w:color w:val="auto"/>
          <w:kern w:val="44"/>
          <w:sz w:val="44"/>
          <w:szCs w:val="44"/>
          <w:lang w:val="zh-CN" w:eastAsia="zh-CN" w:bidi="ar-SA"/>
        </w:rPr>
      </w:pPr>
      <w:bookmarkStart w:id="976" w:name="_Toc29129"/>
      <w:r>
        <w:rPr>
          <w:rFonts w:hint="default" w:ascii="Times New Roman" w:hAnsi="Times New Roman" w:eastAsia="宋体" w:cs="Times New Roman"/>
          <w:bCs/>
          <w:color w:val="auto"/>
          <w:kern w:val="44"/>
          <w:sz w:val="44"/>
          <w:szCs w:val="44"/>
          <w:lang w:val="zh-CN" w:eastAsia="zh-CN" w:bidi="ar-SA"/>
        </w:rPr>
        <w:t>广东省市场监管领域防控新型冠状病毒肺炎疫情工作领导小组办公室关于加强野生动物经营行为监管做好疫情防控工作</w:t>
      </w:r>
      <w:bookmarkEnd w:id="975"/>
      <w:bookmarkEnd w:id="976"/>
    </w:p>
    <w:p>
      <w:pPr>
        <w:keepNext/>
        <w:keepLines/>
        <w:widowControl w:val="0"/>
        <w:wordWrap/>
        <w:spacing w:line="560" w:lineRule="exact"/>
        <w:jc w:val="center"/>
        <w:textAlignment w:val="auto"/>
        <w:outlineLvl w:val="0"/>
        <w:rPr>
          <w:rFonts w:hint="default" w:ascii="Times New Roman" w:hAnsi="Times New Roman" w:eastAsia="宋体" w:cs="Times New Roman"/>
          <w:bCs/>
          <w:color w:val="auto"/>
          <w:kern w:val="44"/>
          <w:sz w:val="44"/>
          <w:szCs w:val="44"/>
          <w:lang w:val="zh-CN" w:eastAsia="zh-CN" w:bidi="ar-SA"/>
        </w:rPr>
      </w:pPr>
      <w:bookmarkStart w:id="977" w:name="_Toc18694"/>
      <w:bookmarkStart w:id="978" w:name="_Toc6749"/>
      <w:r>
        <w:rPr>
          <w:rFonts w:hint="default" w:ascii="Times New Roman" w:hAnsi="Times New Roman" w:eastAsia="宋体" w:cs="Times New Roman"/>
          <w:bCs/>
          <w:color w:val="auto"/>
          <w:kern w:val="44"/>
          <w:sz w:val="44"/>
          <w:szCs w:val="44"/>
          <w:lang w:val="zh-CN" w:eastAsia="zh-CN" w:bidi="ar-SA"/>
        </w:rPr>
        <w:t>的公告</w:t>
      </w:r>
      <w:bookmarkEnd w:id="977"/>
      <w:bookmarkEnd w:id="978"/>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jc w:val="center"/>
        <w:textAlignment w:val="auto"/>
        <w:rPr>
          <w:rFonts w:hint="eastAsia" w:ascii="仿宋" w:hAnsi="仿宋" w:eastAsia="仿宋" w:cs="仿宋"/>
          <w:color w:val="auto"/>
          <w:kern w:val="0"/>
          <w:sz w:val="32"/>
          <w:szCs w:val="32"/>
          <w:lang w:val="en-US" w:eastAsia="zh-CN"/>
        </w:rPr>
      </w:pP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jc w:val="center"/>
        <w:textAlignment w:val="auto"/>
        <w:rPr>
          <w:rFonts w:hint="eastAsia" w:ascii="楷体" w:hAnsi="楷体" w:eastAsia="楷体" w:cs="楷体"/>
          <w:color w:val="auto"/>
          <w:kern w:val="0"/>
          <w:sz w:val="32"/>
          <w:szCs w:val="32"/>
          <w:lang w:val="en-US" w:eastAsia="zh-CN"/>
        </w:rPr>
      </w:pPr>
      <w:r>
        <w:rPr>
          <w:rFonts w:hint="eastAsia" w:ascii="楷体" w:hAnsi="楷体" w:eastAsia="楷体" w:cs="楷体"/>
          <w:color w:val="auto"/>
          <w:kern w:val="0"/>
          <w:sz w:val="32"/>
          <w:szCs w:val="32"/>
          <w:lang w:val="en-US" w:eastAsia="zh-CN"/>
        </w:rPr>
        <w:t>2020年第4号</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为防控新型冠状病毒感染的肺炎疫情，广东省市场监管领域防控新型冠状病毒肺炎疫情工作领导小组决定，自本公告发布之日起至全国疫情解除期间，全省饲养繁育野生动物场所实施隔离，严禁对外扩散、禁止转运贩卖。</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全省农副产品市场、超市、餐饮单位、电子商务平台经营者严禁交易野生动物及其制品。</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全省各地要全面加强监管巡查，严格落实公告要求，发现违法行为的，依法严厉查处。</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社会各界发现违法交易野生动物及其制品的，欢迎拨打12345、12315热线举报。</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特此公告。</w:t>
      </w:r>
    </w:p>
    <w:p>
      <w:pPr>
        <w:pStyle w:val="3"/>
        <w:rPr>
          <w:rFonts w:hint="eastAsia"/>
          <w:lang w:val="en-US" w:eastAsia="zh-CN"/>
        </w:rPr>
      </w:pP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jc w:val="righ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广东省市场监管领域防控新型冠状病毒</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jc w:val="center"/>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xml:space="preserve">                     肺炎疫情工作领导小组办公室</w:t>
      </w:r>
    </w:p>
    <w:p>
      <w:pPr>
        <w:widowControl w:val="0"/>
        <w:wordWrap/>
        <w:adjustRightInd/>
        <w:snapToGrid/>
        <w:spacing w:line="560" w:lineRule="exact"/>
        <w:ind w:right="0" w:firstLine="640" w:firstLineChars="200"/>
        <w:jc w:val="center"/>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2020年1月23 日</w:t>
      </w:r>
    </w:p>
    <w:p>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pStyle w:val="4"/>
        <w:widowControl/>
        <w:pBdr>
          <w:top w:val="none" w:color="auto" w:sz="0" w:space="0"/>
          <w:left w:val="none" w:color="auto" w:sz="0" w:space="0"/>
          <w:bottom w:val="none" w:color="auto" w:sz="0" w:space="0"/>
          <w:right w:val="none" w:color="auto" w:sz="0" w:space="0"/>
        </w:pBdr>
        <w:shd w:val="clear" w:color="auto" w:fill="FFFFFF"/>
        <w:wordWrap/>
        <w:adjustRightInd/>
        <w:snapToGrid/>
        <w:spacing w:before="300" w:beforeAutospacing="0" w:after="375" w:afterAutospacing="0" w:line="0" w:lineRule="atLeast"/>
        <w:ind w:left="0" w:right="0" w:firstLine="0"/>
        <w:jc w:val="center"/>
        <w:textAlignment w:val="auto"/>
        <w:outlineLvl w:val="0"/>
        <w:rPr>
          <w:rFonts w:hint="eastAsia" w:ascii="宋体" w:hAnsi="宋体" w:eastAsia="宋体" w:cs="宋体"/>
          <w:b/>
          <w:i w:val="0"/>
          <w:caps w:val="0"/>
          <w:color w:val="2D66A5"/>
          <w:spacing w:val="0"/>
          <w:sz w:val="44"/>
          <w:szCs w:val="44"/>
        </w:rPr>
      </w:pPr>
      <w:r>
        <w:rPr>
          <w:rFonts w:hint="eastAsia" w:ascii="宋体" w:hAnsi="宋体" w:eastAsia="宋体" w:cs="宋体"/>
          <w:b/>
          <w:i w:val="0"/>
          <w:caps w:val="0"/>
          <w:color w:val="auto"/>
          <w:spacing w:val="0"/>
          <w:sz w:val="44"/>
          <w:szCs w:val="44"/>
          <w:shd w:val="clear" w:color="auto" w:fill="FFFFFF"/>
        </w:rPr>
        <w:t>广东省市场监督管理局关于对从事冷藏冷冻食品贮存服务的非食品生产经营者备案的通告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楷体" w:hAnsi="楷体" w:eastAsia="楷体" w:cs="楷体"/>
          <w:color w:val="424242"/>
          <w:sz w:val="32"/>
          <w:szCs w:val="32"/>
        </w:rPr>
      </w:pPr>
      <w:r>
        <w:rPr>
          <w:rFonts w:hint="eastAsia" w:ascii="微软雅黑" w:hAnsi="微软雅黑" w:eastAsia="微软雅黑" w:cs="微软雅黑"/>
          <w:i w:val="0"/>
          <w:caps w:val="0"/>
          <w:color w:val="424242"/>
          <w:spacing w:val="0"/>
          <w:sz w:val="27"/>
          <w:szCs w:val="27"/>
          <w:shd w:val="clear" w:color="auto" w:fill="FFFFFF"/>
        </w:rPr>
        <w:t>　　</w:t>
      </w:r>
      <w:r>
        <w:rPr>
          <w:rFonts w:hint="eastAsia" w:ascii="楷体" w:hAnsi="楷体" w:eastAsia="楷体" w:cs="楷体"/>
          <w:i w:val="0"/>
          <w:caps w:val="0"/>
          <w:color w:val="424242"/>
          <w:spacing w:val="0"/>
          <w:sz w:val="32"/>
          <w:szCs w:val="32"/>
          <w:shd w:val="clear" w:color="auto" w:fill="FFFFFF"/>
        </w:rPr>
        <w:t>粤市监规字〔2020〕5号</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微软雅黑" w:hAnsi="微软雅黑" w:eastAsia="微软雅黑" w:cs="微软雅黑"/>
          <w:i w:val="0"/>
          <w:caps w:val="0"/>
          <w:color w:val="424242"/>
          <w:spacing w:val="0"/>
          <w:sz w:val="27"/>
          <w:szCs w:val="27"/>
          <w:shd w:val="clear" w:color="auto" w:fill="FFFFFF"/>
        </w:rPr>
        <w:t>　　</w:t>
      </w:r>
      <w:r>
        <w:rPr>
          <w:rFonts w:hint="eastAsia" w:ascii="仿宋_GB2312" w:hAnsi="仿宋_GB2312" w:eastAsia="仿宋_GB2312" w:cs="仿宋_GB2312"/>
          <w:i w:val="0"/>
          <w:caps w:val="0"/>
          <w:color w:val="424242"/>
          <w:spacing w:val="0"/>
          <w:sz w:val="32"/>
          <w:szCs w:val="32"/>
          <w:shd w:val="clear" w:color="auto" w:fill="FFFFFF"/>
        </w:rPr>
        <w:t>为贯彻落实《中华人民共和国食品安全法》《中华人民共和国食品安全法实施条例》《市场监管总局关于加强冷藏冷冻食品质量安全管理的公告》，现对我省从事冷藏冷冻食品贮存服务的非食品生产经营者（以下简称冷藏冷冻食品贮存服务提供者）备案有关事项通告如下：</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r>
        <w:rPr>
          <w:rStyle w:val="23"/>
          <w:rFonts w:hint="eastAsia" w:ascii="仿宋_GB2312" w:hAnsi="仿宋_GB2312" w:eastAsia="仿宋_GB2312" w:cs="仿宋_GB2312"/>
          <w:i w:val="0"/>
          <w:caps w:val="0"/>
          <w:color w:val="424242"/>
          <w:spacing w:val="0"/>
          <w:sz w:val="32"/>
          <w:szCs w:val="32"/>
          <w:shd w:val="clear" w:color="auto" w:fill="FFFFFF"/>
        </w:rPr>
        <w:t>一、备案范围</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广东省内冷藏冷冻食品贮存服务提供者应当依法进行备案。</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r>
        <w:rPr>
          <w:rStyle w:val="23"/>
          <w:rFonts w:hint="eastAsia" w:ascii="仿宋_GB2312" w:hAnsi="仿宋_GB2312" w:eastAsia="仿宋_GB2312" w:cs="仿宋_GB2312"/>
          <w:i w:val="0"/>
          <w:caps w:val="0"/>
          <w:color w:val="424242"/>
          <w:spacing w:val="0"/>
          <w:sz w:val="32"/>
          <w:szCs w:val="32"/>
          <w:shd w:val="clear" w:color="auto" w:fill="FFFFFF"/>
        </w:rPr>
        <w:t>二、备案机关</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冷藏冷冻食品贮存服务提供者营业执照注册所在地县级市场监管部门。</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r>
        <w:rPr>
          <w:rStyle w:val="23"/>
          <w:rFonts w:hint="eastAsia" w:ascii="仿宋_GB2312" w:hAnsi="仿宋_GB2312" w:eastAsia="仿宋_GB2312" w:cs="仿宋_GB2312"/>
          <w:i w:val="0"/>
          <w:caps w:val="0"/>
          <w:color w:val="424242"/>
          <w:spacing w:val="0"/>
          <w:sz w:val="32"/>
          <w:szCs w:val="32"/>
          <w:shd w:val="clear" w:color="auto" w:fill="FFFFFF"/>
        </w:rPr>
        <w:t>三、备案办理</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（一）在本通告发布前，已取得营业执照的冷藏冷冻食品贮存服务提供者应当在本通告实施之日起30个工作日内向备案机关备案。</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（二）本通告实施之日起，新开业的冷藏冷冻食品贮存服务提供者应当自领取营业执照之日起30个工作日内向备案机关备案。</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（三）已备案的冷藏冷冻食品贮存服务提供者备案信息发生变化的，应当自变化之日起10个工作日内向原备案机关备案相关信息。</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（四）已备案的冷藏冷冻食品贮存服务提供者停止服务或注销主体资格的，应当向原备案部门提交注销报告和备案凭据，注销备案。</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五）冷藏冷冻食品贮存服务提供者可以在广东省市场监督管理局和各级市场监管部门网站下载《广东省冷藏冷冻食品贮存服务提供者备案表》，如实填报相关信息，通过邮寄或现场提交等方式，向备案机关备案。委托他人现场办理的，应当提交授权委托书以及委托代理人的身份证明复印件。</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（六）冷藏冷冻食品贮存服务提供者应当在经营场所显著位置张贴《广东省冷藏冷冻食品贮存服务提供者备案凭据》。</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（七）县级市场监管部门收到备案资料后，原则上应当在3个工作日内完成备案，发放备案凭据，并于备案后5个工作日内，将备案信息在政府网站公布，供公众查询。</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食品生产经营者、食用农产品销售者委托冷藏冷冻食品贮存服务提供者贮存冷藏冷冻食品的，应当查验其备案信息，并通过签订食品贮存质量安全合同、协议等形式，明确双方食品安全责任，监督其按照保证食品安全的要求贮存冷藏冷冻食品。</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我省市场监管部门将对冷藏冷冻食品贮存服务提供者备案情况开展监督检查，对应当备案而未备案的冷藏冷冻食品贮存服务提供者，依法按照《中华人民共和国食品安全法实施条例》第二十五条、第七十二条进行查处。</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本通告自2020年9月5日起实施。</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广东省市场监督管理局</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right"/>
        <w:textAlignment w:val="auto"/>
        <w:outlineLvl w:val="9"/>
        <w:rPr>
          <w:rFonts w:hint="eastAsia" w:ascii="仿宋_GB2312" w:hAnsi="仿宋_GB2312" w:eastAsia="仿宋_GB2312" w:cs="仿宋_GB2312"/>
          <w:i w:val="0"/>
          <w:caps w:val="0"/>
          <w:color w:val="424242"/>
          <w:spacing w:val="0"/>
          <w:sz w:val="32"/>
          <w:szCs w:val="32"/>
          <w:shd w:val="clear" w:color="auto" w:fill="FFFFFF"/>
        </w:rPr>
      </w:pPr>
      <w:r>
        <w:rPr>
          <w:rFonts w:hint="eastAsia" w:ascii="仿宋_GB2312" w:hAnsi="仿宋_GB2312" w:eastAsia="仿宋_GB2312" w:cs="仿宋_GB2312"/>
          <w:i w:val="0"/>
          <w:caps w:val="0"/>
          <w:color w:val="424242"/>
          <w:spacing w:val="0"/>
          <w:sz w:val="32"/>
          <w:szCs w:val="32"/>
          <w:shd w:val="clear" w:color="auto" w:fill="FFFFFF"/>
        </w:rPr>
        <w:t>　　        2020年7月27日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right"/>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right"/>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4"/>
        <w:widowControl/>
        <w:pBdr>
          <w:top w:val="none" w:color="auto" w:sz="0" w:space="0"/>
          <w:left w:val="none" w:color="auto" w:sz="0" w:space="0"/>
          <w:bottom w:val="none" w:color="auto" w:sz="0" w:space="0"/>
          <w:right w:val="none" w:color="auto" w:sz="0" w:space="0"/>
        </w:pBdr>
        <w:shd w:val="clear" w:color="auto" w:fill="FFFFFF"/>
        <w:wordWrap/>
        <w:adjustRightInd/>
        <w:snapToGrid/>
        <w:spacing w:before="300" w:beforeAutospacing="0" w:after="375" w:afterAutospacing="0" w:line="0" w:lineRule="atLeast"/>
        <w:ind w:left="0" w:right="0" w:firstLine="0"/>
        <w:jc w:val="center"/>
        <w:textAlignment w:val="auto"/>
        <w:outlineLvl w:val="0"/>
        <w:rPr>
          <w:rFonts w:hint="eastAsia" w:ascii="宋体" w:hAnsi="宋体" w:eastAsia="宋体" w:cs="宋体"/>
          <w:b w:val="0"/>
          <w:bCs w:val="0"/>
          <w:i w:val="0"/>
          <w:caps w:val="0"/>
          <w:color w:val="auto"/>
          <w:spacing w:val="0"/>
          <w:sz w:val="44"/>
          <w:szCs w:val="44"/>
        </w:rPr>
      </w:pPr>
      <w:r>
        <w:rPr>
          <w:rFonts w:hint="eastAsia" w:ascii="宋体" w:hAnsi="宋体" w:eastAsia="宋体" w:cs="宋体"/>
          <w:b w:val="0"/>
          <w:bCs w:val="0"/>
          <w:i w:val="0"/>
          <w:caps w:val="0"/>
          <w:color w:val="auto"/>
          <w:spacing w:val="0"/>
          <w:sz w:val="44"/>
          <w:szCs w:val="44"/>
          <w:shd w:val="clear" w:color="auto" w:fill="FFFFFF"/>
        </w:rPr>
        <w:t>广东省市场监督管理局关于印发《广东省市场监督管理局关于广东省食品相关产品生产企业监督检查的管理办法》的通知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楷体" w:hAnsi="楷体" w:eastAsia="楷体" w:cs="楷体"/>
          <w:color w:val="424242"/>
          <w:sz w:val="32"/>
          <w:szCs w:val="32"/>
        </w:rPr>
      </w:pPr>
      <w:r>
        <w:rPr>
          <w:rFonts w:hint="eastAsia" w:ascii="微软雅黑" w:hAnsi="微软雅黑" w:eastAsia="微软雅黑" w:cs="微软雅黑"/>
          <w:i w:val="0"/>
          <w:caps w:val="0"/>
          <w:color w:val="424242"/>
          <w:spacing w:val="0"/>
          <w:sz w:val="27"/>
          <w:szCs w:val="27"/>
          <w:shd w:val="clear" w:color="auto" w:fill="FFFFFF"/>
        </w:rPr>
        <w:t>　　</w:t>
      </w:r>
      <w:r>
        <w:rPr>
          <w:rFonts w:hint="eastAsia" w:ascii="楷体" w:hAnsi="楷体" w:eastAsia="楷体" w:cs="楷体"/>
          <w:i w:val="0"/>
          <w:caps w:val="0"/>
          <w:color w:val="424242"/>
          <w:spacing w:val="0"/>
          <w:sz w:val="32"/>
          <w:szCs w:val="32"/>
          <w:shd w:val="clear" w:color="auto" w:fill="FFFFFF"/>
        </w:rPr>
        <w:t>粤市监规字〔2021〕1号</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left"/>
        <w:rPr>
          <w:color w:val="424242"/>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各地级以上市市场监督管理局：</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《广东省市场监督管理局关于广东省食品相关产品生产企业监督检查的管理办法》已经省局局务会审议通过，并经省司法厅审核。现印发给你们，请遵照执行。</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rPr>
          <w:rFonts w:hint="eastAsia" w:ascii="仿宋_GB2312" w:hAnsi="仿宋_GB2312" w:eastAsia="仿宋_GB2312" w:cs="仿宋_GB2312"/>
          <w:color w:val="424242"/>
          <w:sz w:val="32"/>
          <w:szCs w:val="32"/>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广东省市场监督管理局</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2021年2月22日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outlineLvl w:val="0"/>
        <w:rPr>
          <w:rFonts w:hint="eastAsia" w:ascii="宋体" w:hAnsi="宋体" w:eastAsia="宋体" w:cs="宋体"/>
          <w:b w:val="0"/>
          <w:bCs/>
          <w:i w:val="0"/>
          <w:caps w:val="0"/>
          <w:color w:val="424242"/>
          <w:spacing w:val="0"/>
          <w:sz w:val="44"/>
          <w:szCs w:val="44"/>
        </w:rPr>
      </w:pPr>
      <w:bookmarkStart w:id="979" w:name="_Toc6033"/>
      <w:r>
        <w:rPr>
          <w:rStyle w:val="23"/>
          <w:rFonts w:hint="eastAsia" w:ascii="宋体" w:hAnsi="宋体" w:eastAsia="宋体" w:cs="宋体"/>
          <w:b w:val="0"/>
          <w:bCs/>
          <w:i w:val="0"/>
          <w:caps w:val="0"/>
          <w:color w:val="424242"/>
          <w:spacing w:val="0"/>
          <w:sz w:val="44"/>
          <w:szCs w:val="44"/>
        </w:rPr>
        <w:t>广东省人民政府关于印发广东省进一步稳定和促进就业若干政策措施的通知</w:t>
      </w:r>
      <w:bookmarkEnd w:id="979"/>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24242"/>
          <w:spacing w:val="0"/>
          <w:sz w:val="32"/>
          <w:szCs w:val="32"/>
        </w:rPr>
      </w:pPr>
      <w:r>
        <w:rPr>
          <w:rFonts w:hint="eastAsia" w:ascii="楷体" w:hAnsi="楷体" w:eastAsia="楷体" w:cs="楷体"/>
          <w:i w:val="0"/>
          <w:caps w:val="0"/>
          <w:color w:val="424242"/>
          <w:spacing w:val="0"/>
          <w:sz w:val="32"/>
          <w:szCs w:val="32"/>
        </w:rPr>
        <w:t>粤府〔2020〕12号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现将《广东省进一步稳定和促进就业若干政策措施》印发给你们，请认真组织实施。实施过程中遇到的问题，请径向省人力资源社会保障厅反映。</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广东省人民政府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2020年2月20日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仿宋" w:hAnsi="仿宋" w:eastAsia="仿宋" w:cs="仿宋"/>
          <w:b w:val="0"/>
          <w:bCs/>
          <w:i w:val="0"/>
          <w:caps w:val="0"/>
          <w:color w:val="424242"/>
          <w:spacing w:val="0"/>
          <w:sz w:val="32"/>
          <w:szCs w:val="32"/>
        </w:rPr>
      </w:pPr>
      <w:r>
        <w:rPr>
          <w:rStyle w:val="23"/>
          <w:rFonts w:hint="eastAsia" w:ascii="仿宋" w:hAnsi="仿宋" w:eastAsia="仿宋" w:cs="仿宋"/>
          <w:b w:val="0"/>
          <w:bCs/>
          <w:i w:val="0"/>
          <w:caps w:val="0"/>
          <w:color w:val="424242"/>
          <w:spacing w:val="0"/>
          <w:sz w:val="32"/>
          <w:szCs w:val="32"/>
        </w:rPr>
        <w:t>广东省进一步稳定和促进就业若干政策措施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为全面贯彻习近平新时代中国特色社会主义思想和党的十九大精神，深入贯彻落实习近平总书记重要讲话和重要指示批示精神，统筹做好新冠肺炎疫情防控和经济社会发展工作，以更大力度实施好就业优先政策，多措并举促进各类群体就业，确保全省就业大局稳定和经济社会持续健康发展，根据《国务院关于进一步做好稳就业工作的意见》（国发〔2019〕28号）精神，结合我省实际，制定以下政策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一、支持企业稳定岗位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按照国家统一部署，平稳有序调整和实施企业职工基本养老保险等缴费政策，保持企业社会保险缴费成本预期稳定。规范执法检查，行政执法机关不得开展社会保险欠费集中清缴。对受疫情影响不能按时缴纳企业职工基本养老保险、基本医疗保险（含生育保险）、失业保险、工伤保险以及住房公积金的企业，允许延期至疫情解除后三个月内补办补缴；补办补缴社会保险费用免收滞纳金，相关待遇正常享受，不影响参保个人权益记录。符合享受国家阶段性减免企业社会保险费相关政策的，按国家相关政策执行。2019年阶段性降低基本医疗保险费率、失业保险费率、工伤保险费率的政策，实施期限延长至2021年4月30日。继续按不高于2017年征收标准征收残疾人就业保障金，落实分档减缴和暂免征收优惠政策，实施期限至2022年12月31日（即征收所属期至2021年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援企稳岗政策力度，对不裁员或少裁员的参保企业，继续实施援企稳岗返还政策，并将所有受疫情影响企业的稳岗返还政策裁员率标准放宽至上年度全国城镇调查失业率控制目标（2019年度全国城镇调查失业率控制目标为5.5%），对参保职工30人（含）以下的企业，裁员率放宽至不超过企业职工总数20%；困难企业的失业保险费稳岗返还政策，以及困难企业一次性特别培训补助政策，实施期限延长至2020年12月31日。支持企业与职工集体协商，采取协商薪酬、调整工时、轮岗轮休、在岗培训等措施，保留劳动关系。对生产、配送疫情防控急需物资，在疫情防控期间新招用员工的企业，按每人不超过1000元标准给予一次性吸纳就业补助。建立应急公共法律服务机制，针对受疫情影响造成的劳资关系纠纷，设立服务专线，开展应急公共法律服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落实普惠金融定向降准政策，释放的资金重点支持民营企业和小微企业融资。支持银行业金融机构进一步完善服务民营企业和小微企业内部绩效考核机制，提高小微企业不良贷款容忍度，增加制造业中小微企业中长期贷款和信用贷款。用好中国人民银行专项再贷款，对国家及省确定的参与防疫的重点企业提供利率上限不超过一年期LPR减100个基点的优惠利率信贷支持，并通过配套的财政贴息，确保相关企业的实际融资成本降至1.6%以下。鼓励银行业金融机构对符合授信条件但暂时经营困难的企业实施“一企一策”，不抽贷、断贷、压贷，给予延期还贷、展期续贷、降低利率、减免逾期利息。实施融资担保机构降费补助政策，对江门、惠州、肇庆和粤东粤西粤北地区政府性融资担保机构2019年起新增的、单户担保金额1000万元及以下、平均年化担保费率不超过1.5%的小微企业融资担保业务，省财政按年度业务发生额的0.5%给予补助。各级政府性融资担保、再担保机构应取消反担保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粤东粤西粤北地区各类产业园区与珠三角地区对接力度，及时掌握有转移意愿的企业清单。推广工业用地长期租赁、先租后让、租让结合和弹性年期供应方式，降低物流和用电用能成本，有条件的地区可加大标准厂房建设力度并提供租金优惠，鼓励国有企业通过利用存量用地、城市更新、整治统租等渠道加大标准厂房供应，推动制造业跨区域有序转移。搭建跨部门综合服务平台，加强企业产销融通对接，重点支持相关企业对接国内各大电商平台和各行业、各区域大宗采购项目，支持企业拓展国内市场销售渠道。继续办好中国加工贸易产品博览会，为加工贸易企业内销提供展示交流平台。（省人力资源社会保障厅、省发展改革委、省工业和信息化厅、省财政厅、省自然资源厅、省住房城乡建设厅、省商务厅、省国资委、省医保局、省地方金融监管局、省残联、省税务局、人民银行广州分行、广东银保监局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二、开发更多就业岗位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挖掘内需带动就业。支持广州、茂名开展家政服务业提质扩容“领跑者”行动试点。支持社会力量发展普惠托育服务，鼓励以城市为主体积极参与试点。支持养老服务业发展，加强养老服务队伍建设。支持文旅产业发展，打通文商旅体的消费渠道，对文旅展会、推介会等促进文旅消费活动给予扶持，政府采购、购买服务等适当向文旅企业倾斜。推动有条件的地市出台老旧汽车报废更新补贴政策，鼓励广州、深圳进一步放宽汽车摇号和竞拍指标。培育省内服务外包市场，支持行政事业单位、国有企业采购专业服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投资创造就业。完善投资项目资本金制度，按照项目性质规范确定资本金比例，适当调整基础设施项目最低资本金比例，鼓励通过发行永续债等权益型、股权类金融工具依法依规筹措重大项目资本金。加快发行使用地方政府专项债券，优先用于基础设施领域补短板项目。实施城镇老旧小区改造、棚户区改造、农村危房改造等工程，支持城市停车场设施建设，加快国家物流枢纽网络建设。引导骨干建筑企业主动接轨国际工程建设组织模式和管理方式，支持企业拓展轨道交通、高速公路、机场、水利、生态环保等市场，支持建筑业企业参与城市更新。实施新一轮技术改造三年行动计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稳定外贸扩大就业。扩大出口承保规模，进一步降低出口信用保险费率。推广国际贸易“单一窗口”信用保险模块应用，扩大小微企业出口信用保险覆盖面。支持企业建立国际营销服务网络，培育省级国际营销服务公共平台。加快广州、深圳、珠海、汕头、佛山、东莞跨境电子商务综合试验区建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培育壮大新动能拓展就业空间。大力发展壮大新一代信息技术、绿色石化、智能家电、汽车等战略性产业集群，聚焦高性能集成电路、超高清视频、生物医药、人工智能及机器人等领域，打造一批优势新兴产业集群。推进5G在垂直领域行业的融合应用。落实国家首台（套）保费补贴政策。（省发展改革委、省工业和信息化厅、省民政厅、省财政厅、省住房城乡建设厅、省交通运输厅、省商务厅、省文化和旅游厅、省卫生健康委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三、促进劳动者多渠道就业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继续实施教师特岗计划、“三支一扶”计划等基层服务项目，开展基层医疗卫生等机构急需紧缺人才专项招聘。扩大征集应届高校毕业生入伍规模。开发1000个基层公共就业创业服务岗位，吸纳毕业2年内高校毕业生就业，参照当地同条件事业单位工作人员工资水平给予补贴，最长补贴2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公益性岗位开发力度，对从事公益性岗位政策期满仍未实现就业的，政策享受期限可延长1年，申请期限至2020年12月31日；对大龄就业困难人员、零就业家庭成员、重度残疾人等特殊困难人员，原则上可再安置一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继续实施员工制家政服务企业社会保险补贴政策。对年度内家政服务人员月平均在岗人数达到30人以上（粤东粤西粤北地区为20人以上）的员工制家政服务企业，按每人每年1000元给予补贴。被评为“省级家政服务龙头企业”“家政服务诚信示范企业”的，分别给予30万元、20万元的一次性奖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强灵活就业人员用工服务管理。进一步放宽灵活就业人员参保条件。在广州、深圳、佛山开展新就业形态人员职业伤害保障试点。对灵活就业的毕业2年内高校毕业生、就业困难人员，落实灵活就业社会保险补贴；对补贴期满仍未实现稳定就业的，政策享受期限可延长1年，申请期限至2020年12月31日。对不适用现行劳动保障法律法规的新就业形态人员，指导用工需求方与其协商签订协议，合理确定劳动报酬、休息休假、安全保护等基本权益。（省人力资源社会保障厅、省发展改革委、省教育厅、省财政厅、省商务厅、省征兵办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　四、进一步鼓励创业带动就业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创业担保贷款及贴息政策实施力度，对符合条件的劳动密集型和科技型小微企业，给予最高500万元最长3年的担保贷款，按贷款基础利率的50%给予贴息。降低小微企业创业担保贷款申请条件，当年新招用重点扶持对象达到企业现有在职职工人数的比例下调为20%，在职职工超过100人的比例下调为10%。在有条件的地区建立信用乡村、信用园区、创业孵化示范基地推荐免担保机制。认真落实从失业保险滚存基金余额中提取资金用于创业担保贷款担保基金的措施。加大小微企业带动就业补贴落实力度。返乡创业人员成功创办初创企业且正常经营6个月以上的，给予1万元一次性创业资助。对在乡村经营驿道客栈、民宿、农家乐的创业者（经营主体），落实创业扶持政策。加快推进“1+12+N”港澳青年创新创业基地体系和各类创新创业载体建设。对疫情防控期间为承租的中小企业减免租金的创业孵化示范基地、示范园区，各地可给予一定运营补贴。继续实施返乡创业孵化基地一次性奖补政策。鼓励建设村（居）农村电商服务站点（平台），符合条件的按每个不超过10万元给予一次性补助。各地年度新增建设用地计划指标优先保障县以下返乡创业用地。初创企业经营者素质提升培训补助范围扩大至登记注册5年内有发展潜力企业的经营者，规模扩大至每年1000名左右。实施返乡创业能力提升行动。疫情防控期间，对已发放的个人创业担保贷款，借款人患新冠肺炎的，可向贷款银行申请展期还款，展期期限原则上不超过1年，财政部门继续给予贴息支持；因疫情影响经营受损，在疫情防控期间未能及时还贷的，借款人可在疫情解除后30天内恢复正常还款并继续享受贴息。（省人力资源社会保障厅、省工业和信息化厅、省财政厅、省自然资源厅、省农业农村厅、人民银行广州分行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五、稳定高校毕业生等重点群体就业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将基层就业补贴、小微企业社会保险补贴对象扩大至毕业2年内高校毕业生。自2021届起求职创业补贴标准提高至每人3000元。持续优化国有企业人才结构，招收大专以上应届高校毕业生比上年实现一定比例的增长，注重招收困难家庭高校毕业生。对组织毕业2年内高校毕业生和16-24岁失业青年参加就业见习的各类用人单位，按每人每月不高于当地最低工资标准给予就业见习补贴，符合条件的落实见习留用补贴。用人单位（机关事业单位除外）吸纳退役1年内的退役军人就业，稳定就业并参加社会保险1年以上的，按每人1万元给予补贴。将吸纳建档立卡贫困劳动力补贴标准提高至5000元。被认定为省级示范性就业扶贫基地的，给予30万元一次性奖补。在农村中小型基础设施建设、农村危房改造中实施以工代赈，组织建档立卡贫困劳动力参与工程项目建设。用人单位吸纳登记失业半年以上人员就业，稳定就业并参加社会保险6个月以上的，按每人5000元给予一次性吸纳就业补贴，实施期限至2020年12月31日。疫情防控期间，对职工因疫情接受治疗或被医学观察隔离期间企业所支付的工资待遇，按照不超过该职工基本养老保险缴费工资基数的50%补贴企业，所需资金在工业企业结构调整专项奖补资金中列支。（省人力资源社会保障厅、省财政厅、省退役军人事务厅、省国资委、省扶贫办、省总工会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　六、提升劳动者技术技能水平</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将“广东技工”“粤菜师傅”“南粤家政”三大培训工程纳入省十件民生实事抓好抓实，实施“农村电商”“乡村工匠”重点行动。支持广州、深圳建设国家产教融合型试点城市，建设培育100家以上产教融合型试点企业。制定职业教育重点专业建设规划，加快应用型本科院校转型发展。推进落实职业院校奖助学金调整政策，扩大高职院校奖助学金覆盖面，提高补助标准。推进职业教育、技工教育深化改革，推动技师学院纳入高等职业教育，加快高水平技师学院建设，推行校企双制办学，扶持建设一批省级重点专业和特色专业。实施十大重点群体职业技能提升工程，按规定落实职业培训补贴和生活费补贴。继续实施紧缺急需职业（工种）培训补贴标准最高上浮30%的政策。组织开展劳动预备制培训，按规定给予培训补贴和生活费补贴，实施期限至2020年12月31日。支持各类职业学校、技工院校和企业合作建设职工培训中心、企业大学和继续教育基地，有关培训课程与教材开发、教师授课等相关费用，按规定从职业培训收入中列支。实施新职业开发计划。开展建筑劳务用工制度改革，支持深圳做好新时期培育建筑产业工人队伍建设试点。（省人力资源社会保障厅、省发展改革委、省教育厅、省财政厅、省住房城乡建设厅、省总工会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七、加大困难人员托底帮扶力度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指导确需较多裁员的困难企业制定裁员安置方案，依法依规妥善处理劳动关系和社会保险转移接续等工作。推进失业保险基金省级统筹。对符合领取失业保险金条件的失业人员，及时发放失业保险金，由失业保险基金代缴其领取失业保险金期间的基本医疗保险费；对领取失业保险金期满仍未就业且距离法定退休年龄不足1年的人员，可继续发放失业保险金直至法定退休年龄。对生活困难又不符合失业保险金领取条件的失业人员，按每人5000元给予临时生活补助。建立失业人员实名制台账和定期联系制度，每月至少进行1次跟踪服务。对生活困难的失业人员及家庭，按规定纳入最低生活保障、临时救助等社会救助范围。享受城市居民最低生活保障人员实现再就业后，其家庭人均月收入达到或超过当地最低生活保障标准的，可继续保留6个月低保待遇。（省人力资源社会保障厅、省民政厅、省财政厅、省总工会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b w:val="0"/>
          <w:bCs/>
          <w:i w:val="0"/>
          <w:caps w:val="0"/>
          <w:color w:val="424242"/>
          <w:spacing w:val="0"/>
          <w:sz w:val="32"/>
          <w:szCs w:val="32"/>
        </w:rPr>
      </w:pPr>
      <w:r>
        <w:rPr>
          <w:rStyle w:val="23"/>
          <w:rFonts w:hint="eastAsia" w:ascii="黑体" w:hAnsi="黑体" w:eastAsia="黑体" w:cs="黑体"/>
          <w:b w:val="0"/>
          <w:bCs/>
          <w:i w:val="0"/>
          <w:caps w:val="0"/>
          <w:color w:val="424242"/>
          <w:spacing w:val="0"/>
          <w:sz w:val="32"/>
          <w:szCs w:val="32"/>
        </w:rPr>
        <w:t>　　八、 强化就业服务供给</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继续实施重点用工企业就业服务专员制度，设立高新技术企业人才服务专员，开展“专精特新”企业进校园、重点用工企业专场招聘等系列活动。疫情防控期间，建立24小时重点企业用工调度保障机制，保障重点企业尽快达产复工。人力资源服务机构为重点用工企业、高新技术企业介绍员工，符合条件的可按每人400元给予职业介绍补贴。对疫情防控期间积极协助企业解决招工难问题，帮助企业招工、恢复生产的人力资源服务机构，各地可给予一定补贴。鼓励企业“点对点”组织专车、专列等方式帮助异地务工人员返粤返岗，各地可给予一定补贴。严厉打击“黑中介”“工头”操纵市场、扰乱市场秩序等违法违规行为。政府投资项目产生的岗位信息，要在本单位和同级人力资源社会保障部门网站公开发布；市级以上公共就业人才服务机构要在2020年一季度前实现岗位信息在线发布，向省级、国家级归集。加强“村企”“园村”“校企”招聘对接，深化省际劳务合作。对提供就业服务的公共就业服务机构、经营性人力资源服务机构、行业协会、社团组织、示范性创业孵化基地、普通高等学校、职业学校、技工院校，根据服务人数、成效和成本等，给予一定服务补助。继续实施国家级、省级人力资源服务产业园和国家、省“人力资源服务诚信示范机构”奖补政策。疫情防控期间，对受疫情影响不能按时办理就业创业补贴等业务的扶持对象，允许延期至疫情解除后3个月内补办。（省人力资源社会保障厅、省工业和信息化厅、省财政厅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九、完善就业失业监测研判机制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健全就业失业登记系统，推行就业实名制。劳动者可按规定在户籍地、常住地或就业地办理失业登记，享受就业创业扶持政策和服务。对失业的灵活就业人员、无业的新成长劳动力实行承诺制失业登记，免提交失业证明材料。加强大数据比对分析，加强重大项目、重大工程、专项治理对就业影响跟踪应对，健全就业形势研判机制，同步制定应对措施。对承担就业失业监测任务的企业工作人员，按每月不高于200元给予补贴；每多承担一项就业监测任务的，补贴标准提高50元。建立健全就业风险防范机制，将处置就业风险支出纳入各级财政应急储备金使用范围。做好舆情监测研判、协调和应急处置，稳定社会预期。（省人力资源社会保障厅、省财政厅、省统计局、省政务服务数据管理局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县级以上地方政府要切实履行促进就业主体责任，建立健全就业工作组织领导机制，加大政策宣贯力度，加强资金管理和绩效评价，确保各项任务落到实处。省人力资源社会保障厅要会同有关部门对《广东省人民政府关于印发广东省进一步促进就业若干政策措施的通知》（粤府〔2018〕114号）贯彻落实情况认真进行总结，结合本政策措施及时修订完善相关配套政策，梳理、归并和简化补贴项目，依托信息化系统提高补贴申领便利化程度。各地、各单位要树立一批就业创业典型予以表彰激励，在全社会形成支持就业创业的良好氛围。</w:t>
      </w: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p>
      <w:pPr>
        <w:pStyle w:val="3"/>
        <w:rPr>
          <w:rFonts w:hint="eastAsia"/>
          <w:lang w:eastAsia="zh-CN"/>
        </w:rPr>
      </w:pPr>
    </w:p>
    <w:p>
      <w:pPr>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0" w:lineRule="atLeast"/>
        <w:ind w:left="0" w:right="0" w:firstLine="880" w:firstLineChars="200"/>
        <w:jc w:val="center"/>
        <w:textAlignment w:val="auto"/>
        <w:outlineLvl w:val="0"/>
        <w:rPr>
          <w:rFonts w:hint="eastAsia" w:ascii="宋体" w:hAnsi="宋体" w:eastAsia="宋体" w:cs="宋体"/>
          <w:b w:val="0"/>
          <w:bCs/>
          <w:i w:val="0"/>
          <w:caps w:val="0"/>
          <w:color w:val="424242"/>
          <w:spacing w:val="0"/>
          <w:sz w:val="44"/>
          <w:szCs w:val="44"/>
        </w:rPr>
      </w:pPr>
      <w:bookmarkStart w:id="980" w:name="_Toc9518"/>
      <w:r>
        <w:rPr>
          <w:rStyle w:val="23"/>
          <w:rFonts w:hint="eastAsia" w:ascii="宋体" w:hAnsi="宋体" w:eastAsia="宋体" w:cs="宋体"/>
          <w:b w:val="0"/>
          <w:bCs/>
          <w:i w:val="0"/>
          <w:caps w:val="0"/>
          <w:color w:val="424242"/>
          <w:spacing w:val="0"/>
          <w:sz w:val="44"/>
          <w:szCs w:val="44"/>
        </w:rPr>
        <w:t>广东省人民政府关于印发应对新型冠状病毒感染的肺炎疫情支持企业复工复产</w:t>
      </w:r>
      <w:bookmarkEnd w:id="980"/>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0" w:lineRule="atLeast"/>
        <w:ind w:left="0" w:right="0" w:firstLine="0"/>
        <w:jc w:val="center"/>
        <w:textAlignment w:val="auto"/>
        <w:outlineLvl w:val="0"/>
        <w:rPr>
          <w:rFonts w:hint="eastAsia" w:ascii="宋体" w:hAnsi="宋体" w:eastAsia="宋体" w:cs="宋体"/>
          <w:b w:val="0"/>
          <w:bCs/>
          <w:i w:val="0"/>
          <w:caps w:val="0"/>
          <w:color w:val="424242"/>
          <w:spacing w:val="0"/>
          <w:sz w:val="44"/>
          <w:szCs w:val="44"/>
        </w:rPr>
      </w:pPr>
      <w:bookmarkStart w:id="981" w:name="_Toc10190"/>
      <w:r>
        <w:rPr>
          <w:rStyle w:val="23"/>
          <w:rFonts w:hint="eastAsia" w:ascii="宋体" w:hAnsi="宋体" w:eastAsia="宋体" w:cs="宋体"/>
          <w:b w:val="0"/>
          <w:bCs/>
          <w:i w:val="0"/>
          <w:caps w:val="0"/>
          <w:color w:val="424242"/>
          <w:spacing w:val="0"/>
          <w:sz w:val="44"/>
          <w:szCs w:val="44"/>
        </w:rPr>
        <w:t>若干政策措施的通知</w:t>
      </w:r>
      <w:bookmarkEnd w:id="981"/>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现将《关于应对新型冠状病毒感染的肺炎疫情支持企业复工复产的若干政策措施》印发给你们，请认真组织实施。实施过程中遇到的问题，请径向省发展改革委反映。</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广东省人民政府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2020年2月6日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仿宋" w:hAnsi="仿宋" w:eastAsia="仿宋" w:cs="仿宋"/>
          <w:b w:val="0"/>
          <w:bCs/>
          <w:i w:val="0"/>
          <w:caps w:val="0"/>
          <w:color w:val="424242"/>
          <w:spacing w:val="0"/>
          <w:sz w:val="32"/>
          <w:szCs w:val="32"/>
        </w:rPr>
      </w:pPr>
      <w:r>
        <w:rPr>
          <w:rStyle w:val="23"/>
          <w:rFonts w:hint="eastAsia" w:ascii="仿宋" w:hAnsi="仿宋" w:eastAsia="仿宋" w:cs="仿宋"/>
          <w:b w:val="0"/>
          <w:bCs/>
          <w:i w:val="0"/>
          <w:caps w:val="0"/>
          <w:color w:val="424242"/>
          <w:spacing w:val="0"/>
          <w:sz w:val="32"/>
          <w:szCs w:val="32"/>
        </w:rPr>
        <w:t>关于应对新型冠状病毒感染的肺炎疫情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黑体" w:hAnsi="黑体" w:eastAsia="黑体" w:cs="黑体"/>
          <w:b w:val="0"/>
          <w:bCs/>
          <w:i w:val="0"/>
          <w:caps w:val="0"/>
          <w:color w:val="424242"/>
          <w:spacing w:val="0"/>
          <w:sz w:val="32"/>
          <w:szCs w:val="32"/>
        </w:rPr>
      </w:pPr>
      <w:r>
        <w:rPr>
          <w:rStyle w:val="23"/>
          <w:rFonts w:hint="eastAsia" w:ascii="仿宋" w:hAnsi="仿宋" w:eastAsia="仿宋" w:cs="仿宋"/>
          <w:b w:val="0"/>
          <w:bCs/>
          <w:i w:val="0"/>
          <w:caps w:val="0"/>
          <w:color w:val="424242"/>
          <w:spacing w:val="0"/>
          <w:sz w:val="32"/>
          <w:szCs w:val="32"/>
        </w:rPr>
        <w:t>支持企业复工复产的若干政策措施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为深入贯彻落实习近平总书记关于坚决打赢疫情防控阻击战的重要指示精神，全面落实党中央、国务院和省委关于疫情防控的决策部署，全力支持和推动受疫情影响的各类企业复工复产，提出如下政策措施。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w:t>
      </w:r>
      <w:r>
        <w:rPr>
          <w:rStyle w:val="23"/>
          <w:rFonts w:hint="eastAsia" w:ascii="黑体" w:hAnsi="黑体" w:eastAsia="黑体" w:cs="黑体"/>
          <w:b w:val="0"/>
          <w:bCs w:val="0"/>
          <w:i w:val="0"/>
          <w:caps w:val="0"/>
          <w:color w:val="424242"/>
          <w:spacing w:val="0"/>
          <w:sz w:val="32"/>
          <w:szCs w:val="32"/>
        </w:rPr>
        <w:t>一、各级政府要进一步加大保障企业复工复产工作力度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w:t>
      </w:r>
      <w:r>
        <w:rPr>
          <w:rStyle w:val="23"/>
          <w:rFonts w:hint="eastAsia" w:ascii="黑体" w:hAnsi="黑体" w:eastAsia="黑体" w:cs="黑体"/>
          <w:b w:val="0"/>
          <w:bCs w:val="0"/>
          <w:i w:val="0"/>
          <w:caps w:val="0"/>
          <w:color w:val="424242"/>
          <w:spacing w:val="0"/>
          <w:sz w:val="32"/>
          <w:szCs w:val="32"/>
        </w:rPr>
        <w:t>（一）加强防疫指引。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省统一发布应对新型冠状病毒感染的肺炎系列预防控制指引，各地级以上市政府要强化主体责任，指派专人指导企业完成复工复产准备工作，确保企业在疫情防控达标前提下复工复产。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（二）落实复工条件。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细化复工复产保障方案，一企一策帮助企业协调解决职工返岗特别是专业技术人员返岗，以及口罩、防护服、消毒用品、测温仪等防控物资购置问题。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（三）统筹做好防护。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支持企业做好职工健康管理。鼓励大型企业设立集中隔离点。鼓励各类省级以上开发区（高新区、经开区、工业园区）由管委会统一设立集中隔离点。对不具备自行设置集中隔离条件的中小企业，由当地政府集中安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（四）拓宽招工渠道。</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加强省内外劳务帮扶协作，落实重点企业服务专员制度，精准摸查发布企业用工需求信息，推进线上供求匹配对接和远程招聘。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二、进一步降低企业用工成本</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（五）减轻社会保险负担。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对受疫情影响不能按时缴纳企业职工养老保险、医疗保险（含生育保险）、失业保险、工伤保险以及住房公积金的企业，允许延期至疫情解除后三个月内补办补缴；补办补缴社会保险费用免收滞纳金，相关待遇正常享受，不影响参保个人权益记录。继续实施阶段性降低失业保险费率、工伤保险费率的政策。</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（六）实施失业保险稳岗返还。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继续对不裁员、少减员的企业实施稳岗返还失业保险费，按企业及其职工上年度实际缴纳失业保险费总额的50%予以返还。鼓励受疫情影响企业与职工协商采取调整薪酬、轮岗轮休等方式稳定工作岗位。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（七）发放援企稳岗补贴。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对职工因疫情接受治疗或被医学观察隔离期间企业所支付的工资待遇，按照不超过该职工基本养老保险缴费工资基数的50%补贴企业，所需资金在工业企业结构调整专项奖补资金中列支。鼓励企业组织职工（含在企业工作的劳务派遣人员）参加线上适岗职业技能培训，按规定给予补贴；平台企业（电商企业）以及新业态企业参照执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三、进一步减轻企业经营负担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（八）减轻企业税费负担。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疫情防控期间，准许企业延期申报纳税。对符合延期缴纳税款条件的企业，依法延长不超过三个月的税款缴纳期限。对纳税确有困难的企业，依法合理予以减免房产税、城镇土地使用税。对“定期定额”户，合理调整定额或简化停业手续。及时落实小微企业普惠性减税等政策。</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（九）减轻企业租金负担。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国有资产类经营用房对受疫情影响较大不能正常经营的民营承租企业免收第一个月租金，减半收取第二、三个月租金；鼓励其他物业持有人根据实际情况，适当减免租金。免租金两个月以上的企业，按免租金月份数给予房产税困难减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（十）加大技改资金支持。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企业在规定期限内通过技术改造扩大疫情防控急需重点调拨物资产能或转产上述物资的，对其符合条件的设备购置额加大奖励力度。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（十一）发挥国有企业关键作用。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国有大中型企业、行业龙头企业在货款回收、原材料供应、项目发包等方面，加大对产业链上中小企业的支持，促进产业链运行平稳。对已与国有企业签订合同的中小企业，确因疫情影响，无法按时履行合同义务的，可以适当延长合同履行期限。国有企业要按照合同约定按时足额支付中小企业、民营企业相关款项，不得形成新增逾期拖欠。</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四、进一步加大财政金融支持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（十二）加强金融纾困。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鼓励银行业金融机构对受疫情影响较大企业给予延期还贷、展期续贷、降低利率和减免利息支持。省中小企业融资服务平台开通中小企业疫情应对金融服务专区和“绿色服务通道”，统筹省级扶持中小微企业专项资金，依托平台为贷款企业提供贴息和风险补偿服务。对受疫情影响较大企业，不得盲目抽贷、断贷、压贷。梳理确定全省防疫重点保障企业名单，用足用好国家专项再贷款政策。</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（十三）加大财政支持力度。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省级财政对相关企业扩大口罩机、防护服贴条机、负压救护车等重点急需设备及关键、紧缺零部件生产予以资金支持。对国家和省确定的疫情防控重点保障企业以及支持疫情防控工作作用突出的其他卫生防疫、医药产品、医用器材企业（由省工业和信息化部门会同财政等部门审核确认）的2020年新增贷款部分，省财政按照人民银行再贷款利率的50%予以贴息。鼓励各级财政对受疫情影响较大畜禽水产养殖企业、休闲农业企业给予适当补助。鼓励市县财政对受疫情影响较大的中小企业给予贷款贴息、应收账款融资等重点支持，省财政给予适当补助。对创业者个人或小微企业创业担保贷款可视情展期1年，并继续享受财政贴息支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（十四）支持企业担保融资和租赁融资。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取消省内各级政府性融资担保机构和再担保机构反担保要求，省融资再担保公司对纳入国家融资担保基金支持范围内的融资担保业务免收担保费用，各级政府性融资担保公司对受疫情影响较大企业新增融资担保费率不超过1%。融资租赁公司要调整受疫情影响较大企业还款期限和还款方式，酌情减免不超过6个月的租金利息，免收租金罚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（十五）优化企业小额贷款服务。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监管指标优良的小额贷款公司经过批准，融资杠杆率可放宽至净资产5倍，单户贷款余额上限上调为不超过注册资本的5%且不超过1000万元。鼓励对受疫情影响企业和个人下调贷款利率、延期或展期贷款1—3个月、免除1—3个月罚息和增加信用贷款及中长期贷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（十六）优化企业征信管理。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对受疫情影响暂时失去收入来源的企业，可按照调整后的还款安排，报送信用记录。各地贸促会要建立“绿色通道”，根据实际情况为受疫情直接影响的外贸企业出具与不可抗力相关的事实性证明。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五、进一步优化政府服务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（十七）强化项目建设要素保障。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对疫情防控、能源供应、交通物流、医疗资源、生态环境等在建和新建项目，优先保障用地用林等资源指标；对新建非盈利性医护场所，所需建设用地指标由省统筹解决；创造条件保障项目建设必须的钢材、混凝土、砂石等建筑材料及时供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（十八）完善审批工作“直通车”制度。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建立项目审批绿色通道，简化审批流程，压缩审批时限。采取网络、视频等技术手段开展项目评估评审，加快推进项目前期工作。依托全省投资项目在线审批监管平台，全面实行项目审批“不见面”在线办理。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Style w:val="23"/>
          <w:rFonts w:hint="eastAsia" w:ascii="仿宋" w:hAnsi="仿宋" w:eastAsia="仿宋" w:cs="仿宋"/>
          <w:i w:val="0"/>
          <w:caps w:val="0"/>
          <w:color w:val="424242"/>
          <w:spacing w:val="0"/>
          <w:sz w:val="32"/>
          <w:szCs w:val="32"/>
        </w:rPr>
        <w:t>（十九）建立疫情防控物</w:t>
      </w:r>
      <w:r>
        <w:rPr>
          <w:rFonts w:hint="eastAsia" w:ascii="黑体" w:hAnsi="黑体" w:eastAsia="黑体" w:cs="黑体"/>
          <w:b w:val="0"/>
          <w:bCs w:val="0"/>
          <w:i w:val="0"/>
          <w:caps w:val="0"/>
          <w:color w:val="424242"/>
          <w:spacing w:val="0"/>
          <w:sz w:val="32"/>
          <w:szCs w:val="32"/>
        </w:rPr>
        <w:t>资境外采购快速通道</w:t>
      </w:r>
      <w:r>
        <w:rPr>
          <w:rStyle w:val="23"/>
          <w:rFonts w:hint="eastAsia" w:ascii="仿宋" w:hAnsi="仿宋" w:eastAsia="仿宋" w:cs="仿宋"/>
          <w:i w:val="0"/>
          <w:caps w:val="0"/>
          <w:color w:val="424242"/>
          <w:spacing w:val="0"/>
          <w:sz w:val="32"/>
          <w:szCs w:val="32"/>
        </w:rPr>
        <w:t>。</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完善疫情防控物资境外采购快速协调机制，设立防控物资进口快速通关“绿色通道”，对能提供主管部门证明、涉及特殊物品的防控物资实行便利通关政策，无需进行卫生检疫审批。对疫情防控治疗物资实行“两步申报”“提前申报”“担保放行”等作业模式，确保通关“零延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（二十）强化涉企信息服务支撑。</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依托“粤商通”平台，及时发布疫情防控期间惠企政策措施，搭建企业诉求响应平台，推动各地建立诉求响应机制，及时解决企业生产经营过程中面临的突出问题。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本政策执行期暂定为自发布之日起的三个月（政策措施已经明确执行期的，按已规定的期限执行）。中央出台相关支持政策，我省遵照执行。各地级以上市政府和省有关部门可根据实际情况制定实施细则，加大惠企扶企力度。</w:t>
      </w: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outlineLvl w:val="0"/>
        <w:rPr>
          <w:rFonts w:hint="eastAsia" w:ascii="宋体" w:hAnsi="宋体" w:eastAsia="宋体" w:cs="宋体"/>
          <w:i w:val="0"/>
          <w:caps w:val="0"/>
          <w:color w:val="424242"/>
          <w:spacing w:val="0"/>
          <w:sz w:val="44"/>
          <w:szCs w:val="44"/>
        </w:rPr>
      </w:pPr>
      <w:bookmarkStart w:id="982" w:name="_Toc24725"/>
      <w:r>
        <w:rPr>
          <w:rFonts w:hint="eastAsia" w:ascii="宋体" w:hAnsi="宋体" w:eastAsia="宋体" w:cs="宋体"/>
          <w:i w:val="0"/>
          <w:caps w:val="0"/>
          <w:color w:val="424242"/>
          <w:spacing w:val="0"/>
          <w:sz w:val="44"/>
          <w:szCs w:val="44"/>
        </w:rPr>
        <w:t>广东省司法厅关于遵守疫情防控</w:t>
      </w:r>
      <w:bookmarkEnd w:id="982"/>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outlineLvl w:val="0"/>
        <w:rPr>
          <w:rFonts w:hint="eastAsia" w:ascii="宋体" w:hAnsi="宋体" w:eastAsia="宋体" w:cs="宋体"/>
          <w:i w:val="0"/>
          <w:caps w:val="0"/>
          <w:color w:val="424242"/>
          <w:spacing w:val="0"/>
          <w:sz w:val="44"/>
          <w:szCs w:val="44"/>
        </w:rPr>
      </w:pPr>
      <w:bookmarkStart w:id="983" w:name="_Toc25213"/>
      <w:r>
        <w:rPr>
          <w:rFonts w:hint="eastAsia" w:ascii="宋体" w:hAnsi="宋体" w:eastAsia="宋体" w:cs="宋体"/>
          <w:i w:val="0"/>
          <w:caps w:val="0"/>
          <w:color w:val="424242"/>
          <w:spacing w:val="0"/>
          <w:sz w:val="44"/>
          <w:szCs w:val="44"/>
        </w:rPr>
        <w:t>有关法律规定的通告</w:t>
      </w:r>
      <w:bookmarkEnd w:id="983"/>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楷体" w:hAnsi="楷体" w:eastAsia="楷体" w:cs="楷体"/>
          <w:i w:val="0"/>
          <w:caps w:val="0"/>
          <w:color w:val="424242"/>
          <w:spacing w:val="0"/>
          <w:sz w:val="32"/>
          <w:szCs w:val="32"/>
        </w:rPr>
      </w:pPr>
      <w:r>
        <w:rPr>
          <w:rFonts w:hint="eastAsia" w:ascii="楷体" w:hAnsi="楷体" w:eastAsia="楷体" w:cs="楷体"/>
          <w:i w:val="0"/>
          <w:caps w:val="0"/>
          <w:color w:val="424242"/>
          <w:spacing w:val="0"/>
          <w:sz w:val="32"/>
          <w:szCs w:val="32"/>
        </w:rPr>
        <w:t>粤司〔2020〕23号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当前，新型冠状病毒感染肺炎疫情防控形势十分严峻，我省已启动重大突发公共卫生事件一级响应。为依法科学有序开展疫情防控工作，请各单位和广大公民进一步强化法治意识，认真学习并严格遵守疫情防控有关法律规定，知晓相关权利义务，以实际行动助力坚决打赢疫情防控阻击战。经省人民政府同意，现就遵守疫情防控有关法律规定通告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一、国家和社会应当关心、帮助传染病病人、病原携带者和疑似传染病病人，使其得到及时救治。任何单位和个人不得歧视传染病病人、病原携带者和疑似传染病病人。</w:t>
      </w:r>
      <w:r>
        <w:rPr>
          <w:rStyle w:val="23"/>
          <w:rFonts w:hint="eastAsia" w:ascii="仿宋" w:hAnsi="仿宋" w:eastAsia="仿宋" w:cs="仿宋"/>
          <w:b w:val="0"/>
          <w:bCs w:val="0"/>
          <w:i w:val="0"/>
          <w:caps w:val="0"/>
          <w:color w:val="424242"/>
          <w:spacing w:val="0"/>
          <w:sz w:val="32"/>
          <w:szCs w:val="32"/>
        </w:rPr>
        <w:t>（依据：《传染病防治法》第十六条第一款）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二、服从人民政府、居民委员会、村民委员会或者所属单位的指挥和安排，服从中央应对疫情工作领导小组、省疫情防控指挥部作出的决定和命令，配合落实应急处置措施，积极参加应急救援工作，协助维护社会秩序。</w:t>
      </w:r>
      <w:r>
        <w:rPr>
          <w:rStyle w:val="23"/>
          <w:rFonts w:hint="eastAsia" w:ascii="仿宋" w:hAnsi="仿宋" w:eastAsia="仿宋" w:cs="仿宋"/>
          <w:b w:val="0"/>
          <w:bCs w:val="0"/>
          <w:i w:val="0"/>
          <w:caps w:val="0"/>
          <w:color w:val="424242"/>
          <w:spacing w:val="0"/>
          <w:sz w:val="32"/>
          <w:szCs w:val="32"/>
        </w:rPr>
        <w:t>（依据：《突发事件应对法》第五十七条；《广东省突发公共卫生事件应急办法》第二十条）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三、发现传染病病人或者疑似传染病病人时，应当及时向附近的疾病预防控制机构或者医疗机构报告。不得隐瞒、缓报、谎报或者授意他人隐瞒、缓报、谎报。</w:t>
      </w:r>
      <w:r>
        <w:rPr>
          <w:rStyle w:val="23"/>
          <w:rFonts w:hint="eastAsia" w:ascii="仿宋" w:hAnsi="仿宋" w:eastAsia="仿宋" w:cs="仿宋"/>
          <w:b w:val="0"/>
          <w:bCs w:val="0"/>
          <w:i w:val="0"/>
          <w:caps w:val="0"/>
          <w:color w:val="424242"/>
          <w:spacing w:val="0"/>
          <w:sz w:val="32"/>
          <w:szCs w:val="32"/>
        </w:rPr>
        <w:t>（依据：《传染病防治法》第三十一条；《突发公共卫生事件应急条例》第二十一条）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四、接受疾病预防控制机构、医疗机构有关传染病的调查、检验、采集样本、隔离治疗等预防、控制措施，如实提供有关情况。</w:t>
      </w:r>
      <w:r>
        <w:rPr>
          <w:rStyle w:val="23"/>
          <w:rFonts w:hint="eastAsia" w:ascii="仿宋" w:hAnsi="仿宋" w:eastAsia="仿宋" w:cs="仿宋"/>
          <w:b w:val="0"/>
          <w:bCs w:val="0"/>
          <w:i w:val="0"/>
          <w:caps w:val="0"/>
          <w:color w:val="424242"/>
          <w:spacing w:val="0"/>
          <w:sz w:val="32"/>
          <w:szCs w:val="32"/>
        </w:rPr>
        <w:t>（依据：《传染病防治法》第十二条第一款）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五、需要接受隔离治疗、医学观察措施的病人、疑似病人和传染病病人密切接触者在卫生健康主管部门或者有关机构采取医学措施时应当予以配合；拒绝配合、拒绝隔离治疗或者隔离期未满擅自脱离隔离治疗的，由公安机关依法协助强制执行。</w:t>
      </w:r>
      <w:r>
        <w:rPr>
          <w:rStyle w:val="23"/>
          <w:rFonts w:hint="eastAsia" w:ascii="仿宋" w:hAnsi="仿宋" w:eastAsia="仿宋" w:cs="仿宋"/>
          <w:b w:val="0"/>
          <w:bCs w:val="0"/>
          <w:i w:val="0"/>
          <w:caps w:val="0"/>
          <w:color w:val="424242"/>
          <w:spacing w:val="0"/>
          <w:sz w:val="32"/>
          <w:szCs w:val="32"/>
        </w:rPr>
        <w:t>（依据：《传染病防治法》第三十九条第二款；《突发公共卫生事件应急条例》第四十四条）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六、不得编造、传播有关突发事件事态发展或者应急处置工作的虚假信息。不得散布谣言，谎报险情、疫情、警情或者以其他方法故意扰乱公共秩序。不得编造与突发传染病疫情等灾害有关的恐怖信息，或者明知是编造的此类恐怖信息而故意传播。</w:t>
      </w:r>
      <w:r>
        <w:rPr>
          <w:rStyle w:val="23"/>
          <w:rFonts w:hint="eastAsia" w:ascii="仿宋" w:hAnsi="仿宋" w:eastAsia="仿宋" w:cs="仿宋"/>
          <w:b w:val="0"/>
          <w:bCs w:val="0"/>
          <w:i w:val="0"/>
          <w:caps w:val="0"/>
          <w:color w:val="424242"/>
          <w:spacing w:val="0"/>
          <w:sz w:val="32"/>
          <w:szCs w:val="32"/>
        </w:rPr>
        <w:t>（依据：《突发事件应对法》第五十四条；《治安管理处罚法》第二十五条；《突发公共卫生事件应急条例》第五十二条；《最高人民法院、最高人民检察院关于办理妨害预防、控制突发传染病疫情等灾害的刑事案件具体应用法律若干问题的解释》第十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七、不得违反国家在疫情防控期间有关市场经营、价格管理等规定，哄抬物价，囤积居奇，牟取暴利。</w:t>
      </w:r>
      <w:r>
        <w:rPr>
          <w:rStyle w:val="23"/>
          <w:rFonts w:hint="eastAsia" w:ascii="仿宋" w:hAnsi="仿宋" w:eastAsia="仿宋" w:cs="仿宋"/>
          <w:b w:val="0"/>
          <w:bCs w:val="0"/>
          <w:i w:val="0"/>
          <w:caps w:val="0"/>
          <w:color w:val="424242"/>
          <w:spacing w:val="0"/>
          <w:sz w:val="32"/>
          <w:szCs w:val="32"/>
        </w:rPr>
        <w:t>（依据：《价格法》第十四条；《突发事件应对法》第四十九条；《突发公共卫生事件应急条例》第五十二条；《最高人民法院、最高人民检察院关于办理妨害预防、控制突发传染病疫情等灾害的刑事案件具体应用法律若干问题的解释》第六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八、疾病预防控制机构、医疗机构不得泄露涉及个人隐私的有关信息、资料。</w:t>
      </w:r>
      <w:r>
        <w:rPr>
          <w:rStyle w:val="23"/>
          <w:rFonts w:hint="eastAsia" w:ascii="仿宋" w:hAnsi="仿宋" w:eastAsia="仿宋" w:cs="仿宋"/>
          <w:b w:val="0"/>
          <w:bCs w:val="0"/>
          <w:i w:val="0"/>
          <w:caps w:val="0"/>
          <w:color w:val="424242"/>
          <w:spacing w:val="0"/>
          <w:sz w:val="32"/>
          <w:szCs w:val="32"/>
        </w:rPr>
        <w:t>（依据：《传染病防治法》第十二条第一款）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九、在隔离期间，实施隔离措施的人民政府应当对被隔离人员提供生活保障；被隔离人员有工作单位的，所在单位不得停止支付其隔离期间的工作报酬。</w:t>
      </w:r>
      <w:r>
        <w:rPr>
          <w:rStyle w:val="23"/>
          <w:rFonts w:hint="eastAsia" w:ascii="仿宋" w:hAnsi="仿宋" w:eastAsia="仿宋" w:cs="仿宋"/>
          <w:b w:val="0"/>
          <w:bCs w:val="0"/>
          <w:i w:val="0"/>
          <w:caps w:val="0"/>
          <w:color w:val="424242"/>
          <w:spacing w:val="0"/>
          <w:sz w:val="32"/>
          <w:szCs w:val="32"/>
        </w:rPr>
        <w:t>（依据：《传染病防治法》第四十一条第二款）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十、违反疫情防控相关法律规定的，依法承担相应法律责任。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特此通告。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                                              广东省司法厅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b w:val="0"/>
          <w:bCs w:val="0"/>
          <w:i w:val="0"/>
          <w:caps w:val="0"/>
          <w:color w:val="424242"/>
          <w:spacing w:val="0"/>
          <w:sz w:val="32"/>
          <w:szCs w:val="32"/>
        </w:rPr>
      </w:pPr>
      <w:bookmarkStart w:id="984" w:name="issusedtime"/>
      <w:r>
        <w:rPr>
          <w:rFonts w:hint="eastAsia" w:ascii="仿宋" w:hAnsi="仿宋" w:eastAsia="仿宋" w:cs="仿宋"/>
          <w:b w:val="0"/>
          <w:bCs w:val="0"/>
          <w:i w:val="0"/>
          <w:caps w:val="0"/>
          <w:color w:val="000000"/>
          <w:spacing w:val="0"/>
          <w:sz w:val="32"/>
          <w:szCs w:val="32"/>
          <w:u w:val="none"/>
        </w:rPr>
        <w:t>                                           2020</w:t>
      </w:r>
      <w:bookmarkEnd w:id="984"/>
      <w:r>
        <w:rPr>
          <w:rFonts w:hint="eastAsia" w:ascii="仿宋" w:hAnsi="仿宋" w:eastAsia="仿宋" w:cs="仿宋"/>
          <w:b w:val="0"/>
          <w:bCs w:val="0"/>
          <w:i w:val="0"/>
          <w:caps w:val="0"/>
          <w:color w:val="424242"/>
          <w:spacing w:val="0"/>
          <w:sz w:val="32"/>
          <w:szCs w:val="32"/>
        </w:rPr>
        <w:t>年2月5日</w:t>
      </w:r>
    </w:p>
    <w:p>
      <w:pPr>
        <w:wordWrap/>
        <w:adjustRightInd/>
        <w:snapToGrid/>
        <w:spacing w:line="560" w:lineRule="exact"/>
        <w:ind w:firstLine="640" w:firstLineChars="200"/>
        <w:textAlignment w:val="auto"/>
        <w:rPr>
          <w:rFonts w:hint="eastAsia" w:ascii="仿宋" w:hAnsi="仿宋" w:eastAsia="仿宋" w:cs="仿宋"/>
          <w:b w:val="0"/>
          <w:bCs w:val="0"/>
          <w:sz w:val="32"/>
          <w:szCs w:val="32"/>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pStyle w:val="4"/>
        <w:widowControl/>
        <w:pBdr>
          <w:top w:val="none" w:color="auto" w:sz="0" w:space="0"/>
          <w:left w:val="none" w:color="auto" w:sz="0" w:space="0"/>
          <w:bottom w:val="none" w:color="auto" w:sz="0" w:space="0"/>
          <w:right w:val="none" w:color="auto" w:sz="0" w:space="0"/>
        </w:pBdr>
        <w:wordWrap/>
        <w:adjustRightInd/>
        <w:snapToGrid/>
        <w:spacing w:before="0" w:beforeLines="0" w:beforeAutospacing="0" w:after="0" w:afterLines="0" w:afterAutospacing="0" w:line="560" w:lineRule="exact"/>
        <w:ind w:left="0" w:right="0" w:firstLine="0"/>
        <w:jc w:val="center"/>
        <w:textAlignment w:val="auto"/>
        <w:outlineLvl w:val="0"/>
        <w:rPr>
          <w:rFonts w:hint="eastAsia" w:ascii="宋体" w:hAnsi="宋体" w:eastAsia="宋体" w:cs="宋体"/>
          <w:b w:val="0"/>
          <w:bCs/>
          <w:caps w:val="0"/>
          <w:color w:val="auto"/>
          <w:spacing w:val="0"/>
          <w:sz w:val="44"/>
          <w:szCs w:val="44"/>
        </w:rPr>
      </w:pPr>
      <w:bookmarkStart w:id="985" w:name="_Toc19832"/>
      <w:r>
        <w:rPr>
          <w:rFonts w:hint="eastAsia" w:ascii="宋体" w:hAnsi="宋体" w:eastAsia="宋体" w:cs="宋体"/>
          <w:b w:val="0"/>
          <w:bCs/>
          <w:caps w:val="0"/>
          <w:color w:val="auto"/>
          <w:spacing w:val="0"/>
          <w:sz w:val="44"/>
          <w:szCs w:val="44"/>
        </w:rPr>
        <w:t>广东省农业农村厅关于加强水生野生动物管理的通告</w:t>
      </w:r>
      <w:bookmarkEnd w:id="985"/>
    </w:p>
    <w:p>
      <w:pPr>
        <w:wordWrap/>
        <w:adjustRightInd/>
        <w:snapToGrid/>
        <w:spacing w:line="560" w:lineRule="exact"/>
        <w:textAlignment w:val="auto"/>
        <w:rPr>
          <w:rFonts w:hint="eastAsia" w:ascii="仿宋" w:hAnsi="仿宋" w:eastAsia="仿宋" w:cs="仿宋"/>
          <w:color w:val="auto"/>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sz w:val="32"/>
          <w:szCs w:val="32"/>
          <w:shd w:val="clear" w:color="070000" w:fill="FFFFFF"/>
        </w:rPr>
      </w:pPr>
      <w:r>
        <w:rPr>
          <w:rFonts w:hint="eastAsia" w:ascii="楷体" w:hAnsi="楷体" w:eastAsia="楷体" w:cs="楷体"/>
          <w:i w:val="0"/>
          <w:caps w:val="0"/>
          <w:color w:val="auto"/>
          <w:spacing w:val="0"/>
          <w:sz w:val="32"/>
          <w:szCs w:val="32"/>
          <w:shd w:val="clear" w:color="070000" w:fill="FFFFFF"/>
        </w:rPr>
        <w:t>粤农农〔2020〕51号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为防控新型冠状病毒肺炎疫情，阻断可能的传染源和传播途径，根据国家市场监督管理总局、公安部、农业农村部、海关总署、国家林草局《关于联合开展打击野生动物违规交易专项执法行动的通知》（国市监稽〔2020〕28号）要求，广东省农业农村厅决定，自本通告发布之日起至全国疫情解除期间，严格隔离饲养繁育水生野生动物场所，加强水生野生动物管理。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一、各地饲养繁育水生野生动物场所实施封控隔离。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二、严禁任何水生野生动物及制品运进或运出场所。严禁水生野生动物对外扩散和转运贩卖。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三、全省各地要加强监管，发现有违反本通告规定的，要依法依规严肃查处，涉嫌犯罪的，移送公安机关。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四、社会各界发现违反本通告规定的，可通过12315热线或平台举报。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广东省农业农村厅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2020年2月17日</w:t>
      </w:r>
    </w:p>
    <w:p>
      <w:pPr>
        <w:wordWrap/>
        <w:adjustRightInd/>
        <w:snapToGrid/>
        <w:spacing w:line="560" w:lineRule="exact"/>
        <w:textAlignment w:val="auto"/>
        <w:rPr>
          <w:rFonts w:hint="eastAsia" w:ascii="仿宋" w:hAnsi="仿宋" w:eastAsia="仿宋" w:cs="仿宋"/>
          <w:color w:val="auto"/>
          <w:sz w:val="32"/>
          <w:szCs w:val="32"/>
        </w:rPr>
      </w:pPr>
    </w:p>
    <w:p>
      <w:pPr>
        <w:rPr>
          <w:rStyle w:val="23"/>
          <w:rFonts w:hint="eastAsia" w:ascii="宋体" w:hAnsi="宋体" w:eastAsia="宋体" w:cs="宋体"/>
          <w:b w:val="0"/>
          <w:bCs/>
          <w:i w:val="0"/>
          <w:caps w:val="0"/>
          <w:color w:val="424242"/>
          <w:spacing w:val="0"/>
          <w:sz w:val="44"/>
          <w:szCs w:val="44"/>
          <w:shd w:val="clear" w:color="0A0000" w:fill="FFFFFF"/>
        </w:rPr>
      </w:pPr>
      <w:r>
        <w:rPr>
          <w:rStyle w:val="23"/>
          <w:rFonts w:hint="eastAsia" w:ascii="宋体" w:hAnsi="宋体" w:eastAsia="宋体" w:cs="宋体"/>
          <w:b w:val="0"/>
          <w:bCs/>
          <w:i w:val="0"/>
          <w:caps w:val="0"/>
          <w:color w:val="424242"/>
          <w:spacing w:val="0"/>
          <w:sz w:val="44"/>
          <w:szCs w:val="44"/>
          <w:shd w:val="clear" w:color="0A0000" w:fill="FFFFFF"/>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424242"/>
          <w:spacing w:val="0"/>
          <w:sz w:val="44"/>
          <w:szCs w:val="44"/>
        </w:rPr>
      </w:pPr>
      <w:bookmarkStart w:id="986" w:name="_Toc6683"/>
      <w:r>
        <w:rPr>
          <w:rStyle w:val="23"/>
          <w:rFonts w:hint="eastAsia" w:ascii="宋体" w:hAnsi="宋体" w:eastAsia="宋体" w:cs="宋体"/>
          <w:b w:val="0"/>
          <w:bCs/>
          <w:i w:val="0"/>
          <w:caps w:val="0"/>
          <w:color w:val="424242"/>
          <w:spacing w:val="0"/>
          <w:sz w:val="44"/>
          <w:szCs w:val="44"/>
          <w:shd w:val="clear" w:color="0A0000" w:fill="FFFFFF"/>
        </w:rPr>
        <w:t>广东省人民政府办公厅关于进一步加强</w:t>
      </w:r>
      <w:bookmarkEnd w:id="986"/>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b w:val="0"/>
          <w:bCs/>
          <w:i w:val="0"/>
          <w:caps w:val="0"/>
          <w:color w:val="424242"/>
          <w:spacing w:val="0"/>
          <w:sz w:val="44"/>
          <w:szCs w:val="44"/>
          <w:shd w:val="clear" w:color="0A0000" w:fill="FFFFFF"/>
        </w:rPr>
      </w:pPr>
      <w:bookmarkStart w:id="987" w:name="_Toc11369"/>
      <w:r>
        <w:rPr>
          <w:rStyle w:val="23"/>
          <w:rFonts w:hint="eastAsia" w:ascii="宋体" w:hAnsi="宋体" w:eastAsia="宋体" w:cs="宋体"/>
          <w:b w:val="0"/>
          <w:bCs/>
          <w:i w:val="0"/>
          <w:caps w:val="0"/>
          <w:color w:val="424242"/>
          <w:spacing w:val="0"/>
          <w:sz w:val="44"/>
          <w:szCs w:val="44"/>
          <w:shd w:val="clear" w:color="0A0000" w:fill="FFFFFF"/>
        </w:rPr>
        <w:t>野生动物保护管理工作的通知</w:t>
      </w:r>
      <w:bookmarkEnd w:id="987"/>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i w:val="0"/>
          <w:caps w:val="0"/>
          <w:color w:val="424242"/>
          <w:spacing w:val="0"/>
          <w:sz w:val="32"/>
          <w:szCs w:val="32"/>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24242"/>
          <w:spacing w:val="0"/>
          <w:sz w:val="32"/>
          <w:szCs w:val="32"/>
        </w:rPr>
      </w:pPr>
      <w:r>
        <w:rPr>
          <w:rFonts w:hint="eastAsia" w:ascii="楷体" w:hAnsi="楷体" w:eastAsia="楷体" w:cs="楷体"/>
          <w:i w:val="0"/>
          <w:caps w:val="0"/>
          <w:color w:val="424242"/>
          <w:spacing w:val="0"/>
          <w:sz w:val="32"/>
          <w:szCs w:val="32"/>
          <w:shd w:val="clear" w:color="070000" w:fill="FFFFFF"/>
        </w:rPr>
        <w:t>粤办函〔2018〕396号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各地级以上市人民政府，各县（市、区）人民政府，省政府各部门、各直属机构：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为深入贯彻习近平生态文明思想，切实保护野生动物，促进野生动物资源的恢复和可持续发展，经省人民政府同意，现就进一步加强我省野生动物保护管理工作通知如下：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一、提高认识，加强领导。</w:t>
      </w:r>
      <w:r>
        <w:rPr>
          <w:rFonts w:hint="eastAsia" w:ascii="仿宋" w:hAnsi="仿宋" w:eastAsia="仿宋" w:cs="仿宋"/>
          <w:i w:val="0"/>
          <w:caps w:val="0"/>
          <w:color w:val="424242"/>
          <w:spacing w:val="0"/>
          <w:sz w:val="32"/>
          <w:szCs w:val="32"/>
          <w:shd w:val="clear" w:color="070000" w:fill="FFFFFF"/>
        </w:rPr>
        <w:t>各地、各有关部门要从维护生物多样性和生态平衡、保护人类赖以生存的生态环境、维护经济社会可持续发展的战略高度，充分认识做好野生动物保护管理工作的重要意义，加强工作领导，明确职责分工，认真抓好落实。市县政府要认真履行主体责任，组织制定野生动物及其栖息地相关保护规划和措施，加强保护野生动物的宣传教育和科学知识普及工作，将野生动物保护经费纳入本级财政预算。乡镇政府、街道办事处要认真组织开展野生动物保护工作，及时发现并依法制止辖区内非法猎捕、出售、购买、利用野生动物及其制品的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二、突出重点，普遍禁猎。</w:t>
      </w:r>
      <w:r>
        <w:rPr>
          <w:rFonts w:hint="eastAsia" w:ascii="仿宋" w:hAnsi="仿宋" w:eastAsia="仿宋" w:cs="仿宋"/>
          <w:i w:val="0"/>
          <w:caps w:val="0"/>
          <w:color w:val="424242"/>
          <w:spacing w:val="0"/>
          <w:sz w:val="32"/>
          <w:szCs w:val="32"/>
          <w:shd w:val="clear" w:color="070000" w:fill="FFFFFF"/>
        </w:rPr>
        <w:t>全面加强野生动物野外种群保护，禁止猎捕国家和省重点保护野生动物。从2019年1月1日起至2023年12月31日止，全省全面禁猎野生鸟类。禁止在广东省境内使用粘网（捕鸟网）、鸟类电子诱捕装置，禁止任何网络交易平台、商品交易市场等交易场所为出售、购买、利用粘网、鸟类电子诱捕装置提供交易服务。因科学研究、种群调控、保障航空安全、疫病防控等特殊原因，确需猎捕的，依照有关规定办理。禁猎期满后，省政府将根据实际情况决定是否延长禁猎期限。确需利用野生鸟类及其制品的，应当以人工繁育种群为主，有利于野外种群养护，遵守法律法规和国家有关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三、各司其职，严格监管。</w:t>
      </w:r>
      <w:r>
        <w:rPr>
          <w:rFonts w:hint="eastAsia" w:ascii="仿宋" w:hAnsi="仿宋" w:eastAsia="仿宋" w:cs="仿宋"/>
          <w:i w:val="0"/>
          <w:caps w:val="0"/>
          <w:color w:val="424242"/>
          <w:spacing w:val="0"/>
          <w:sz w:val="32"/>
          <w:szCs w:val="32"/>
          <w:shd w:val="clear" w:color="070000" w:fill="FFFFFF"/>
        </w:rPr>
        <w:t>建立省打击野生动植物非法贸易部门间联席会议制度，负责研究制定野生动植物保护监管措施、部署重点工作。各地要参照省的做法，建立健全野生动植物保护监管联动机制和长效机制。各有关部门要加强协调配合，严厉打击非法猎捕、捕捞、人工繁育、杀害、出售、购买、利用、运输、携带、走私保护野生动物及其制品违法行为。市场监管、公路、邮政、铁路、民航、航运和海关等有关部门要严把野生动物及其制品的出售、运输、携带、邮递和进出口等关口，密切配合做好野生动物保护管理工作。市场监管部门要对涉及食用野生动物的“野味”招牌和广告，以及为出售、购买、利用野生动物及其制品或者禁止使用的猎捕工具提供交易服务的交易场所（如网络交易平台、商品交易市场等）进行全面清理整顿；动物卫生监督管理部门、海关要分别对行政区域内、进出境野生动物及其制品依法实施检疫；网络监管部门要及时删除违法猎捕、杀害、人工繁育和经营利用野生动物的信息；公安机关要结合扫黑除恶专项斗争，清理非法持有的猎枪及弹药，坚决打击猎杀、破坏野生保护动物资源的违法犯罪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四、加强调查，强化保护。</w:t>
      </w:r>
      <w:r>
        <w:rPr>
          <w:rFonts w:hint="eastAsia" w:ascii="仿宋" w:hAnsi="仿宋" w:eastAsia="仿宋" w:cs="仿宋"/>
          <w:i w:val="0"/>
          <w:caps w:val="0"/>
          <w:color w:val="424242"/>
          <w:spacing w:val="0"/>
          <w:sz w:val="32"/>
          <w:szCs w:val="32"/>
          <w:shd w:val="clear" w:color="070000" w:fill="FFFFFF"/>
        </w:rPr>
        <w:t>加强对自然保护区、森林公园、湿地公园等各种类型自然保护地的建设管理，加快形成以自然保护区为核心、森林公园为网络、湿地公园为补充，保护类型齐全、布局合理、生态效益显著的自然保护体系。加强对野生动物及其重要栖息地的监测巡护，特别是对国家和省重点保护野生动物主要生息繁衍场所以及野生鸟类集群的越冬地、繁殖地和迁徙停歇地，要实施网格化管理，将监测巡护职责落实到岗到人。要在对野生动物及其栖息地状况进行调查、监测和评估的基础上，建立健全野生动物及其栖息地档案。禁止对鸟类迁徙主要停歇地、栖息地实施人为破坏活动。建设项目选址选线，应当避让相关自然保护区域、野生动物迁徙洄游通道；确实无法避让的，应当采取修建野生动物通道、过鱼设施等措施，消除或者减少对野生动物的不利影响。保护、恢复和改善野生动物生存环境，禁止或者限制在相关自然保护区域内引入外来物种、营造单一纯林、过量施洒农药等人为干扰、威胁野生动物生息或繁衍的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五、完善体制，加强保障。</w:t>
      </w:r>
      <w:r>
        <w:rPr>
          <w:rFonts w:hint="eastAsia" w:ascii="仿宋" w:hAnsi="仿宋" w:eastAsia="仿宋" w:cs="仿宋"/>
          <w:i w:val="0"/>
          <w:caps w:val="0"/>
          <w:color w:val="424242"/>
          <w:spacing w:val="0"/>
          <w:sz w:val="32"/>
          <w:szCs w:val="32"/>
          <w:shd w:val="clear" w:color="070000" w:fill="FFFFFF"/>
        </w:rPr>
        <w:t>各市县要结合本次地方机构改革，进一步健全完善野生动物保护管理的体制机制，配备与目标任务相适应的工作力量。各级野生动物保护主管部门要尽快建立和完善野生动物救护工作机制，积极组织开展野生动物收容救护工作，按规定接收和处理野生动物或其制品。支持科学研究机构以物种保护为目的进行人工繁育野生动物，鼓励具备种源、技术、场地等条件的科研单位开展野生动物科学研究和人工繁育，逐步落实人工繁育标识管理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六、实施补偿，科学调控。</w:t>
      </w:r>
      <w:r>
        <w:rPr>
          <w:rFonts w:hint="eastAsia" w:ascii="仿宋" w:hAnsi="仿宋" w:eastAsia="仿宋" w:cs="仿宋"/>
          <w:i w:val="0"/>
          <w:caps w:val="0"/>
          <w:color w:val="424242"/>
          <w:spacing w:val="0"/>
          <w:sz w:val="32"/>
          <w:szCs w:val="32"/>
          <w:shd w:val="clear" w:color="070000" w:fill="FFFFFF"/>
        </w:rPr>
        <w:t>研究制定野生动物致害补偿办法，维护野生动物栖息地人民群众合法权益。对种群数量过大、造成危害频繁的野猪等野生动物，要在论证可行的基础上，依法组织开展有序狩猎活动，科学调控种群数量，有效减少致害因素。</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七、加大宣传，营造氛围。</w:t>
      </w:r>
      <w:r>
        <w:rPr>
          <w:rFonts w:hint="eastAsia" w:ascii="仿宋" w:hAnsi="仿宋" w:eastAsia="仿宋" w:cs="仿宋"/>
          <w:i w:val="0"/>
          <w:caps w:val="0"/>
          <w:color w:val="424242"/>
          <w:spacing w:val="0"/>
          <w:sz w:val="32"/>
          <w:szCs w:val="32"/>
          <w:shd w:val="clear" w:color="070000" w:fill="FFFFFF"/>
        </w:rPr>
        <w:t>加强《野生动物保护法》《陆生野生动物实施条例》《广东省野生动物保护管理条例》等野生动物保护法律法规及科普知识的宣传教育，对野生动物经营利用单位、餐饮单位开展野生动物保护普法教育和培训。教育部门要把保护野生动物纳入中小学生态保护教育。加强正面宣传报道，广泛宣传保护野生动物的先进事迹，在全社会营造爱护野生动物的良好舆论氛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本通知自2019年1月1日起施行，有效期至2023年12月31日。《广东省人民政府办公厅贯彻实施广东省野生动物保护管理条例的通知》（粤府办〔2002〕7号）同时废止。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省府办公厅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2018年11月29日</w:t>
      </w: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wordWrap/>
        <w:adjustRightInd/>
        <w:snapToGrid/>
        <w:spacing w:line="560" w:lineRule="exact"/>
        <w:jc w:val="center"/>
        <w:textAlignment w:val="auto"/>
        <w:outlineLvl w:val="0"/>
        <w:rPr>
          <w:rFonts w:hint="eastAsia" w:ascii="宋体" w:hAnsi="宋体" w:eastAsia="宋体" w:cs="宋体"/>
          <w:sz w:val="44"/>
          <w:szCs w:val="44"/>
        </w:rPr>
      </w:pPr>
      <w:bookmarkStart w:id="988" w:name="_Toc27151"/>
      <w:r>
        <w:rPr>
          <w:rFonts w:hint="eastAsia" w:ascii="宋体" w:hAnsi="宋体" w:eastAsia="宋体" w:cs="宋体"/>
          <w:sz w:val="44"/>
          <w:szCs w:val="44"/>
        </w:rPr>
        <w:t>广东省公安厅关于依法严厉打击涉野生动物违法犯罪行为的通告</w:t>
      </w:r>
      <w:bookmarkEnd w:id="988"/>
    </w:p>
    <w:p>
      <w:pPr>
        <w:wordWrap/>
        <w:adjustRightInd/>
        <w:snapToGrid/>
        <w:spacing w:line="560" w:lineRule="exact"/>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为切实保障人民群众生命健康安全，保护野生动物资源，促进人与自然和谐共生，根据《中华人民共和国刑法》《中华人民共和国治安管理处罚法》《中华人民共和国野生动物保护法》、全国人大常委会《关于全面禁止非法野生动物交易、革除滥食野生动物陋习、切实保障人民群众生命健康安全的决定》以及《广东省野生动物保护管理条例》等法律法规、司法解释有关规定，现通告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一、依法严厉打击非法猎捕、杀害国家重点保护的珍贵、濒危野生动物的行为。</w:t>
      </w:r>
      <w:r>
        <w:rPr>
          <w:rFonts w:hint="eastAsia" w:ascii="仿宋" w:hAnsi="仿宋" w:eastAsia="仿宋" w:cs="仿宋"/>
          <w:i w:val="0"/>
          <w:caps w:val="0"/>
          <w:color w:val="424242"/>
          <w:spacing w:val="0"/>
          <w:sz w:val="32"/>
          <w:szCs w:val="32"/>
          <w:u w:val="none"/>
          <w:shd w:val="clear" w:color="080000" w:fill="FFFFFF"/>
        </w:rPr>
        <w:t>非法猎捕、杀害国家重点保护的珍贵、濒危野生动物的，依法从严追究刑事责任。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　二、依法严厉打击非法狩猎行为。</w:t>
      </w:r>
      <w:r>
        <w:rPr>
          <w:rFonts w:hint="eastAsia" w:ascii="仿宋" w:hAnsi="仿宋" w:eastAsia="仿宋" w:cs="仿宋"/>
          <w:i w:val="0"/>
          <w:caps w:val="0"/>
          <w:color w:val="424242"/>
          <w:spacing w:val="0"/>
          <w:sz w:val="32"/>
          <w:szCs w:val="32"/>
          <w:u w:val="none"/>
          <w:shd w:val="clear" w:color="080000" w:fill="FFFFFF"/>
        </w:rPr>
        <w:t>违反狩猎法规，在禁猎区、禁猎期或者使用枪支、爆炸物、毒药、电击、猎夹、火攻等工具、方法进行狩猎，破坏野生动物资源，构成犯罪的，依法从严追究刑事责任；构成违反治安管理行为的，按照《治安管理处罚法》有关规定从严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三、依法严厉打击非法收购、运输、出售野生动物及其制品的行为。</w:t>
      </w:r>
      <w:r>
        <w:rPr>
          <w:rFonts w:hint="eastAsia" w:ascii="仿宋" w:hAnsi="仿宋" w:eastAsia="仿宋" w:cs="仿宋"/>
          <w:i w:val="0"/>
          <w:caps w:val="0"/>
          <w:color w:val="424242"/>
          <w:spacing w:val="0"/>
          <w:sz w:val="32"/>
          <w:szCs w:val="32"/>
          <w:u w:val="none"/>
          <w:shd w:val="clear" w:color="080000" w:fill="FFFFFF"/>
        </w:rPr>
        <w:t>违反国家有关规定，非法收购、运输、出售野生动物及其制品，构成犯罪的，依法从严追究刑事责任；构成违反治安管理行为的，按照《治安管理处罚法》有关规定从严处罚。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四、依法严厉打击为非法出售、购买野生动物及其制品提供交易服务的行为。</w:t>
      </w:r>
      <w:r>
        <w:rPr>
          <w:rFonts w:hint="eastAsia" w:ascii="仿宋" w:hAnsi="仿宋" w:eastAsia="仿宋" w:cs="仿宋"/>
          <w:i w:val="0"/>
          <w:caps w:val="0"/>
          <w:color w:val="424242"/>
          <w:spacing w:val="0"/>
          <w:sz w:val="32"/>
          <w:szCs w:val="32"/>
          <w:u w:val="none"/>
          <w:shd w:val="clear" w:color="080000" w:fill="FFFFFF"/>
        </w:rPr>
        <w:t>为非法出售、购买野生动物及其制品提供交易场所、发布广告等交易服务，构成犯罪的，依法从严追究刑事责任；构成违反治安管理行为的，按照《治安管理处罚法》有关规定从严处罚。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五、依法严厉打击食用野生动物的行为。</w:t>
      </w:r>
      <w:r>
        <w:rPr>
          <w:rFonts w:hint="eastAsia" w:ascii="仿宋" w:hAnsi="仿宋" w:eastAsia="仿宋" w:cs="仿宋"/>
          <w:i w:val="0"/>
          <w:caps w:val="0"/>
          <w:color w:val="424242"/>
          <w:spacing w:val="0"/>
          <w:sz w:val="32"/>
          <w:szCs w:val="32"/>
          <w:u w:val="none"/>
          <w:shd w:val="clear" w:color="080000" w:fill="FFFFFF"/>
        </w:rPr>
        <w:t>食用野生动物，构成违法行为的，依法予以行政处罚。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　六、依法严厉打击走私珍贵动物及其制品的行为。</w:t>
      </w:r>
      <w:r>
        <w:rPr>
          <w:rFonts w:hint="eastAsia" w:ascii="仿宋" w:hAnsi="仿宋" w:eastAsia="仿宋" w:cs="仿宋"/>
          <w:i w:val="0"/>
          <w:caps w:val="0"/>
          <w:color w:val="424242"/>
          <w:spacing w:val="0"/>
          <w:sz w:val="32"/>
          <w:szCs w:val="32"/>
          <w:u w:val="none"/>
          <w:shd w:val="clear" w:color="080000" w:fill="FFFFFF"/>
        </w:rPr>
        <w:t>走私国家禁止进出口的珍贵动物及其制品的，依法从严追究刑事责任。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七、依法严厉打击非法处置因防疫、检疫需要被依法处理的野生动物及其制品的行为。</w:t>
      </w:r>
      <w:r>
        <w:rPr>
          <w:rFonts w:hint="eastAsia" w:ascii="仿宋" w:hAnsi="仿宋" w:eastAsia="仿宋" w:cs="仿宋"/>
          <w:i w:val="0"/>
          <w:caps w:val="0"/>
          <w:color w:val="424242"/>
          <w:spacing w:val="0"/>
          <w:sz w:val="32"/>
          <w:szCs w:val="32"/>
          <w:u w:val="none"/>
          <w:shd w:val="clear" w:color="080000" w:fill="FFFFFF"/>
        </w:rPr>
        <w:t>非法处置因防疫、检疫需要已被有关部门查封、扣押、没收、隔离等依法处理的野生动物及其制品，构成犯罪的，依法从严追究刑事责任；构成违反治安管理行为的，按照《治安管理处罚法》有关规定从严处罚。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请广大群众积极向公安机关或拨打110报警电话举报涉野生动物违法犯罪有关线索，共同维护生物安全和生态安全。本通告自发布之日起实施。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特此通告。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广东省公安厅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2020年2月25日</w:t>
      </w:r>
    </w:p>
    <w:p>
      <w:pPr>
        <w:wordWrap/>
        <w:adjustRightInd/>
        <w:snapToGrid/>
        <w:spacing w:line="560" w:lineRule="exact"/>
        <w:textAlignment w:val="auto"/>
        <w:rPr>
          <w:rFonts w:hint="eastAsia" w:ascii="仿宋" w:hAnsi="仿宋" w:eastAsia="仿宋" w:cs="仿宋"/>
          <w:sz w:val="32"/>
          <w:szCs w:val="32"/>
        </w:rPr>
      </w:pPr>
    </w:p>
    <w:p>
      <w:pPr>
        <w:rPr>
          <w:rFonts w:hint="eastAsia" w:ascii="宋体" w:hAnsi="宋体" w:eastAsia="宋体" w:cs="宋体"/>
          <w:color w:val="auto"/>
          <w:kern w:val="2"/>
          <w:sz w:val="44"/>
          <w:szCs w:val="44"/>
          <w:u w:val="none"/>
          <w:lang w:val="en-US" w:eastAsia="zh-CN" w:bidi="ar-SA"/>
        </w:rPr>
      </w:pPr>
      <w:r>
        <w:rPr>
          <w:rFonts w:hint="eastAsia" w:ascii="宋体" w:hAnsi="宋体" w:eastAsia="宋体" w:cs="宋体"/>
          <w:color w:val="auto"/>
          <w:kern w:val="2"/>
          <w:sz w:val="44"/>
          <w:szCs w:val="44"/>
          <w:u w:val="none"/>
          <w:lang w:val="en-US" w:eastAsia="zh-CN" w:bidi="ar-SA"/>
        </w:rPr>
        <w:br w:type="page"/>
      </w:r>
    </w:p>
    <w:p>
      <w:pPr>
        <w:wordWrap/>
        <w:adjustRightInd/>
        <w:snapToGrid/>
        <w:spacing w:line="560" w:lineRule="exact"/>
        <w:jc w:val="center"/>
        <w:textAlignment w:val="auto"/>
        <w:outlineLvl w:val="0"/>
        <w:rPr>
          <w:rFonts w:hint="eastAsia" w:ascii="宋体" w:hAnsi="宋体" w:eastAsia="宋体" w:cs="宋体"/>
          <w:color w:val="auto"/>
          <w:kern w:val="2"/>
          <w:sz w:val="44"/>
          <w:szCs w:val="44"/>
          <w:u w:val="none"/>
          <w:lang w:val="en-US" w:eastAsia="zh-CN" w:bidi="ar-SA"/>
        </w:rPr>
      </w:pPr>
      <w:bookmarkStart w:id="989" w:name="_Toc31711"/>
      <w:r>
        <w:rPr>
          <w:rFonts w:hint="eastAsia" w:ascii="宋体" w:hAnsi="宋体" w:eastAsia="宋体" w:cs="宋体"/>
          <w:color w:val="auto"/>
          <w:kern w:val="2"/>
          <w:sz w:val="44"/>
          <w:szCs w:val="44"/>
          <w:u w:val="none"/>
          <w:lang w:val="en-US" w:eastAsia="zh-CN" w:bidi="ar-SA"/>
        </w:rPr>
        <w:t>广东省卫生厅关于印发广东省法定传染病疫情和突发公共卫生事件信息发布方案的通知</w:t>
      </w:r>
      <w:bookmarkEnd w:id="989"/>
    </w:p>
    <w:p>
      <w:pPr>
        <w:wordWrap/>
        <w:adjustRightInd/>
        <w:snapToGrid/>
        <w:spacing w:line="560" w:lineRule="exact"/>
        <w:textAlignment w:val="auto"/>
        <w:rPr>
          <w:rFonts w:hint="eastAsia" w:ascii="仿宋" w:hAnsi="仿宋" w:eastAsia="仿宋" w:cs="仿宋"/>
          <w:color w:val="F6B900"/>
          <w:kern w:val="2"/>
          <w:sz w:val="32"/>
          <w:szCs w:val="32"/>
          <w:u w:val="none"/>
          <w:lang w:val="en-US" w:eastAsia="zh-CN" w:bidi="ar-SA"/>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000000"/>
          <w:spacing w:val="0"/>
          <w:sz w:val="32"/>
          <w:szCs w:val="32"/>
          <w:u w:val="none"/>
          <w:shd w:val="clear" w:color="080000" w:fill="FFFFFF"/>
        </w:rPr>
      </w:pPr>
      <w:r>
        <w:rPr>
          <w:rFonts w:hint="eastAsia" w:ascii="楷体" w:hAnsi="楷体" w:eastAsia="楷体" w:cs="楷体"/>
          <w:i w:val="0"/>
          <w:caps w:val="0"/>
          <w:color w:val="000000"/>
          <w:spacing w:val="0"/>
          <w:sz w:val="32"/>
          <w:szCs w:val="32"/>
          <w:u w:val="none"/>
          <w:shd w:val="clear" w:color="080000" w:fill="FFFFFF"/>
        </w:rPr>
        <w:t>粤卫办〔2008〕35号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000000"/>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各地级以上市卫生局，厅直有关单位：</w:t>
      </w:r>
      <w:r>
        <w:rPr>
          <w:rFonts w:hint="eastAsia" w:ascii="仿宋" w:hAnsi="仿宋" w:eastAsia="仿宋" w:cs="仿宋"/>
          <w:i w:val="0"/>
          <w:caps w:val="0"/>
          <w:color w:val="000000"/>
          <w:spacing w:val="0"/>
          <w:sz w:val="32"/>
          <w:szCs w:val="32"/>
          <w:u w:val="none"/>
          <w:shd w:val="clear" w:color="080000" w:fill="FFFFFF"/>
        </w:rPr>
        <w:br w:type="textWrapping"/>
      </w:r>
      <w:r>
        <w:rPr>
          <w:rFonts w:hint="eastAsia" w:ascii="仿宋" w:hAnsi="仿宋" w:eastAsia="仿宋" w:cs="仿宋"/>
          <w:i w:val="0"/>
          <w:caps w:val="0"/>
          <w:color w:val="000000"/>
          <w:spacing w:val="0"/>
          <w:sz w:val="32"/>
          <w:szCs w:val="32"/>
          <w:u w:val="none"/>
          <w:shd w:val="clear" w:color="080000" w:fill="FFFFFF"/>
        </w:rPr>
        <w:t>    根据《中华人民共和国传染病防治法》（下称《传染病防治法》）和《卫生部法定传染病疫情和突发公共卫生事件信息发布方案》（卫办发〔2006〕79号）规定，我厅组织制定了《广东省法定传染病疫情和突发公共卫生事件信息发布方案》，并提出以下要求，请一并遵照执行。</w:t>
      </w:r>
      <w:r>
        <w:rPr>
          <w:rFonts w:hint="eastAsia" w:ascii="仿宋" w:hAnsi="仿宋" w:eastAsia="仿宋" w:cs="仿宋"/>
          <w:i w:val="0"/>
          <w:caps w:val="0"/>
          <w:color w:val="000000"/>
          <w:spacing w:val="0"/>
          <w:sz w:val="32"/>
          <w:szCs w:val="32"/>
          <w:u w:val="none"/>
          <w:shd w:val="clear" w:color="080000" w:fill="FFFFFF"/>
        </w:rPr>
        <w:br w:type="textWrapping"/>
      </w:r>
      <w:r>
        <w:rPr>
          <w:rFonts w:hint="eastAsia" w:ascii="仿宋" w:hAnsi="仿宋" w:eastAsia="仿宋" w:cs="仿宋"/>
          <w:i w:val="0"/>
          <w:caps w:val="0"/>
          <w:color w:val="000000"/>
          <w:spacing w:val="0"/>
          <w:sz w:val="32"/>
          <w:szCs w:val="32"/>
          <w:u w:val="none"/>
          <w:shd w:val="clear" w:color="080000" w:fill="FFFFFF"/>
        </w:rPr>
        <w:t>    一、各地要严格执行法定传染病疫情和突发公共卫生事件有关报告制度，及时报告相关信息。</w:t>
      </w:r>
      <w:r>
        <w:rPr>
          <w:rFonts w:hint="eastAsia" w:ascii="仿宋" w:hAnsi="仿宋" w:eastAsia="仿宋" w:cs="仿宋"/>
          <w:i w:val="0"/>
          <w:caps w:val="0"/>
          <w:color w:val="000000"/>
          <w:spacing w:val="0"/>
          <w:sz w:val="32"/>
          <w:szCs w:val="32"/>
          <w:u w:val="none"/>
          <w:shd w:val="clear" w:color="080000" w:fill="FFFFFF"/>
        </w:rPr>
        <w:br w:type="textWrapping"/>
      </w:r>
      <w:r>
        <w:rPr>
          <w:rFonts w:hint="eastAsia" w:ascii="仿宋" w:hAnsi="仿宋" w:eastAsia="仿宋" w:cs="仿宋"/>
          <w:i w:val="0"/>
          <w:caps w:val="0"/>
          <w:color w:val="000000"/>
          <w:spacing w:val="0"/>
          <w:sz w:val="32"/>
          <w:szCs w:val="32"/>
          <w:u w:val="none"/>
          <w:shd w:val="clear" w:color="080000" w:fill="FFFFFF"/>
        </w:rPr>
        <w:t>    二、未经我厅批准，任何单位和个人不得对外发布全省法定传染病疫情信息和突发公共卫生事件信息。</w:t>
      </w:r>
      <w:r>
        <w:rPr>
          <w:rFonts w:hint="eastAsia" w:ascii="仿宋" w:hAnsi="仿宋" w:eastAsia="仿宋" w:cs="仿宋"/>
          <w:i w:val="0"/>
          <w:caps w:val="0"/>
          <w:color w:val="000000"/>
          <w:spacing w:val="0"/>
          <w:sz w:val="32"/>
          <w:szCs w:val="32"/>
          <w:u w:val="none"/>
          <w:shd w:val="clear" w:color="080000" w:fill="FFFFFF"/>
        </w:rPr>
        <w:br w:type="textWrapping"/>
      </w:r>
      <w:r>
        <w:rPr>
          <w:rFonts w:hint="eastAsia" w:ascii="仿宋" w:hAnsi="仿宋" w:eastAsia="仿宋" w:cs="仿宋"/>
          <w:i w:val="0"/>
          <w:caps w:val="0"/>
          <w:color w:val="000000"/>
          <w:spacing w:val="0"/>
          <w:sz w:val="32"/>
          <w:szCs w:val="32"/>
          <w:u w:val="none"/>
          <w:shd w:val="clear" w:color="080000" w:fill="FFFFFF"/>
        </w:rPr>
        <w:t>    三、各地要加强正面宣传和舆论引导，及时宣传各级党委、政府和有关部门采取的各项防控传染病疫情和处置突发公共卫生事件的有关措施，以及相关科普知识，引导群众正确认识和科学应对传染病疫情和突发公共卫生事件。要加强舆情监测，发现错误或片面报道时，要及时澄清不实报道和谣言，防止媒体炒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                   二○○八年五月四日</w:t>
      </w:r>
    </w:p>
    <w:p>
      <w:pPr>
        <w:wordWrap/>
        <w:adjustRightInd/>
        <w:snapToGrid/>
        <w:spacing w:line="560" w:lineRule="exact"/>
        <w:ind w:firstLine="643" w:firstLineChars="200"/>
        <w:textAlignment w:val="auto"/>
        <w:rPr>
          <w:rStyle w:val="23"/>
          <w:rFonts w:hint="eastAsia" w:ascii="仿宋" w:hAnsi="仿宋" w:eastAsia="仿宋" w:cs="仿宋"/>
          <w:i w:val="0"/>
          <w:caps w:val="0"/>
          <w:color w:val="000000"/>
          <w:spacing w:val="0"/>
          <w:sz w:val="32"/>
          <w:szCs w:val="32"/>
          <w:u w:val="none"/>
          <w:shd w:val="clear" w:color="090000" w:fill="FFFFFF"/>
        </w:rPr>
      </w:pPr>
      <w:r>
        <w:rPr>
          <w:rStyle w:val="23"/>
          <w:rFonts w:hint="eastAsia" w:ascii="仿宋" w:hAnsi="仿宋" w:eastAsia="仿宋" w:cs="仿宋"/>
          <w:i w:val="0"/>
          <w:caps w:val="0"/>
          <w:color w:val="000000"/>
          <w:spacing w:val="0"/>
          <w:sz w:val="32"/>
          <w:szCs w:val="32"/>
          <w:u w:val="none"/>
          <w:shd w:val="clear" w:color="090000" w:fill="FFFFFF"/>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firstLine="640" w:firstLineChars="200"/>
        <w:jc w:val="center"/>
        <w:textAlignment w:val="auto"/>
        <w:rPr>
          <w:rFonts w:hint="eastAsia" w:ascii="仿宋" w:hAnsi="仿宋" w:eastAsia="仿宋" w:cs="仿宋"/>
          <w:b w:val="0"/>
          <w:bCs w:val="0"/>
          <w:i w:val="0"/>
          <w:caps w:val="0"/>
          <w:color w:val="000000"/>
          <w:spacing w:val="0"/>
          <w:sz w:val="32"/>
          <w:szCs w:val="32"/>
          <w:u w:val="none"/>
          <w:shd w:val="clear" w:color="0A0000" w:fill="FFFFFF"/>
        </w:rPr>
      </w:pPr>
      <w:r>
        <w:rPr>
          <w:rFonts w:hint="eastAsia" w:ascii="仿宋" w:hAnsi="仿宋" w:eastAsia="仿宋" w:cs="仿宋"/>
          <w:b w:val="0"/>
          <w:bCs w:val="0"/>
          <w:i w:val="0"/>
          <w:caps w:val="0"/>
          <w:color w:val="000000"/>
          <w:spacing w:val="0"/>
          <w:sz w:val="32"/>
          <w:szCs w:val="32"/>
          <w:u w:val="none"/>
          <w:shd w:val="clear" w:color="0A0000" w:fill="FFFFFF"/>
        </w:rPr>
        <w:t>广东省法定传染病疫情和突发公共卫生事件信息发布方案</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为及时向社会通报和公布我省法定传染病疫情和突发公共卫生事件信息，确保政府信息的权威性，正确引导舆论，满足人民群众的知情需求，增强公众的防病意识，有效控制传染病疫情，妥善处置突发公共卫生事件，根据《传染病防治法》、《国家突发公共卫生事件应急预案》和《卫生部法定传染病疫情和突发公共卫生事件信息发布方案》有关规定，制定本方案。</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本方案所指法定传染病，为《传染病防治法》规定管理的甲类、乙类和丙类传染病。本方案所称突发公共卫生事件(以下简称“突发事件”)是指《突发公共卫生事件应急条例》规定的突然发生、造成或可能造成社会公众健康严重损害的重大传染病疫情、群体性不明原因疾病、重大食物和职业中毒以及其他严重影响公众健康的事件；突发公共卫生事件报告分级按照《国家突发公共卫生事件应急预案》和《广东省突发公共卫生事件应急预案》确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Style w:val="23"/>
          <w:rFonts w:hint="eastAsia" w:ascii="黑体" w:hAnsi="黑体" w:eastAsia="黑体" w:cs="黑体"/>
          <w:b w:val="0"/>
          <w:bCs/>
          <w:i w:val="0"/>
          <w:caps w:val="0"/>
          <w:color w:val="000000"/>
          <w:spacing w:val="0"/>
          <w:sz w:val="32"/>
          <w:szCs w:val="32"/>
          <w:u w:val="none"/>
          <w:shd w:val="clear" w:color="0B0000" w:fill="FFFFFF"/>
        </w:rPr>
      </w:pPr>
      <w:r>
        <w:rPr>
          <w:rStyle w:val="23"/>
          <w:rFonts w:hint="eastAsia" w:ascii="黑体" w:hAnsi="黑体" w:eastAsia="黑体" w:cs="黑体"/>
          <w:b w:val="0"/>
          <w:bCs/>
          <w:i w:val="0"/>
          <w:caps w:val="0"/>
          <w:color w:val="000000"/>
          <w:spacing w:val="0"/>
          <w:sz w:val="32"/>
          <w:szCs w:val="32"/>
          <w:u w:val="none"/>
          <w:shd w:val="clear" w:color="0B0000" w:fill="FFFFFF"/>
        </w:rPr>
        <w:t>一、发布信息范围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（一）法定传染病。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甲类传染病是指：鼠疫、霍乱。</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乙类传染病是指：传染性非典型肺炎、艾滋病、病毒性肝炎、脊髓灰质炎、人感染高致病性禽流感、麻疹、流行性出血热、狂犬病、流行性乙型脑炎、登革热、炭疽、细菌性和阿米巴性痢疾、肺结核、伤寒和副伤寒、流行性脑脊髓膜炎、百日咳、白喉、新生儿破伤风、猩红热、布鲁氏菌病、淋病、梅毒、钩端螺旋体病、血吸虫病、疟疾。</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丙类传染病是指：流行性感冒、流行性腮腺炎、风疹、急性出血性结膜炎、麻风病、流行性和地方性斑疹伤寒、黑热病、包虫病、丝虫病，除霍乱、细菌性和阿米巴性痢疾、伤寒和副伤寒以外的感染性腹泻病、手足口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（二）突发公共卫生事件。</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全省范围内发生的《突发公共卫生事件应急条例》中规定报告和管理的突发公共卫生事件总体信息、有重大影响的突发公共卫生事件个案信息。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二、发布内容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（一）法定传染病疫情。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法定传染病疫情发布内容，包括甲、乙类传染病发生的总体情况、重大疾病的分布情况，重大疫情的控制情况以及丙类传染病的基本情况等。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（二）重点传染病监测信息。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根据传染病防控工作需要，必要时发布重点传染病监测信息内容，包括霍乱、登革热等重点监测传染病的相关信息。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（三）突发公共卫生事件信息。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突发公共卫生事件信息发布包括总体信息和重大突发公共卫生事件的个案信息。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1．突发公共卫生事件总体信息：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一定时期内，突发公共卫生事件的总体情况、分类、分级情况等。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2．突发公共卫生事件个案信息：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事件的性质、原因；发生时间、地点及范围；发病、伤亡及涉及的人员范围；处理措施和控制情况；发生地强制措施的解除；预防方法等。可以根据处置进展分次连续发布。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 xml:space="preserve"> 3．预测与预警信息：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针对可能发生的各类突发公共卫生事件的特点和季节性特征，及时进行分析和预测，发布预警信息。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 三、发布制度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（一）法定传染病疫情和突发公共卫生事件总体信息定期发布制度。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省卫生厅以月报、年报方式在省卫生厅网站专题栏目上公布我省法定传染病疫情和突发公共卫生事件总体信息，必要时授权主要新闻媒体发布或召开新闻发布会通报有关情况。</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省卫生厅每月15日前公布上月情况，每年2月15日前公布上年度情况。</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省卫生厅定期发布的法定传染病疫情和突发公共卫生事件信息由厅主管业务处、室提供，经主管厅长审定后，以省卫生厅办公室名义对外发布。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（二）突发公共卫生事件个案信息及时发布制度。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本省范围内发生由国务院卫生行政主管部门确定的特别重大（Ⅰ级）突发公共卫生事件时，在国家应急指挥部及省应急指挥部的统一指挥下及时发布经授权的相关信息。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本省范围内发生由省突发公共卫生事件应急指挥部确定的重大（Ⅱ级）突发公共卫生事件时，省卫生厅在省应急指挥部的统一指挥下，向社会发布本省范围内突发公共卫生事件信息，并配合宣传主管部门做好舆论宣传和引导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（三）重大传染病疫情及时发布制度。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根据疫情网络直报系统监测结果，如果发现重大传染病疫情，应增加相关传染病疫情公布频次，必要时每周或每日发布。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（四）预测预警信息不定期发布制度。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针对疾病流行情况和季节性，必要时可向社会发布传染病疫情、食品安全和职业预测和预警信息。提高群众自我防护能力。</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（五）通报制度。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发布甲类传染病和采取甲类传染病预防控制措施的传染病疫情信息以及不明原因群体性疾病等突发公共卫生事件个案信息前，向卫生部、省外办报告，并向有关地级以上市卫生行政部门通报。必要时，可先发布再通报。对于其他法定传染病暴发、流行的突发公共卫生事件个案信息，通过便捷有效的方式及时将有关情况向相关部门和毗邻的省份、地区通报，共同做好疾病的预防和控制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 四、信息发布程序</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定期发布的法定传染病疫情信息和突发公共卫生事件总体信息，由厅机关相关职能处室负责初审省疾病预防控制中心上报的相关信息后送厅办公室。厅办公室审核后，送厅领导审批，并及时对外发布及通报有关单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 五、职责分工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（一）厅有关处室职责。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1．厅办公室：负责法定传染病疫情和突发公共卫生事件相关信息的审核，于每月12日前呈送厅领导批准，并于每月15日前以厅办公室名义向有关媒体发布等。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2．厅疾控处：按照处室职能分工，负责审核省疾病预防控制中心上报的法定传染病月报、年报疫情信息及未达到《国家突发公共卫生事件应急预案》和《广东省突发公共卫生事件应急预案》标准的相关信息，于每月11日前送厅办公室审核。</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3．厅应急办：按照处室职能分工，负责审核省疾病预防控制中心上报的突发公共卫生事件月报、年报信息，重大、特别重大突发公共卫生事件，以及突发公共卫生事件预警预测相关信息。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（二）厅直有关单位职责。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lang w:eastAsia="zh-CN"/>
        </w:rPr>
      </w:pPr>
      <w:r>
        <w:rPr>
          <w:rFonts w:hint="eastAsia" w:ascii="仿宋" w:hAnsi="仿宋" w:eastAsia="仿宋" w:cs="仿宋"/>
          <w:i w:val="0"/>
          <w:caps w:val="0"/>
          <w:color w:val="000000"/>
          <w:spacing w:val="0"/>
          <w:sz w:val="32"/>
          <w:szCs w:val="32"/>
          <w:u w:val="none"/>
          <w:shd w:val="clear" w:color="080000" w:fill="FFFFFF"/>
        </w:rPr>
        <w:t>1．省疾病预防控制中心：负责每月10日和每年2月10日前，分别将上月、上年的法定传染病和突发公共卫生事件月（年）报信息通报稿及相关材料（包括结核病、麻风病和性病，见附件）报厅相关业务处室。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2．省结核病防治研究所：每月8日前向省疾病预防控制中心提供结核病防治情况等有关信息。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3．省皮肤性病防治中心：每月8日前向省疾病预防控制中心提供麻风病、性病防治情况等有关信息。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4．发生重大传染病疫情或突发公共卫生事件后，负责调查处理的单位要严格按照国家和省有关规定，及时向省卫生厅相关处室报告调查处理情况的个案信息。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5、省卫生监督所、省职业病防治院等有关机构，负责及时将相关突发公共卫生事件的信息及材料报厅相关业务处室。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六、加强舆论导向的监督和管理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有关传染病疫情和突发公共卫生事件发生后，各级卫生行政部门和有关单位要积极主动配合新闻宣传主管部门和新闻媒体，规范传染病疫情和突发公共卫生事件信息的宣传报道工作。通过新闻宣传和舆论引导，推动传染病疫情和突发公共卫生事件防控和处置工作的顺利开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加强正面宣传和舆论引导，大力宣传党和政府对人民身体健康和生命财产安全的高度负责，及时宣传各级党委、政府和有关部门妥善防控、处置传染病疫情和突发公共卫生事件，准确宣传有关防控传染病疫情和处置突发公共卫生事件的具体措施和科普知识，引导群众正确认识和科学应对传染病疫情和突发公共卫生事件。</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密切关注媒体对传染病疫情和突发公共卫生事件的新闻报道。及时安排和协调记者的采访活动，审定有关稿件。加强舆论信息的收集，有针对性地解答公众的疑惑，发现错误或片面的报道倾向时，应及时核实了解情况，迅速发布权威信息，澄清不实报道和谣言，防止媒体炒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附件：</w:t>
      </w:r>
      <w:r>
        <w:rPr>
          <w:rFonts w:hint="eastAsia" w:ascii="仿宋" w:hAnsi="仿宋" w:eastAsia="仿宋" w:cs="仿宋"/>
          <w:i w:val="0"/>
          <w:caps w:val="0"/>
          <w:color w:val="000000"/>
          <w:spacing w:val="0"/>
          <w:sz w:val="32"/>
          <w:szCs w:val="32"/>
          <w:u w:val="none"/>
          <w:shd w:val="clear" w:color="080000" w:fill="FFFFFF"/>
          <w:lang w:eastAsia="zh-CN"/>
        </w:rPr>
        <w:t>（</w:t>
      </w:r>
      <w:r>
        <w:rPr>
          <w:rFonts w:hint="eastAsia" w:ascii="仿宋" w:hAnsi="仿宋" w:eastAsia="仿宋" w:cs="仿宋"/>
          <w:i w:val="0"/>
          <w:caps w:val="0"/>
          <w:color w:val="000000"/>
          <w:spacing w:val="0"/>
          <w:sz w:val="32"/>
          <w:szCs w:val="32"/>
          <w:u w:val="none"/>
          <w:shd w:val="clear" w:color="080000" w:fill="FFFFFF"/>
          <w:lang w:val="en-US" w:eastAsia="zh-CN"/>
        </w:rPr>
        <w:t>略</w:t>
      </w:r>
      <w:r>
        <w:rPr>
          <w:rFonts w:hint="eastAsia" w:ascii="仿宋" w:hAnsi="仿宋" w:eastAsia="仿宋" w:cs="仿宋"/>
          <w:i w:val="0"/>
          <w:caps w:val="0"/>
          <w:color w:val="000000"/>
          <w:spacing w:val="0"/>
          <w:sz w:val="32"/>
          <w:szCs w:val="32"/>
          <w:u w:val="none"/>
          <w:shd w:val="clear" w:color="080000" w:fill="FFFFFF"/>
          <w:lang w:eastAsia="zh-CN"/>
        </w:rPr>
        <w:t>）</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1.</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"http://wsjkw.gd.gov.cn/jumpurl.html?url=www.gdwst.gov.cn/upfile/20080708142916.doc"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广东省法定报告传染病疫情发布样式（年报）</w:t>
      </w:r>
      <w:r>
        <w:rPr>
          <w:rFonts w:hint="eastAsia" w:ascii="仿宋" w:hAnsi="仿宋" w:eastAsia="仿宋" w:cs="仿宋"/>
          <w:i w:val="0"/>
          <w:caps w:val="0"/>
          <w:color w:val="000000"/>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2.</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"http://wsjkw.gd.gov.cn/jumpurl.html?url=www.gdwst.gov.cn/upfile/20080709082608.doc"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广东省法定报告传染病疫情发布样式（月报）</w:t>
      </w:r>
      <w:r>
        <w:rPr>
          <w:rFonts w:hint="eastAsia" w:ascii="仿宋" w:hAnsi="仿宋" w:eastAsia="仿宋" w:cs="仿宋"/>
          <w:i w:val="0"/>
          <w:caps w:val="0"/>
          <w:color w:val="000000"/>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3.</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"http://wsjkw.gd.gov.cn/jumpurl.html?url=www.gdwst.gov.cn/upfile/20080709082713.doc"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广东省突发公共卫生事件总体信息发布样式（月报）</w:t>
      </w:r>
      <w:r>
        <w:rPr>
          <w:rFonts w:hint="eastAsia" w:ascii="仿宋" w:hAnsi="仿宋" w:eastAsia="仿宋" w:cs="仿宋"/>
          <w:i w:val="0"/>
          <w:caps w:val="0"/>
          <w:color w:val="000000"/>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4.</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"http://wsjkw.gd.gov.cn/jumpurl.html?url=www.gdwst.gov.cn/upfile/20080709082827.doc"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广东省突发公共卫生事件总体信息发布样式（年报）</w:t>
      </w:r>
      <w:r>
        <w:rPr>
          <w:rFonts w:hint="eastAsia" w:ascii="仿宋" w:hAnsi="仿宋" w:eastAsia="仿宋" w:cs="仿宋"/>
          <w:i w:val="0"/>
          <w:caps w:val="0"/>
          <w:color w:val="000000"/>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5.</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"http://wsjkw.gd.gov.cn/jumpurl.html?url=www.gdwst.gov.cn/upfile/20080709082929.doc"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广东省重大突发公共卫生事件个案信息发布提纲</w:t>
      </w:r>
      <w:r>
        <w:rPr>
          <w:rFonts w:hint="eastAsia" w:ascii="仿宋" w:hAnsi="仿宋" w:eastAsia="仿宋" w:cs="仿宋"/>
          <w:i w:val="0"/>
          <w:caps w:val="0"/>
          <w:color w:val="000000"/>
          <w:spacing w:val="0"/>
          <w:sz w:val="32"/>
          <w:szCs w:val="32"/>
          <w:u w:val="none"/>
          <w:shd w:val="clear" w:color="080000" w:fill="FFFFFF"/>
        </w:rPr>
        <w:fldChar w:fldCharType="end"/>
      </w:r>
    </w:p>
    <w:p>
      <w:pPr>
        <w:wordWrap/>
        <w:adjustRightInd/>
        <w:snapToGrid/>
        <w:spacing w:line="560" w:lineRule="exact"/>
        <w:ind w:firstLine="640" w:firstLineChars="200"/>
        <w:textAlignment w:val="auto"/>
        <w:rPr>
          <w:rFonts w:hint="eastAsia" w:ascii="仿宋" w:hAnsi="仿宋" w:eastAsia="仿宋" w:cs="仿宋"/>
          <w:color w:val="F6B900"/>
          <w:kern w:val="2"/>
          <w:sz w:val="32"/>
          <w:szCs w:val="32"/>
          <w:u w:val="none"/>
          <w:lang w:val="en-US" w:eastAsia="zh-CN" w:bidi="ar-SA"/>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widowControl w:val="0"/>
        <w:wordWrap/>
        <w:adjustRightInd/>
        <w:snapToGrid/>
        <w:spacing w:line="560" w:lineRule="exact"/>
        <w:jc w:val="center"/>
        <w:textAlignment w:val="auto"/>
        <w:outlineLvl w:val="0"/>
        <w:rPr>
          <w:rFonts w:hint="eastAsia" w:ascii="宋体" w:hAnsi="宋体" w:eastAsia="宋体" w:cs="宋体"/>
          <w:i w:val="0"/>
          <w:caps w:val="0"/>
          <w:color w:val="000000"/>
          <w:spacing w:val="0"/>
          <w:sz w:val="44"/>
          <w:szCs w:val="44"/>
        </w:rPr>
      </w:pPr>
      <w:bookmarkStart w:id="990" w:name="_Toc11482"/>
      <w:r>
        <w:rPr>
          <w:rFonts w:hint="eastAsia" w:ascii="宋体" w:hAnsi="宋体" w:eastAsia="宋体" w:cs="宋体"/>
          <w:i w:val="0"/>
          <w:caps w:val="0"/>
          <w:color w:val="000000"/>
          <w:spacing w:val="0"/>
          <w:sz w:val="44"/>
          <w:szCs w:val="44"/>
        </w:rPr>
        <w:t>广东省新冠肺炎防控指挥办疫情防控组</w:t>
      </w:r>
    </w:p>
    <w:p>
      <w:pPr>
        <w:widowControl w:val="0"/>
        <w:wordWrap/>
        <w:adjustRightInd/>
        <w:snapToGrid/>
        <w:spacing w:line="560" w:lineRule="exact"/>
        <w:jc w:val="center"/>
        <w:textAlignment w:val="auto"/>
        <w:outlineLvl w:val="0"/>
        <w:rPr>
          <w:rFonts w:hint="eastAsia" w:ascii="宋体" w:hAnsi="宋体" w:eastAsia="宋体" w:cs="宋体"/>
          <w:i w:val="0"/>
          <w:caps w:val="0"/>
          <w:color w:val="000000"/>
          <w:spacing w:val="0"/>
          <w:sz w:val="44"/>
          <w:szCs w:val="44"/>
        </w:rPr>
      </w:pPr>
      <w:r>
        <w:rPr>
          <w:rFonts w:hint="eastAsia" w:ascii="宋体" w:hAnsi="宋体" w:eastAsia="宋体" w:cs="宋体"/>
          <w:i w:val="0"/>
          <w:caps w:val="0"/>
          <w:color w:val="000000"/>
          <w:spacing w:val="0"/>
          <w:sz w:val="44"/>
          <w:szCs w:val="44"/>
        </w:rPr>
        <w:t>关于印发广东省公共交通新冠肺炎</w:t>
      </w:r>
    </w:p>
    <w:p>
      <w:pPr>
        <w:widowControl w:val="0"/>
        <w:wordWrap/>
        <w:adjustRightInd/>
        <w:snapToGrid/>
        <w:spacing w:line="560" w:lineRule="exact"/>
        <w:jc w:val="center"/>
        <w:textAlignment w:val="auto"/>
        <w:outlineLvl w:val="0"/>
        <w:rPr>
          <w:rFonts w:hint="eastAsia" w:ascii="宋体" w:hAnsi="宋体" w:eastAsia="宋体" w:cs="宋体"/>
          <w:i w:val="0"/>
          <w:caps w:val="0"/>
          <w:color w:val="000000"/>
          <w:spacing w:val="0"/>
          <w:sz w:val="44"/>
          <w:szCs w:val="44"/>
        </w:rPr>
      </w:pPr>
      <w:r>
        <w:rPr>
          <w:rFonts w:hint="eastAsia" w:ascii="宋体" w:hAnsi="宋体" w:eastAsia="宋体" w:cs="宋体"/>
          <w:i w:val="0"/>
          <w:caps w:val="0"/>
          <w:color w:val="000000"/>
          <w:spacing w:val="0"/>
          <w:sz w:val="44"/>
          <w:szCs w:val="44"/>
        </w:rPr>
        <w:t>疫情防控工作指引的通知</w:t>
      </w:r>
      <w:bookmarkEnd w:id="990"/>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24242"/>
          <w:spacing w:val="0"/>
          <w:sz w:val="32"/>
          <w:szCs w:val="32"/>
        </w:rPr>
      </w:pPr>
      <w:r>
        <w:rPr>
          <w:rFonts w:hint="eastAsia" w:ascii="楷体" w:hAnsi="楷体" w:eastAsia="楷体" w:cs="楷体"/>
          <w:i w:val="0"/>
          <w:caps w:val="0"/>
          <w:color w:val="424242"/>
          <w:spacing w:val="0"/>
          <w:sz w:val="32"/>
          <w:szCs w:val="32"/>
        </w:rPr>
        <w:t>粤卫疾控函〔2020〕27号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各地级以上市新冠肺炎防控指挥办，省新冠肺炎防控指挥办疫情防控组各成员单位：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为切实做好我省公共交通工具及交通场所新冠肺炎防控工作，根据《广东省应对新冠肺炎疫情分区分级防控工作指引（试行第二版）》（粤防疫指办明电〔2020〕42号）要求，结合当前新冠肺炎疫情防控工作进展，我们组织编制了《广东省公共交通防控新冠肺炎疫情防控工作指引》，现印发给你们，请参照执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附件：广东省公共交通新冠肺炎疫情防控工作指引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广东省新冠肺炎防控指挥办疫情防控组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2020年2月25日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p>
    <w:p>
      <w:pPr>
        <w:wordWrap/>
        <w:adjustRightInd/>
        <w:snapToGrid/>
        <w:spacing w:line="560" w:lineRule="exact"/>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br w:type="page"/>
      </w:r>
    </w:p>
    <w:p>
      <w:pPr>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outlineLvl w:val="9"/>
        <w:rPr>
          <w:rFonts w:hint="eastAsia" w:ascii="仿宋" w:hAnsi="仿宋" w:eastAsia="仿宋" w:cs="仿宋"/>
          <w:b w:val="0"/>
          <w:bCs/>
          <w:i w:val="0"/>
          <w:caps w:val="0"/>
          <w:color w:val="000000"/>
          <w:spacing w:val="0"/>
          <w:sz w:val="32"/>
          <w:szCs w:val="32"/>
        </w:rPr>
      </w:pPr>
      <w:r>
        <w:rPr>
          <w:rFonts w:hint="eastAsia" w:ascii="仿宋" w:hAnsi="仿宋" w:eastAsia="仿宋" w:cs="仿宋"/>
          <w:b w:val="0"/>
          <w:bCs/>
          <w:i w:val="0"/>
          <w:caps w:val="0"/>
          <w:color w:val="000000"/>
          <w:spacing w:val="0"/>
          <w:sz w:val="32"/>
          <w:szCs w:val="32"/>
        </w:rPr>
        <w:t>广东省公共交通新冠肺炎疫情防控工作指引</w:t>
      </w:r>
    </w:p>
    <w:p>
      <w:pPr>
        <w:wordWrap/>
        <w:adjustRightInd/>
        <w:snapToGrid/>
        <w:spacing w:line="560" w:lineRule="exact"/>
        <w:textAlignment w:val="auto"/>
        <w:outlineLvl w:val="9"/>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outlineLvl w:val="9"/>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i w:val="0"/>
          <w:caps w:val="0"/>
          <w:color w:val="424242"/>
          <w:spacing w:val="0"/>
          <w:sz w:val="32"/>
          <w:szCs w:val="32"/>
        </w:rPr>
        <w:t>一、适用范围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outlineLvl w:val="9"/>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本指引适用于公共交通工具或场所，包括飞机、火车、客运班车、旅游包车、公交车、出租车、网约车、地铁、轮船，及火车站、高铁站、地铁站、汽车客运站、飞机场和港口码头等。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i w:val="0"/>
          <w:caps w:val="0"/>
          <w:color w:val="424242"/>
          <w:spacing w:val="0"/>
          <w:sz w:val="32"/>
          <w:szCs w:val="32"/>
        </w:rPr>
        <w:t>二、总体要求和基本原则</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单位要处理好疫情防控和公共运输的关系，以科学、合理、适度、管用为原则，突出重点，分类施策。严格落实各项防控措施，做好复工前评估，统筹推进运输和防控任务，外防输入，内防扩散，做到早发现、早报告、早隔离、早治疗。防止疫情在公共交通工具或场所传播，保障广大人民群众身体健康和生命安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单位要按照《国务院应对新型冠状病毒感染肺炎疫情联防联控机制关于印发企事业单位复工复产疫情防控措施指南的通知》（国发明电〔2020〕4号）、《广东省应对新冠肺炎疫情分区分级防控工作指引（试行第二版）》（粤防疫指办明电〔2020〕42号），结合本地分级情况，组织落实复工复产相关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i w:val="0"/>
          <w:caps w:val="0"/>
          <w:color w:val="424242"/>
          <w:spacing w:val="0"/>
          <w:sz w:val="32"/>
          <w:szCs w:val="32"/>
        </w:rPr>
        <w:t>三、职责分工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各相关单位要落实疫情防控主体责任，属地交通、铁路、民航行政部门要落实监管责任，属地卫生健康部门负责提供防控技术指导。</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黑体" w:hAnsi="黑体" w:eastAsia="黑体" w:cs="黑体"/>
          <w:i w:val="0"/>
          <w:caps w:val="0"/>
          <w:color w:val="424242"/>
          <w:spacing w:val="0"/>
          <w:sz w:val="32"/>
          <w:szCs w:val="32"/>
        </w:rPr>
      </w:pPr>
      <w:r>
        <w:rPr>
          <w:rFonts w:hint="eastAsia" w:ascii="黑体" w:hAnsi="黑体" w:eastAsia="黑体" w:cs="黑体"/>
          <w:i w:val="0"/>
          <w:caps w:val="0"/>
          <w:color w:val="424242"/>
          <w:spacing w:val="0"/>
          <w:sz w:val="32"/>
          <w:szCs w:val="32"/>
        </w:rPr>
        <w:t>　　四、主要措施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（一）成立疫情防控工作组。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相关单位成立疫情防控工作领导小组，各单位法定代表人为疫情防控第一责任人，成立健康管理小组，并同时设立健康管理责任人，应主动对接属地卫生健康部门做好疫情防控工作，要组织制定防控工作方案并部署实施，制定突发公共卫生事件报告与处理工作预案，统一对外沟通口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（二）做好复工前准备。</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单位在复工前分批次开展全员知识培训，包含单位后勤工作人员（保洁、输送等人员），对不同岗位的培训要有针对性。同时做好复工前防控物资准备，包括防护、消毒等用品，对每个员工做到“八个一”：一个健康档案，一测体温，一戴口罩，一设观察室，一致电（发现发热者致电医疗机构），一开展爱国卫生运动，一次健康教育，一强化人文关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（三）提前摸底，关口前移。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1.劝导疫情高发地来粤人员暂缓返工，如不听从，抵粤后由单位在集中隔离场所或属地镇街、居委会安排的集中隔离场所集中隔离医学观察14天。出现发热等不适症状的送当地指定医院排查治疗。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2.加强对非疫情高发地来粤人员的管理，抵粤14天内除上下班外不得外出，不得组织参与聚餐、聚会。出现发热等不适症状的送当地指定的医院排查治疗。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3.对本省新冠肺炎患者、密切接触者、疫情高发地来粤人员，认可其出院证明、解除隔离通知书。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（四）加强员工健康管理。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单位设立健康管理员，做好员工健康信息登记和管理工作，负责收集单位员工每日健康状况。要设立可疑症状报告电话，员工出现发热、呼吸道症状时，要及时向本单位如实报告；一旦发现有发热、咳嗽等症状的员工，在做好个人防护的前提下，就近送发热门诊排查治疗；将异常情况及时向当地疾控部门报告并采取相应的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（五）强化乘客防控措施。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1.做好健康教育。充分利用多种手段，深入开展宣传教育，强调防护要点，如口罩使用、注意手卫生等，可参照《公共交通工具新型冠状病毒感染的肺炎预防控制指引》《城市运行地铁轨道交通新型冠状病毒感染的肺炎预防控制指引》《火车站、高铁站、地铁站、汽车客运站、飞机场和港口码头新型冠状病毒感染的肺炎预防控制指引》《公众通用新型冠状病毒感染的肺炎预防控制指引》执行（详见附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2.开展日常健康监测。在车辆、地铁、火车、轮船和飞机入口处使用体温探测仪对乘客检测体温。发现乘客未佩戴口罩，建议其佩戴口罩或改乘其他交通工具；发现发热乘客，建议其就医。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3.设立应急区域。建议在公共交通工具上设立应急区域，如飞机、火车、客车等后部三排座位，当出现疑似或确诊病例时，可在该区域进行暂时隔离。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4.加强安全管理。公共交通工具或场所内要控制人流量。提供餐饮服务的（含单位食堂）要根据疫情分区分级防控要求进行管理。所在县（市、区）为高风险地区的暂停堂食，采用打包送餐到人的办法；所在县（市、区）为中风险地区按照《广东省餐饮服务业新冠肺炎防控工作指引》开展堂食服务，分批就餐，控制同时就餐人数，就餐饭桌和座位增加距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5.加强环境卫生清洁消毒。应保持公共交通工具或场所的环境整洁卫生，并加强公共用具、门把手、卫生间、公用电梯（扶梯）等卫生消毒工作。应指派专人进行清洁消毒工作的检查，并做好清洁消毒工作记录和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6.加强通风换气。非空调公共交通等候室、购票厅等及公共交通工具的窗户应尽量打开，保持室（车）内良好的通风状态。密闭的空调等候室及公共交通工具可调节新风装置，加大新风量和换气量或开启换气扇以增加空气流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7.管理维护重点设施设备。疫情期间要按照严格《新冠肺炎流行期间办公场所和公共场所空调通风系统运行管理指引》《新型冠状病毒肺炎疫情期间公共电梯（扶梯）清洁消毒工作指引》有关要求（详见附件），强化空调通风系统及电梯等重点设施设备管理维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（六）做好防控物资和人员应急运输优先保障。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各地交通运输主管部门要加强与卫生健康、工业和信息化等有关部门的对接，及时了解应急物资调拨、人员转运需要，做好应急运输优先通行保障。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i w:val="0"/>
          <w:caps w:val="0"/>
          <w:color w:val="424242"/>
          <w:spacing w:val="0"/>
          <w:sz w:val="32"/>
          <w:szCs w:val="32"/>
        </w:rPr>
        <w:t>五、出现疫情后防控措施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如出现感染病例，应按照政府部门要求及时有效的开展相关防控措施。当地卫生健康部门要按照《广东省卫生健康委关于印发广东省新冠肺炎疫情防控应急预案（试行）的通知》（粤卫明电〔2020〕6号）《公共交通新冠肺炎疫情应急预案》做好疫情处置工作。对病例乘坐过的交通工具（该交通工具达到终点或中间停车点后）要暂停使用，先清洁再消毒。有关乘车场所由疫情防控专家评估后采取相应管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附件：</w:t>
      </w:r>
      <w:r>
        <w:rPr>
          <w:rFonts w:hint="eastAsia" w:ascii="仿宋" w:hAnsi="仿宋" w:eastAsia="仿宋" w:cs="仿宋"/>
          <w:i w:val="0"/>
          <w:caps w:val="0"/>
          <w:color w:val="000000"/>
          <w:spacing w:val="0"/>
          <w:sz w:val="32"/>
          <w:szCs w:val="32"/>
          <w:u w:val="none"/>
        </w:rPr>
        <w:fldChar w:fldCharType="begin"/>
      </w:r>
      <w:r>
        <w:rPr>
          <w:rFonts w:hint="eastAsia" w:ascii="仿宋" w:hAnsi="仿宋" w:eastAsia="仿宋" w:cs="仿宋"/>
          <w:i w:val="0"/>
          <w:caps w:val="0"/>
          <w:color w:val="000000"/>
          <w:spacing w:val="0"/>
          <w:sz w:val="32"/>
          <w:szCs w:val="32"/>
          <w:u w:val="none"/>
        </w:rPr>
        <w:instrText xml:space="preserve"> HYPERLINK "http://wsjkw.gd.gov.cn/attachment/0/387/387180/2909187.docx" \t "http://wsjkw.gd.gov.cn/gkmlpt/content/2/2909/_blank" </w:instrText>
      </w:r>
      <w:r>
        <w:rPr>
          <w:rFonts w:hint="eastAsia" w:ascii="仿宋" w:hAnsi="仿宋" w:eastAsia="仿宋" w:cs="仿宋"/>
          <w:i w:val="0"/>
          <w:caps w:val="0"/>
          <w:color w:val="000000"/>
          <w:spacing w:val="0"/>
          <w:sz w:val="32"/>
          <w:szCs w:val="32"/>
          <w:u w:val="none"/>
        </w:rPr>
        <w:fldChar w:fldCharType="separate"/>
      </w:r>
      <w:r>
        <w:rPr>
          <w:rStyle w:val="27"/>
          <w:rFonts w:hint="eastAsia" w:ascii="仿宋" w:hAnsi="仿宋" w:eastAsia="仿宋" w:cs="仿宋"/>
          <w:i w:val="0"/>
          <w:caps w:val="0"/>
          <w:color w:val="000000"/>
          <w:spacing w:val="0"/>
          <w:sz w:val="32"/>
          <w:szCs w:val="32"/>
          <w:u w:val="none"/>
        </w:rPr>
        <w:t>1.公共交通新冠肺炎疫情应急预案</w:t>
      </w:r>
      <w:r>
        <w:rPr>
          <w:rFonts w:hint="eastAsia" w:ascii="仿宋" w:hAnsi="仿宋" w:eastAsia="仿宋" w:cs="仿宋"/>
          <w:i w:val="0"/>
          <w:caps w:val="0"/>
          <w:color w:val="000000"/>
          <w:spacing w:val="0"/>
          <w:sz w:val="32"/>
          <w:szCs w:val="32"/>
          <w:u w:val="none"/>
        </w:rPr>
        <w:fldChar w:fldCharType="end"/>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2.公共交通工具新型冠状病毒感染的肺炎预防控制指引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3.城市运行地铁轨道交通新型冠状病毒感染的肺炎预防控制指引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4.火车站、高铁站、地铁站、汽车客运站、飞机场和港口码头新型冠状病毒感染的肺炎预防控制指引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5.新冠肺炎流行期间办公场所和公共场所空调通风系统运行管理指引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6.广东省餐饮服务业新冠肺炎防控工作指引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7.公众通用新型冠状病毒感染的肺炎预防控制指引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8.个人防护新型冠状病毒感染的肺炎预防控制指引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9.预防新型冠状病毒感染的肺炎口罩使用指引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10.公共交通工具消毒操作技术指南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11.居家和公共场所卫生间预防新型冠状病毒感染的肺炎疫情卫生清洁消毒指引（第一版）</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12.新型冠状病毒肺炎疫情期间公共电梯（扶梯）清洁消毒工作指引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 w:hAnsi="仿宋" w:eastAsia="仿宋" w:cs="仿宋"/>
          <w:i w:val="0"/>
          <w:caps w:val="0"/>
          <w:color w:val="424242"/>
          <w:spacing w:val="0"/>
          <w:sz w:val="32"/>
          <w:szCs w:val="32"/>
        </w:rPr>
      </w:pPr>
    </w:p>
    <w:p>
      <w:pPr>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br w:type="page"/>
      </w:r>
    </w:p>
    <w:p>
      <w:pPr>
        <w:widowControl w:val="0"/>
        <w:wordWrap/>
        <w:autoSpaceDE w:val="0"/>
        <w:adjustRightInd/>
        <w:snapToGrid/>
        <w:spacing w:before="0" w:beforeAutospacing="0" w:after="0" w:afterAutospacing="0" w:line="560" w:lineRule="exact"/>
        <w:ind w:right="0"/>
        <w:jc w:val="both"/>
        <w:outlineLvl w:val="9"/>
        <w:rPr>
          <w:rFonts w:hint="eastAsia" w:ascii="仿宋" w:hAnsi="仿宋" w:eastAsia="仿宋" w:cs="仿宋"/>
          <w:kern w:val="2"/>
          <w:sz w:val="32"/>
          <w:szCs w:val="32"/>
        </w:rPr>
      </w:pPr>
      <w:r>
        <w:rPr>
          <w:rFonts w:hint="eastAsia" w:ascii="仿宋" w:hAnsi="仿宋" w:eastAsia="仿宋" w:cs="仿宋"/>
          <w:b w:val="0"/>
          <w:kern w:val="0"/>
          <w:sz w:val="32"/>
          <w:szCs w:val="32"/>
          <w:lang w:val="en-US" w:eastAsia="zh-CN"/>
        </w:rPr>
        <w:t>附件1</w:t>
      </w:r>
    </w:p>
    <w:p>
      <w:pPr>
        <w:widowControl w:val="0"/>
        <w:wordWrap/>
        <w:autoSpaceDE w:val="0"/>
        <w:adjustRightInd/>
        <w:snapToGrid/>
        <w:spacing w:before="0" w:beforeAutospacing="0" w:after="0" w:afterAutospacing="0" w:line="560" w:lineRule="exact"/>
        <w:ind w:left="0" w:leftChars="0" w:right="0" w:firstLine="640" w:firstLineChars="200"/>
        <w:jc w:val="both"/>
        <w:outlineLvl w:val="9"/>
        <w:rPr>
          <w:rFonts w:hint="eastAsia" w:ascii="仿宋" w:hAnsi="仿宋" w:eastAsia="仿宋" w:cs="仿宋"/>
          <w:kern w:val="2"/>
          <w:sz w:val="32"/>
          <w:szCs w:val="32"/>
        </w:rPr>
      </w:pPr>
      <w:r>
        <w:rPr>
          <w:rFonts w:hint="eastAsia" w:ascii="仿宋" w:hAnsi="仿宋" w:eastAsia="仿宋" w:cs="仿宋"/>
          <w:kern w:val="2"/>
          <w:sz w:val="32"/>
          <w:szCs w:val="32"/>
          <w:lang w:val="en-US" w:eastAsia="zh-CN"/>
        </w:rPr>
        <w:t xml:space="preserve"> </w:t>
      </w:r>
    </w:p>
    <w:p>
      <w:pPr>
        <w:widowControl w:val="0"/>
        <w:wordWrap/>
        <w:autoSpaceDE w:val="0"/>
        <w:adjustRightInd/>
        <w:snapToGrid/>
        <w:spacing w:before="0" w:beforeAutospacing="0" w:after="0" w:afterAutospacing="0" w:line="560" w:lineRule="exact"/>
        <w:ind w:left="0" w:leftChars="0" w:right="0" w:firstLine="0" w:firstLineChars="0"/>
        <w:jc w:val="center"/>
        <w:outlineLvl w:val="9"/>
        <w:rPr>
          <w:rFonts w:hint="eastAsia" w:ascii="宋体" w:hAnsi="宋体" w:eastAsia="宋体" w:cs="宋体"/>
          <w:b w:val="0"/>
          <w:kern w:val="2"/>
          <w:sz w:val="44"/>
          <w:szCs w:val="44"/>
        </w:rPr>
      </w:pPr>
      <w:bookmarkStart w:id="991" w:name="_Toc21146"/>
      <w:r>
        <w:rPr>
          <w:rFonts w:hint="eastAsia" w:ascii="宋体" w:hAnsi="宋体" w:eastAsia="宋体" w:cs="宋体"/>
          <w:b w:val="0"/>
          <w:kern w:val="2"/>
          <w:sz w:val="44"/>
          <w:szCs w:val="44"/>
        </w:rPr>
        <w:t>公共交通新冠肺炎疫情应急预案</w:t>
      </w:r>
      <w:bookmarkEnd w:id="991"/>
    </w:p>
    <w:p>
      <w:pPr>
        <w:pStyle w:val="18"/>
        <w:widowControl w:val="0"/>
        <w:wordWrap/>
        <w:autoSpaceDE w:val="0"/>
        <w:adjustRightInd/>
        <w:snapToGrid/>
        <w:spacing w:before="0" w:beforeAutospacing="0" w:after="0" w:afterAutospacing="0" w:line="560" w:lineRule="exact"/>
        <w:ind w:left="0" w:leftChars="0" w:right="0" w:firstLine="643" w:firstLineChars="200"/>
        <w:jc w:val="center"/>
        <w:outlineLvl w:val="9"/>
        <w:rPr>
          <w:rFonts w:hint="eastAsia" w:ascii="仿宋" w:hAnsi="仿宋" w:eastAsia="仿宋" w:cs="仿宋"/>
          <w:b/>
          <w:kern w:val="2"/>
          <w:sz w:val="32"/>
          <w:szCs w:val="32"/>
        </w:rPr>
      </w:pPr>
      <w:r>
        <w:rPr>
          <w:rFonts w:hint="eastAsia" w:ascii="仿宋" w:hAnsi="仿宋" w:eastAsia="仿宋" w:cs="仿宋"/>
          <w:b/>
          <w:kern w:val="2"/>
          <w:sz w:val="32"/>
          <w:szCs w:val="32"/>
          <w:lang w:val="en-US" w:eastAsia="zh-CN"/>
        </w:rPr>
        <w:t xml:space="preserve">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outlineLvl w:val="9"/>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一、成立防控应急领导小组，建立保障机制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各有关单位成立主要负责人任领导小组组长的新冠肺炎疫情应急领导小组，下设医疗保障、安全后勤保障、消毒组等职能小组，并明确职责分工。</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b/>
          <w:kern w:val="0"/>
          <w:sz w:val="32"/>
          <w:szCs w:val="32"/>
        </w:rPr>
      </w:pPr>
      <w:r>
        <w:rPr>
          <w:rFonts w:hint="eastAsia" w:ascii="仿宋" w:hAnsi="仿宋" w:eastAsia="仿宋" w:cs="仿宋"/>
          <w:kern w:val="0"/>
          <w:sz w:val="32"/>
          <w:szCs w:val="32"/>
          <w:lang w:val="en-US" w:eastAsia="zh-CN"/>
        </w:rPr>
        <w:t>二、实施应急措施</w:t>
      </w:r>
      <w:r>
        <w:rPr>
          <w:rFonts w:hint="eastAsia" w:ascii="仿宋" w:hAnsi="仿宋" w:eastAsia="仿宋" w:cs="仿宋"/>
          <w:b/>
          <w:kern w:val="0"/>
          <w:sz w:val="32"/>
          <w:szCs w:val="32"/>
          <w:lang w:val="en-US" w:eastAsia="zh-CN"/>
        </w:rPr>
        <w:t xml:space="preserve">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如出现确诊病例、疑似病例和无症状感染者时，应启动本预案。</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b w:val="0"/>
          <w:kern w:val="0"/>
          <w:sz w:val="32"/>
          <w:szCs w:val="32"/>
        </w:rPr>
      </w:pPr>
      <w:r>
        <w:rPr>
          <w:rFonts w:hint="eastAsia" w:ascii="仿宋" w:hAnsi="仿宋" w:eastAsia="仿宋" w:cs="仿宋"/>
          <w:b w:val="0"/>
          <w:kern w:val="0"/>
          <w:sz w:val="32"/>
          <w:szCs w:val="32"/>
          <w:lang w:val="en-US" w:eastAsia="zh-CN"/>
        </w:rPr>
        <w:t>（一）散发病例。</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1.发现可疑病例时，应立即引导病例到临时医学观察点或单独隔离观察间进行留观，联系乘车点所在社区（村居）的社区卫生服务中心（乡镇卫生院）等医疗机构初步排查后，送辖区定点医院诊治。</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2.配合疾控机构开展病例和密切接触者流行病学调查，对所有接触过病例或无症状感染者的人员进行调查。根据属地管理原则，按照最新版新冠肺炎防控方案或有关最新文件要求进行密切接触者集中隔离医学观察。隔离期间一旦出现发热、咳嗽等疑似新冠肺炎症状时要及时送定点医院排查、诊治。确诊后立即报告当地疾控机构。</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除密切接触者外，与病例曾接触过但不符合密切接触者判定原则的人员，判定为一般接触者。对一般接触者要做好登记，并进行健康风险告知，嘱其一旦出现发热、咳嗽等疑似新冠肺炎症状时要及时告知健康管理员，并主动告知近期活动史，做好体温检测，佩戴口罩。</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所有配合疾控机构开展流行病学调查的人员，应做好个人防护，佩戴医用外科口罩等。</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3.在疾控机构的指导下，按国家和省的消毒指引，做好病例所到过的候车间、购票厅、交通工具的清洁、随时消毒和终末消毒工作。</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做好其他区域的保洁和消毒防疫工作；加强人群聚集场所的通风换气和空调等公共设施及公共用具的消毒，每次公共交通工具从始发站出发前进行消毒，每日对候车间、购票厅等公共场所及垃圾桶/站进行消毒；各工作场所和餐饮区入口要配备含醇速干手消毒剂，厕所配备洗手液，指导和督促员工做好手卫生。</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4.按照卫生健康部门的建议，根据疫情防控需要，因地制宜采取病例乘坐公共交通工具暂停使用等措施，经过彻底消毒后可继续使用。</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5.做好安全后勤保障工作，确保应急工作顺利开展。保障需要应急处置的设施、设备和物资供应。做好餐饮、生活饮用水安全等生活保障。加强巡查管控，及时停止群体性聚集活动，及时处置安全突发事件。</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6.本单位医务人员要协助当地疾控机构开展流行病学调查、采样、密切接触者筛查等工作。继续做好职工的健康监测工作，配合卫生健康部门做好集中隔离医学观察人员的健康监测工作。每天保持与单位主要负责人、疾控机构进行信息沟通，及时上报最新情况。</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7.做好宣传和员工心理疏导工作。疫情期间要做好舆情监测、心理健康引导和健康教育等工作。通过各种渠道宣传新冠肺炎防控知识。根据确诊病例、疑似病例和密切接触人员等不同群体的实际情况，有针对性的开展心理支持和危机干预工作，稳定员工的情绪，避免过度恐慌。</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b w:val="0"/>
          <w:kern w:val="0"/>
          <w:sz w:val="32"/>
          <w:szCs w:val="32"/>
          <w:lang w:val="en-US" w:eastAsia="zh-CN"/>
        </w:rPr>
        <w:t>（二）1周内出现2例及以上聚集性病例。</w:t>
      </w:r>
      <w:r>
        <w:rPr>
          <w:rFonts w:hint="eastAsia" w:ascii="仿宋" w:hAnsi="仿宋" w:eastAsia="仿宋" w:cs="仿宋"/>
          <w:kern w:val="2"/>
          <w:sz w:val="32"/>
          <w:szCs w:val="32"/>
          <w:lang w:val="en-US" w:eastAsia="zh-CN"/>
        </w:rPr>
        <w:t>应立即报告当地疾控中心，按照政府部门要求及时有效的开展相关防控措施，做好疫情处置工作。对病例乘坐过的交通工具（该交通工具达到终点或中间停车点后）要暂停使用，进行终末消毒。有关乘车场所由疫情防控专家评估后采取相应管控措施。</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三、预案终止 </w:t>
      </w:r>
    </w:p>
    <w:p>
      <w:pPr>
        <w:widowControl w:val="0"/>
        <w:wordWrap/>
        <w:autoSpaceDE w:val="0"/>
        <w:adjustRightInd/>
        <w:snapToGrid/>
        <w:spacing w:before="0" w:beforeAutospacing="0" w:after="0" w:afterAutospacing="0" w:line="560" w:lineRule="exact"/>
        <w:ind w:left="0" w:leftChars="0" w:right="0" w:firstLine="640" w:firstLineChars="20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当病例已得到隔离治疗，密切接触者观察14天期满，后续无新发病例，环境得到有效消毒，经卫生健康部门评估，可由各单位疫情防控应急领导小组决定终止响应。</w:t>
      </w:r>
    </w:p>
    <w:p>
      <w:pPr>
        <w:widowControl w:val="0"/>
        <w:wordWrap/>
        <w:autoSpaceDE w:val="0"/>
        <w:adjustRightInd/>
        <w:snapToGrid/>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 </w:t>
      </w:r>
    </w:p>
    <w:p>
      <w:pPr>
        <w:widowControl w:val="0"/>
        <w:wordWrap/>
        <w:adjustRightInd/>
        <w:snapToGrid/>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附图：公共交通新冠肺炎疫情应急响应流程图（略）</w:t>
      </w:r>
    </w:p>
    <w:p>
      <w:pPr>
        <w:widowControl w:val="0"/>
        <w:wordWrap/>
        <w:adjustRightInd/>
        <w:snapToGrid/>
        <w:spacing w:line="560" w:lineRule="exact"/>
        <w:ind w:right="0" w:firstLine="640" w:firstLineChars="200"/>
        <w:jc w:val="center"/>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rPr>
      </w:pPr>
    </w:p>
    <w:p>
      <w:pPr>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lang w:val="en-US" w:eastAsia="zh-CN"/>
        </w:rPr>
      </w:pPr>
      <w:r>
        <w:rPr>
          <w:rFonts w:hint="eastAsia" w:ascii="仿宋" w:hAnsi="仿宋" w:eastAsia="仿宋" w:cs="仿宋"/>
          <w:i w:val="0"/>
          <w:caps w:val="0"/>
          <w:color w:val="424242"/>
          <w:spacing w:val="0"/>
          <w:sz w:val="32"/>
          <w:szCs w:val="32"/>
          <w:lang w:val="en-US" w:eastAsia="zh-CN"/>
        </w:rPr>
        <w:t>附件2</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公共交通工具新型冠状病毒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一、预防控制措施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（一）非空调车的车窗应尽量打开，保持车内良好通风状态；密闭的空调车要开启换气扇及空调排风装置，以增加空气流通。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（二）保持车站、车厢内的卫生整洁，及时打扫卫生和清理垃圾。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（三）司机和乘务人员要戴一次性口罩（每4小时换一次），在上车入口提供一次性口罩。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（四）自觉有发热、咳嗽、乏力的人员建议不乘坐公共交通工具，普通乘客建议戴一次性口罩（每4小时换一次）。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（五）增加车站、车厢内清洁消毒频次，指派专人进行清洁消毒工作的督导检查，做好清洁消毒工作记录和标识。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六）司机等工作人员要实行健康监测，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（七）做好司乘人员工作与轮休安排，确保司乘人员得到足够休息。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（八）加强健康教育。设置新型冠状病毒感染的肺炎相关防控知识宣传栏。利用各种显示屏宣传新型冠状病毒和冬春季传染病防控。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二、日常清洁及预防性消毒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以清洁为主，预防性消毒为辅，应避免过度消毒，受到污染时随时进行清洁消毒。消毒方法如下：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（一）表面：可使用含氯消毒剂（有效氯浓度250 mg/L～500 mg/L）擦拭，作用30min，再用清水擦净。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（二）地面：可使用含氯消毒剂（有效氯浓度250 mg/L～500 mg/L）用拖布湿式拖拭，作用30min，再用清水洗净。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三、常见消毒剂及配制使用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（一）有效氯浓度500 mg/L的含氯消毒剂配制方法：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1.84消毒液（有效氯含量5%）：按消毒液：水为1:100比例稀释；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2.消毒粉（有效氯含量12-13%，20克/包）：1包消毒粉加4.8升水；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3.含氯泡腾片（有效氯含量480mg/片-580mg/片）：1片溶于1升水。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（二）75%乙醇消毒液：直接使用。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（三）其他消毒剂按产品标签标识以杀灭肠道致病菌的浓度进行配制和使用。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四、注意事项</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（一）含氯消毒剂有皮肤黏膜刺激性，配置和使用时建议佩戴口罩和手套，儿童请勿触碰。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（二）乙醇消毒液使用应远离火源。</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eastAsia" w:ascii="仿宋" w:hAnsi="仿宋" w:eastAsia="仿宋" w:cs="仿宋"/>
          <w:i w:val="0"/>
          <w:caps w:val="0"/>
          <w:color w:val="424242"/>
          <w:spacing w:val="0"/>
          <w:sz w:val="32"/>
          <w:szCs w:val="32"/>
          <w:lang w:val="en-US" w:eastAsia="zh-CN"/>
        </w:rPr>
        <w:t>附件3</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城市运行地铁轨道交通新型冠状病毒感染的肺炎预防控制指引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b w:val="0"/>
          <w:bCs w:val="0"/>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Style w:val="23"/>
          <w:rFonts w:hint="eastAsia" w:ascii="仿宋" w:hAnsi="仿宋" w:eastAsia="仿宋" w:cs="仿宋"/>
          <w:b w:val="0"/>
          <w:bCs w:val="0"/>
          <w:i w:val="0"/>
          <w:caps w:val="0"/>
          <w:color w:val="282828"/>
          <w:spacing w:val="0"/>
          <w:sz w:val="32"/>
          <w:szCs w:val="32"/>
          <w:shd w:val="clear" w:color="0A0000" w:fill="FFFFFF"/>
        </w:rPr>
        <w:t>　　一、从业人员健康防护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一）对全线工作人员，包括司乘、车辆和站场设备、线路运行维保人员、安保人员以及车站内服务店档从业人员都纳入员工健康监护管理。设立专人负责管理，全员要求每天主动报告发热等健康情况、可疑接触暴露情况和诊疗情况。</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（二）进入站场车辆上岗前接受发热健康监测，若出现发热、乏力、干咳及胸闷等症状，不要带病上班，应戴上口罩到就近的正规医院发热门诊就诊。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（三）合理安排员工工时，实行轮休确保人员得到足够休息。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（四）对从业人员进行防病健康宣传教育，提高防病意识。重点了解正确疫情资讯和本地防控指引，提高警觉消除恐慌，注意个人卫生、家居和工作场所卫生，不前往人群密集、通风不良的公共场所。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（五）劝吁员工留在本地度假，不前往湖北等已公布出现疫情地区，动员员工劝告在疫情流行地区亲友当地疫情流行期间不要来广东探访聚会活动。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Style w:val="23"/>
          <w:rFonts w:hint="eastAsia" w:ascii="仿宋" w:hAnsi="仿宋" w:eastAsia="仿宋" w:cs="仿宋"/>
          <w:b w:val="0"/>
          <w:bCs w:val="0"/>
          <w:i w:val="0"/>
          <w:caps w:val="0"/>
          <w:color w:val="282828"/>
          <w:spacing w:val="0"/>
          <w:sz w:val="32"/>
          <w:szCs w:val="32"/>
          <w:shd w:val="clear" w:color="0A0000" w:fill="FFFFFF"/>
        </w:rPr>
        <w:t>　　二、对乘客采取适当预防控制措施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（一）对进入车站范围的开展体温监测。优先在与航空、城际列车、火车站、客运港口等换乘客运枢纽重点车站装置体温筛查设备，对入站场旅客和员工进行体温监测筛查，逐步推广在全线开展筛查。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二）工作人员在安检筛查、发现入站监测、站台或列车内等巡查发现发热乘客，立即指导该乘客正确佩戴医用外科口罩，然后引导其至相对独立区域询问旅客旅行和诊疗病史,一旦有14天内有湖北武汉等地的旅行或途经经历或乘客家庭内有一个或以上的肺炎病例，则立即拨打120通知相关医院派车接诊，由工作人员在该程序填写相关资料并指引乘客及时前往医疗机构进行诊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（三）宣传教育。利用地铁站广告牌、地铁电视等媒体应投放新型冠状病毒肺炎防控知识资讯，对乘客进行健康宣传教育。</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w:t>
      </w:r>
      <w:r>
        <w:rPr>
          <w:rStyle w:val="23"/>
          <w:rFonts w:hint="eastAsia" w:ascii="仿宋" w:hAnsi="仿宋" w:eastAsia="仿宋" w:cs="仿宋"/>
          <w:b w:val="0"/>
          <w:bCs w:val="0"/>
          <w:i w:val="0"/>
          <w:caps w:val="0"/>
          <w:color w:val="282828"/>
          <w:spacing w:val="0"/>
          <w:sz w:val="32"/>
          <w:szCs w:val="32"/>
          <w:shd w:val="clear" w:color="0A0000" w:fill="FFFFFF"/>
        </w:rPr>
        <w:t>　三、地铁站场、车辆、设施环境卫生与保洁消毒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一）加强地铁站场、列车及设施的环境卫生保洁消毒。重点针对车厢、候车厅月台、商业街铺、坐椅、售票厅、洗手间、自动扶梯扶手、电梯按钮、自助设施、垃圾桶等公共区域部位，加大每天巡查清扫消毒力度和频率，整治卫生死角，进行鼠害监测和灭鼠。及时清理垃圾，保持环境卫生清洁。洗手间要配备足够的洗手设备、洗手液，保证水龙头等供水设施正常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（二）定期开展空气和物体表面消毒。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以清洁为主，预防性消毒为辅，应避免过度消毒，受到污染时随时进行清洁消毒。消毒方法如下：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1.可用高效消毒剂和方法，包括含 0.5%过氧乙酸或 3%过氧化氢或500mg/L二氧化氯，按 20ml/m3的量进行空气喷雾消毒。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2.扶手、门把手、座椅等人体常接触的物体表面：可使用含氯消毒剂（有效氯浓度250 mg/L～500 mg/L）擦拭，作用30min，再用清水擦净。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3.地面：可使用含氯消毒剂（有效氯浓度250 mg/L～500 mg/L）用拖布湿式拖拭，作用30min，再用清水洗净。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w:t>
      </w:r>
      <w:r>
        <w:rPr>
          <w:rStyle w:val="23"/>
          <w:rFonts w:hint="eastAsia" w:ascii="仿宋" w:hAnsi="仿宋" w:eastAsia="仿宋" w:cs="仿宋"/>
          <w:b w:val="0"/>
          <w:bCs w:val="0"/>
          <w:i w:val="0"/>
          <w:caps w:val="0"/>
          <w:color w:val="282828"/>
          <w:spacing w:val="0"/>
          <w:sz w:val="32"/>
          <w:szCs w:val="32"/>
          <w:shd w:val="clear" w:color="0A0000" w:fill="FFFFFF"/>
        </w:rPr>
        <w:t>　四、加强地铁站场和列车、区间隧道的通风换气</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（一）首选自然通风，确保排气扇运转正常，保持室内空气流通。无法采用自然通风的，必须采用机械通风。</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（二）机械通风（集中空调通风系统）。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1.加强集中空调通风系统的维护，确保所有通风设备保持正常运转，每周对运行的开放式冷却塔、过滤网、过滤器、净化器、风口、空气处 理机组、表冷器、加热（湿）器、冷凝水盘等设备和部件进行清洗、消毒或更换。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2.采用全新风运行方式，关闭回风管。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3.无法全新风运行的，应有空气净化消毒装置，特别是空调通风系统风机房、回风口可采用加装紫外线灯等消毒方式进行空气消毒，并保证有效运行。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4.每日各站点投入运营前和停止运营后 30～60 分钟，集中空调通风系统应保持运行。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5.所有排风均需直接排到室外。</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widowControl w:val="0"/>
        <w:wordWrap/>
        <w:adjustRightInd/>
        <w:snapToGrid/>
        <w:spacing w:line="240" w:lineRule="auto"/>
        <w:textAlignment w:val="auto"/>
        <w:rPr>
          <w:rFonts w:hint="eastAsia" w:ascii="仿宋" w:hAnsi="仿宋" w:eastAsia="仿宋" w:cs="仿宋"/>
          <w:i w:val="0"/>
          <w:caps w:val="0"/>
          <w:color w:val="000000"/>
          <w:spacing w:val="0"/>
          <w:sz w:val="32"/>
          <w:szCs w:val="32"/>
          <w:lang w:val="en-US" w:eastAsia="zh-CN"/>
        </w:rPr>
      </w:pPr>
      <w:r>
        <w:rPr>
          <w:rFonts w:hint="eastAsia" w:ascii="仿宋" w:hAnsi="仿宋" w:eastAsia="仿宋" w:cs="仿宋"/>
          <w:i w:val="0"/>
          <w:caps w:val="0"/>
          <w:color w:val="000000"/>
          <w:spacing w:val="0"/>
          <w:sz w:val="32"/>
          <w:szCs w:val="32"/>
          <w:lang w:val="en-US" w:eastAsia="zh-CN"/>
        </w:rPr>
        <w:t>附件4</w:t>
      </w:r>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i w:val="0"/>
          <w:caps w:val="0"/>
          <w:color w:val="000000"/>
          <w:spacing w:val="0"/>
          <w:sz w:val="44"/>
          <w:szCs w:val="44"/>
          <w:lang w:val="en-US" w:eastAsia="zh-CN"/>
        </w:rPr>
      </w:pPr>
      <w:r>
        <w:rPr>
          <w:rFonts w:hint="eastAsia" w:ascii="宋体" w:hAnsi="宋体" w:eastAsia="宋体" w:cs="宋体"/>
          <w:i w:val="0"/>
          <w:caps w:val="0"/>
          <w:color w:val="000000"/>
          <w:spacing w:val="0"/>
          <w:sz w:val="44"/>
          <w:szCs w:val="44"/>
          <w:lang w:val="en-US" w:eastAsia="zh-CN"/>
        </w:rPr>
        <w:t>火车站、高铁站、地铁站、汽车客运站、飞机场和港口码头新型冠状病毒感染的肺炎预防控制指引</w:t>
      </w:r>
    </w:p>
    <w:p>
      <w:pPr>
        <w:widowControl w:val="0"/>
        <w:wordWrap/>
        <w:adjustRightInd/>
        <w:snapToGrid/>
        <w:spacing w:line="560" w:lineRule="exact"/>
        <w:textAlignment w:val="auto"/>
        <w:rPr>
          <w:rFonts w:hint="eastAsia" w:ascii="仿宋" w:hAnsi="仿宋" w:eastAsia="仿宋" w:cs="仿宋"/>
          <w:b w:val="0"/>
          <w:bCs w:val="0"/>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Fonts w:hint="eastAsia" w:ascii="仿宋" w:hAnsi="仿宋" w:eastAsia="仿宋" w:cs="仿宋"/>
          <w:b w:val="0"/>
          <w:bCs w:val="0"/>
          <w:i w:val="0"/>
          <w:caps w:val="0"/>
          <w:color w:val="424242"/>
          <w:spacing w:val="0"/>
          <w:sz w:val="32"/>
          <w:szCs w:val="32"/>
          <w:shd w:val="clear" w:color="090000" w:fill="FFFFFF"/>
          <w:lang w:val="en-US" w:eastAsia="zh-CN"/>
        </w:rPr>
        <w:t xml:space="preserve">  </w:t>
      </w:r>
      <w:r>
        <w:rPr>
          <w:rFonts w:hint="eastAsia" w:ascii="仿宋" w:hAnsi="仿宋" w:eastAsia="仿宋" w:cs="仿宋"/>
          <w:b w:val="0"/>
          <w:bCs w:val="0"/>
          <w:i w:val="0"/>
          <w:caps w:val="0"/>
          <w:color w:val="424242"/>
          <w:spacing w:val="0"/>
          <w:sz w:val="32"/>
          <w:szCs w:val="32"/>
          <w:shd w:val="clear" w:color="090000" w:fill="FFFFFF"/>
        </w:rPr>
        <w:t>为做好新型冠状病毒感染的肺炎疫情防控工作，最大程度减少新型冠状病毒对公众健康造成的危害，防止疫情通过火车站（含高铁站）、地铁站、汽车客运站、飞机场和港口码头“三站一场一港口”）传播，保障广大人民群众身体健康和生命安全，维护正常的运输生产秩序，特制订本消毒指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一、通风换气，保持空气流通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非空调公共交通等候室、购票厅等及公共交通工具的窗户应尽量打开，保持室（车）内良好的通风状态。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密闭的空调等候室及公共交通工具可调节新风装置，加大新风量和换气量或开启换气扇以增加空气流通。对初效滤网应每周清洁消毒一次，可浸泡于有效氯含量为250mg/L～500mg/L的消毒液中30min后，用清水冲净晾干后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二、清理清洁，保持卫生整洁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公共交通等候室、购票厅等公共交通服务场所及公共交通工具车厢内应保持卫生整洁，及时打扫卫生和清理垃圾。</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　三、加强设施设备配置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（一）在入口处使用快速红外体温探测仪对进入人员检测体温。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（二）进出口处和洗手间要配备足够的洗手液，洗手间保证水龙头等供水设施正常工作。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（三）在门口提供一次性口罩，供进入人员使用。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四、加强宣传教育</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设置新型冠状病毒感染的肺炎相关防控知识宣传栏。利用各种显示屏宣传新型冠状病毒和冬春季传染病防控。</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　五、公共场所工作人员要实行健康监测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建立工作人员体温监测登记本，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六、规范作业，重点部位擦拭消毒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对等候室和公共交通工具的高频接触部位，例如门把手、座椅扶手、电梯开关、电梯扶手、方向盘、地铁车厢内扶杆、掉环拉手等重点部位，应严格按以下消毒作业方法进行消毒。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　七、增加频次，专人督导检查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新型冠状病毒感染的肺炎疫情时期需增加等候室、临时隔离室和车厢内清洁消毒频次（至少每天一次），指派专人进行清洁消毒工作的检查，并做好清洁消毒工作记录和标识。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　八、消毒作业方法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（一）日常消毒。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由保洁人员进行，使用含氯消毒剂（有效氯浓度500 mg/L）擦拭重点部位，每天1次。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（二）随时消毒。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公共交通工具在运营途中发现新型冠状病毒感染的肺炎疑似病例时，跟班工作人员在疾控部门指导下实施。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1.消毒人员应做好个人卫生防护，消毒完成后及时消毒双手。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2.根据疾控部门的指导确定消毒范围，对疑似病例的生活用品（包括餐具、洗漱用品、痰罐等）、排泄物、呕吐物（含口鼻分泌物、脓液、痂皮等）等，用应急呕吐包覆盖包裹，或用干毛巾覆盖后喷洒10000mg/L含氯消毒剂至湿润；对疑似病例座位及其前后三排座位用有效氯1000mg/L-2000mg/L含氯消毒剂进行喷雾处理或2-3遍的擦拭消毒。具体方法由疾控中心对相关人员进行培训。</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3.卫生间消毒：可使用含氯消毒剂（有效氯浓度2000mg/L）喷雾（洒）消毒。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4.填写并保存随时消毒处理记录（附表）。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（三）终末消毒。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该交通工具到达终点后，疾控部门按照《疫源地消毒总则》（GB 19193-2015）要求，在交通工具维护维修点或站台对病人曾就座的厢体实施终末消毒。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val="0"/>
          <w:i w:val="0"/>
          <w:caps w:val="0"/>
          <w:color w:val="424242"/>
          <w:spacing w:val="0"/>
          <w:sz w:val="32"/>
          <w:szCs w:val="32"/>
          <w:lang w:eastAsia="zh-CN"/>
        </w:rPr>
      </w:pPr>
      <w:r>
        <w:rPr>
          <w:rFonts w:hint="eastAsia" w:ascii="仿宋" w:hAnsi="仿宋" w:eastAsia="仿宋" w:cs="仿宋"/>
          <w:b w:val="0"/>
          <w:bCs w:val="0"/>
          <w:i w:val="0"/>
          <w:caps w:val="0"/>
          <w:color w:val="424242"/>
          <w:spacing w:val="0"/>
          <w:sz w:val="32"/>
          <w:szCs w:val="32"/>
          <w:shd w:val="clear" w:color="090000" w:fill="FFFFFF"/>
        </w:rPr>
        <w:t>　　附表：《随时（应急）消毒工作记录》</w:t>
      </w:r>
      <w:r>
        <w:rPr>
          <w:rFonts w:hint="eastAsia" w:ascii="仿宋" w:hAnsi="仿宋" w:eastAsia="仿宋" w:cs="仿宋"/>
          <w:b w:val="0"/>
          <w:bCs w:val="0"/>
          <w:i w:val="0"/>
          <w:caps w:val="0"/>
          <w:color w:val="424242"/>
          <w:spacing w:val="0"/>
          <w:sz w:val="32"/>
          <w:szCs w:val="32"/>
          <w:shd w:val="clear" w:color="090000" w:fill="FFFFFF"/>
          <w:lang w:eastAsia="zh-CN"/>
        </w:rPr>
        <w:t>（</w:t>
      </w:r>
      <w:r>
        <w:rPr>
          <w:rFonts w:hint="eastAsia" w:ascii="仿宋" w:hAnsi="仿宋" w:eastAsia="仿宋" w:cs="仿宋"/>
          <w:b w:val="0"/>
          <w:bCs w:val="0"/>
          <w:i w:val="0"/>
          <w:caps w:val="0"/>
          <w:color w:val="424242"/>
          <w:spacing w:val="0"/>
          <w:sz w:val="32"/>
          <w:szCs w:val="32"/>
          <w:shd w:val="clear" w:color="090000" w:fill="FFFFFF"/>
          <w:lang w:val="en-US" w:eastAsia="zh-CN"/>
        </w:rPr>
        <w:t>略</w:t>
      </w:r>
      <w:r>
        <w:rPr>
          <w:rFonts w:hint="eastAsia" w:ascii="仿宋" w:hAnsi="仿宋" w:eastAsia="仿宋" w:cs="仿宋"/>
          <w:b w:val="0"/>
          <w:bCs w:val="0"/>
          <w:i w:val="0"/>
          <w:caps w:val="0"/>
          <w:color w:val="424242"/>
          <w:spacing w:val="0"/>
          <w:sz w:val="32"/>
          <w:szCs w:val="32"/>
          <w:shd w:val="clear" w:color="090000" w:fill="FFFFFF"/>
          <w:lang w:eastAsia="zh-CN"/>
        </w:rPr>
        <w:t>）</w:t>
      </w:r>
    </w:p>
    <w:p>
      <w:pPr>
        <w:rPr>
          <w:rFonts w:hint="default" w:ascii="仿宋" w:hAnsi="仿宋" w:eastAsia="仿宋" w:cs="仿宋"/>
          <w:i w:val="0"/>
          <w:caps w:val="0"/>
          <w:color w:val="000000"/>
          <w:spacing w:val="0"/>
          <w:sz w:val="32"/>
          <w:szCs w:val="32"/>
          <w:lang w:val="en-US" w:eastAsia="zh-CN"/>
        </w:rPr>
      </w:pPr>
      <w:r>
        <w:rPr>
          <w:rFonts w:hint="default" w:ascii="仿宋" w:hAnsi="仿宋" w:eastAsia="仿宋" w:cs="仿宋"/>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lang w:val="en-US" w:eastAsia="zh-CN"/>
        </w:rPr>
      </w:pPr>
      <w:r>
        <w:rPr>
          <w:rFonts w:hint="eastAsia" w:ascii="仿宋" w:hAnsi="仿宋" w:eastAsia="仿宋" w:cs="仿宋"/>
          <w:i w:val="0"/>
          <w:caps w:val="0"/>
          <w:color w:val="000000"/>
          <w:spacing w:val="0"/>
          <w:sz w:val="32"/>
          <w:szCs w:val="32"/>
          <w:lang w:val="en-US" w:eastAsia="zh-CN"/>
        </w:rPr>
        <w:t>附件5</w:t>
      </w:r>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i w:val="0"/>
          <w:caps w:val="0"/>
          <w:color w:val="000000"/>
          <w:spacing w:val="0"/>
          <w:sz w:val="44"/>
          <w:szCs w:val="44"/>
          <w:lang w:val="en-US" w:eastAsia="zh-CN"/>
        </w:rPr>
      </w:pPr>
      <w:r>
        <w:rPr>
          <w:rFonts w:hint="eastAsia" w:ascii="宋体" w:hAnsi="宋体" w:eastAsia="宋体" w:cs="宋体"/>
          <w:i w:val="0"/>
          <w:caps w:val="0"/>
          <w:color w:val="000000"/>
          <w:spacing w:val="0"/>
          <w:sz w:val="44"/>
          <w:szCs w:val="44"/>
          <w:lang w:val="en-US" w:eastAsia="zh-CN"/>
        </w:rPr>
        <w:t>新冠肺炎流行期间办公场所和公共场所</w:t>
      </w:r>
    </w:p>
    <w:p>
      <w:pPr>
        <w:widowControl w:val="0"/>
        <w:wordWrap/>
        <w:adjustRightInd/>
        <w:snapToGrid/>
        <w:spacing w:line="560" w:lineRule="exact"/>
        <w:jc w:val="center"/>
        <w:textAlignment w:val="auto"/>
        <w:rPr>
          <w:rFonts w:hint="eastAsia" w:ascii="宋体" w:hAnsi="宋体" w:eastAsia="宋体" w:cs="宋体"/>
          <w:i w:val="0"/>
          <w:caps w:val="0"/>
          <w:color w:val="000000"/>
          <w:spacing w:val="0"/>
          <w:sz w:val="44"/>
          <w:szCs w:val="44"/>
          <w:lang w:val="en-US" w:eastAsia="zh-CN"/>
        </w:rPr>
      </w:pPr>
      <w:r>
        <w:rPr>
          <w:rFonts w:hint="eastAsia" w:ascii="宋体" w:hAnsi="宋体" w:eastAsia="宋体" w:cs="宋体"/>
          <w:i w:val="0"/>
          <w:caps w:val="0"/>
          <w:color w:val="000000"/>
          <w:spacing w:val="0"/>
          <w:sz w:val="44"/>
          <w:szCs w:val="44"/>
          <w:lang w:val="en-US" w:eastAsia="zh-CN"/>
        </w:rPr>
        <w:t>空调通风系统运行管理指引</w:t>
      </w:r>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sz w:val="32"/>
          <w:szCs w:val="32"/>
        </w:rPr>
        <w:t>　　一、适用范围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为保证新冠肺炎流行期间，办公场所和公共场所空调通风系统的安全合理使用，防止因空调通风系统开启而导致新冠肺炎疫情的传播和蔓延，最大限度地保护使用者，特制定本指引。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本指引适用于采用全空气空调系统、风机盘管加新风系统或无新风的风机盘管系统的办公场所和公共场所。本指引规定的办公场所是指根据人民社会活动的需要，由人工建造的具有服务功能和一定维护结构的建筑设施，公共场所是指《公共场所卫生管理条例》规定的7大类28种场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sz w:val="32"/>
          <w:szCs w:val="32"/>
        </w:rPr>
        <w:t>　　二、使用原则</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（一）情况许可应优先打开窗户采用自然通风。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（二）需要继续使用集中空调通风系统必须满足运行和管理要求，并应定时对集中空调通风系统进行检查、换气、清洗和消毒。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sz w:val="32"/>
          <w:szCs w:val="32"/>
        </w:rPr>
        <w:t>　　三、运行要求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（一）当空调通风系统为全空气系统时，应当关闭回风阀，采用全新风方式运行。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（二）当空调通风系统为风机盘管加新风系统时，应当满足下列条件：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1.应当确保新风直接取自室外，禁止从机房、楼道和天棚吊顶内取风；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2.保证排风系统正常运行；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3.对于大进深房间，应当采取措施保证内部区域的通风换气；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4.各房间加强通风；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5.新风系统宜全天运行。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（三）当空调通风系统为无新风的风机盘管系统（类似于家庭分体式空调）时，应当开门或开窗，加强空气流通。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sz w:val="32"/>
          <w:szCs w:val="32"/>
        </w:rPr>
        <w:t>　　四、管理要求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（一）新风采气口及其周围环境必须清洁，确保新风不被污染。</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二）对于人员流动较大的商场、写字楼等场所，不论空调系统使用运行与否，均应当保证室内全面通风换气；并且，每天下班后，新风与排风系统应当继续运行1小时，进行全面通风换气，以保证室内空气清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（三）人员密集的场所应当通过开门或开窗的方式增加通风量。同时工作人员应当佩戴口罩、勤洗手，做好个人防护和个人健康监测。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（四）建议关闭空调通风系统的加湿功能。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（五）加强对风机盘管的凝结水盘、冷却水的清洁消毒。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（六）下水管道、空气处理装置水封、卫生间地漏以及空调机组凝结水排水管等的U型管应当定时检查，缺水时及时补水，避免不同楼层间空气掺混。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（七）当场所出现下列情况时应当停止使用空调通风系统：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1.发现新冠肺炎疑似病例、确诊病例；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2.集中空调通风系统的类型、供风范围等情况不清楚。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（八）空调通风系统的清洗消毒应当符合下列要求：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1.当发现疑似病例、确诊病例时，在疾病预防控制中心的指导下，对空调通风系统进行消毒和清洗处理，经卫生学评价合格后方可重新启用。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2.在疫情流行期间，应每周对运行的集中空调通风系统的过滤器、风口、空气处理机组、表冷器、加热（湿）器、冷凝水盘等设备或部件进行清洗、消毒或更换。</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3.空调通风系统的常规清洗消毒应当符合《公共场所集中空调通风系统清洗消毒规范》（WS/T 396-2012）的要求。可使用250mg/L～500mg/L含氯（溴）或二氧化氯消毒液，进行喷洒、浸泡或擦拭，作用10min～30min。对需要消毒的金属部件建议优先选择季铵盐类消毒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4.已装有空气净化消毒装置（去除颗粒物、气态污染物和微生物）的集中空调通风系统，运行中应严格遵循产品使用说明操作，保障运行效果符合国家卫生标准要求。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b w:val="0"/>
          <w:bCs/>
          <w:sz w:val="32"/>
          <w:szCs w:val="32"/>
        </w:rPr>
      </w:pP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附件6</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广东省餐饮服务业新冠肺炎防控工作指引</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一、总则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（一）本指引是在新冠肺炎疫情期间，用于指导餐饮经营单位在疫情期间逐步恢复堂食服务，加强人员管理、经营管理等各项防控措施，保障餐饮服务业复工复产员工安全及公众用餐安全。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（二）本指引适用于提供堂食服务的餐饮经营单位。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（三）本指引由省疫情防控指挥部办公室疫情防控组发布。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二、制定依据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广东省新型冠状病毒肺炎疫情防控指挥部办公室关于印发广东省应对新型冠状病毒肺炎疫情分区分级防控工作指引（试行）的通知》（粤防疫指办明电〔2020〕33号）《餐饮服务业新型冠状病毒感染的肺炎预防控制指引》《食品经营许可管理办法》《餐饮服务食品安全操作规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三、基本要求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严格遵循《广东省新型冠状病毒肺炎疫情防控指挥部办公室关于印发广东省应对新型冠状病毒肺炎疫情分区分级防控工作指引（试行）的通知》（粤防疫指办明电〔2020〕33号）关于分区分级防控工作要求，对于分级为Ⅲ级防控区的县（市、区），餐饮经营单位限制堂食服务，对于分级为Ⅳ级防控区的县（市、区），餐饮经营单位可以开放堂食服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（二）餐饮企业需具有合法经营资格。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（三）餐饮企业需落实疫情防控主体责任，要成立疫情防控工作小组，有专门机构和人员负责制定疫情防控期间企业经营防护方案和实际执行措施，并做好信息采集工作。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（四）餐饮企业需具有防护物资储备能力，在开工和复工前，需要准备充足的防护物资（至少储备普通级别防护口罩、医用酒精/消毒水、体温计等），保障工作人员日常工作防护需求。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（五）停业后首次恢复堂食的餐饮单位需全面对营业场所、设备设施、餐用具等进行一次彻底的清洗消毒。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四、从业人员管理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严格按照《机关、企业及工厂节后复工防控新型冠状病毒肺炎工作指引》（粤卫疾控函〔2020〕14号），《餐饮服务食品安全操作规范》要求以及国家卫生健康委员会《新型冠状病毒感染的肺炎防控方案》《新型冠状病毒感染的肺炎公众防护指南》等防控要求，建立健全防控制度，压实防控责任，严格管理从业人员，杜绝从业人员带病上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各餐饮经营单位对员工的健康管理负主体责任，员工要如实告知旅居史。餐饮经营单位要设立健康管理员，负责收集单位员工健康状况，按要求向有关部门报告员工健康状况。主动配合相关部门做好返粤员工健康信息登记和管理工作，对疫情高发地来粤工作人员必须进行14天隔离观察后才能上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（三）每日对从业人员进行晨检和体温监测，体温超过37.3℃或出现有发热、乏力、干咳及胸闷等症状的员工不得上岗。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强化企业内部员工卫生防疫知识宣传教育，提高工作人员的自我卫生管理能力。要配备完好的洗手设施及快速手消毒剂、皂液等卫生用品，从业人员制备餐食前、加工生食或熟食之后、餐前便后、接触垃圾后，要用流动水和皂液采用六步洗手法洗手，手部揉搓时间不少于15秒。从业人员应配戴口罩上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（五）若单位出现新冠肺炎疑似或确诊病例，应配合疾控机构做好密切接触者的追踪与管理，并做好终末消毒。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五、用餐人员管理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用餐人员进入餐饮经营单位前必须测量体温，体温超过37.3℃或出现有发热、干咳、打喷嚏等症状的，一律不允许进入餐饮场所，一旦发现应立即登记造册并及时向当地社区卫生中心报告，并提醒其及时就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（二）在疫情防控解除前，餐饮服务企业禁止接待大规模聚餐活动，应通过采取减少桌椅摆放、隔桌安排就餐，快餐店一人一桌用餐等措施，以加大就餐者之间的距离。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（三）有条件的餐饮经营单位要制定用餐人员可追溯制度，每桌登记至少一名就餐客人的姓名和联系方式。</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六、场所清洁消毒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（一）食品加工制作要符合《餐饮服务食品安全操作规范》，确保餐具严格清洗消毒后使用，餐具的清洗消毒参照《推荐的餐具清洗消毒方法》。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（二）每天对就餐场地、保洁设施、人员通道、电梯间等场所设施进行消毒保洁。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加强餐厅内部洗手间消毒工作，日常运营期间每2小时要对洗手间内所有便器洁具、各类扶手和把手、触摸式冲水按钮、洗手台和水龙头等重点部位进行消毒一次，做好相关消毒记录并每日公示消毒情况。洗手间内要备齐洗手液、手纸等便民服务用品，要确保洗手设备正常运行，同时保持良好通风，必要时可加装排气设备，强制排气。</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（四）保持食品加工场所和就餐场所的空气流通，定期对空气过滤装置进行清洁消毒。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七、原材料采购验收、加工管理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（一）坚决禁止购买、屠宰、储存、加工、烹饪野生动物等违法行为。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（二）不得采购、饲养和现场宰杀活禽畜动物。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（三）对每天送货原材料做好索证索票工作，提倡无接触收货。</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八、设备管理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（一）空调管理。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餐饮企业要严格按照《新冠肺炎流行期间办公场所和公共场所集中空调系统管理指引》要求，进行有关空调通风系统日常运营管理，要制定疫情期间通风系统和空调的检查、清洁、测试和维护计划，要根据空调使用要求和疫情应对，增加过滤器的清洁消毒和更换频次。同时尽量保持室内通风，定期开门、开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（二）电梯管理。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1.电梯在保证安全运行的同时，应增加消毒的频次。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2.应在电梯间张贴提示语，提醒在电梯间戴口罩并避免交谈。</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3.经营单位酌情限制乘坐电梯的人数，减少接触传染。</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（三）冷冻冷藏和保鲜设备管理。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1.对冷冻冷藏和保鲜设备进行全面维护保养和全面的清洁卫生。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2.食品原材料坚持覆盖保鲜膜或加盖再进行储存，防止交叉污染。</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九、供餐服务要求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（一）具有安全合规的食品加工场所，定时对食品加工场所进行卫生清理，并保证避免消毒液、酒精等直接接触餐具、食材和菜品。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（二）食品加工制作要符合《餐饮服务食品安全操作规范》规定。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（三）在用餐场所的显示屏显示或明显位置张贴公告和疫情防控知识海报，告知进店顾客需配合和注意的有关事项，如张贴禁止接待大规模聚餐活动的指示牌等。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（四）每桌客人就餐完毕离开后需对桌椅进行清洗消毒。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（五）给予每桌客人提供双筷位勺或公筷公勺餐具，防止交叉污染。</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240" w:lineRule="auto"/>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附件7</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公众通用新型冠状病毒感染的肺炎</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预防控制指引</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新型冠状病毒感染的肺炎是一种新发疾病，根据目前对该疾病的认识制定本指引，使用与疾病流行期间公众个人预防控制指导。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一、尽量减少外出活动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（一）避免区疾病正在流行的地区。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（二）建议春节期间减少走亲访友和聚餐，尽量再家休息。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（三）减少到人员密集的公共场所活动，尤其是空气流动性差的地方，尤其是空气流动性差的地方，例如公共浴池、温泉、影院、网吧、KTV、商场、车站、机场、码头、展览馆等。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　二、个人防护和手卫生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（一）外出佩戴口罩。外出前往公共场所、就医和乘坐公共交通工具时，佩戴医用外科口罩或N95口罩。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随时保持手卫生。减少接触公共场所的公共物品和部位；从公共场所返回、咳嗽手捂之后、饭前便后，用洗手液或香皂流水洗手，或者使用含酒精成分的免洗洗手液；不确定手是否清洁时，避免用手接触口鼻眼；打喷嚏或咳嗽时，用手肘衣服遮住口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　三、健康监测与就医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（一）主动做好个人与家庭成员的健康监测，自觉发热时要主动测量体温。家中有小孩的，要早晚摸小孩的额头，如有发热要为其测量体温。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若出现可疑症状，应主动戴上口罩及时就近就医。若出现新型冠状病毒感染可疑症状（包括发热、咳嗽、咽痛、胸闷、呼吸困难、轻度纳差、乏力、精神稍差、恶心呕吐、腹泻、头痛、心慌、结膜炎、轻度四肢或腰背部肌肉酸痛等），应根据病情，及时到医疗机构就诊。并尽量避免乘坐地铁、公共汽车等交通工具，避免前往人群密集的场所。就诊时应主动告诉医生自己的相关疾病流行地区的旅行居住史，以及发病后接触过什么人，配合医生开展相关调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四、保持良好卫生和健康习惯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（一）居室勤开窗，经常通风。</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（二）家庭成员不共用毛巾，保持家居、餐具清洁，勤晒衣被。</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（三）不随地吐痰，口鼻分泌物用纸巾包好，弃置于有盖垃圾箱内。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（四）注意营养，适度运动。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（五）不要接触、购买和食用野生动物（即野味）；尽量避免前往售卖活体动物（禽类、海产品、野生动物等）的市场。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（六）家庭备置体温计、医用外科口罩或N95口罩、家用消毒用品等物资。</w:t>
      </w:r>
    </w:p>
    <w:p>
      <w:pPr>
        <w:rPr>
          <w:rFonts w:hint="default" w:ascii="仿宋" w:hAnsi="仿宋" w:eastAsia="仿宋" w:cs="仿宋"/>
          <w:b w:val="0"/>
          <w:bCs/>
          <w:i w:val="0"/>
          <w:caps w:val="0"/>
          <w:color w:val="000000"/>
          <w:spacing w:val="0"/>
          <w:sz w:val="32"/>
          <w:szCs w:val="32"/>
          <w:lang w:val="en-US" w:eastAsia="zh-CN"/>
        </w:rPr>
      </w:pPr>
      <w:r>
        <w:rPr>
          <w:rFonts w:hint="default"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附件8</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个人防护新型冠状病毒感染的肺炎</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预防控制指引</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一、做好手卫生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（一）正确洗手是预防呼吸道感染的最有效措施之一。推荐使用肥皂或洗手液并用流动水洗手，用一次性纸巾或干净毛巾擦手。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勤洗手。在咳嗽或打喷嚏后、在制备食品之前、期间和之后、吃饭前、上厕所后、手脏时、在接触他人后、接触过动物之后、外出回来后等时候，注意做好手卫生。双手接触呼吸道分泌物后（如打喷嚏后）应立即洗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（三）保持良好的呼吸道卫生习惯。咳嗽或打喷嚏时，用纸巾、毛巾等遮住口鼻，咳嗽或打喷嚏后洗手，避免用手触摸眼睛、鼻或口。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（四）掌握六步洗手法：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第一步，双手手心相互搓洗（双手合十搓五下）。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第二步，双手交叉搓洗手指缝（手心对手背，双手交叉相叠，左右手交换各搓洗五下）。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第三步，手心对手心搓洗手指缝（手心相对十指交错，搓洗五下）。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第四步，指尖搓洗手心，左右手相同（指尖放于手心相互搓洗搓五下）。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第五步：一只手握住另一只手的拇指搓洗，左右手相同搓五下。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第六步：弯曲手指使关节在另一手掌心旋转揉搓，交换进行各搓五下。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（五）旅途在外没有清水，不方便洗手时，可以使用含酒精的免洗洗手液清洁双手。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二、正确佩戴口罩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（一）选择一次性医用口罩或N95医用防护口罩，连续佩戴4小时更换，污染或潮湿后立即更换；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（二）医用口罩的使用方法：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1.口罩颜色深的是正面，正面应该朝外，而且医用口罩上还有鼻夹金属条。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2.正对脸部的应该是医用口罩的反面，也就是颜色比较浅的一面，除此之外，要注意带有金属条的部分应该在口罩的上方，不要戴反了。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3.分清楚口罩的正面、反面、上端、下端后，先将手洗干净，确定口罩是否正确之后，将两端的绳子挂在耳朵上。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4.将口罩佩戴完毕后，需要用双手压紧鼻梁两侧的金属条，使口罩上端紧贴鼻梁，然后向下拉伸口罩，使口罩不留有褶皱，最好覆盖住鼻子和嘴巴。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孕妇佩戴防护口罩，应注意结合自身条件，选择舒适性比较好的产品；老年人及有心肺疾病慢性病患者佩戴后会造成不适感，甚至会加重原有病情，应寻求医生的专业指导；儿童处在生长发育阶段，其脸型小，选择儿童防护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三、加强废弃口罩处理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（一）设专桶收集废弃口罩。各街道、物管在各居民小区原有垃圾分类投放点以及机关企事业单位、公共场所和商圈等人员密集场所增设独立的专用垃圾收集容器。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加强投放监管和消毒。各街道、物管指导市民将废弃口罩投放到废弃口罩专用桶内，建议投放前使用医用酒精或含氯消毒水喷洒消毒，或单独用保鲜袋、塑料袋袋装密封后投放；对废弃口罩专用桶应使用含氯消毒剂进行喷洒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加强废弃口罩清运管理。各街道环卫人员、物管清洁人员将内衬的垃圾袋整体密封从废弃口罩专用桶中取出，密封打包放入其他垃圾桶中，并对垃圾桶内外及周边场地使用含氯消毒剂或酒精进行喷洒消毒后每天用水清洗一次；经消毒后密封打包的废弃口罩作为生活垃圾中的其他垃圾密闭运输至垃圾焚烧场焚烧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加强收集作业防护。落实好一线环卫工人、清洁工人健康防护工作。严格要求各环卫保洁单位、物管清洁公司加强对环卫工人的卫生防疫知识教育，为环卫工人、物管清洁工人配备医用口罩和手套等防护用具，并监督指导环卫工人、物管清洁工人务必佩戴口罩和手套作业。</w:t>
      </w:r>
    </w:p>
    <w:p>
      <w:pPr>
        <w:widowControl w:val="0"/>
        <w:wordWrap/>
        <w:adjustRightInd/>
        <w:snapToGrid/>
        <w:spacing w:line="240" w:lineRule="auto"/>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附件9</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预防新型冠状病毒感染的肺炎</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口罩使用指引</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口罩是预防呼吸道传染病的重要防线，可以降低新型冠状病毒感染风险。口罩不仅可以防止病人喷射飞沫，降低飞沫量和喷射速度，还可以阻挡含病毒的飞沫核，防止佩戴者吸入。根据目前对新型冠状病毒感染的肺炎的认识，就如何科学使用口罩制定本指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一、佩戴原则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基本原则是科学合理佩戴，规范使用，有效防护。具体如下：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（一）在非疫区空旷且通风场所不需要佩戴口罩，进入人员密集或密闭公共场所需要佩戴口罩。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（二）在疫情高发地区空旷且通风场所建议佩戴一次性使用医用口罩；进入人员密集或密闭公共场所佩戴医用外科口罩或颗粒物防护口罩。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（三）有疑似症状到医院就诊时，需佩戴不含呼气阀的颗粒物防护口罩或医用防护口罩。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（四）有呼吸道基础疾病患者需在医生指导下使用防护口罩。年龄极小的婴幼儿不能戴口罩，易引起窒息。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（五）棉纱口罩、海绵口罩和活性炭口罩对预防病毒感染无保护作用。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　二、推荐的口罩类型及使用对象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（一）一次性使用医用口罩：推荐公众在非人员密集的公共场所使用。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（二）医用外科口罩：防护效果优于一次性使用医用口罩，推荐疑似病例、公共交通司乘人员、出租车司机、环卫工人、公共场所服务人员等在岗期间佩戴。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KN95/N95及以上颗粒物防护口罩：防护效果优于医用外科口罩、一次性使用医用口罩，推荐现场调查、采样和检测人员使用，公众在人员高度密集场所或密闭公共场所也可佩戴。普通群众一般不用KN95/N95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（四）医用防护口罩：推荐发热门诊、隔离病房医护人员及确诊患者转移时佩戴。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　三、不同人群佩戴口罩的标准与注意事项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（一）儿童处在生长发育阶段，其脸型小，选择儿童防护口罩。建议儿童选用符合国家标准GB2626-2006 KN95，并标注儿童或青少年颗粒物防护口罩的产品。儿童使用口罩需注意以下事项：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1.儿童在佩戴前，需在家长帮助下，认真阅读并正确理解使用说明，以掌握正确使用呼吸防护用品的方法；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2.家长应随时关注儿童口罩佩戴情况，如儿童在佩戴口罩过程中感觉不适，应及时调整或停止使用；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3.因儿童脸型较小，与成人口罩边缘无法充分密合，不建议儿童佩戴具有密合性要求的成人口罩。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（二）孕妇佩戴防护口罩，应注意结合自身条件，选择舒适性比较好的产品；老年人及有心肺疾病慢性病患者佩戴后会造成不适感，甚至会加重原有病情，应寻求医生的专业指导。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四、使用后口罩处理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（一）健康人群佩戴过的口罩，没有新型冠状病毒传播的风险，一般在口罩变形、弄湿或弄脏导致防护性能降低时更换。健康人群使用后的口罩，按照生活垃圾分类的要求处理即可。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（二）疑似病例或确诊患者佩戴的口罩，不可随意丢弃，应视作医疗废弃物，严格按照医疗废弃物有关流程处理，不得进入流通市场。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（三）规范废弃口罩投放。</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1.在医疗机构时，将废弃口罩直接投入医疗废物垃圾袋中，作为医疗废物收集处置。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2.对于普通人日常使用口罩，按照生活垃圾分类的要求，可以直接丢入“其他垃圾”桶，严禁回收及分拣。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对于存在发热、咳嗽、咳痰、打喷嚏症状的人，或接触过此类人群的人，可将废弃口罩丢入垃圾袋，再使用5%的84消毒液按照1:99配比后，撒至口罩上进行处理。如无消毒液可使用密封袋或保鲜袋，将废弃口罩密封后丢入“其他垃圾”桶。</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4.对于疑似新型冠状病毒感染的肺炎患者及其护理人员，应在就诊或接受调查处置时，将使用过的口罩作为感染性医疗废物进行收集处置。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（四）规范废弃口罩收运处置。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加强收集管理。加强对生活垃圾投放点管理，及时对垃圾投放点和收集站进行消杀。各地根据自身实际情况或疫情防控需要，可在居民小区、机关企事业单位、公共场所和商圈等人员密集场所的原有垃圾分类投放点增设专门垃圾收集容器，用于收集废弃口罩。收集容器应内设塑料袋，避免废弃口罩投放时与容器直接接触。废弃口罩经过消杀后，按“其他垃圾”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及时清运消杀。各地要严格按照清洁运输的要求，对生活垃圾及时清运、日产日清。加强垃圾中转（压缩）站等管理，严格作业流程，强化标准化管理，定期开展清洗、消杀、除臭工作。加强垃圾运输车消杀，垃圾运输车必须密闭，在垃圾中转处理后要对垃圾运输车进行消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3.规范分类处置。医疗机构收集的废弃口罩按照医疗废物管理，由专业处理机构进行集中处置，严禁医疗废物混入生活垃圾收运系统。其他区域收集的废弃口罩按照其他垃圾进行无害化处理。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（五）暂停实施特定区域生活垃圾分类。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对各地指定的新型冠状病毒感染的肺炎定点收治机构或病区、集中隔离观察点、居家隔离观察点（户）产生的其它生活垃圾（除应纳入医疗废物管理范畴的垃圾外），暂停实施生活垃圾分类，由各地安排专车收运，直送生活垃圾处理厂（场）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（六）加强环卫等作业人员的健康防护。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各地要做好收集、转运、处理的环卫作业人员及生活垃圾焚烧厂现场工作人员自身防护措施，相关人员在作业时要佩戴口罩和手套等防护用具。要积极开展从业人员安全意识、防护用具和作业程序的专业培训，增强环卫工人自我保护意识，做好作业工具和场所的消毒灭菌工作，确保日常环卫作业健康安全。</w:t>
      </w: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rPr>
          <w:rFonts w:hint="default" w:ascii="仿宋" w:hAnsi="仿宋" w:eastAsia="仿宋" w:cs="仿宋"/>
          <w:b w:val="0"/>
          <w:bCs/>
          <w:i w:val="0"/>
          <w:caps w:val="0"/>
          <w:color w:val="000000"/>
          <w:spacing w:val="0"/>
          <w:sz w:val="32"/>
          <w:szCs w:val="32"/>
          <w:lang w:val="en-US" w:eastAsia="zh-CN"/>
        </w:rPr>
      </w:pPr>
      <w:r>
        <w:rPr>
          <w:rFonts w:hint="default"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附件10</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公共交通工具消毒操作技术指南</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一、范围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本指南适用于新型冠状病毒感染的肺炎流行期间，正常运行的飞机、火车、长短途客车、公交车、地铁、轮船等公共交通工具上的感染防控，包括工作人员和旅行人员在公共交通工具上采取的消毒等技术操作。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二、工作人员操作指南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新型冠状病毒感染的肺炎流行期间，公共交通工具工作人员需开展以下工作：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做好物体表面消毒。日常情况下，应保持公共交通工具上的环境整洁卫生，并采取预防性消毒措施；飞机、火车、地铁、公交车、轮船等公共交通工具运行结束后，对内部物体表面（如车身内壁、司机方向盘、车内扶手、桌椅等），采用含有效氯250mg/L~500mg/L的含氯消毒剂进行喷洒或擦拭，也可采用有效的消毒湿巾进行擦拭；座椅套等纺织物应保持清洁，并定期洗涤、消毒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当公共交通工具上出现人员呕吐时，应立即采用消毒剂（如含氯消毒剂）或消毒干巾对呕吐物进行覆盖消毒，清除呕吐物后，再使用新洁尔灭等消毒剂进行物体表面消毒处理。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当有疑似或确诊病例出现时，在专业人员指导下，有肉眼可见污染物时应先完全清除污染物再消毒；无肉眼可见污染物时可用1000mg/L的含氯消毒液或500mg/L的二氧化氯消毒剂擦拭或喷洒消毒。地面消毒先由外向内喷洒一次，喷药量为100ml/m</w:t>
      </w:r>
      <w:r>
        <w:rPr>
          <w:rFonts w:hint="eastAsia" w:ascii="仿宋" w:hAnsi="仿宋" w:eastAsia="仿宋" w:cs="仿宋"/>
          <w:b w:val="0"/>
          <w:bCs/>
          <w:i w:val="0"/>
          <w:caps w:val="0"/>
          <w:color w:val="282828"/>
          <w:spacing w:val="0"/>
          <w:sz w:val="32"/>
          <w:szCs w:val="32"/>
          <w:shd w:val="clear" w:color="090000" w:fill="FFFFFF"/>
          <w:vertAlign w:val="superscript"/>
        </w:rPr>
        <w:t>2</w:t>
      </w:r>
      <w:r>
        <w:rPr>
          <w:rFonts w:hint="eastAsia" w:ascii="仿宋" w:hAnsi="仿宋" w:eastAsia="仿宋" w:cs="仿宋"/>
          <w:b w:val="0"/>
          <w:bCs/>
          <w:i w:val="0"/>
          <w:caps w:val="0"/>
          <w:color w:val="282828"/>
          <w:spacing w:val="0"/>
          <w:sz w:val="32"/>
          <w:szCs w:val="32"/>
          <w:shd w:val="clear" w:color="090000" w:fill="FFFFFF"/>
        </w:rPr>
        <w:t>～300ml/m</w:t>
      </w:r>
      <w:r>
        <w:rPr>
          <w:rFonts w:hint="eastAsia" w:ascii="仿宋" w:hAnsi="仿宋" w:eastAsia="仿宋" w:cs="仿宋"/>
          <w:b w:val="0"/>
          <w:bCs/>
          <w:i w:val="0"/>
          <w:caps w:val="0"/>
          <w:color w:val="282828"/>
          <w:spacing w:val="0"/>
          <w:sz w:val="32"/>
          <w:szCs w:val="32"/>
          <w:shd w:val="clear" w:color="090000" w:fill="FFFFFF"/>
          <w:vertAlign w:val="superscript"/>
        </w:rPr>
        <w:t>2</w:t>
      </w:r>
      <w:r>
        <w:rPr>
          <w:rFonts w:hint="eastAsia" w:ascii="仿宋" w:hAnsi="仿宋" w:eastAsia="仿宋" w:cs="仿宋"/>
          <w:b w:val="0"/>
          <w:bCs/>
          <w:i w:val="0"/>
          <w:caps w:val="0"/>
          <w:color w:val="282828"/>
          <w:spacing w:val="0"/>
          <w:sz w:val="32"/>
          <w:szCs w:val="32"/>
          <w:shd w:val="clear" w:color="090000" w:fill="FFFFFF"/>
        </w:rPr>
        <w:t>，待室内消毒完毕后，再由内向外重复喷洒一次。消毒作用时间应不少于30min。</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加强通风换气。日常情况下，可采用自然通风或机械通风。飞机、高铁、地铁等相对密闭环境，建议适当增加空调换风功率提高换气次数，并注意定期清洁处理空调滤网；短途客车、公交车等有条件开窗的公共交通工具，有条件时可开窗低速行驶，也可在停驶期间开窗通风，保持空气流通。</w:t>
      </w:r>
      <w:r>
        <w:rPr>
          <w:rFonts w:hint="eastAsia" w:ascii="仿宋" w:hAnsi="仿宋" w:eastAsia="仿宋" w:cs="仿宋"/>
          <w:b w:val="0"/>
          <w:bCs/>
          <w:i w:val="0"/>
          <w:caps w:val="0"/>
          <w:color w:val="282828"/>
          <w:spacing w:val="0"/>
          <w:sz w:val="32"/>
          <w:szCs w:val="32"/>
          <w:shd w:val="clear" w:color="090000" w:fill="FFFFFF"/>
        </w:rPr>
        <w:br w:type="textWrapping"/>
      </w:r>
      <w:r>
        <w:rPr>
          <w:rFonts w:hint="eastAsia" w:ascii="仿宋" w:hAnsi="仿宋" w:eastAsia="仿宋" w:cs="仿宋"/>
          <w:b w:val="0"/>
          <w:bCs/>
          <w:i w:val="0"/>
          <w:caps w:val="0"/>
          <w:color w:val="282828"/>
          <w:spacing w:val="0"/>
          <w:sz w:val="32"/>
          <w:szCs w:val="32"/>
          <w:shd w:val="clear" w:color="090000" w:fill="FFFFFF"/>
        </w:rPr>
        <w:t>当出现疑似或确诊病例，在专业人员指导下，在无人条件下选择过氧乙酸、含氯消毒剂、二氧化氯、过氧化氢等消毒剂，采用超低容量喷雾法进行消毒。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注意个人防护。日常情况下，建议工作人员佩戴医用外科口罩（或其他更高级别的口罩）和手套；一次性使用手套不可重复使用，其他重复使用手套需每天清洗消毒，可流通蒸汽或煮沸消毒30min，或先用500mg/L的含氯消毒液浸泡30min，然后常规清洗即可。</w:t>
      </w:r>
      <w:r>
        <w:rPr>
          <w:rFonts w:hint="eastAsia" w:ascii="仿宋" w:hAnsi="仿宋" w:eastAsia="仿宋" w:cs="仿宋"/>
          <w:b w:val="0"/>
          <w:bCs/>
          <w:i w:val="0"/>
          <w:caps w:val="0"/>
          <w:color w:val="282828"/>
          <w:spacing w:val="0"/>
          <w:sz w:val="32"/>
          <w:szCs w:val="32"/>
          <w:shd w:val="clear" w:color="090000" w:fill="FFFFFF"/>
        </w:rPr>
        <w:br w:type="textWrapping"/>
      </w:r>
      <w:r>
        <w:rPr>
          <w:rFonts w:hint="eastAsia" w:ascii="仿宋" w:hAnsi="仿宋" w:eastAsia="仿宋" w:cs="仿宋"/>
          <w:b w:val="0"/>
          <w:bCs/>
          <w:i w:val="0"/>
          <w:caps w:val="0"/>
          <w:color w:val="282828"/>
          <w:spacing w:val="0"/>
          <w:sz w:val="32"/>
          <w:szCs w:val="32"/>
          <w:shd w:val="clear" w:color="090000" w:fill="FFFFFF"/>
        </w:rPr>
        <w:t>当有疑似或确诊病例出现时，在专业人员指导下进行个人防护。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（四）手卫生。应加强手卫生措施，工作人员随时进行手卫生。可用有效的含醇速干手消毒剂。特殊条件下，也可使用含氯或过氧化氢手消毒剂；有肉眼可见污染物时应使用洗手液在流动水下洗手，然后消毒。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（五）设立应急区域。建议在公共交通工具上设立应急区域，如飞机、火车、客车等后部三排座位，当出现疑似或确诊病例时，可在该区域进行暂时隔离。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（六）健康宣教。时刻注意开展公共交通工具上的防控健康宣教。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三、旅行人员操作指南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佩戴口罩、手套。旅行人员乘坐公共交通工具时，建议佩戴医用外科口罩（或其他更高级别的口罩），旅行结束时及时弃用。有条件的旅行人员可选择佩戴手套，一次性使用手套不可重复使用，其他重复使用手套需注意清洗消毒，可流通蒸汽或煮沸消毒30min，或先用500mg/L的含氯消毒液浸泡30min，然后常规清洗即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手卫生。注意手卫生，旅行人员在旅程中应加强手卫生，旅程结束后需做手卫生。可选用有效的含醇速干手消毒剂，特殊条件下，也可使用含氯或过氧化氢手消毒剂；有肉眼可见污染物时应使用洗手液在流动水下洗手，然后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（三）注意保持距离。旅行人员乘坐公共交通工具，有条件时，相互之间尽量保持一定距离。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（四）积极配合工作人员。日常情况下，听从公共交通工作人员的安排，做好个人防护。当有疑似或确诊病例出现时，听从工作人员的指令，及时自我隔离，听从安排进行排查检测，不可私自离开。</w:t>
      </w: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rPr>
          <w:rFonts w:hint="default" w:ascii="仿宋" w:hAnsi="仿宋" w:eastAsia="仿宋" w:cs="仿宋"/>
          <w:b w:val="0"/>
          <w:bCs/>
          <w:i w:val="0"/>
          <w:caps w:val="0"/>
          <w:color w:val="000000"/>
          <w:spacing w:val="0"/>
          <w:sz w:val="32"/>
          <w:szCs w:val="32"/>
          <w:lang w:val="en-US" w:eastAsia="zh-CN"/>
        </w:rPr>
      </w:pPr>
      <w:r>
        <w:rPr>
          <w:rFonts w:hint="default"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附件11</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居家和公共场所卫生间预防新型冠状病毒感染的肺炎疫情卫生清洁消毒指引</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（第一版）</w:t>
      </w:r>
    </w:p>
    <w:p>
      <w:pPr>
        <w:widowControl w:val="0"/>
        <w:wordWrap/>
        <w:adjustRightInd/>
        <w:snapToGrid/>
        <w:spacing w:line="560" w:lineRule="exact"/>
        <w:ind w:left="0" w:right="0"/>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为做好新型冠状病毒感染的肺炎疫情防控工作，防止因卫生间使用和清洁等处理不当引起疾病传播，特制订本指引。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本指引适用于指导居家及公共场所（商场、公园等）内卫生间的卫生清洁消毒处理。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i w:val="0"/>
          <w:caps w:val="0"/>
          <w:color w:val="282828"/>
          <w:spacing w:val="0"/>
          <w:sz w:val="32"/>
          <w:szCs w:val="32"/>
          <w:shd w:val="clear" w:color="0A0000" w:fill="FFFFFF"/>
        </w:rPr>
        <w:t>　　一、居家卫生间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卫生间保持开窗通风，不能自然通风的可采用排气扇等机械通风。卫生间地漏口非排水时用盖子遮挡，并每周一次将一杯清水（约500mL）倒进排水口，然后倒入有效氯浓度2.5g/L的含氯消毒液10mL（一茶匙），30分钟后再倒入一杯清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保持环境和物品清洁卫生，卫生间物表、马桶/便池等要经常擦拭或冲刷。家中有人出现发热、咳嗽、腹泻、呕吐等症状时，可用消毒剂对卫生间物表、地面、马桶等进行消毒，方法见本指引“三、消毒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（三）倡导良好的家居卫生习惯，使用无害化卫生厕所，不使用便桶等，减少污染物暴露和清洗时带来的风险。冲水时养成良好习惯，先盖上马桶盖再冲水，并及时使用洗手液在流动水下洗手。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四）居住在家中的隔离观察人员不要与家人共用纸巾、擦手巾等卫生用品，加强对卫生间的通风和清洁，可用含氯消毒剂等消毒剂对高频接触部位和地面进行消毒；如果有血液、分泌物、呕吐物、排泄物等要及时清除和消毒（消毒方法见本指引“三、消毒方法”）；家中有疑似或确诊病人时，需在疾控中心指导下，进行终末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二、公共场所卫生间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（一）卫生间保持通风、干爽，不能自然通风的可采用排气扇等机械通风。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（二）公共场所卫生间应备足量的洗手液、流动水洗手设施，根据需要配备含醇的手消毒剂。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三）疫情期间，加强对卫生间的清洁频次，保持卫生间整洁卫生、地面干爽无积水。每日至少全面清洁两次，清洁范围应包含清理废弃纸巾、便池内污物等垃圾；清洁洗手台面、卫生间地面等。此外，还需根据公众对卫生间实际使用情况随时增加清洁频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（四）疫情期间，应对卫生间重点部位进行消毒处理，重点部位包括内外门把手、洗手池台面、水龙头开关、洗手盆、坐便器、便池、马桶按钮等经常接触的物体表面和地面，每日至少消毒两次。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（五）发现血液、分泌物、呕吐物、排泄物等污染物时，及时处理，并对周围物表、地面进行消毒，必要时进行空气消毒。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六）卫生间清洁消毒人员应注意个人防护，建议穿戴工作服、一次性工作帽、一次性医用口罩、一次性手套和长袖加厚橡胶手套。在处理疑似污染物时应加强个人防护，加穿防水防护服、医用防护口罩、防护眼罩、长筒防水胶鞋等。清洁消毒完毕及时进行流动水洗手，或加用速干手消毒剂消毒双手，做好手卫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i w:val="0"/>
          <w:caps w:val="0"/>
          <w:color w:val="282828"/>
          <w:spacing w:val="0"/>
          <w:sz w:val="32"/>
          <w:szCs w:val="32"/>
          <w:shd w:val="clear" w:color="0A0000" w:fill="FFFFFF"/>
        </w:rPr>
        <w:t>　　三、消毒方法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物体表面：对卫生间内外门把手、洗手池台面、水龙头开关、洗手盆、坐便器、便池、马桶按钮等经常接触的物体表面，可使用含有效氯浓度250-500mg/L的消毒液擦拭或喷洒至表面完全湿润，作用30分钟，再用清水擦净。不耐腐蚀的物品可用75%乙醇消毒液擦拭或喷洒表面。</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（二）地面：可使用有效氯浓度250-500 mg/L的消毒液用拖布拖拭，作用30分钟，再用清水洗净。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（三）空气：无人情况下进行空气消毒。消毒前关闭排气扇和窗户，可用3-6%过氧化氢消毒液自上而下、从里到外进行喷雾消毒，喷雾完毕关门作用30分钟后开窗通风。消毒期间禁止人员进入卫生间。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（四）污染物（血液、分泌物、呕吐物等）：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污染物在便池/马桶内：应遮住便池口或盖上马桶盖，直接打开冲水开关冲入排粪管。冲水时不可打开马桶盖。清理污物后，及时用有效氯浓度为1000-2000 mg/L的消毒液喷洒便池及便池周围物表。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污染物在物表或者地面：（1）少量污染物可用一次性吸水材料（如纱布、抹布、毛巾等）覆盖污物后喷洒有效氯浓度为10000mg/L的消毒液至湿润。作用30分钟以上，污物连带遮盖物一并移除至防渗防水垃圾袋内，扎紧袋口丢弃至生活垃圾桶。（2）大量污染物使用含吸水成分的消毒粉或漂白粉（按污物/消毒粉=1/2比例）完全覆盖，或用一次性吸水材料覆盖污物后用10000mg/L的含氯消毒液喷洒表面至湿润，作用30分钟以上移除污物。清除过程中避免接触污染物。清除污染物后，用有效氯浓度为1000-2000 mg/L的消毒液擦拭或拖拭台面、地面，消毒范围为呕吐物周围2米，建议擦拭2遍。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i w:val="0"/>
          <w:caps w:val="0"/>
          <w:color w:val="282828"/>
          <w:spacing w:val="0"/>
          <w:sz w:val="32"/>
          <w:szCs w:val="32"/>
          <w:shd w:val="clear" w:color="0A0000" w:fill="FFFFFF"/>
        </w:rPr>
        <w:t>　　四、常见消毒剂及配制使用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（一）有效氯浓度500 mg/L的含氯消毒剂配制方法：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1. 84消毒液（有效氯含量5%）：按消毒液/水为1/100比例稀释；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2. 消毒粉（有效氯含量12-13%，20克/包）：1包消毒粉加4.8升水；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3. 含氯泡腾片（有效氯含量480-580mg/片）：1片溶于1升水。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（二）75%乙醇消毒液：直接使用。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（三）其他消毒剂按产品标签标识以杀灭肠道致病菌的浓度进行配制和使用。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i w:val="0"/>
          <w:caps w:val="0"/>
          <w:color w:val="282828"/>
          <w:spacing w:val="0"/>
          <w:sz w:val="32"/>
          <w:szCs w:val="32"/>
          <w:shd w:val="clear" w:color="0A0000" w:fill="FFFFFF"/>
        </w:rPr>
        <w:t>　　五、注意事项</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（一）含氯消毒剂有皮肤黏膜刺激性，配置和使用时建议佩戴口罩和手套，儿童请勿触碰。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（二）使用乙醇消毒液应远离火源，严禁大面积使用。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b w:val="0"/>
          <w:bCs/>
          <w:sz w:val="32"/>
          <w:szCs w:val="32"/>
        </w:rPr>
      </w:pPr>
    </w:p>
    <w:p>
      <w:pPr>
        <w:widowControl w:val="0"/>
        <w:wordWrap/>
        <w:adjustRightInd/>
        <w:snapToGrid/>
        <w:spacing w:line="560" w:lineRule="exact"/>
        <w:ind w:left="0" w:right="0"/>
        <w:textAlignment w:val="auto"/>
        <w:rPr>
          <w:rFonts w:hint="eastAsia" w:ascii="仿宋" w:hAnsi="仿宋" w:eastAsia="仿宋" w:cs="仿宋"/>
          <w:b w:val="0"/>
          <w:bCs/>
          <w:i w:val="0"/>
          <w:caps w:val="0"/>
          <w:color w:val="000000"/>
          <w:spacing w:val="0"/>
          <w:sz w:val="32"/>
          <w:szCs w:val="32"/>
          <w:lang w:val="en-US" w:eastAsia="zh-CN"/>
        </w:rPr>
      </w:pPr>
    </w:p>
    <w:p>
      <w:pPr>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ind w:left="0" w:right="0"/>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附件12</w:t>
      </w:r>
    </w:p>
    <w:p>
      <w:pPr>
        <w:widowControl w:val="0"/>
        <w:wordWrap/>
        <w:adjustRightInd/>
        <w:snapToGrid/>
        <w:spacing w:line="560" w:lineRule="exact"/>
        <w:ind w:left="0" w:right="0"/>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ind w:left="0" w:right="0"/>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新型冠状病毒肺炎疫情期间公共电梯</w:t>
      </w:r>
    </w:p>
    <w:p>
      <w:pPr>
        <w:widowControl w:val="0"/>
        <w:wordWrap/>
        <w:adjustRightInd/>
        <w:snapToGrid/>
        <w:spacing w:line="560" w:lineRule="exact"/>
        <w:ind w:left="0" w:right="0"/>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（扶梯）清洁消毒工作指引</w:t>
      </w:r>
    </w:p>
    <w:p>
      <w:pPr>
        <w:widowControl w:val="0"/>
        <w:wordWrap/>
        <w:adjustRightInd/>
        <w:snapToGrid/>
        <w:spacing w:line="560" w:lineRule="exact"/>
        <w:ind w:left="0" w:right="0"/>
        <w:textAlignment w:val="auto"/>
        <w:rPr>
          <w:rFonts w:hint="default"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为做好新冠肺炎防控工作，防止因乘坐电梯感染新冠病毒，根据《新型冠状病毒防控方案（第四版）》的要求，特制定本工作指引。本指引适用于新冠肺炎疫情防控期间酒店、医院、密接者集中隔离点、商场、写字楼等公共场所电梯和扶梯的消毒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Style w:val="23"/>
          <w:rFonts w:hint="eastAsia" w:ascii="仿宋" w:hAnsi="仿宋" w:eastAsia="仿宋" w:cs="仿宋"/>
          <w:b w:val="0"/>
          <w:bCs w:val="0"/>
          <w:sz w:val="32"/>
          <w:szCs w:val="32"/>
        </w:rPr>
        <w:t>　　一、轿厢电梯日常管理和预防性消毒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（一）在大堂电梯门口和轿厢内外张贴告示，提醒乘客乘坐电梯时戴好口罩，即使无其他乘客同时乘坐，也勿取下口罩。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二）在大堂电梯轿厢门口配置非接触式快速手消毒液和卫生抽纸纸巾。乘坐电梯人员尽量避免用手直接接触按键，可使用纸巾包裹手指后接触按键，用完的纸巾应丢弃在指定垃圾箱内，不得随意丢弃，更不能丢弃在电梯轿厢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（三）医院内轿厢电梯设专人管理，控制乘坐电梯人员密度和秩序，新冠肺炎疫情期间轿厢内乘客不能超过限载人数的2/3。</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（四）乘坐电梯时尽量不讲话。</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（五）电梯轿厢壁和厢底面清洁消毒：使用浓度为250-500mg/L的含氯消毒剂喷洒（擦拭）轿厢壁、厢门和厢底面，作用30分钟，再用清水擦净。每日消毒不少于3次，并做好消毒标识。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六）电梯按键、轿厢扶手等表面清洁消毒：电梯层站按钮、电梯轿厢内的楼层显示按钮及电梯门开关按钮等可贴膜保护，在保护膜上用75%乙醇消毒剂或者浓度为250-500mg/L的含氯消毒剂擦拭，每两个小时一次。并做好消毒标识。贴膜每2天更换一次或发现破损及时更换。</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（七）电梯轿厢内不使用空调，加强通风。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（八）疫情期间，电梯维修保修后，应先对电梯轿厢内及相应的外呼部位进行消毒后再投入使用；维修现场有维修材料要处理的，应先消毒再收纳；应佩戴手套填写、交接纸质维修维保单。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（九）已出现确诊病例的建筑物，该栋所有电梯轿厢、病例所在的层站和大堂电梯按钮，应在疾控中心指导下进行终末消毒。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w:t>
      </w:r>
      <w:r>
        <w:rPr>
          <w:rStyle w:val="23"/>
          <w:rFonts w:hint="eastAsia" w:ascii="仿宋" w:hAnsi="仿宋" w:eastAsia="仿宋" w:cs="仿宋"/>
          <w:b w:val="0"/>
          <w:bCs w:val="0"/>
          <w:sz w:val="32"/>
          <w:szCs w:val="32"/>
        </w:rPr>
        <w:t>　二、扶手电梯日常管理和预防性消毒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（一）扶梯两侧扶手清洁消毒：使用浓度为250-500mg/L的含氯消毒剂擦拭扶梯两侧扶手，消毒30分钟后，再用清水擦净，每日消毒不少于4次，并做好消毒标识。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（二）扶梯阶梯表面清洁消毒：每天用250-500mg/L的含氯消毒剂进行湿式拖地，消毒至少30分钟后，再用清水擦净。每日至少两次。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w:t>
      </w:r>
      <w:r>
        <w:rPr>
          <w:rStyle w:val="23"/>
          <w:rFonts w:hint="eastAsia" w:ascii="仿宋" w:hAnsi="仿宋" w:eastAsia="仿宋" w:cs="仿宋"/>
          <w:b w:val="0"/>
          <w:bCs w:val="0"/>
          <w:sz w:val="32"/>
          <w:szCs w:val="32"/>
        </w:rPr>
        <w:t>　三、常见消毒剂及配制使用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（一）有效氯浓度500 mg/L 的含氯消毒剂配制方法：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1.84消毒液（有效氯含量5%）：按消毒液：水为1:99比例稀释；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2.消毒粉（有效氯含量12%，20克/包）：1包消毒粉加4.8升水；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3.含氯泡腾片（有效氯含量500mg/片）：1片溶于1升水。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（二）75%乙醇消毒液：直接使用。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（三）其他消毒剂按产品标签标识以杀灭肠道致病菌的浓度进行配制和使用。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w:t>
      </w:r>
      <w:r>
        <w:rPr>
          <w:rStyle w:val="23"/>
          <w:rFonts w:hint="eastAsia" w:ascii="仿宋" w:hAnsi="仿宋" w:eastAsia="仿宋" w:cs="仿宋"/>
          <w:b w:val="0"/>
          <w:bCs w:val="0"/>
          <w:sz w:val="32"/>
          <w:szCs w:val="32"/>
        </w:rPr>
        <w:t>四、注意事项</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（一）含氯消毒剂有皮肤黏膜刺激性，配置和使用时可戴口罩和手套。儿童请勿触碰；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（二）乙醇消毒液使用时应远离火源，避免着火，不能大面积喷洒，只能小范围局部喷洒或擦拭。</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广东省新冠肺炎防控指挥办疫情防控组关于印发广东省园区新冠肺炎疫情常态化防控</w:t>
      </w: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工作指引的通知</w:t>
      </w:r>
    </w:p>
    <w:p>
      <w:pPr>
        <w:pStyle w:val="18"/>
        <w:widowControl/>
        <w:wordWrap/>
        <w:adjustRightInd/>
        <w:snapToGrid/>
        <w:spacing w:line="0" w:lineRule="atLeast"/>
        <w:jc w:val="center"/>
        <w:textAlignment w:val="auto"/>
        <w:outlineLvl w:val="9"/>
      </w:pPr>
      <w:r>
        <w:rPr>
          <w:rFonts w:hint="eastAsia" w:ascii="宋体" w:hAnsi="宋体" w:eastAsia="宋体" w:cs="宋体"/>
          <w:color w:val="000000"/>
          <w:sz w:val="16"/>
          <w:szCs w:val="16"/>
        </w:rPr>
        <w:br w:type="textWrapping"/>
      </w:r>
      <w:r>
        <w:rPr>
          <w:rFonts w:hint="eastAsia" w:ascii="楷体" w:hAnsi="楷体" w:eastAsia="楷体" w:cs="楷体"/>
          <w:color w:val="000000"/>
          <w:sz w:val="32"/>
          <w:szCs w:val="32"/>
        </w:rPr>
        <w:t>（粤卫疾控函〔2020〕155号）</w:t>
      </w:r>
    </w:p>
    <w:p>
      <w:pPr>
        <w:widowControl/>
        <w:wordWrap/>
        <w:adjustRightInd/>
        <w:snapToGrid/>
        <w:spacing w:line="560" w:lineRule="exact"/>
        <w:jc w:val="left"/>
        <w:textAlignment w:val="auto"/>
        <w:outlineLvl w:val="9"/>
        <w:rPr>
          <w:rFonts w:hint="eastAsia" w:ascii="仿宋_GB2312" w:hAnsi="仿宋_GB2312" w:eastAsia="仿宋_GB2312" w:cs="仿宋_GB2312"/>
          <w:sz w:val="32"/>
          <w:szCs w:val="32"/>
        </w:rPr>
      </w:pPr>
      <w:r>
        <w:rPr>
          <w:rFonts w:hint="eastAsia" w:ascii="宋体" w:hAnsi="宋体" w:eastAsia="宋体" w:cs="宋体"/>
          <w:color w:val="000000"/>
          <w:sz w:val="16"/>
          <w:szCs w:val="16"/>
        </w:rPr>
        <w:br w:type="textWrapping"/>
      </w:r>
      <w:r>
        <w:rPr>
          <w:rFonts w:hint="eastAsia" w:ascii="仿宋_GB2312" w:hAnsi="仿宋_GB2312" w:eastAsia="仿宋_GB2312" w:cs="仿宋_GB2312"/>
          <w:color w:val="000000"/>
          <w:sz w:val="32"/>
          <w:szCs w:val="32"/>
        </w:rPr>
        <w:t>各地级以上市新冠肺炎防控指挥办，省新冠肺炎防控指挥办疫情防控组各成员单位：</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根据国家和省委、省政府关于新冠肺炎疫情常态化防控工作部署，为切实做好我省园区新冠肺炎疫情常态化防控工作，结合当前新冠肺炎疫情防控工作进展，我们组织对有关防控工作指引进行修订，形成了《广东省园区新冠肺炎疫情常态化防控工作指引》。现印发给你们，请参照执行。</w:t>
      </w:r>
    </w:p>
    <w:p>
      <w:pPr>
        <w:widowControl/>
        <w:pBdr>
          <w:top w:val="none" w:color="auto" w:sz="0" w:space="0"/>
          <w:left w:val="none" w:color="auto" w:sz="0" w:space="0"/>
          <w:bottom w:val="none" w:color="auto" w:sz="0" w:space="0"/>
          <w:right w:val="none" w:color="auto" w:sz="0" w:space="0"/>
        </w:pBdr>
        <w:wordWrap/>
        <w:adjustRightInd/>
        <w:snapToGrid/>
        <w:spacing w:line="560" w:lineRule="exact"/>
        <w:jc w:val="righ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广东省新冠肺炎防控指挥办疫情防控组</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（代章）</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2020年7月2日</w:t>
      </w: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rPr>
      </w:pPr>
      <w:r>
        <w:rPr>
          <w:rFonts w:hint="eastAsia" w:ascii="宋体" w:hAnsi="宋体" w:eastAsia="宋体" w:cs="宋体"/>
          <w:color w:val="000000"/>
          <w:sz w:val="44"/>
          <w:szCs w:val="44"/>
        </w:rPr>
        <w:t>广东省园区新冠肺炎疫情常态化防控工作指引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caps w:val="0"/>
          <w:color w:val="424242"/>
          <w:spacing w:val="0"/>
          <w:sz w:val="32"/>
          <w:szCs w:val="32"/>
        </w:rPr>
      </w:pPr>
      <w:r>
        <w:rPr>
          <w:rFonts w:hint="eastAsia" w:ascii="仿宋_GB2312" w:hAnsi="仿宋_GB2312" w:eastAsia="仿宋_GB2312" w:cs="仿宋_GB2312"/>
          <w:color w:val="000000"/>
          <w:sz w:val="32"/>
          <w:szCs w:val="32"/>
        </w:rPr>
        <w:t>一、总体要求</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各园区的管理机构及驻园企业要按照《</w:t>
      </w: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 HYPERLINK "javascript:SLC(342057,0)" </w:instrText>
      </w:r>
      <w:r>
        <w:rPr>
          <w:rFonts w:hint="eastAsia" w:ascii="仿宋_GB2312" w:hAnsi="仿宋_GB2312" w:eastAsia="仿宋_GB2312" w:cs="仿宋_GB2312"/>
          <w:color w:val="000000"/>
          <w:sz w:val="32"/>
          <w:szCs w:val="32"/>
        </w:rPr>
        <w:fldChar w:fldCharType="separate"/>
      </w:r>
      <w:r>
        <w:rPr>
          <w:rStyle w:val="27"/>
          <w:rFonts w:hint="eastAsia" w:ascii="仿宋_GB2312" w:hAnsi="仿宋_GB2312" w:eastAsia="仿宋_GB2312" w:cs="仿宋_GB2312"/>
          <w:color w:val="000000"/>
          <w:sz w:val="32"/>
          <w:szCs w:val="32"/>
        </w:rPr>
        <w:t>国务院应对新型冠状病毒感染肺炎疫情联防联控机制关于做好新冠肺炎疫情常态化防控工作的指导意见</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国发明电〔2020〕14号）、《广东省新型冠状病毒肺炎疫情防控指挥部关于做好新冠肺炎疫情常态化防控工作的实施意见》（粤防疫指明电〔2020〕19号）及国家和省关于分区分级的要求，处理好常态化下疫情防控和生产研发、经营服务的关系，防止常态化下疫情反弹，在园区内传播，保障人民群众身体健康和生命安全。</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二、适用范围</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本指引适用于园区（包括工业园、各种类型开发区等）疫情常态化防控工作。</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三、职责分工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各地市政府要落实属地责任，对本地疫情防控工作负总责，根据分区分级有关要求，做好本地疫情研判防控工作，各园区管理机构要落实园区疫情防控主体责任，各驻园企业落实本单位疫情防控主体责任，属地业务主管部门落实监管责任，属地卫生健康部门负责提供技术指导。</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四、主要措施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（一）健全疫情防控机制。</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各园区要成立疫情防控专项小组。园区总负责人是疫情防控第一负责人，驻园企业负责人是本单位疫情防控第一负责人。园区和驻园企业要成立健康管理小组，并同时设立健康管理责任人，主动对接属地卫生健康部门做好疫情防控工作，制定防控工作方案并组织实施，制定突发公共卫生事件报告与处理工作预案。</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（二）人员健康管理。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1.落实员工分类管理。各园区要组织驻园企业根据摸查情况对返岗或新入职人员进行风险评估，并进行分类管理。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对于近14天有疫情高、中风险地区旅居史的人员，须提供抵粤前7日内核酸检测阴性证明或出示包含核酸检测阴性信息的“粤康码”等电子健康码“绿码”，在测温正常且做好个人防护的前提下可正常出行生活和工作；如无法提供上述核酸检测阴性信息，抵粤后应当立即接受核酸检测或14天隔离医学观察。</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（2）对于来自疫情低风险地区的人员，持“粤康码”等电子健康码“绿码”，体温检测正常可正常出行生活和工作。</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（3）对本省新冠肺炎病例、无症状感染者、密切接触者、疫情高、中风险地区及境外入境来粤返粤人员，认可其出院证明、解除隔离通知书。</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加强员工健康监测。园区管理机构要督促园区内各驻园企业落实员工健康管理主体责任，园区企业要设置健康管理员，设立可疑症状报告电话，员工如出现发热（≥37.3℃）、干咳、呼吸道感染症状，及时向本单位报告，并做好防控措施。要每天汇总员工健康状况，发现异常情况及时向当地卫生健康部门报告并采取相应的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出入人员健康管理。高、中风险地区内的园区要在各个出入口、园区内各工厂企业门口、员工集体宿舍大门等地方安排专人对每位进出人员进行体温检测和监督落实扫“粤康码”等电子健康码，如发现体温异常（≥37.3℃）或红码、黄码人员，不得进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4.设置隔离观察室。园区根据员工数量和场地等实际情况可设置一定数量的临时医学观察点和单独隔离观察间，临时医学观察点用于初测体温≥37.3℃人员的体温复测和待送人员停留，单独隔离观察间用于不需要在医院隔离的具有发热等症状人员的隔离观察。观察点要设在相对独立、通风良好的房间，需配备1-2名工作人员，负责体温检测和发热人员的管理，并配备红外测温仪、水银温度计、医用外科口罩、消毒纸巾、医用乳胶手套、速干手消毒剂、84消毒剂等物品。有条件的配备木制或铁制椅子，不宜配备不易消毒的布质材料沙发。</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5.加强防控知识宣教。用健康提示、张贴宣传画、视频播放等多种方式，加强新冠肺炎防治知识科学宣传普及，积极倡导讲卫生、除陋习，摒弃乱扔、乱吐等不文明行为，营造“每个人是自己健康第一责任人”“我的健康我做主”的良好氛围。引导员工充分了解新冠肺炎防治知识，科学佩戴口罩、做好室内通风与消毒，学会正确的洗手方法，养成良好卫生习惯，推广使用公筷公勺，倡导文明用餐好习惯，乘坐公共交通、前往人群密集场所、接触动物（尤其是野生动物）、禽类或其粪便时做好防护。</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（三）员工卫生防护。</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科学佩戴口罩。工作人员应按照《公众科学戴口罩指引（修订版）》（联防联控机制综发﹝2020﹞174号，相关指引可登录广东省卫生健康委官方网站下载）科学佩戴口罩。低风险地区防护建议：需随身备用一次性医用口罩；办公场所及厂房车间人员确保有效通风换气，作业岗位工作人员保持1米以上安全距离。</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注意手卫生。工作人员在上下岗期间应当洗手，可用有效的含醇速干手消毒剂；特殊条件下，也可使用含氯或过氧化氢手消毒剂；有肉眼可见污染物时，应当使用洗手液在流动水下洗手。在工作中避免用手或手套触碰眼睛。</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3.环卫工人防护。园区内环卫工人工作时需穿工作服（或防护服装），戴口罩、手套。作业完成后，要及时洗手（可用速干手消毒剂对手进行消毒），工作服每日清洁消毒，保持个人卫生。</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（四）重点场所重点设施卫生清洁。</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强化室内通风。加强园区内各室内场所空气流通，首选自然通风，尽可能打开门窗通风换气。空调通风系统运行管理应严格按照《夏季空调运行管理与使用指引（修订版）》（相关指引可登录广东省卫生健康委官方网站下载）要求执行。</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加强重点场所清洁消毒。按照《物业管理区域新型冠状病毒感染的肺炎疫情防控工作指引（试行）》《居家和公共场所卫生间预防新型冠状病毒感染的肺炎疫情卫生清洁消毒指引（第一版）》《新型冠状病毒肺炎疫情期间公共电梯（扶梯）清洁消毒工作指引》（相关指引可登录广东省卫生健康委官方网站下载）等要求，加强园区内办公场所、生产车间、食堂、集体宿舍、卫生间、垃圾厢房、电梯、地下停车场、隔离区域等重点场所清洁消毒，做好消毒记录并每日公示消毒情况；机构进出口处和洗手间要配备足够的洗手液，洗手间保证水龙头等供水设施正常工作。公用物品及设施应每日清洗和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垃圾清运处理。园区内各企业办公区域、生产车间、食堂、集体宿舍、公共卫生间等场所每天产生的垃圾应当及时清理，运送至专门垃圾处理区域内分类管理、定点暂放、及时运转。各场所垃圾暂存地周围应当保持清洁，每天至少进行一次清洁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（五）食品卫生及用餐管理。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提供餐饮的（含单位食堂）机构要加强食品和饮用水的安全管理工作。</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1.食品加工制作符合要求。食品加工制作要符合《餐饮服务食品安全操作规范》规定。生熟食品分开加工和存放，尤其在处理生肉、生水产品等食品时应格外小心，避免交叉污染。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2.食品加工场所清洁卫生。具有安全合规的食品加工场所，定时对食品加工场所进行卫生清理，并保证避免消毒液、酒精等直接接触餐具、食材和菜品。</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3.食品储藏防止交叉污染。加强肉、海鲜类等冷冻食品储藏安全，食品原材料坚持覆盖保鲜膜或加盖再进行储存，防止交叉污染。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4.用餐者保持一定距离。通过采取减少桌椅摆放、间隔1米、错位用餐等措施，加大就餐者之间的距离，疫情高、中风险地区实行单独就餐。</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五、应急处置要求</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（一）疑似症状人员处置。如发现园区出现发热、干咳、乏力等新冠肺炎可疑症状时，应避免继续接触他人，在临时医学观察点或单独隔离观察间执行隔离观察，做好防护并送当地指定医疗机构就诊排查。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病例处置。核酸筛查阳性病例在做好防护的前提下应立即转送当地定点医疗机构就诊排查，要积极配合当地疾控中心做好流行病调查，尽快查明可能的感染源；在当地疾控中心的指导下，依法依规、精准管控，科学划定防控区域范围至最小单位，采取限制性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（三）终末消毒。相关单位在当地疾控中心指导下，对可能污染的工作、居住和公共场所的环境和物品及空调通风系统等开展终末消毒。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（四）其他处置措施。密切接触者和场所管控按照最新防控方案和我省相关应急处置预案做好防控措施。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_GB2312" w:hAnsi="仿宋_GB2312" w:eastAsia="仿宋_GB2312" w:cs="仿宋_GB2312"/>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_GB2312" w:hAnsi="仿宋_GB2312" w:eastAsia="仿宋_GB2312" w:cs="仿宋_GB2312"/>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_GB2312" w:hAnsi="仿宋_GB2312" w:eastAsia="仿宋_GB2312" w:cs="仿宋_GB2312"/>
          <w:i w:val="0"/>
          <w:caps w:val="0"/>
          <w:color w:val="424242"/>
          <w:spacing w:val="0"/>
          <w:sz w:val="32"/>
          <w:szCs w:val="32"/>
        </w:rPr>
      </w:pPr>
    </w:p>
    <w:p>
      <w:pPr>
        <w:rPr>
          <w:rFonts w:hint="eastAsia" w:ascii="仿宋_GB2312" w:hAnsi="仿宋_GB2312" w:eastAsia="仿宋_GB2312" w:cs="仿宋_GB2312"/>
          <w:i w:val="0"/>
          <w:caps w:val="0"/>
          <w:color w:val="424242"/>
          <w:spacing w:val="0"/>
          <w:sz w:val="32"/>
          <w:szCs w:val="32"/>
        </w:rPr>
      </w:pPr>
      <w:r>
        <w:rPr>
          <w:rFonts w:hint="eastAsia" w:ascii="仿宋_GB2312" w:hAnsi="仿宋_GB2312" w:eastAsia="仿宋_GB2312" w:cs="仿宋_GB2312"/>
          <w:i w:val="0"/>
          <w:caps w:val="0"/>
          <w:color w:val="424242"/>
          <w:spacing w:val="0"/>
          <w:sz w:val="32"/>
          <w:szCs w:val="32"/>
        </w:rPr>
        <w:br w:type="page"/>
      </w:r>
    </w:p>
    <w:p>
      <w:pPr>
        <w:widowControl w:val="0"/>
        <w:wordWrap/>
        <w:autoSpaceDE w:val="0"/>
        <w:adjustRightInd/>
        <w:snapToGrid/>
        <w:spacing w:before="0" w:beforeAutospacing="0" w:after="0" w:afterAutospacing="0" w:line="560" w:lineRule="exact"/>
        <w:ind w:right="0"/>
        <w:jc w:val="both"/>
        <w:outlineLvl w:val="9"/>
        <w:rPr>
          <w:rFonts w:hint="eastAsia" w:ascii="仿宋" w:hAnsi="仿宋" w:eastAsia="仿宋" w:cs="仿宋"/>
          <w:kern w:val="2"/>
          <w:sz w:val="32"/>
          <w:szCs w:val="32"/>
        </w:rPr>
      </w:pPr>
      <w:r>
        <w:rPr>
          <w:rFonts w:hint="eastAsia" w:ascii="仿宋" w:hAnsi="仿宋" w:eastAsia="仿宋" w:cs="仿宋"/>
          <w:b w:val="0"/>
          <w:kern w:val="0"/>
          <w:sz w:val="32"/>
          <w:szCs w:val="32"/>
          <w:lang w:val="en-US" w:eastAsia="zh-CN"/>
        </w:rPr>
        <w:t>附件1</w:t>
      </w:r>
    </w:p>
    <w:p>
      <w:pPr>
        <w:widowControl w:val="0"/>
        <w:wordWrap/>
        <w:autoSpaceDE w:val="0"/>
        <w:adjustRightInd/>
        <w:snapToGrid/>
        <w:spacing w:before="0" w:beforeAutospacing="0" w:after="0" w:afterAutospacing="0" w:line="560" w:lineRule="exact"/>
        <w:ind w:left="0" w:leftChars="0" w:right="0" w:firstLine="640" w:firstLineChars="200"/>
        <w:jc w:val="both"/>
        <w:outlineLvl w:val="9"/>
        <w:rPr>
          <w:rFonts w:hint="eastAsia" w:ascii="仿宋" w:hAnsi="仿宋" w:eastAsia="仿宋" w:cs="仿宋"/>
          <w:kern w:val="2"/>
          <w:sz w:val="32"/>
          <w:szCs w:val="32"/>
        </w:rPr>
      </w:pPr>
      <w:r>
        <w:rPr>
          <w:rFonts w:hint="eastAsia" w:ascii="仿宋" w:hAnsi="仿宋" w:eastAsia="仿宋" w:cs="仿宋"/>
          <w:kern w:val="2"/>
          <w:sz w:val="32"/>
          <w:szCs w:val="32"/>
          <w:lang w:val="en-US" w:eastAsia="zh-CN"/>
        </w:rPr>
        <w:t xml:space="preserve"> </w:t>
      </w:r>
    </w:p>
    <w:p>
      <w:pPr>
        <w:widowControl w:val="0"/>
        <w:wordWrap/>
        <w:autoSpaceDE w:val="0"/>
        <w:adjustRightInd/>
        <w:snapToGrid/>
        <w:spacing w:before="0" w:beforeAutospacing="0" w:after="0" w:afterAutospacing="0" w:line="560" w:lineRule="exact"/>
        <w:ind w:left="0" w:leftChars="0" w:right="0" w:firstLine="0" w:firstLineChars="0"/>
        <w:jc w:val="center"/>
        <w:outlineLvl w:val="9"/>
        <w:rPr>
          <w:rFonts w:hint="eastAsia" w:ascii="宋体" w:hAnsi="宋体" w:eastAsia="宋体" w:cs="宋体"/>
          <w:b w:val="0"/>
          <w:kern w:val="2"/>
          <w:sz w:val="44"/>
          <w:szCs w:val="44"/>
        </w:rPr>
      </w:pPr>
      <w:r>
        <w:rPr>
          <w:rFonts w:hint="eastAsia" w:ascii="宋体" w:hAnsi="宋体" w:eastAsia="宋体" w:cs="宋体"/>
          <w:b w:val="0"/>
          <w:kern w:val="2"/>
          <w:sz w:val="44"/>
          <w:szCs w:val="44"/>
        </w:rPr>
        <w:t>公共交通新冠肺炎疫情应急预案</w:t>
      </w:r>
    </w:p>
    <w:p>
      <w:pPr>
        <w:pStyle w:val="18"/>
        <w:widowControl w:val="0"/>
        <w:wordWrap/>
        <w:autoSpaceDE w:val="0"/>
        <w:adjustRightInd/>
        <w:snapToGrid/>
        <w:spacing w:before="0" w:beforeAutospacing="0" w:after="0" w:afterAutospacing="0" w:line="560" w:lineRule="exact"/>
        <w:ind w:left="0" w:leftChars="0" w:right="0" w:firstLine="643" w:firstLineChars="200"/>
        <w:jc w:val="center"/>
        <w:outlineLvl w:val="9"/>
        <w:rPr>
          <w:rFonts w:hint="eastAsia" w:ascii="仿宋" w:hAnsi="仿宋" w:eastAsia="仿宋" w:cs="仿宋"/>
          <w:b/>
          <w:kern w:val="2"/>
          <w:sz w:val="32"/>
          <w:szCs w:val="32"/>
        </w:rPr>
      </w:pPr>
      <w:r>
        <w:rPr>
          <w:rFonts w:hint="eastAsia" w:ascii="仿宋" w:hAnsi="仿宋" w:eastAsia="仿宋" w:cs="仿宋"/>
          <w:b/>
          <w:kern w:val="2"/>
          <w:sz w:val="32"/>
          <w:szCs w:val="32"/>
          <w:lang w:val="en-US" w:eastAsia="zh-CN"/>
        </w:rPr>
        <w:t xml:space="preserve">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outlineLvl w:val="9"/>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一、成立防控应急领导小组，建立保障机制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各有关单位成立主要负责人任领导小组组长的新冠肺炎疫情应急领导小组，下设医疗保障、安全后勤保障、消毒组等职能小组，并明确职责分工。</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b/>
          <w:kern w:val="0"/>
          <w:sz w:val="32"/>
          <w:szCs w:val="32"/>
        </w:rPr>
      </w:pPr>
      <w:r>
        <w:rPr>
          <w:rFonts w:hint="eastAsia" w:ascii="仿宋" w:hAnsi="仿宋" w:eastAsia="仿宋" w:cs="仿宋"/>
          <w:kern w:val="0"/>
          <w:sz w:val="32"/>
          <w:szCs w:val="32"/>
          <w:lang w:val="en-US" w:eastAsia="zh-CN"/>
        </w:rPr>
        <w:t>二、实施应急措施</w:t>
      </w:r>
      <w:r>
        <w:rPr>
          <w:rFonts w:hint="eastAsia" w:ascii="仿宋" w:hAnsi="仿宋" w:eastAsia="仿宋" w:cs="仿宋"/>
          <w:b/>
          <w:kern w:val="0"/>
          <w:sz w:val="32"/>
          <w:szCs w:val="32"/>
          <w:lang w:val="en-US" w:eastAsia="zh-CN"/>
        </w:rPr>
        <w:t xml:space="preserve">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如出现确诊病例、疑似病例和无症状感染者时，应启动本预案。</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b w:val="0"/>
          <w:kern w:val="0"/>
          <w:sz w:val="32"/>
          <w:szCs w:val="32"/>
        </w:rPr>
      </w:pPr>
      <w:r>
        <w:rPr>
          <w:rFonts w:hint="eastAsia" w:ascii="仿宋" w:hAnsi="仿宋" w:eastAsia="仿宋" w:cs="仿宋"/>
          <w:b w:val="0"/>
          <w:kern w:val="0"/>
          <w:sz w:val="32"/>
          <w:szCs w:val="32"/>
          <w:lang w:val="en-US" w:eastAsia="zh-CN"/>
        </w:rPr>
        <w:t>（一）散发病例。</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1.发现可疑病例时，应立即引导病例到临时医学观察点或单独隔离观察间进行留观，联系乘车点所在社区（村居）的社区卫生服务中心（乡镇卫生院）等医疗机构初步排查后，送辖区定点医院诊治。</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2.配合疾控机构开展病例和密切接触者流行病学调查，对所有接触过病例或无症状感染者的人员进行调查。根据属地管理原则，按照最新版新冠肺炎防控方案或有关最新文件要求进行密切接触者集中隔离医学观察。隔离期间一旦出现发热、咳嗽等疑似新冠肺炎症状时要及时送定点医院排查、诊治。确诊后立即报告当地疾控机构。</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除密切接触者外，与病例曾接触过但不符合密切接触者判定原则的人员，判定为一般接触者。对一般接触者要做好登记，并进行健康风险告知，嘱其一旦出现发热、咳嗽等疑似新冠肺炎症状时要及时告知健康管理员，并主动告知近期活动史，做好体温检测，佩戴口罩。</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所有配合疾控机构开展流行病学调查的人员，应做好个人防护，佩戴医用外科口罩等。</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3.在疾控机构的指导下，按国家和省的消毒指引，做好病例所到过的候车间、购票厅、交通工具的清洁、随时消毒和终末消毒工作。</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做好其他区域的保洁和消毒防疫工作；加强人群聚集场所的通风换气和空调等公共设施及公共用具的消毒，每次公共交通工具从始发站出发前进行消毒，每日对候车间、购票厅等公共场所及垃圾桶/站进行消毒；各工作场所和餐饮区入口要配备含醇速干手消毒剂，厕所配备洗手液，指导和督促员工做好手卫生。</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4.按照卫生健康部门的建议，根据疫情防控需要，因地制宜采取病例乘坐公共交通工具暂停使用等措施，经过彻底消毒后可继续使用。</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5.做好安全后勤保障工作，确保应急工作顺利开展。保障需要应急处置的设施、设备和物资供应。做好餐饮、生活饮用水安全等生活保障。加强巡查管控，及时停止群体性聚集活动，及时处置安全突发事件。</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6.本单位医务人员要协助当地疾控机构开展流行病学调查、采样、密切接触者筛查等工作。继续做好职工的健康监测工作，配合卫生健康部门做好集中隔离医学观察人员的健康监测工作。每天保持与单位主要负责人、疾控机构进行信息沟通，及时上报最新情况。</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7.做好宣传和员工心理疏导工作。疫情期间要做好舆情监测、心理健康引导和健康教育等工作。通过各种渠道宣传新冠肺炎防控知识。根据确诊病例、疑似病例和密切接触人员等不同群体的实际情况，有针对性的开展心理支持和危机干预工作，稳定员工的情绪，避免过度恐慌。</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b w:val="0"/>
          <w:kern w:val="0"/>
          <w:sz w:val="32"/>
          <w:szCs w:val="32"/>
          <w:lang w:val="en-US" w:eastAsia="zh-CN"/>
        </w:rPr>
        <w:t>（二）1周内出现2例及以上聚集性病例。</w:t>
      </w:r>
      <w:r>
        <w:rPr>
          <w:rFonts w:hint="eastAsia" w:ascii="仿宋" w:hAnsi="仿宋" w:eastAsia="仿宋" w:cs="仿宋"/>
          <w:kern w:val="2"/>
          <w:sz w:val="32"/>
          <w:szCs w:val="32"/>
          <w:lang w:val="en-US" w:eastAsia="zh-CN"/>
        </w:rPr>
        <w:t>应立即报告当地疾控中心，按照政府部门要求及时有效的开展相关防控措施，做好疫情处置工作。对病例乘坐过的交通工具（该交通工具达到终点或中间停车点后）要暂停使用，进行终末消毒。有关乘车场所由疫情防控专家评估后采取相应管控措施。</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三、预案终止 </w:t>
      </w:r>
    </w:p>
    <w:p>
      <w:pPr>
        <w:widowControl w:val="0"/>
        <w:wordWrap/>
        <w:autoSpaceDE w:val="0"/>
        <w:adjustRightInd/>
        <w:snapToGrid/>
        <w:spacing w:before="0" w:beforeAutospacing="0" w:after="0" w:afterAutospacing="0" w:line="560" w:lineRule="exact"/>
        <w:ind w:left="0" w:leftChars="0" w:right="0" w:firstLine="640" w:firstLineChars="20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当病例已得到隔离治疗，密切接触者观察14天期满，后续无新发病例，环境得到有效消毒，经卫生健康部门评估，可由各单位疫情防控应急领导小组决定终止响应。</w:t>
      </w:r>
    </w:p>
    <w:p>
      <w:pPr>
        <w:widowControl w:val="0"/>
        <w:wordWrap/>
        <w:autoSpaceDE w:val="0"/>
        <w:adjustRightInd/>
        <w:snapToGrid/>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 </w:t>
      </w:r>
    </w:p>
    <w:p>
      <w:pPr>
        <w:widowControl w:val="0"/>
        <w:wordWrap/>
        <w:adjustRightInd/>
        <w:snapToGrid/>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附图：公共交通新冠肺炎疫情应急响应流程图（略）</w:t>
      </w:r>
    </w:p>
    <w:p>
      <w:pPr>
        <w:widowControl w:val="0"/>
        <w:wordWrap/>
        <w:adjustRightInd/>
        <w:snapToGrid/>
        <w:spacing w:line="560" w:lineRule="exact"/>
        <w:ind w:right="0" w:firstLine="640" w:firstLineChars="200"/>
        <w:jc w:val="center"/>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rPr>
      </w:pPr>
    </w:p>
    <w:p>
      <w:pPr>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lang w:val="en-US" w:eastAsia="zh-CN"/>
        </w:rPr>
      </w:pPr>
      <w:r>
        <w:rPr>
          <w:rFonts w:hint="eastAsia" w:ascii="仿宋" w:hAnsi="仿宋" w:eastAsia="仿宋" w:cs="仿宋"/>
          <w:i w:val="0"/>
          <w:caps w:val="0"/>
          <w:color w:val="424242"/>
          <w:spacing w:val="0"/>
          <w:sz w:val="32"/>
          <w:szCs w:val="32"/>
          <w:lang w:val="en-US" w:eastAsia="zh-CN"/>
        </w:rPr>
        <w:t>附件2</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公共交通工具新型冠状病毒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一、预防控制措施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（一）非空调车的车窗应尽量打开，保持车内良好通风状态；密闭的空调车要开启换气扇及空调排风装置，以增加空气流通。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（二）保持车站、车厢内的卫生整洁，及时打扫卫生和清理垃圾。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（三）司机和乘务人员要戴一次性口罩（每4小时换一次），在上车入口提供一次性口罩。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（四）自觉有发热、咳嗽、乏力的人员建议不乘坐公共交通工具，普通乘客建议戴一次性口罩（每4小时换一次）。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（五）增加车站、车厢内清洁消毒频次，指派专人进行清洁消毒工作的督导检查，做好清洁消毒工作记录和标识。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六）司机等工作人员要实行健康监测，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（七）做好司乘人员工作与轮休安排，确保司乘人员得到足够休息。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（八）加强健康教育。设置新型冠状病毒感染的肺炎相关防控知识宣传栏。利用各种显示屏宣传新型冠状病毒和冬春季传染病防控。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二、日常清洁及预防性消毒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以清洁为主，预防性消毒为辅，应避免过度消毒，受到污染时随时进行清洁消毒。消毒方法如下：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（一）表面：可使用含氯消毒剂（有效氯浓度250 mg/L～500 mg/L）擦拭，作用30min，再用清水擦净。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（二）地面：可使用含氯消毒剂（有效氯浓度250 mg/L～500 mg/L）用拖布湿式拖拭，作用30min，再用清水洗净。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三、常见消毒剂及配制使用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（一）有效氯浓度500 mg/L的含氯消毒剂配制方法：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1.84消毒液（有效氯含量5%）：按消毒液：水为1:100比例稀释；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2.消毒粉（有效氯含量12-13%，20克/包）：1包消毒粉加4.8升水；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3.含氯泡腾片（有效氯含量480mg/片-580mg/片）：1片溶于1升水。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（二）75%乙醇消毒液：直接使用。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（三）其他消毒剂按产品标签标识以杀灭肠道致病菌的浓度进行配制和使用。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四、注意事项</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（一）含氯消毒剂有皮肤黏膜刺激性，配置和使用时建议佩戴口罩和手套，儿童请勿触碰。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（二）乙醇消毒液使用应远离火源。</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广东省新冠肺炎防控指挥办疫情防控组关于</w:t>
      </w: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印发《广东省大型群众性活动新冠肺炎疫情</w:t>
      </w: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常态化防控工作指引》的通知</w:t>
      </w:r>
    </w:p>
    <w:p>
      <w:pPr>
        <w:pStyle w:val="18"/>
        <w:widowControl/>
        <w:wordWrap/>
        <w:adjustRightInd/>
        <w:snapToGrid/>
        <w:spacing w:line="0" w:lineRule="atLeast"/>
        <w:jc w:val="center"/>
        <w:textAlignment w:val="auto"/>
        <w:outlineLvl w:val="9"/>
        <w:rPr>
          <w:rFonts w:hint="eastAsia" w:ascii="楷体" w:hAnsi="楷体" w:eastAsia="楷体" w:cs="楷体"/>
          <w:sz w:val="32"/>
          <w:szCs w:val="32"/>
        </w:rPr>
      </w:pPr>
      <w:r>
        <w:rPr>
          <w:rFonts w:hint="eastAsia" w:ascii="宋体" w:hAnsi="宋体" w:eastAsia="宋体" w:cs="宋体"/>
          <w:color w:val="000000"/>
          <w:sz w:val="44"/>
          <w:szCs w:val="44"/>
        </w:rPr>
        <w:br w:type="textWrapping"/>
      </w:r>
      <w:r>
        <w:rPr>
          <w:rFonts w:hint="eastAsia" w:ascii="楷体" w:hAnsi="楷体" w:eastAsia="楷体" w:cs="楷体"/>
          <w:color w:val="000000"/>
          <w:sz w:val="32"/>
          <w:szCs w:val="32"/>
        </w:rPr>
        <w:t>（粤卫疾控函〔2020〕196号）</w:t>
      </w:r>
    </w:p>
    <w:p>
      <w:pPr>
        <w:widowControl/>
        <w:wordWrap/>
        <w:adjustRightInd/>
        <w:snapToGrid/>
        <w:spacing w:line="560" w:lineRule="exact"/>
        <w:jc w:val="left"/>
        <w:textAlignment w:val="auto"/>
        <w:outlineLvl w:val="9"/>
        <w:rPr>
          <w:rFonts w:hint="eastAsia" w:ascii="仿宋_GB2312" w:hAnsi="仿宋_GB2312" w:eastAsia="仿宋_GB2312" w:cs="仿宋_GB2312"/>
          <w:sz w:val="32"/>
          <w:szCs w:val="32"/>
        </w:rPr>
      </w:pPr>
      <w:r>
        <w:rPr>
          <w:rFonts w:hint="eastAsia" w:ascii="宋体" w:hAnsi="宋体" w:eastAsia="宋体" w:cs="宋体"/>
          <w:color w:val="000000"/>
          <w:sz w:val="16"/>
          <w:szCs w:val="16"/>
        </w:rPr>
        <w:br w:type="textWrapping"/>
      </w:r>
      <w:r>
        <w:rPr>
          <w:rFonts w:hint="eastAsia" w:ascii="仿宋_GB2312" w:hAnsi="仿宋_GB2312" w:eastAsia="仿宋_GB2312" w:cs="仿宋_GB2312"/>
          <w:color w:val="000000"/>
          <w:sz w:val="32"/>
          <w:szCs w:val="32"/>
        </w:rPr>
        <w:t>各地级以上市新冠肺炎防控指挥办，省新冠肺炎防控指挥办疫情防控组各成员单位：</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为全面贯彻落实“外防输入，内防反弹”的总体防控策略，统筹推进疫情防控和经济社会发展，指导我省大型群众性活动新冠肺炎疫情常态化防控工作，我们组织编制了《广东省大型群众性活动新冠肺炎疫情常态化防控工作指引》。经省新冠肺炎防控指挥办同意，现印发给你们，请参照执行。</w:t>
      </w:r>
    </w:p>
    <w:p>
      <w:pPr>
        <w:widowControl/>
        <w:pBdr>
          <w:top w:val="none" w:color="auto" w:sz="0" w:space="0"/>
          <w:left w:val="none" w:color="auto" w:sz="0" w:space="0"/>
          <w:bottom w:val="none" w:color="auto" w:sz="0" w:space="0"/>
          <w:right w:val="none" w:color="auto" w:sz="0" w:space="0"/>
        </w:pBdr>
        <w:wordWrap/>
        <w:adjustRightInd/>
        <w:snapToGrid/>
        <w:spacing w:line="560" w:lineRule="exact"/>
        <w:jc w:val="righ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广东省新冠肺炎防控指挥办疫情防控组</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（代 章）</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2020年9月8日</w:t>
      </w: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广东省大型群众性活动新冠肺炎疫情常态化</w:t>
      </w:r>
    </w:p>
    <w:p>
      <w:pPr>
        <w:widowControl/>
        <w:pBdr>
          <w:top w:val="none" w:color="auto" w:sz="0" w:space="0"/>
          <w:left w:val="none" w:color="auto" w:sz="0" w:space="0"/>
          <w:bottom w:val="none" w:color="auto" w:sz="0" w:space="0"/>
          <w:right w:val="none" w:color="auto" w:sz="0" w:space="0"/>
        </w:pBdr>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防控工作指引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r>
        <w:rPr>
          <w:rFonts w:hint="eastAsia" w:ascii="宋体" w:hAnsi="宋体" w:eastAsia="宋体" w:cs="宋体"/>
          <w:color w:val="000000"/>
          <w:sz w:val="16"/>
          <w:szCs w:val="16"/>
        </w:rPr>
        <w:t>　　</w:t>
      </w:r>
      <w:r>
        <w:rPr>
          <w:rFonts w:hint="eastAsia" w:ascii="仿宋_GB2312" w:hAnsi="仿宋_GB2312" w:eastAsia="仿宋_GB2312" w:cs="仿宋_GB2312"/>
          <w:color w:val="000000"/>
          <w:sz w:val="32"/>
          <w:szCs w:val="32"/>
        </w:rPr>
        <w:t>根据国家和省委、省政府关于新冠肺炎疫情常态化防控工作部署，统筹推进疫情防控和经济社会发展，全面贯彻落实“外防输入，内防反弹”的总体策略，在严格落实疫情常态化防控工作各项要求基础上，安全有序做好我省大型群众性活动新冠肺炎疫情常态化防控工作，结合我省实际情况，制定本指引。</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一、总体要求</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深入贯彻落实《</w:t>
      </w: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 HYPERLINK "javascript:SLC(342057,0)" </w:instrText>
      </w:r>
      <w:r>
        <w:rPr>
          <w:rFonts w:hint="eastAsia" w:ascii="仿宋_GB2312" w:hAnsi="仿宋_GB2312" w:eastAsia="仿宋_GB2312" w:cs="仿宋_GB2312"/>
          <w:color w:val="000000"/>
          <w:sz w:val="32"/>
          <w:szCs w:val="32"/>
        </w:rPr>
        <w:fldChar w:fldCharType="separate"/>
      </w:r>
      <w:r>
        <w:rPr>
          <w:rStyle w:val="27"/>
          <w:rFonts w:hint="eastAsia" w:ascii="仿宋_GB2312" w:hAnsi="仿宋_GB2312" w:eastAsia="仿宋_GB2312" w:cs="仿宋_GB2312"/>
          <w:color w:val="000000"/>
          <w:sz w:val="32"/>
          <w:szCs w:val="32"/>
        </w:rPr>
        <w:t>国务院应对新型冠状病毒感染肺炎疫情联防联控机制关于做好新冠肺炎疫情常态化防控工作的指导意见</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国发明电〔2020〕14号）、《广东省新型冠状病毒肺炎疫情防控指挥部关于做好新冠肺炎疫情常态化防控工作的实施意见》（粤防疫指明电〔2020〕19号）有关要求，全面落实“外防输入、内防反弹”的总体防控策略，结合国家和省分区分级有关文件要求，处理好常态化下疫情防控和恢复正常活动秩序的关系，坚持“非必要不举办、防控优先”的原则，严防常态化下疫情在大型群众性活动内传播，保障群众的身体健康和生命安全。</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二、适用范围</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本指引适用于指导全省举办1000人（含）以上的大型群众性活动应对新冠肺炎疫情采取的防护措施。1000人以下的群众性活动由各地参照本指引实施。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三、基本原则</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非必要不举办，谁举办谁负责原则。按照“非必要不举办，谁举办谁负责”的原则，从严控制举办大型群众性活动；举办单位要落实主体责任，管理部门要落实监督责任，严格按照本指引的要求，将防控工作落实落细落小，确保疫情不在本地传播扩散。</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分级分类管理原则。根据疫情响应级别，结合活动特点和地区实际情况，针对来自市内、省内、跨省、境外不同区域和低、中、高不同等级风险地区的活动和人员，实行分级分类管理。审慎举办大型涉外活动。中、高风险地区禁止举办各种形式的大型群众性活动；低风险地区在做好各项防控措施前提下可举办必要的大型群众性活动。</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（三）动态调整原则。根据疫情形势变化和本地疫情风险评估情况，按照国家和省疫情防控要求，因地制宜、因时制宜，通过线上线下相结合等方式，动态调整大型群众性活动举办方式、规模和防控措施。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（四）“四强化一提倡”原则。人群聚集活动要做到强化进门测温扫码、强化人员流量管控、强化场所清洁通风消毒、强化人员健康管理和防控知识培训，提倡无现金支付。</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四、职责分工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举办地人民政府落实属地责任。各地人民政府对辖内各级党委政府举办的大型群众性活动疫情防控工作要落实属地责任，对本地疫情防控工作负总责，根据分区分级有关要求，做好本地疫情风险研判，组织当地疫情防控领导机构开展风险评估，并根据评估意见做好大型群众性活动的组织实施工作。</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（二）各相关部门按职责落实疫情防控责任。活动举办单位（主、承办单位，下同）承担疫情防控主体责任，属地业务主管部门落实疫情防控和安全保卫监管责任，属地卫生健康部门负责做好疫情防控技术指导。</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五、主要措施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（一）建立健全疫情防控机制。</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活动举办单位要设立疫情防控工作领导小组和疫情防控工作专班，主动对接属地卫生健康部门，认真制定并严格落实活动疫情防控方案和应急预案，建立场所内感染控制与隔离制度、流程并组织实施。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（二）落实活动举办单位防控责任。</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科学规划活动方案及场地布局。尽量选择室外通风良好的地点举办大型群众性活动，并按防控要求合理规划活动场地分区（测温区、活动区、应急医疗服务区、临时隔离间等）、布局及人员动线，各分区要有醒目的指引标识，要提出流量管控方案。活动现场要设置足够的洗手设备或免洗手消毒液。鼓励采取线上线下相结合的形式，压缩人员规模，缩短举办时间。</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控制人员规模和密度。根据场地规模控制活动人数，活动参加人员原则上控制在场所最大容纳人数的50%以内，实行预约分流、分批错峰入场等管控措施，引导活动人员有序进出，保持1米以上社交距离，尽量避免握手、拥抱等密切接触行为。</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3.做好防疫物资储备。根据活动规模和人员数量储备足够的疫情防控物资，包括消毒设备、消毒用品、口罩、手套、洗手液等。</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4.设置临时隔离观察间。根据参加活动人员和活动场所实际情况设置一定数量的临时医学观察点，用于初测体温≥37.3℃人员的体温复测和待送人员停留，单独隔离观察间用于不需要在医院隔离的具有发热等症状人员的隔离观察。观察点要设在相对独立、通风良好的房间，需配备1-2名工作人员，负责体温检测和发热人员的管理，并配备红外测温仪、水银温度计、一次性医用外科口罩、消毒纸巾、医用乳胶手套、快速手消毒剂、84消毒剂等物品。有条件的配备木制或铁制椅子，不宜配备不易消毒的布质材料沙发。</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（三）落实人员健康管理。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做好活动工作人员健康防护。活动举办单位负责安排专人负责健康监测工作，做好活动工作人员日常体温监测，如出现发热（≥37.3℃）、干咳等症状应及时报告并进行排查。活动现场工作人员分发的一次性医用口罩、消毒剂等防疫物品，按照每工作4-6小时更换一次的频率进行发放。工作人员自觉做好个人卫生防护，每日通过“粤康码”等小程序如实进行健康申报，科学佩戴口罩，加强手卫生。</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落实活动参加人员扫码测温。做好活动参加人员体温监测，通过红外测温门等设备确保体温检测准确性。对活动参加人员进行健康扫码或登记，可通过实名登记、预约入场等方式对活动人员进行人员管理，查验为红码或出现发热（≥37.3℃）、干咳等症状的人员，严禁参加活动。</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开展防疫知识培训宣传。开展岗前培训，使活动工作人员熟悉防疫要求和应急处置流程。通过活动现场海报、广播、电子屏等形式加强疫情防控知识宣传，增强活动参加人员个人防护意识，熟悉应急处置流程，主动配合疫情防控工作。引导活动参加人员按照《公众科学戴口罩指引（修订版）》（联防联控机制综发〔2020〕174号）科学佩戴口罩，做好个人防护，加强手卫生，注意咳嗽礼仪。</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（四）加强环境清洁消毒。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重点场所清洁消毒。保持环境整洁卫生，加强对活动场地、休息区域、接待区域、公共交通工具、公共卫生间、厢式电梯等重点场所通风消毒，并做好清洁消毒记录。电梯、空调通风系统、卫生间等重点场所设施卫生清洁消毒可参照《居家和公共场所卫生间预防新型冠状病毒感染的肺炎疫情卫生清洁消毒指引（第一版）》《广东省新冠肺炎疫情常态化防控期间公共电梯（扶梯）清洁消毒工作指引》《夏季空调运行管理与使用指引（修订版）》和《广东省新冠肺炎疫情常态化防控期间空调通风系统使用指引》执行。（相关指引可登录广东省卫生健康委官方网站下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垃圾收集处理。各类垃圾要分类收集，及时清运。普通垃圾放入黑色塑料袋，口罩等防护用品垃圾按照生活垃圾分类处理。垃圾筒及垃圾点周围无散落，垃圾存放点各类垃圾及时清运，垃圾无超时超量堆放。垃圾转运车、垃圾筒、垃圾点墙壁、地面保持清洁，每日活动结束后用含氯消毒剂喷洒或擦拭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3.环境表面清洁。对高频接触的物体表面，可用含氯消毒剂进行喷洒或擦拭消毒，对室内地面进行拖拭消毒。建议在每天活动开始前和结束后各消毒一次。</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（五）餐饮管理防控措施。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1.就餐区设置。活动现场原则上不安排就餐区。若需设立就餐区，应通过采取减少桌椅摆放、间隔1米、错位用餐等措施，适当加大就餐者之间的距离。</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2.加强食品卫生管理。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（1）食品加工制作符合要求。食品加工制作要符合《餐饮服务食品安全操作规范》规定。生熟食品分开加工和存放，在处理生肉、生水产品等食品时应格外小心，避免交叉污染。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（2）食品加工场所清洁卫生。具有安全合规的食品加工场所，定时对食品加工场所进行卫生清理，并保证避免消毒液、酒精等直接接触餐具、食材和菜品。</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（3）用餐提供公筷公勺餐具。为每桌客人提供双筷位勺或公筷公勺餐具，防止交叉污染。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（4）食品储藏防止交叉污染。加强肉、海鲜类等冷冻食品储藏安全，食品原材料坚持覆盖保鲜膜或加盖再进行储存，防止交叉污染。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3.用餐环境清洁卫生。做好炊具、餐具的清洁和消毒工作。垃圾分类处理，及时清运，做好就餐区通风消毒。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六、应急处置</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（一）加强值班值守和完善应急预案。进一步加强值班值守，随时保持信息渠道畅通。充分做好疫情相关突发事件应急处置准备，组织制订完善应急预案，一旦发生异常情况，及时启动应急预案。</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（二）疑似症状人员处置。如发现活动中有人员出现发热、干咳、乏力等新冠肺炎可疑症状时，应避免继续接触他人，做好防护并送当地发热门诊就诊排查。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病例处置。核酸筛查阳性病例在做好防护的前提下应立即转送当地指定医疗机构就诊排查，积极配合当地疾控中心做好流行病学调查，尽快查明可能的感染源；在当地疾控中心的指导下，依法依规、精准管控，科学划定防控区域范围至最小单位，果断采取限制性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（四）终末消毒。病例可能污染的相关场所在当地疾控中心指导下，进行终末消毒，空调通风系统进行清洗消毒。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（五）其他处置措施。密切接触者和场所管控按照最新防控方案和我省相关应急处置预案做好防控措施</w:t>
      </w:r>
      <w:r>
        <w:rPr>
          <w:rFonts w:hint="eastAsia" w:ascii="仿宋_GB2312" w:hAnsi="仿宋_GB2312" w:cs="仿宋_GB2312"/>
          <w:color w:val="000000"/>
          <w:sz w:val="32"/>
          <w:szCs w:val="32"/>
          <w:lang w:eastAsia="zh-CN"/>
        </w:rPr>
        <w:t>。</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4"/>
        <w:widowControl/>
        <w:pBdr>
          <w:top w:val="none" w:color="auto" w:sz="0" w:space="0"/>
          <w:left w:val="none" w:color="auto" w:sz="0" w:space="0"/>
          <w:bottom w:val="none" w:color="auto" w:sz="0" w:space="0"/>
          <w:right w:val="none" w:color="auto" w:sz="0" w:space="0"/>
        </w:pBdr>
        <w:spacing w:before="300" w:beforeAutospacing="0" w:after="0" w:afterAutospacing="0" w:line="0" w:lineRule="atLeast"/>
        <w:ind w:left="0" w:right="0"/>
        <w:jc w:val="center"/>
        <w:rPr>
          <w:rFonts w:hint="eastAsia" w:ascii="宋体" w:hAnsi="宋体" w:eastAsia="宋体" w:cs="宋体"/>
          <w:b w:val="0"/>
          <w:bCs w:val="0"/>
          <w:sz w:val="44"/>
          <w:szCs w:val="44"/>
        </w:rPr>
      </w:pPr>
      <w:r>
        <w:rPr>
          <w:rFonts w:hint="eastAsia" w:ascii="宋体" w:hAnsi="宋体" w:eastAsia="宋体" w:cs="宋体"/>
          <w:b w:val="0"/>
          <w:bCs w:val="0"/>
          <w:sz w:val="44"/>
          <w:szCs w:val="44"/>
        </w:rPr>
        <w:t>广东省新冠肺炎防控指挥办疫情防控组关于印发广东省月子服务机构新冠肺炎疫情常态化防控工作指引（第二版）的通知</w:t>
      </w:r>
    </w:p>
    <w:p>
      <w:pPr>
        <w:widowControl/>
        <w:pBdr>
          <w:top w:val="none" w:color="auto" w:sz="0" w:space="0"/>
          <w:left w:val="none" w:color="auto" w:sz="0" w:space="0"/>
          <w:bottom w:val="none" w:color="auto" w:sz="0" w:space="0"/>
          <w:right w:val="none" w:color="auto" w:sz="0" w:space="0"/>
        </w:pBdr>
        <w:shd w:val="clear" w:color="auto" w:fill="E8EDF1"/>
        <w:spacing w:before="180" w:beforeAutospacing="0" w:after="180" w:afterAutospacing="0"/>
        <w:ind w:left="0" w:right="0"/>
        <w:rPr>
          <w:rFonts w:hint="eastAsia" w:ascii="楷体_GB2312" w:hAnsi="楷体_GB2312" w:eastAsia="楷体_GB2312" w:cs="楷体_GB2312"/>
        </w:rPr>
      </w:pP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pPr>
      <w:r>
        <w:rPr>
          <w:sz w:val="24"/>
          <w:szCs w:val="24"/>
        </w:rPr>
        <w:t>粤卫疾控函〔2021〕13号</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pP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left"/>
        <w:rPr>
          <w:rFonts w:hint="eastAsia" w:ascii="仿宋_GB2312" w:hAnsi="仿宋_GB2312" w:cs="仿宋_GB2312"/>
          <w:sz w:val="32"/>
          <w:szCs w:val="32"/>
        </w:rPr>
      </w:pPr>
      <w:r>
        <w:rPr>
          <w:rFonts w:hint="eastAsia" w:ascii="仿宋_GB2312" w:hAnsi="仿宋_GB2312" w:cs="仿宋_GB2312"/>
          <w:sz w:val="32"/>
          <w:szCs w:val="32"/>
        </w:rPr>
        <w:t>各地级以上市新冠肺炎防控指挥办，省新冠肺炎防控指挥办疫情防控组各成员单位：</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left"/>
        <w:rPr>
          <w:rFonts w:hint="eastAsia" w:ascii="仿宋_GB2312" w:hAnsi="仿宋_GB2312" w:cs="仿宋_GB2312"/>
          <w:sz w:val="32"/>
          <w:szCs w:val="32"/>
        </w:rPr>
      </w:pPr>
      <w:r>
        <w:rPr>
          <w:rFonts w:hint="eastAsia" w:ascii="仿宋_GB2312" w:hAnsi="仿宋_GB2312" w:cs="仿宋_GB2312"/>
          <w:sz w:val="32"/>
          <w:szCs w:val="32"/>
        </w:rPr>
        <w:t>　　根据《国务院应对新型冠状病毒感染肺炎疫情联防联控机制关于做好新冠肺炎疫情常态化防控工作的指导意见》(国发明电〔2020〕14号)、《广东省新型冠状病毒肺炎疫情防控指挥部关于做好新冠肺炎疫情常态化防控工作的实施意见》(粤防疫指明电〔2020〕19号)、《广东省新冠肺炎防控指挥部关于进一步科学精准做好新冠肺炎疫情常态化防控工作的实施意见》和《广东省2021年春节期间新冠肺炎防控工作方案》文件精神，结合当前新冠肺炎疫情防控工作需要，我们组织对我省月子服务机构相关疫情防控工作指引进行了修订，形成《广东省月子服务机构新冠肺炎疫情常态化防控工作指引（第二版）》。现印发给你们，请参照执行。</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left"/>
        <w:rPr>
          <w:rFonts w:hint="eastAsia" w:ascii="仿宋_GB2312" w:hAnsi="仿宋_GB2312" w:cs="仿宋_GB2312"/>
          <w:sz w:val="32"/>
          <w:szCs w:val="32"/>
        </w:rPr>
      </w:pP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right"/>
        <w:rPr>
          <w:rFonts w:hint="eastAsia" w:ascii="仿宋_GB2312" w:hAnsi="仿宋_GB2312" w:cs="仿宋_GB2312"/>
          <w:sz w:val="32"/>
          <w:szCs w:val="32"/>
        </w:rPr>
      </w:pPr>
      <w:r>
        <w:rPr>
          <w:rFonts w:hint="eastAsia" w:ascii="仿宋_GB2312" w:hAnsi="仿宋_GB2312" w:cs="仿宋_GB2312"/>
          <w:sz w:val="32"/>
          <w:szCs w:val="32"/>
        </w:rPr>
        <w:t>　　广东省新冠肺炎防控指挥办疫情防控组</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right"/>
        <w:rPr>
          <w:rFonts w:hint="eastAsia" w:ascii="仿宋_GB2312" w:hAnsi="仿宋_GB2312" w:cs="仿宋_GB2312"/>
          <w:sz w:val="32"/>
          <w:szCs w:val="32"/>
        </w:rPr>
      </w:pPr>
      <w:r>
        <w:rPr>
          <w:rFonts w:hint="eastAsia" w:ascii="仿宋_GB2312" w:hAnsi="仿宋_GB2312" w:cs="仿宋_GB2312"/>
          <w:sz w:val="32"/>
          <w:szCs w:val="32"/>
        </w:rPr>
        <w:t>　　（代 章）</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right"/>
        <w:rPr>
          <w:rFonts w:hint="eastAsia" w:ascii="仿宋_GB2312" w:hAnsi="仿宋_GB2312" w:cs="仿宋_GB2312"/>
          <w:sz w:val="32"/>
          <w:szCs w:val="32"/>
        </w:rPr>
      </w:pPr>
      <w:r>
        <w:rPr>
          <w:rFonts w:hint="eastAsia" w:ascii="仿宋_GB2312" w:hAnsi="仿宋_GB2312" w:cs="仿宋_GB2312"/>
          <w:sz w:val="32"/>
          <w:szCs w:val="32"/>
        </w:rPr>
        <w:t>　　2021年1月24日</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pPr>
    </w:p>
    <w:p>
      <w:pPr>
        <w:pStyle w:val="6"/>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rFonts w:hint="eastAsia" w:ascii="宋体" w:hAnsi="宋体" w:eastAsia="宋体" w:cs="宋体"/>
          <w:b w:val="0"/>
          <w:bCs w:val="0"/>
          <w:sz w:val="44"/>
          <w:szCs w:val="44"/>
        </w:rPr>
      </w:pPr>
      <w:r>
        <w:rPr>
          <w:rFonts w:hint="eastAsia" w:ascii="宋体" w:hAnsi="宋体" w:eastAsia="宋体" w:cs="宋体"/>
          <w:b w:val="0"/>
          <w:bCs w:val="0"/>
          <w:sz w:val="44"/>
          <w:szCs w:val="44"/>
        </w:rPr>
        <w:t>广东省月子服务机构新冠肺炎疫情常态化防控工作指引（第二版）</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sz w:val="24"/>
          <w:szCs w:val="24"/>
        </w:rPr>
        <w:t>　　</w:t>
      </w:r>
      <w:r>
        <w:rPr>
          <w:rFonts w:hint="eastAsia" w:ascii="仿宋_GB2312" w:hAnsi="仿宋_GB2312" w:eastAsia="仿宋_GB2312" w:cs="仿宋_GB2312"/>
          <w:sz w:val="32"/>
          <w:szCs w:val="32"/>
        </w:rPr>
        <w:t>一、总体要求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机构要按照《国务院应对新型冠状病毒感染肺炎疫情联防联控机制关于做好新冠肺炎疫情常态化防控工作的指导意见》（国发明电〔2020〕14号）、《广东省新型冠状病毒肺炎疫情防控指挥部关于做好新冠肺炎疫情常态化防控工作的实施意见》（粤防疫指明电〔2020〕19号）、《广东省新冠肺炎防控指挥部关于进一步科学精准做好新冠肺炎疫情常态化防控工作的实施意见》和《广东省2021年春节期间新冠肺炎防控工作方案》要求，处理好常态化下疫情防控和正常经营服务的关系，防止常态化下疫情在月子服务机构范围内传播，保障人民群众身体健康和生命安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二、适用范围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本指引适用于全省提供妇女产后恢复服务的月子会所、月子中心等服务机构。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三、职责分工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地市党委政府要落实属地责任，对本地疫情防控工作负总责，根据分区分级有关要求，做好本地疫情研判及相关疫情防控工作。母婴服务类机构要继续落实高于社会面的管控措施，各月子服务机构落实疫情防控主体责任，主管部门落实监管责任，属地卫生健康部门负责提供技术指导。</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四、主要措施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（一）建立健全疫情防控机制。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各月子服务机构要设立疫情防控工作领导小组和健康管理员，主动对接属地卫生健康部门，制定并实施防控方案和应急预案。</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（二）做好物资储备。</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各机构需配备好各类防护用品和消毒物资，如口罩、防护服、护目镜、洗手液、消毒工具、消毒剂等。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（三）工作人员培训上岗。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各机构要按照常态化下疫情防控要求，对工作人员尤其是新聘用人员开展有针对性的培训和演练操作，确保工作人员上岗前掌握相关知识和技能，养成良好卫生习惯。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（四）人员健康及物品出入管理。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1.加强陪护人员管理。</w:t>
      </w:r>
      <w:r>
        <w:rPr>
          <w:rFonts w:hint="eastAsia" w:ascii="仿宋_GB2312" w:hAnsi="仿宋_GB2312" w:eastAsia="仿宋_GB2312" w:cs="仿宋_GB2312"/>
          <w:sz w:val="32"/>
          <w:szCs w:val="32"/>
        </w:rPr>
        <w:t>各机构要采取预约等方式限制访视人员数量，减少不必要的人员访视和陪护。原则上相对固定1名陪护人员，陪护人员和服务对象（产妇）需凭7日内核酸检测阴性结果入住。</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2.落实健康码管理要求。</w:t>
      </w:r>
      <w:r>
        <w:rPr>
          <w:rFonts w:hint="eastAsia" w:ascii="仿宋_GB2312" w:hAnsi="仿宋_GB2312" w:eastAsia="仿宋_GB2312" w:cs="仿宋_GB2312"/>
          <w:sz w:val="32"/>
          <w:szCs w:val="32"/>
        </w:rPr>
        <w:t>机构应在入口处设专人进行体温检测和监督落实扫“粤康码”等电子健康码，如发现体温异常（≥37.3℃）或红码、黄码人员，不得进入。对于无法出示健康码的人员，需凭7日内核酸检测阴性结果证明且体温正常方可进入。对返岗和新聘用的员工需进行新冠肺炎核酸检测，阴性方可上岗。要加强对工作人员行踪管理，最大限度减少前往人员密集区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3.严格外来物品管理。</w:t>
      </w:r>
      <w:r>
        <w:rPr>
          <w:rFonts w:hint="eastAsia" w:ascii="仿宋_GB2312" w:hAnsi="仿宋_GB2312" w:eastAsia="仿宋_GB2312" w:cs="仿宋_GB2312"/>
          <w:sz w:val="32"/>
          <w:szCs w:val="32"/>
        </w:rPr>
        <w:t>机构应减少后勤采购人员物资采购频次，尽量采取无接触送货上门等方式，杜绝进口冷链食品进入工作区域并使用。加强对快递物品的管理，推行无接触配送服务，对快递外包装进行消毒后方才交付给机构内收件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4.设立临时医学观察点和单独隔离观察间。</w:t>
      </w:r>
      <w:r>
        <w:rPr>
          <w:rFonts w:hint="eastAsia" w:ascii="仿宋_GB2312" w:hAnsi="仿宋_GB2312" w:eastAsia="仿宋_GB2312" w:cs="仿宋_GB2312"/>
          <w:sz w:val="32"/>
          <w:szCs w:val="32"/>
        </w:rPr>
        <w:t>各机构根据员工、服务对象数量和场所等实际情况可设置一定数量的临时医学观察点和单独隔离观察间，临时医学观察点用于初测体温（≥37.3℃）人员的体温复测和待送人员停留，单独隔离观察间用于不需要在医院隔离的具有发热等症状人员的隔离观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观察点要设在相对独立、通风良好的房间，需配备1—2名工作人员，负责体温检测和发热人员的管理，并配备红外测温仪、水银温度计、一次性医用外科口罩、消毒纸巾、医用乳胶手套、快速手消毒剂、84消毒剂等物品。有条件的配备木制或铁制椅子，不宜配备不易消毒的布质材料沙发。临时医学观察点的工作人员需穿工作服（白大衣）、佩戴一次性医用外科口罩、医用乳胶手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5.建立健康监测制度。</w:t>
      </w:r>
      <w:r>
        <w:rPr>
          <w:rFonts w:hint="eastAsia" w:ascii="仿宋_GB2312" w:hAnsi="仿宋_GB2312" w:eastAsia="仿宋_GB2312" w:cs="仿宋_GB2312"/>
          <w:sz w:val="32"/>
          <w:szCs w:val="32"/>
        </w:rPr>
        <w:t>安排专人对机构内工作人员、产妇、新生儿及陪护家属进行体温监测，每日实行晨检和晚检。如出现发热（≥37.3℃）、咳嗽、乏力等症状的人员，要立即引导到临时医学观察点，并按要求做好信息上报和就医排查工作，做到早发现、早报告、早隔离、早治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6.加强防控知识宣教。</w:t>
      </w:r>
      <w:r>
        <w:rPr>
          <w:rFonts w:hint="eastAsia" w:ascii="仿宋_GB2312" w:hAnsi="仿宋_GB2312" w:eastAsia="仿宋_GB2312" w:cs="仿宋_GB2312"/>
          <w:sz w:val="32"/>
          <w:szCs w:val="32"/>
        </w:rPr>
        <w:t>用健康提示、张贴宣传画、视频播放等多种方式，加强新冠肺炎防治知识科学宣传普及，引导员工和服务对象充分了解新冠肺炎防治知识，正确佩戴口罩、做好室内通风与消毒，学会正确的洗手方法。外出后需洗手更衣再接触新生儿，养成良好卫生习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7.鼓励开展心理健康服务。</w:t>
      </w:r>
      <w:r>
        <w:rPr>
          <w:rFonts w:hint="eastAsia" w:ascii="仿宋_GB2312" w:hAnsi="仿宋_GB2312" w:eastAsia="仿宋_GB2312" w:cs="仿宋_GB2312"/>
          <w:sz w:val="32"/>
          <w:szCs w:val="32"/>
        </w:rPr>
        <w:t>加强产妇心理调节，做好正面宣传教育，疏解焦虑恐惧情绪，引导其保持正常作息、规律生活。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8.合理控制人员密度。</w:t>
      </w:r>
      <w:r>
        <w:rPr>
          <w:rFonts w:hint="eastAsia" w:ascii="仿宋_GB2312" w:hAnsi="仿宋_GB2312" w:eastAsia="仿宋_GB2312" w:cs="仿宋_GB2312"/>
          <w:sz w:val="32"/>
          <w:szCs w:val="32"/>
        </w:rPr>
        <w:t>充分利用机构内空间，合理控制居住房间、活动室、办公区等区域内护理人员和服务对象数量，防止人员扎堆、聚集，降低人员接触密度。对于行政后勤类人员，可划定固定区域为活动范围，减少进入工作场所。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9.工作人员“非必要，不返乡”。</w:t>
      </w:r>
      <w:r>
        <w:rPr>
          <w:rFonts w:hint="eastAsia" w:ascii="仿宋_GB2312" w:hAnsi="仿宋_GB2312" w:eastAsia="仿宋_GB2312" w:cs="仿宋_GB2312"/>
          <w:sz w:val="32"/>
          <w:szCs w:val="32"/>
        </w:rPr>
        <w:t>建议工作人员春节期间尽量留粤过节，倡导“非必要，不返乡”。返乡员工回程后需自我隔离14天、且核酸检测为阴性者，方可返回工作岗位。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（五）做好个人防护。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1.工作人员个人防护。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（1）加强手部卫生。</w:t>
      </w:r>
      <w:r>
        <w:rPr>
          <w:rFonts w:hint="eastAsia" w:ascii="仿宋_GB2312" w:hAnsi="仿宋_GB2312" w:eastAsia="仿宋_GB2312" w:cs="仿宋_GB2312"/>
          <w:sz w:val="32"/>
          <w:szCs w:val="32"/>
        </w:rPr>
        <w:t>工作人员在岗期间应当经常洗手，或用有效的速干手消毒剂揉搓双手；有肉眼可见污染物时，应当使用洗手液在流动水下洗手；服务人员每次服务不同的客户之前必须洗手；在工作中避免用手或手套触碰眼睛。</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（2）科学佩戴口罩。</w:t>
      </w:r>
      <w:r>
        <w:rPr>
          <w:rFonts w:hint="eastAsia" w:ascii="仿宋_GB2312" w:hAnsi="仿宋_GB2312" w:eastAsia="仿宋_GB2312" w:cs="仿宋_GB2312"/>
          <w:sz w:val="32"/>
          <w:szCs w:val="32"/>
        </w:rPr>
        <w:t>工作人员在工作过程中应当全程佩戴口罩，在护理产妇及新生儿时不得摘下口罩。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（3）进入换鞋或消毒鞋底。</w:t>
      </w:r>
      <w:r>
        <w:rPr>
          <w:rFonts w:hint="eastAsia" w:ascii="仿宋_GB2312" w:hAnsi="仿宋_GB2312" w:eastAsia="仿宋_GB2312" w:cs="仿宋_GB2312"/>
          <w:sz w:val="32"/>
          <w:szCs w:val="32"/>
        </w:rPr>
        <w:t>员工进入工作间要更换鞋子或在门口消毒地垫踩踏鞋底消毒。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2.服务对象及陪护人员卫生防护。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新生儿主要是以被动防护为主，即靠母亲和护理人员的防护来间接保护新生儿，新生儿无需佩戴口罩。母亲及陪护人员要参照护理人员的做法做好个人卫生与防护，外出后洗手更衣再接触新生儿，母亲母乳喂养前做好手卫生，并保持局部卫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（六）公共区域及设施卫生要求。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1.通风换气。</w:t>
      </w:r>
      <w:r>
        <w:rPr>
          <w:rFonts w:hint="eastAsia" w:ascii="仿宋_GB2312" w:hAnsi="仿宋_GB2312" w:eastAsia="仿宋_GB2312" w:cs="仿宋_GB2312"/>
          <w:sz w:val="32"/>
          <w:szCs w:val="32"/>
        </w:rPr>
        <w:t>优先打开窗户，采用自然通风。有条件的可以开启排风扇等抽气装置以加强室内空气流动。应当保证厢式电梯的排气扇、地下车库通风系统运转正常。</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2.空调运行。</w:t>
      </w:r>
      <w:r>
        <w:rPr>
          <w:rFonts w:hint="eastAsia" w:ascii="仿宋_GB2312" w:hAnsi="仿宋_GB2312" w:eastAsia="仿宋_GB2312" w:cs="仿宋_GB2312"/>
          <w:sz w:val="32"/>
          <w:szCs w:val="32"/>
        </w:rPr>
        <w:t>要加强对空调通风系统的日常清洁与管理维护，定期对空调进风口、出风口消毒。使用集中空调时应确保足够的新风量，空调使用及清洁消毒参考《广东省新冠肺炎疫情常态化防控期间空调通风系统使用指引》执行（可登陆广东省卫生健康委官方网站下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3.公用物品。</w:t>
      </w:r>
      <w:r>
        <w:rPr>
          <w:rFonts w:hint="eastAsia" w:ascii="仿宋_GB2312" w:hAnsi="仿宋_GB2312" w:eastAsia="仿宋_GB2312" w:cs="仿宋_GB2312"/>
          <w:sz w:val="32"/>
          <w:szCs w:val="32"/>
        </w:rPr>
        <w:t>加强对室内公用设施和公共区域的门把手等高频接触物体表面的清洁消毒。供服务对象重复使用的物品，如餐饮具、毛巾等，要做到“一人一用一消毒”，应在大堂、电梯入口、前台等区域配备速干手消毒剂。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4.会议室、办公室、多功能厅、餐厅。</w:t>
      </w:r>
      <w:r>
        <w:rPr>
          <w:rFonts w:hint="eastAsia" w:ascii="仿宋_GB2312" w:hAnsi="仿宋_GB2312" w:eastAsia="仿宋_GB2312" w:cs="仿宋_GB2312"/>
          <w:sz w:val="32"/>
          <w:szCs w:val="32"/>
        </w:rPr>
        <w:t>保持办公区环境清洁，建议每日通风3次，每次20—30分钟，通风时注意保暖；工作人员应当佩戴口罩，交谈时保持1米以上距离；减少开会频次和时长；用餐及提供餐饮服务时严格防控要求，保持错位一米间距，外购食品和家属送餐的做到无接触配送和接收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5.垃圾收集处理。</w:t>
      </w:r>
      <w:r>
        <w:rPr>
          <w:rFonts w:hint="eastAsia" w:ascii="仿宋_GB2312" w:hAnsi="仿宋_GB2312" w:eastAsia="仿宋_GB2312" w:cs="仿宋_GB2312"/>
          <w:sz w:val="32"/>
          <w:szCs w:val="32"/>
        </w:rPr>
        <w:t>分类收集，及时清运。普通垃圾放入黑色塑料袋，口罩等防护用品垃圾按照生活垃圾分类处理。垃圾筒及垃圾点周围无散落，垃圾存放点各类垃圾及时清运，垃圾无超时超量堆放。清洁消毒。垃圾转运车和垃圾筒保持清洁，可定期用有效氯500mg/L的含氯消毒剂喷洒或擦拭消毒；垃圾点墙壁、地面应保持清洁，可定期用有效氯500mg/L的含氯消毒液喷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6.自动扶梯、厢式电梯。</w:t>
      </w:r>
      <w:r>
        <w:rPr>
          <w:rFonts w:hint="eastAsia" w:ascii="仿宋_GB2312" w:hAnsi="仿宋_GB2312" w:eastAsia="仿宋_GB2312" w:cs="仿宋_GB2312"/>
          <w:sz w:val="32"/>
          <w:szCs w:val="32"/>
        </w:rPr>
        <w:t>乘坐厢式电梯时应当佩戴口罩。厢式电梯的地面、侧壁应当保持清洁，每日消毒2次。电梯按钮、自动扶梯扶手等经常接触部位每日消毒应当不少于3次。具体参照《广东省新冠肺炎疫情常态化防控期间公共电梯（扶梯）清洁消毒工作指引》（可登陆广东省卫生健康委官方网站下载）执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7.公共卫生间。</w:t>
      </w:r>
      <w:r>
        <w:rPr>
          <w:rFonts w:hint="eastAsia" w:ascii="仿宋_GB2312" w:hAnsi="仿宋_GB2312" w:eastAsia="仿宋_GB2312" w:cs="仿宋_GB2312"/>
          <w:sz w:val="32"/>
          <w:szCs w:val="32"/>
        </w:rPr>
        <w:t>加强空气流通。确保洗手盆、地漏等水封隔离效果。参照《公共场所卫生间预防新型冠状病毒感染的肺炎疫情卫生间清洁消毒指引》（可登陆广东省卫生健康委官方网站下载）进行卫生清洁消毒，保持地面、墙壁清洁，洗手池无污垢，便池无粪便污物积累。每日做好相关消毒记录并公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8.地下车库。</w:t>
      </w:r>
      <w:r>
        <w:rPr>
          <w:rFonts w:hint="eastAsia" w:ascii="仿宋_GB2312" w:hAnsi="仿宋_GB2312" w:eastAsia="仿宋_GB2312" w:cs="仿宋_GB2312"/>
          <w:sz w:val="32"/>
          <w:szCs w:val="32"/>
        </w:rPr>
        <w:t>地下车库的地面应当保持清洁。停车取卡按键等人员经常接触部位每日消毒应当不少于3次。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五、应急处置要求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发现本地疫情后，按照《广东省多地发生本地新冠肺炎疫情应急处置工作方案（试行）》（粤卫应急函〔2020〕175号）、《广东省新冠肺炎本地疫情应急处置方案（试行）的通知》（粤卫应急函〔2020〕136号）要求，立即启动应急响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如发现工作人员、服务对象或陪护人员等出现发热、干咳、乏力等新冠肺炎可疑症状时，应当立即停止活动，避免继续接触他人，在临时医学观察点或单独隔离观察间执行隔离观察，做好防护并送当地定点医疗机构就诊排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机构如发现新冠肺炎病例（含确诊病例、疑似病例、无症状感染者），要积极配合当地疾控中心做好流行病调查，尽快查明可能的感染源；在当地疾控中心的指导下，依法依规、精准管控，科学划定防控区域范围至最小单位，果断采取限制性防控措施。相关场所在疾控中心指导下，进行终末消毒，并对空调通风系统进行清洗消毒，经评估合格后方可重新营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p>
    <w:p>
      <w:pPr>
        <w:widowControl w:val="0"/>
        <w:wordWrap/>
        <w:adjustRightInd/>
        <w:snapToGrid/>
        <w:spacing w:line="560" w:lineRule="exact"/>
        <w:ind w:left="0" w:right="0"/>
        <w:textAlignment w:val="auto"/>
        <w:rPr>
          <w:rFonts w:hint="default" w:ascii="仿宋" w:hAnsi="仿宋" w:eastAsia="仿宋" w:cs="仿宋"/>
          <w:b w:val="0"/>
          <w:bCs/>
          <w:i w:val="0"/>
          <w:caps w:val="0"/>
          <w:color w:val="000000"/>
          <w:spacing w:val="0"/>
          <w:sz w:val="32"/>
          <w:szCs w:val="32"/>
          <w:lang w:val="en-US" w:eastAsia="zh-CN"/>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wordWrap/>
        <w:adjustRightInd/>
        <w:snapToGrid/>
        <w:spacing w:line="560" w:lineRule="exact"/>
        <w:jc w:val="center"/>
        <w:textAlignment w:val="auto"/>
        <w:outlineLvl w:val="0"/>
        <w:rPr>
          <w:rFonts w:hint="eastAsia" w:ascii="宋体" w:hAnsi="宋体" w:eastAsia="宋体" w:cs="宋体"/>
          <w:sz w:val="44"/>
          <w:szCs w:val="44"/>
        </w:rPr>
      </w:pPr>
      <w:bookmarkStart w:id="992" w:name="_Toc13173"/>
      <w:r>
        <w:rPr>
          <w:rFonts w:hint="eastAsia" w:ascii="宋体" w:hAnsi="宋体" w:eastAsia="宋体" w:cs="宋体"/>
          <w:sz w:val="44"/>
          <w:szCs w:val="44"/>
        </w:rPr>
        <w:t>广东省公安厅关于依法严厉打击新型冠状病毒感染肺炎疫情防控期间违法犯罪的通告</w:t>
      </w:r>
      <w:bookmarkEnd w:id="992"/>
    </w:p>
    <w:p>
      <w:pPr>
        <w:wordWrap/>
        <w:adjustRightInd/>
        <w:snapToGrid/>
        <w:spacing w:line="560" w:lineRule="exact"/>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为贯彻落实中共中央、国务院和省委省政府关于新型冠状病毒感染肺炎疫情防控工作的部署，保障全省疫情防控系列措施落地实施，坚决打赢疫情防控阻击战，切实维护人民群众生命安全和身体健康，确保社会平稳有序，根据《中华人民共和国刑法》《中华人民共和国治安管理处罚法》《中华人民共和国传染病防治法》《中华人民共和国突发事件应对法》及相关司法解释等有关规定，现通告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一、依法严厉打击拒不配合防控措施的行为。拒不执行政府部门依法发布的防控措施，在公共场所不佩戴口罩，不听劝阻、扰乱公共秩序的，或者拒不配合卫生防疫、医疗卫生机构及街道、社区、村（居）委等组织、人员采取的体温检测、传染病调查、样本采集检测、环境卫生整治和病菌消杀等防控措施，不听劝阻的，按照《治安管理处罚法》有关规定从重处罚；暴力抗法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二、依法严厉打击拒不配合健康登记、隔离措施的行为。凡来自或者途经疫情重点地区的人员进入本省的，以及与上述人员、确诊或疑似新型冠状病毒感染肺炎病例有密切接触的人员，应主动接受体温检测，按照所在市、县（市、区）的有关要求如实进行健康登记，按照当地有关部门要求居家隔离观察或者集中隔离观察14天。对未按照规定主动登记报告，在工作人员询问时不如实告知，或者拒绝执行相关检测、居家隔离观察、集中隔离观察、隔离治疗措施，不听劝阻，构成违反治安管理行为的，按照《治安管理处罚法》有关规定从重处罚；引起新型冠状病毒传播或者有传播严重危险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三、依法严厉打击扰乱医疗秩序的行为。威胁、殴打医务人员，在医疗机构起哄闹事、无事生非，扰乱医疗秩序的，按照《治安管理处罚法》有关规定从重处罚；故意伤害医务人员，造成轻伤以上严重后果的，或者故意毁坏医务人员防护服、护目镜、防护口罩等防护装备，危害医务人员人身安全或者造成严重后果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四、依法严厉打击故意传播疾病的行为。明知已感染或者疑似感染新型冠状病毒的人员，故意出入公共场所，或者隐瞒情况与他人接触，危害公共安全或者造成严重后果的，依法从严追究刑事责任。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五、依法严厉打击制售假冒伪劣疫情防控产品的行为。制售假冒伪劣口罩、防护服、护目镜等医用器材，制售假劣防疫药品，生产、销售掺杂掺假、以假充真、以次充好的疫情防控产品，数额较大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六、依法严厉打击利用疫情进行诈骗的行为。通过电话、短信、微信、微博、网络平台等电信网络途径，以销售口罩、防护服、护目镜等防控产品、募集捐赠物资、在线诊断等方式进行诈骗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七、依法严厉打击利用疫情非法牟利的行为。经营者哄抬物价、囤积居奇、牟取暴利，严重扰乱市场秩序的，依法从严追究刑事责任。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八、依法严厉打击涉及疫情的造谣、传谣行为。散布疫情谣言，谎报疫情的，按照《治安管理处罚法》有关规定从重处罚；编造、故意传播、散布虚假疫情信息，造谣生事、起哄闹事，严重扰乱社会秩序或者造成公共秩序严重混乱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九、依法严厉打击非法收购、运输、出售野生动物等行为。非法猎捕、杀害、收购、运输、出售国家重点保护的珍贵、濒危野生动物及其制品的，依法从严追究刑事责任。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请广大群众积极向当地公安机关或拨打110报警电话举报涉及疫情防控的违法犯罪线索，共同维护公共卫生安全和社会治安秩序。本通告自发布之日起实施。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特此通告。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广东省公安厅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r>
        <w:rPr>
          <w:rFonts w:hint="eastAsia" w:ascii="仿宋" w:hAnsi="仿宋" w:eastAsia="仿宋" w:cs="仿宋"/>
          <w:i w:val="0"/>
          <w:caps w:val="0"/>
          <w:color w:val="424242"/>
          <w:spacing w:val="0"/>
          <w:sz w:val="32"/>
          <w:szCs w:val="32"/>
          <w:u w:val="none"/>
          <w:shd w:val="clear" w:color="080000" w:fill="FFFFFF"/>
        </w:rPr>
        <w:t>2020年2月5日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4"/>
        <w:widowControl/>
        <w:pBdr>
          <w:top w:val="none" w:color="auto" w:sz="0" w:space="0"/>
          <w:left w:val="none" w:color="auto" w:sz="0" w:space="0"/>
          <w:bottom w:val="none" w:color="auto" w:sz="0" w:space="0"/>
          <w:right w:val="none" w:color="auto" w:sz="0" w:space="0"/>
        </w:pBdr>
        <w:shd w:val="clear" w:color="auto" w:fill="FFFFFF"/>
        <w:wordWrap/>
        <w:adjustRightInd/>
        <w:snapToGrid/>
        <w:spacing w:before="300" w:beforeAutospacing="0" w:after="0" w:afterAutospacing="0" w:line="0" w:lineRule="atLeast"/>
        <w:ind w:left="0" w:right="0" w:firstLine="0"/>
        <w:jc w:val="center"/>
        <w:textAlignment w:val="auto"/>
        <w:outlineLvl w:val="0"/>
        <w:rPr>
          <w:rFonts w:hint="eastAsia" w:ascii="宋体" w:hAnsi="宋体" w:eastAsia="宋体" w:cs="宋体"/>
          <w:b w:val="0"/>
          <w:bCs w:val="0"/>
          <w:i w:val="0"/>
          <w:caps w:val="0"/>
          <w:color w:val="282828"/>
          <w:spacing w:val="0"/>
          <w:sz w:val="44"/>
          <w:szCs w:val="44"/>
        </w:rPr>
      </w:pPr>
      <w:r>
        <w:rPr>
          <w:rFonts w:hint="eastAsia" w:ascii="宋体" w:hAnsi="宋体" w:eastAsia="宋体" w:cs="宋体"/>
          <w:b w:val="0"/>
          <w:bCs w:val="0"/>
          <w:i w:val="0"/>
          <w:caps w:val="0"/>
          <w:color w:val="282828"/>
          <w:spacing w:val="0"/>
          <w:sz w:val="44"/>
          <w:szCs w:val="44"/>
          <w:shd w:val="clear" w:color="auto" w:fill="FFFFFF"/>
        </w:rPr>
        <w:t>广东省老龄工作办公室关于做好老年人冬春季新冠肺炎疫情防控工作的通知</w:t>
      </w:r>
    </w:p>
    <w:p>
      <w:pPr>
        <w:widowControl/>
        <w:pBdr>
          <w:top w:val="none" w:color="auto" w:sz="0" w:space="0"/>
          <w:left w:val="none" w:color="auto" w:sz="0" w:space="0"/>
          <w:bottom w:val="none" w:color="auto" w:sz="0" w:space="0"/>
          <w:right w:val="none" w:color="auto" w:sz="0" w:space="0"/>
        </w:pBdr>
        <w:shd w:val="clear" w:color="auto" w:fill="E8EDF1"/>
        <w:spacing w:before="180" w:beforeAutospacing="0" w:after="180" w:afterAutospacing="0"/>
        <w:ind w:left="0" w:right="0" w:firstLine="0"/>
        <w:rPr>
          <w:rFonts w:hint="eastAsia" w:ascii="微软雅黑" w:hAnsi="微软雅黑" w:eastAsia="微软雅黑" w:cs="微软雅黑"/>
          <w:i w:val="0"/>
          <w:caps w:val="0"/>
          <w:color w:val="282828"/>
          <w:spacing w:val="0"/>
          <w:sz w:val="21"/>
          <w:szCs w:val="21"/>
        </w:rPr>
      </w:pPr>
      <w:r>
        <w:rPr>
          <w:rFonts w:hint="eastAsia" w:ascii="微软雅黑" w:hAnsi="微软雅黑" w:eastAsia="微软雅黑" w:cs="微软雅黑"/>
          <w:i w:val="0"/>
          <w:caps w:val="0"/>
          <w:color w:val="282828"/>
          <w:spacing w:val="0"/>
          <w:kern w:val="2"/>
          <w:sz w:val="21"/>
          <w:szCs w:val="21"/>
          <w:lang w:val="en-US" w:eastAsia="zh-CN" w:bidi="ar-SA"/>
        </w:rPr>
        <w:pict>
          <v:rect id="_x0000_i1025" o:spt="1" style="height:1.5pt;width:720pt;" fillcolor="#282828" filled="t" o:preferrelative="t" stroked="f" coordsize="21600,21600" o:hr="t" o:hrstd="t" o:hrnoshade="t" o:hrpct="0" o:hralign="center">
            <v:path/>
            <v:fill on="t" focussize="0,0"/>
            <v:stroke on="f"/>
            <v:imagedata gain="65536f" blacklevel="0f" gamma="0" o:title=""/>
            <o:lock v:ext="edit" position="f" selection="f" grouping="f" rotation="f" cropping="f" text="f" aspectratio="f"/>
            <w10:wrap type="none"/>
            <w10:anchorlock/>
          </v:rect>
        </w:pic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rFonts w:hint="eastAsia" w:ascii="楷体_GB2312" w:hAnsi="楷体_GB2312" w:eastAsia="楷体_GB2312" w:cs="楷体_GB2312"/>
          <w:sz w:val="32"/>
          <w:szCs w:val="32"/>
        </w:rPr>
      </w:pPr>
      <w:r>
        <w:rPr>
          <w:rFonts w:hint="eastAsia" w:ascii="楷体_GB2312" w:hAnsi="楷体_GB2312" w:eastAsia="楷体_GB2312" w:cs="楷体_GB2312"/>
          <w:i w:val="0"/>
          <w:caps w:val="0"/>
          <w:color w:val="282828"/>
          <w:spacing w:val="0"/>
          <w:sz w:val="32"/>
          <w:szCs w:val="32"/>
          <w:shd w:val="clear" w:color="auto" w:fill="FFFFFF"/>
        </w:rPr>
        <w:t>粤老龄办函〔2021〕1号</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省老龄委各成员单位，各地级以上市卫生健康局（委）、老龄办：</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为深入贯彻习近平总书记关于疫情防控的重要指示批示精神，全面落实党中央、国务院、省委、省政府的有关决策部署，根据《全国老龄办关于做好老年人冬春季新冠肺炎疫情防控工作的通知》（全国老龄办函〔2021〕2号）要求，扎实做好我省老年人冬春季疫情防控工作，现就有关工作通知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一、高度重视老年人冬春季疫情防控工作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当前，全球疫情增速趋缓，但多国出现病毒变异毒株。我国局部地区聚集性疫情和零星病例不断出现，我省毗邻港澳，境外输入风险仍然较大。春节期间，人口流动性加大，疫情扩散风险增加，疫情防控面临重大考验。新冠肺炎疫情下，老年人尤其是患有基础性疾病的老年患者重症发生率和病亡率相对较高。各级各部门要充分认识当前疫情防控形势，从保护老年人的生命安全和身体健康的高度，主动作为，进一步压实“四方”责任，落实“四早”要求，精心织牢老年人疫情防控的防护网，切实维护好老年人的生命安全，全力巩固来之不易的防控成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二、深入广泛做好老年人的宣传倡导工作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各级各部门要运用老年人喜闻乐见、通俗易懂的宣传方式，大力宣传新冠病毒相关知识和冬春季疫情防控形势，号召老年人保持良好卫生习惯和健康生活方式，提高“人物同防”意识，避免非必要的出行，做到戴口罩、勤洗手、不聚集，保持室内通风，进行适宜的体育锻炼，努力降低新冠肺炎感染风险。按照《广东省新型冠状病毒感染的肺炎疫情防控指挥部办公室疫情防控组关于做好老年人新型冠状病毒感染的肺炎疫情防控工作的通知》（粤卫函〔2020〕7号）和《关于印发冬春季农村地区新冠肺炎疫情防控工作方案的通知》（联防联控机制综发〔2021〕11号）及当地疫情防控要求，指导老年人及其家庭成员配合做好核酸检测、居家健康监测等疫情防控措施，配合做好重点人员摸排和网格化管理，增强出现发热、干咳、咽痛、嗅（味）觉减退、腹泻等症状后就诊和第一时间报告意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三、扎实做好老年人照顾服务和权益保障工作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认真贯彻落实《国务院办公厅印发关于切实解决老年人运用智能技术困难实施方案的通知》（国办发〔2020〕45号）、《广东省卫生健康委员会 广东省中医药局关于切实做好老年人就医便利服务工作的通知》（粤卫老龄函〔2021〕2号）和《广东省老龄工作办公室关于开展“智慧助老”行动的通知》（粤老龄办〔2020〕2号）精神，会同协调有关单位，切实解决老年人在出行、就医、消费等日常生活中遇到的智能技术运用困难。有条件的地区和场所要为不使用智能手机的老年人设立“无健康码通道”，大力推广刷身份证核验“健康码”的“健康防疫核验系统”，做到身份证“秒级”通过，实现出行防疫两不误。不得将“健康码”作为人员通行的唯一凭证，对老年人可采取凭有效身份证件登记、持纸质证明通行、出示“通信行程卡”作为辅助行程证明等替代措施。开展“智慧助老”行动，建设老年友善医疗机构，帮助老年人解决运用智能技术困难。各级医疗机构应当提供一定比例的现场号源，保留挂号、缴费、打印检验报告等人工服务窗口，配备导医、志愿者、社会工作者等人员，为老年人提供就医指导服务；完善电话、网络、现场等多种预约挂号方式，畅通家人、亲友、家庭签约医生等代老年人预约挂号的渠道；简化网上办理就医服务流程，为老年人提供语音引导、人工咨询等服务。会同民政等部门，指导基层对高龄、独居、失能等困难老年人，包括因就地过年无法探望的老年人，做好摸底排查和走访探视，有针对性提供帮扶关爱，做到妥善照顾、服务到位。做好侵害老年人权益事件的舆情监测，及时协调有关部门妥善处理侵权案件，切实维护老年人合法权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四、切实加强各级老年人的健康服务保障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各级医疗卫生机构要在科学防控基础上，对于需要外出看病就医的老年人，确保老年患者及时、便利就诊；对于需要居家上门服务的老年人加强家庭医生签约服务，及时掌握老年人健康状况，督促慢性病老年患者加强血压、血糖自我监测，进行针对性指导。在落实疫情防控措施前提下，根据《关于加强老年人居家医疗服务工作的通知》(国卫办医发〔2020〕24号)和《广东省老年人居家医疗健康服务工作指引》（粤卫老龄函〔2020〕2号）要求，重点对有居家医疗服务需求且行动不便的高龄或失能老年人，慢性病、疾病康复期或终末期、出院后仍需医疗服务的老年患者提供诊疗服务、医疗护理、药学服务、中医服务、康复治疗、安宁疗护等上门服务。对老年新冠肺炎患者，要做好全力救治、指导康复和心理疏导等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五、毫不放松抓好机构内老年人的疫情防控工作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养老机构和医养结合机构要严格执行国务院应对新型冠状病毒肺炎疫情联防联控机制综合组《关于进一步做好医养结合机构新冠肺炎疫情防控工作的通知》（肺炎机制综发〔2020〕67号）和《广东省新冠肺炎防控指挥办疫情防控组关于印发&lt;广东省各类风险新冠肺炎疫情常态化防控工作要点&gt;的通知》（粤卫疾控函〔2021〕1号）等相关新冠肺炎疫情防控和传染病防控有关工作要求，扎实抓好疫情防控工作。鼓励引导老年人尽量留在养老机构内过年。合理安排春节期间探亲探访，妥善处理群众接亲友回家过节等情况，落实国家和省防控部门相关要求，必要时实行封闭管理。要强化机构人员出入管理，严格规范服务对象接收流程，暂停志愿服务和社会实践等活动。采取严格的环境监测和卫生防范措施，做好日常防护和健康监测。按照当地疫情防控要求，适时开展工作人员和老年人的核酸检测等工作。严格执行隔离观察措施。医养结合机构要妥善安排对内对外服务，完善门诊急诊预检分诊管理，有条件的可开展分时段预约诊疗和互联网诊疗，切实消除机构内交叉感染风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六、进一步加大保障和协调督促力度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各级老龄办要进一步协调督促相关部门落实落细老年人疫情防控措施，扎实抓好防控工作。及时协调保障服务老年人的医护力量和防护物资，满足疫情防控需要。对于驻点指导、值班值守的一线医务人员，按照国务院联防联控机制《关于做好新冠肺炎疫情防控一线医务人员亲属关爱服务工作的通知》要求，做好其老年亲属的健康、托养和生活服务。广泛动员涉老社会组织、志愿服务组织积极参与疫情防控工作。各级各有关部门要加强对老年人疫情防控工作的指导检查，发现问题要及时督促整改。省卫生健康委将不定期开展检查、暗访和情况调度，视情通报检查结果。对发生负面影响的属地和单位将通报批评、严肃追责问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righ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广东省老龄工作办公室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lang w:val="en-US" w:eastAsia="zh-CN"/>
        </w:rPr>
        <w:t xml:space="preserve">                                       </w:t>
      </w:r>
      <w:r>
        <w:rPr>
          <w:rFonts w:hint="eastAsia" w:ascii="仿宋_GB2312" w:hAnsi="仿宋_GB2312" w:eastAsia="仿宋_GB2312" w:cs="仿宋_GB2312"/>
          <w:i w:val="0"/>
          <w:caps w:val="0"/>
          <w:color w:val="282828"/>
          <w:spacing w:val="0"/>
          <w:sz w:val="32"/>
          <w:szCs w:val="32"/>
          <w:shd w:val="clear" w:color="auto" w:fill="FFFFFF"/>
        </w:rPr>
        <w:t>2021年2月10</w:t>
      </w:r>
      <w:r>
        <w:rPr>
          <w:rFonts w:hint="eastAsia" w:ascii="仿宋_GB2312" w:hAnsi="仿宋_GB2312" w:eastAsia="仿宋_GB2312" w:cs="仿宋_GB2312"/>
          <w:i w:val="0"/>
          <w:caps w:val="0"/>
          <w:color w:val="282828"/>
          <w:spacing w:val="0"/>
          <w:sz w:val="32"/>
          <w:szCs w:val="32"/>
          <w:shd w:val="clear" w:color="auto" w:fill="FFFFFF"/>
          <w:lang w:eastAsia="zh-CN"/>
        </w:rPr>
        <w:t>日</w:t>
      </w:r>
    </w:p>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u w:val="none"/>
          <w:shd w:val="clear" w:color="080000" w:fill="FFFFFF"/>
        </w:rPr>
      </w:pP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sectPr>
      <w:footerReference r:id="rId8" w:type="default"/>
      <w:footerReference r:id="rId9" w:type="even"/>
      <w:pgSz w:w="11850" w:h="16783"/>
      <w:pgMar w:top="1984" w:right="1417" w:bottom="1871" w:left="1587" w:header="851" w:footer="1361" w:gutter="0"/>
      <w:pgNumType w:fmt="decimal" w:start="1"/>
      <w:cols w:space="720" w:num="1"/>
      <w:rtlGutter w:val="0"/>
      <w:docGrid w:type="lines" w:linePitch="44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方正仿宋_GBK">
    <w:panose1 w:val="03000509000000000000"/>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华文楷体">
    <w:altName w:val="楷体_GB2312"/>
    <w:panose1 w:val="02010600040101010101"/>
    <w:charset w:val="86"/>
    <w:family w:val="auto"/>
    <w:pitch w:val="default"/>
    <w:sig w:usb0="00000000" w:usb1="0000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rPr>
        <w:rFonts w:hint="eastAsia" w:ascii="宋体" w:hAnsi="宋体" w:eastAsia="宋体" w:cs="宋体"/>
        <w:sz w:val="28"/>
        <w:szCs w:val="28"/>
        <w:lang w:val="en-US" w:eastAsia="zh-CN"/>
      </w:rPr>
    </w:pPr>
    <w:r>
      <w:rPr>
        <w:rFonts w:hint="eastAsia" w:ascii="宋体" w:hAnsi="宋体" w:eastAsia="宋体" w:cs="宋体"/>
        <w:sz w:val="28"/>
        <w:szCs w:val="28"/>
        <w:lang w:eastAsia="zh-CN"/>
      </w:rPr>
      <w:tab/>
    </w: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280" w:firstLineChars="1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6"/>
        <w:snapToGrid w:val="0"/>
        <w:rPr>
          <w:sz w:val="32"/>
          <w:szCs w:val="32"/>
        </w:rPr>
      </w:pPr>
      <w:r>
        <w:rPr>
          <w:rStyle w:val="28"/>
          <w:sz w:val="32"/>
          <w:szCs w:val="32"/>
        </w:rPr>
        <w:footnoteRef/>
      </w:r>
      <w:r>
        <w:rPr>
          <w:rFonts w:hint="eastAsia" w:ascii="楷体" w:hAnsi="楷体" w:eastAsia="楷体" w:cs="楷体"/>
          <w:color w:val="auto"/>
          <w:sz w:val="32"/>
          <w:szCs w:val="32"/>
          <w:shd w:val="clear" w:color="040000" w:fill="FFFFFF"/>
        </w:rPr>
        <w:fldChar w:fldCharType="begin"/>
      </w:r>
      <w:r>
        <w:rPr>
          <w:rFonts w:hint="eastAsia" w:ascii="楷体" w:hAnsi="楷体" w:eastAsia="楷体" w:cs="楷体"/>
          <w:color w:val="auto"/>
          <w:sz w:val="32"/>
          <w:szCs w:val="32"/>
          <w:shd w:val="clear" w:color="040000" w:fill="FFFFFF"/>
        </w:rPr>
        <w:instrText xml:space="preserve"> HYPERLINK "http://fagui.pkulaw.cn:18080/javascript:SLC(17010,0)" </w:instrText>
      </w:r>
      <w:r>
        <w:rPr>
          <w:rFonts w:hint="eastAsia" w:ascii="楷体" w:hAnsi="楷体" w:eastAsia="楷体" w:cs="楷体"/>
          <w:color w:val="auto"/>
          <w:sz w:val="32"/>
          <w:szCs w:val="32"/>
          <w:shd w:val="clear" w:color="040000" w:fill="FFFFFF"/>
        </w:rPr>
        <w:fldChar w:fldCharType="separate"/>
      </w:r>
      <w:r>
        <w:rPr>
          <w:rStyle w:val="27"/>
          <w:rFonts w:hint="eastAsia" w:ascii="楷体" w:hAnsi="楷体" w:eastAsia="楷体" w:cs="楷体"/>
          <w:color w:val="auto"/>
          <w:sz w:val="32"/>
          <w:szCs w:val="32"/>
          <w:shd w:val="clear" w:color="050000" w:fill="FFFFFF"/>
        </w:rPr>
        <w:t>刑法</w:t>
      </w:r>
      <w:r>
        <w:rPr>
          <w:rFonts w:hint="eastAsia" w:ascii="楷体" w:hAnsi="楷体" w:eastAsia="楷体" w:cs="楷体"/>
          <w:color w:val="auto"/>
          <w:sz w:val="32"/>
          <w:szCs w:val="32"/>
          <w:shd w:val="clear" w:color="040000" w:fill="FFFFFF"/>
        </w:rPr>
        <w:fldChar w:fldCharType="end"/>
      </w:r>
      <w:r>
        <w:rPr>
          <w:rFonts w:hint="eastAsia" w:ascii="楷体" w:hAnsi="楷体" w:eastAsia="楷体" w:cs="楷体"/>
          <w:color w:val="auto"/>
          <w:sz w:val="32"/>
          <w:szCs w:val="32"/>
          <w:shd w:val="clear" w:color="040000" w:fill="FFFFFF"/>
        </w:rPr>
        <w:t>、历次</w:t>
      </w:r>
      <w:r>
        <w:rPr>
          <w:rFonts w:hint="eastAsia" w:ascii="楷体" w:hAnsi="楷体" w:eastAsia="楷体" w:cs="楷体"/>
          <w:color w:val="auto"/>
          <w:sz w:val="32"/>
          <w:szCs w:val="32"/>
          <w:shd w:val="clear" w:color="040000" w:fill="FFFFFF"/>
        </w:rPr>
        <w:fldChar w:fldCharType="begin"/>
      </w:r>
      <w:r>
        <w:rPr>
          <w:rFonts w:hint="eastAsia" w:ascii="楷体" w:hAnsi="楷体" w:eastAsia="楷体" w:cs="楷体"/>
          <w:color w:val="auto"/>
          <w:sz w:val="32"/>
          <w:szCs w:val="32"/>
          <w:shd w:val="clear" w:color="040000" w:fill="FFFFFF"/>
        </w:rPr>
        <w:instrText xml:space="preserve"> HYPERLINK "http://fagui.pkulaw.cn:18080/javascript:SLC(24095,0)" </w:instrText>
      </w:r>
      <w:r>
        <w:rPr>
          <w:rFonts w:hint="eastAsia" w:ascii="楷体" w:hAnsi="楷体" w:eastAsia="楷体" w:cs="楷体"/>
          <w:color w:val="auto"/>
          <w:sz w:val="32"/>
          <w:szCs w:val="32"/>
          <w:shd w:val="clear" w:color="040000" w:fill="FFFFFF"/>
        </w:rPr>
        <w:fldChar w:fldCharType="separate"/>
      </w:r>
      <w:r>
        <w:rPr>
          <w:rStyle w:val="27"/>
          <w:rFonts w:hint="eastAsia" w:ascii="楷体" w:hAnsi="楷体" w:eastAsia="楷体" w:cs="楷体"/>
          <w:color w:val="auto"/>
          <w:sz w:val="32"/>
          <w:szCs w:val="32"/>
          <w:shd w:val="clear" w:color="050000" w:fill="FFFFFF"/>
        </w:rPr>
        <w:t>刑法修正案</w:t>
      </w:r>
      <w:r>
        <w:rPr>
          <w:rFonts w:hint="eastAsia" w:ascii="楷体" w:hAnsi="楷体" w:eastAsia="楷体" w:cs="楷体"/>
          <w:color w:val="auto"/>
          <w:sz w:val="32"/>
          <w:szCs w:val="32"/>
          <w:shd w:val="clear" w:color="040000" w:fill="FFFFFF"/>
        </w:rPr>
        <w:fldChar w:fldCharType="end"/>
      </w:r>
      <w:r>
        <w:rPr>
          <w:rFonts w:hint="eastAsia" w:ascii="楷体" w:hAnsi="楷体" w:eastAsia="楷体" w:cs="楷体"/>
          <w:color w:val="auto"/>
          <w:sz w:val="32"/>
          <w:szCs w:val="32"/>
          <w:shd w:val="clear" w:color="040000" w:fill="FFFFFF"/>
        </w:rPr>
        <w:t>、涉及修改</w:t>
      </w:r>
      <w:r>
        <w:rPr>
          <w:rFonts w:hint="eastAsia" w:ascii="楷体" w:hAnsi="楷体" w:eastAsia="楷体" w:cs="楷体"/>
          <w:color w:val="auto"/>
          <w:sz w:val="32"/>
          <w:szCs w:val="32"/>
          <w:shd w:val="clear" w:color="040000" w:fill="FFFFFF"/>
        </w:rPr>
        <w:fldChar w:fldCharType="begin"/>
      </w:r>
      <w:r>
        <w:rPr>
          <w:rFonts w:hint="eastAsia" w:ascii="楷体" w:hAnsi="楷体" w:eastAsia="楷体" w:cs="楷体"/>
          <w:color w:val="auto"/>
          <w:sz w:val="32"/>
          <w:szCs w:val="32"/>
          <w:shd w:val="clear" w:color="040000" w:fill="FFFFFF"/>
        </w:rPr>
        <w:instrText xml:space="preserve"> HYPERLINK "http://fagui.pkulaw.cn:18080/javascript:SLC(17010,0)" </w:instrText>
      </w:r>
      <w:r>
        <w:rPr>
          <w:rFonts w:hint="eastAsia" w:ascii="楷体" w:hAnsi="楷体" w:eastAsia="楷体" w:cs="楷体"/>
          <w:color w:val="auto"/>
          <w:sz w:val="32"/>
          <w:szCs w:val="32"/>
          <w:shd w:val="clear" w:color="040000" w:fill="FFFFFF"/>
        </w:rPr>
        <w:fldChar w:fldCharType="separate"/>
      </w:r>
      <w:r>
        <w:rPr>
          <w:rStyle w:val="27"/>
          <w:rFonts w:hint="eastAsia" w:ascii="楷体" w:hAnsi="楷体" w:eastAsia="楷体" w:cs="楷体"/>
          <w:color w:val="auto"/>
          <w:sz w:val="32"/>
          <w:szCs w:val="32"/>
          <w:shd w:val="clear" w:color="050000" w:fill="FFFFFF"/>
        </w:rPr>
        <w:t>刑法</w:t>
      </w:r>
      <w:r>
        <w:rPr>
          <w:rFonts w:hint="eastAsia" w:ascii="楷体" w:hAnsi="楷体" w:eastAsia="楷体" w:cs="楷体"/>
          <w:color w:val="auto"/>
          <w:sz w:val="32"/>
          <w:szCs w:val="32"/>
          <w:shd w:val="clear" w:color="040000" w:fill="FFFFFF"/>
        </w:rPr>
        <w:fldChar w:fldCharType="end"/>
      </w:r>
      <w:r>
        <w:rPr>
          <w:rFonts w:hint="eastAsia" w:ascii="楷体" w:hAnsi="楷体" w:eastAsia="楷体" w:cs="楷体"/>
          <w:color w:val="auto"/>
          <w:sz w:val="32"/>
          <w:szCs w:val="32"/>
          <w:shd w:val="clear" w:color="040000" w:fill="FFFFFF"/>
        </w:rPr>
        <w:t>的决定的施行日期，分别依据各法律所规定的施行日期确定。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5"/>
      <w:numFmt w:val="chineseCounting"/>
      <w:suff w:val="nothing"/>
      <w:lvlText w:val="第%1章　"/>
      <w:lvlJc w:val="left"/>
      <w:rPr>
        <w:rFonts w:hint="eastAsia"/>
      </w:rPr>
    </w:lvl>
  </w:abstractNum>
  <w:abstractNum w:abstractNumId="1">
    <w:nsid w:val="0000000D"/>
    <w:multiLevelType w:val="singleLevel"/>
    <w:tmpl w:val="0000000D"/>
    <w:lvl w:ilvl="0" w:tentative="0">
      <w:start w:val="10"/>
      <w:numFmt w:val="chineseCounting"/>
      <w:suff w:val="space"/>
      <w:lvlText w:val="第%1章"/>
      <w:lvlJc w:val="left"/>
      <w:rPr>
        <w:rFonts w:hint="eastAsia"/>
      </w:rPr>
    </w:lvl>
  </w:abstractNum>
  <w:abstractNum w:abstractNumId="2">
    <w:nsid w:val="0000000F"/>
    <w:multiLevelType w:val="singleLevel"/>
    <w:tmpl w:val="0000000F"/>
    <w:lvl w:ilvl="0" w:tentative="0">
      <w:start w:val="5"/>
      <w:numFmt w:val="chineseCounting"/>
      <w:suff w:val="space"/>
      <w:lvlText w:val="第%1章"/>
      <w:lvlJc w:val="left"/>
    </w:lvl>
  </w:abstractNum>
  <w:abstractNum w:abstractNumId="3">
    <w:nsid w:val="00000010"/>
    <w:multiLevelType w:val="multilevel"/>
    <w:tmpl w:val="00000010"/>
    <w:lvl w:ilvl="0" w:tentative="0">
      <w:start w:val="1"/>
      <w:numFmt w:val="decimal"/>
      <w:lvlText w:val="%1"/>
      <w:lvlJc w:val="left"/>
      <w:pPr>
        <w:ind w:left="425" w:hanging="425"/>
      </w:pPr>
    </w:lvl>
    <w:lvl w:ilvl="1" w:tentative="0">
      <w:start w:val="1"/>
      <w:numFmt w:val="decimal"/>
      <w:pStyle w:val="39"/>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00000011"/>
    <w:multiLevelType w:val="singleLevel"/>
    <w:tmpl w:val="00000011"/>
    <w:lvl w:ilvl="0" w:tentative="0">
      <w:start w:val="6"/>
      <w:numFmt w:val="chineseCounting"/>
      <w:suff w:val="nothing"/>
      <w:lvlText w:val="第%1章"/>
      <w:lvlJc w:val="left"/>
    </w:lvl>
  </w:abstractNum>
  <w:abstractNum w:abstractNumId="5">
    <w:nsid w:val="00000012"/>
    <w:multiLevelType w:val="singleLevel"/>
    <w:tmpl w:val="00000012"/>
    <w:lvl w:ilvl="0" w:tentative="0">
      <w:start w:val="1"/>
      <w:numFmt w:val="chineseCounting"/>
      <w:suff w:val="space"/>
      <w:lvlText w:val="第%1章"/>
      <w:lvlJc w:val="left"/>
    </w:lvl>
  </w:abstractNum>
  <w:abstractNum w:abstractNumId="6">
    <w:nsid w:val="00000013"/>
    <w:multiLevelType w:val="singleLevel"/>
    <w:tmpl w:val="00000013"/>
    <w:lvl w:ilvl="0" w:tentative="0">
      <w:start w:val="2"/>
      <w:numFmt w:val="chineseCounting"/>
      <w:suff w:val="space"/>
      <w:lvlText w:val="第%1章"/>
      <w:lvlJc w:val="left"/>
    </w:lvl>
  </w:abstractNum>
  <w:abstractNum w:abstractNumId="7">
    <w:nsid w:val="00000014"/>
    <w:multiLevelType w:val="multilevel"/>
    <w:tmpl w:val="00000014"/>
    <w:lvl w:ilvl="0" w:tentative="0">
      <w:start w:val="2"/>
      <w:numFmt w:val="chineseCounting"/>
      <w:suff w:val="space"/>
      <w:lvlText w:val="第%1章"/>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0000015"/>
    <w:multiLevelType w:val="singleLevel"/>
    <w:tmpl w:val="00000015"/>
    <w:lvl w:ilvl="0" w:tentative="0">
      <w:start w:val="3"/>
      <w:numFmt w:val="chineseCounting"/>
      <w:suff w:val="nothing"/>
      <w:lvlText w:val="第%1章"/>
      <w:lvlJc w:val="left"/>
    </w:lvl>
  </w:abstractNum>
  <w:abstractNum w:abstractNumId="9">
    <w:nsid w:val="00000017"/>
    <w:multiLevelType w:val="singleLevel"/>
    <w:tmpl w:val="00000017"/>
    <w:lvl w:ilvl="0" w:tentative="0">
      <w:start w:val="9"/>
      <w:numFmt w:val="chineseCounting"/>
      <w:suff w:val="nothing"/>
      <w:lvlText w:val="第%1章"/>
      <w:lvlJc w:val="left"/>
    </w:lvl>
  </w:abstractNum>
  <w:abstractNum w:abstractNumId="10">
    <w:nsid w:val="00000018"/>
    <w:multiLevelType w:val="singleLevel"/>
    <w:tmpl w:val="00000018"/>
    <w:lvl w:ilvl="0" w:tentative="0">
      <w:start w:val="3"/>
      <w:numFmt w:val="chineseCounting"/>
      <w:suff w:val="nothing"/>
      <w:lvlText w:val="第%1章"/>
      <w:lvlJc w:val="left"/>
    </w:lvl>
  </w:abstractNum>
  <w:abstractNum w:abstractNumId="11">
    <w:nsid w:val="00000019"/>
    <w:multiLevelType w:val="singleLevel"/>
    <w:tmpl w:val="00000019"/>
    <w:lvl w:ilvl="0" w:tentative="0">
      <w:start w:val="1"/>
      <w:numFmt w:val="chineseCounting"/>
      <w:suff w:val="nothing"/>
      <w:lvlText w:val="第%1章"/>
      <w:lvlJc w:val="left"/>
    </w:lvl>
  </w:abstractNum>
  <w:abstractNum w:abstractNumId="12">
    <w:nsid w:val="0000001A"/>
    <w:multiLevelType w:val="singleLevel"/>
    <w:tmpl w:val="0000001A"/>
    <w:lvl w:ilvl="0" w:tentative="0">
      <w:start w:val="3"/>
      <w:numFmt w:val="chineseCounting"/>
      <w:suff w:val="nothing"/>
      <w:lvlText w:val="第%1章"/>
      <w:lvlJc w:val="left"/>
    </w:lvl>
  </w:abstractNum>
  <w:abstractNum w:abstractNumId="13">
    <w:nsid w:val="0000001B"/>
    <w:multiLevelType w:val="singleLevel"/>
    <w:tmpl w:val="0000001B"/>
    <w:lvl w:ilvl="0" w:tentative="0">
      <w:start w:val="1"/>
      <w:numFmt w:val="chineseCounting"/>
      <w:suff w:val="nothing"/>
      <w:lvlText w:val="第%1章"/>
      <w:lvlJc w:val="left"/>
    </w:lvl>
  </w:abstractNum>
  <w:abstractNum w:abstractNumId="14">
    <w:nsid w:val="0000001C"/>
    <w:multiLevelType w:val="singleLevel"/>
    <w:tmpl w:val="0000001C"/>
    <w:lvl w:ilvl="0" w:tentative="0">
      <w:start w:val="1"/>
      <w:numFmt w:val="chineseCounting"/>
      <w:suff w:val="nothing"/>
      <w:lvlText w:val="第%1章"/>
      <w:lvlJc w:val="left"/>
    </w:lvl>
  </w:abstractNum>
  <w:abstractNum w:abstractNumId="15">
    <w:nsid w:val="0000001D"/>
    <w:multiLevelType w:val="singleLevel"/>
    <w:tmpl w:val="0000001D"/>
    <w:lvl w:ilvl="0" w:tentative="0">
      <w:start w:val="10"/>
      <w:numFmt w:val="chineseCounting"/>
      <w:suff w:val="nothing"/>
      <w:lvlText w:val="第%1章"/>
      <w:lvlJc w:val="left"/>
    </w:lvl>
  </w:abstractNum>
  <w:abstractNum w:abstractNumId="16">
    <w:nsid w:val="0000001E"/>
    <w:multiLevelType w:val="singleLevel"/>
    <w:tmpl w:val="0000001E"/>
    <w:lvl w:ilvl="0" w:tentative="0">
      <w:start w:val="1"/>
      <w:numFmt w:val="chineseCounting"/>
      <w:suff w:val="nothing"/>
      <w:lvlText w:val="第%1章"/>
      <w:lvlJc w:val="left"/>
    </w:lvl>
  </w:abstractNum>
  <w:abstractNum w:abstractNumId="17">
    <w:nsid w:val="07EA8453"/>
    <w:multiLevelType w:val="singleLevel"/>
    <w:tmpl w:val="07EA8453"/>
    <w:lvl w:ilvl="0" w:tentative="0">
      <w:start w:val="7"/>
      <w:numFmt w:val="chineseCounting"/>
      <w:suff w:val="space"/>
      <w:lvlText w:val="第%1章"/>
      <w:lvlJc w:val="left"/>
      <w:rPr>
        <w:rFonts w:hint="eastAsia"/>
      </w:rPr>
    </w:lvl>
  </w:abstractNum>
  <w:abstractNum w:abstractNumId="18">
    <w:nsid w:val="5E2AEA79"/>
    <w:multiLevelType w:val="multilevel"/>
    <w:tmpl w:val="5E2AEA79"/>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
    <w:nsid w:val="5E2B198B"/>
    <w:multiLevelType w:val="multilevel"/>
    <w:tmpl w:val="5E2B198B"/>
    <w:lvl w:ilvl="0" w:tentative="0">
      <w:start w:val="3"/>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0">
    <w:nsid w:val="5E61FE13"/>
    <w:multiLevelType w:val="singleLevel"/>
    <w:tmpl w:val="5E61FE13"/>
    <w:lvl w:ilvl="0" w:tentative="0">
      <w:start w:val="5"/>
      <w:numFmt w:val="chineseCounting"/>
      <w:suff w:val="nothing"/>
      <w:lvlText w:val="%1、"/>
      <w:lvlJc w:val="left"/>
    </w:lvl>
  </w:abstractNum>
  <w:abstractNum w:abstractNumId="21">
    <w:nsid w:val="5FC60851"/>
    <w:multiLevelType w:val="singleLevel"/>
    <w:tmpl w:val="5FC60851"/>
    <w:lvl w:ilvl="0" w:tentative="0">
      <w:start w:val="4"/>
      <w:numFmt w:val="chineseCounting"/>
      <w:suff w:val="space"/>
      <w:lvlText w:val="第%1章"/>
      <w:lvlJc w:val="left"/>
    </w:lvl>
  </w:abstractNum>
  <w:num w:numId="1">
    <w:abstractNumId w:val="3"/>
  </w:num>
  <w:num w:numId="2">
    <w:abstractNumId w:val="20"/>
  </w:num>
  <w:num w:numId="3">
    <w:abstractNumId w:val="7"/>
  </w:num>
  <w:num w:numId="4">
    <w:abstractNumId w:val="1"/>
  </w:num>
  <w:num w:numId="5">
    <w:abstractNumId w:val="17"/>
  </w:num>
  <w:num w:numId="6">
    <w:abstractNumId w:val="9"/>
  </w:num>
  <w:num w:numId="7">
    <w:abstractNumId w:val="8"/>
  </w:num>
  <w:num w:numId="8">
    <w:abstractNumId w:val="14"/>
  </w:num>
  <w:num w:numId="9">
    <w:abstractNumId w:val="16"/>
  </w:num>
  <w:num w:numId="10">
    <w:abstractNumId w:val="11"/>
  </w:num>
  <w:num w:numId="11">
    <w:abstractNumId w:val="10"/>
  </w:num>
  <w:num w:numId="12">
    <w:abstractNumId w:val="15"/>
  </w:num>
  <w:num w:numId="13">
    <w:abstractNumId w:val="13"/>
  </w:num>
  <w:num w:numId="14">
    <w:abstractNumId w:val="12"/>
  </w:num>
  <w:num w:numId="15">
    <w:abstractNumId w:val="0"/>
  </w:num>
  <w:num w:numId="16">
    <w:abstractNumId w:val="2"/>
  </w:num>
  <w:num w:numId="17">
    <w:abstractNumId w:val="5"/>
  </w:num>
  <w:num w:numId="18">
    <w:abstractNumId w:val="6"/>
  </w:num>
  <w:num w:numId="19">
    <w:abstractNumId w:val="4"/>
  </w:num>
  <w:num w:numId="20">
    <w:abstractNumId w:val="21"/>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evenAndOddHeaders w:val="1"/>
  <w:drawingGridHorizontalSpacing w:val="160"/>
  <w:drawingGridVerticalSpacing w:val="22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000000"/>
    <w:rsid w:val="001E593A"/>
    <w:rsid w:val="010C5351"/>
    <w:rsid w:val="015518F7"/>
    <w:rsid w:val="01E8142F"/>
    <w:rsid w:val="024B7BD8"/>
    <w:rsid w:val="02C72738"/>
    <w:rsid w:val="0315371B"/>
    <w:rsid w:val="03283996"/>
    <w:rsid w:val="039B18CF"/>
    <w:rsid w:val="044F6BDC"/>
    <w:rsid w:val="0561453B"/>
    <w:rsid w:val="06A8541E"/>
    <w:rsid w:val="072333A6"/>
    <w:rsid w:val="0817341E"/>
    <w:rsid w:val="0915772E"/>
    <w:rsid w:val="094E002F"/>
    <w:rsid w:val="096F003B"/>
    <w:rsid w:val="099057E0"/>
    <w:rsid w:val="0AB5025C"/>
    <w:rsid w:val="0B8121AA"/>
    <w:rsid w:val="0BD75B06"/>
    <w:rsid w:val="0C2D2B20"/>
    <w:rsid w:val="0D1E5B2B"/>
    <w:rsid w:val="0D647CD1"/>
    <w:rsid w:val="0D9B70F6"/>
    <w:rsid w:val="0DC614E7"/>
    <w:rsid w:val="0EC17D80"/>
    <w:rsid w:val="0EFF35CD"/>
    <w:rsid w:val="0F4B1B26"/>
    <w:rsid w:val="0F861197"/>
    <w:rsid w:val="0F933F66"/>
    <w:rsid w:val="10741CA9"/>
    <w:rsid w:val="11667D6D"/>
    <w:rsid w:val="12A506FA"/>
    <w:rsid w:val="12D17E27"/>
    <w:rsid w:val="12E027D7"/>
    <w:rsid w:val="13BF4E52"/>
    <w:rsid w:val="146F4814"/>
    <w:rsid w:val="14DC331D"/>
    <w:rsid w:val="15AE445C"/>
    <w:rsid w:val="16103B32"/>
    <w:rsid w:val="16A050ED"/>
    <w:rsid w:val="16E55239"/>
    <w:rsid w:val="176D02E6"/>
    <w:rsid w:val="17882C11"/>
    <w:rsid w:val="183C44DF"/>
    <w:rsid w:val="190F20D3"/>
    <w:rsid w:val="19C20861"/>
    <w:rsid w:val="1A864B3D"/>
    <w:rsid w:val="1A9F2C03"/>
    <w:rsid w:val="1AAE74B5"/>
    <w:rsid w:val="1AB07A18"/>
    <w:rsid w:val="1BB0059E"/>
    <w:rsid w:val="1DE17F6D"/>
    <w:rsid w:val="1E572C8B"/>
    <w:rsid w:val="2011628C"/>
    <w:rsid w:val="20E74ECA"/>
    <w:rsid w:val="21782513"/>
    <w:rsid w:val="21D040F4"/>
    <w:rsid w:val="21D117CF"/>
    <w:rsid w:val="22965E80"/>
    <w:rsid w:val="22EB1061"/>
    <w:rsid w:val="25241B8A"/>
    <w:rsid w:val="26067709"/>
    <w:rsid w:val="26FB30BB"/>
    <w:rsid w:val="27836655"/>
    <w:rsid w:val="280C1C1D"/>
    <w:rsid w:val="281D3C41"/>
    <w:rsid w:val="2917617E"/>
    <w:rsid w:val="29930999"/>
    <w:rsid w:val="29E1115E"/>
    <w:rsid w:val="2BCC7F82"/>
    <w:rsid w:val="2C594386"/>
    <w:rsid w:val="2C78372E"/>
    <w:rsid w:val="2C7F72A8"/>
    <w:rsid w:val="2CCC07A7"/>
    <w:rsid w:val="2D7034DD"/>
    <w:rsid w:val="2DAC7E45"/>
    <w:rsid w:val="2E0A1294"/>
    <w:rsid w:val="2F7B558A"/>
    <w:rsid w:val="2F86449D"/>
    <w:rsid w:val="2FBA5AEF"/>
    <w:rsid w:val="2FF37D60"/>
    <w:rsid w:val="30A629C8"/>
    <w:rsid w:val="31060C61"/>
    <w:rsid w:val="31387284"/>
    <w:rsid w:val="31D829D8"/>
    <w:rsid w:val="32AB0CB9"/>
    <w:rsid w:val="336B1665"/>
    <w:rsid w:val="33D548BC"/>
    <w:rsid w:val="34AA62BC"/>
    <w:rsid w:val="355A1B9A"/>
    <w:rsid w:val="355E5FDE"/>
    <w:rsid w:val="358C1096"/>
    <w:rsid w:val="35CA1140"/>
    <w:rsid w:val="35F101CB"/>
    <w:rsid w:val="35F75693"/>
    <w:rsid w:val="36CC226B"/>
    <w:rsid w:val="370806F5"/>
    <w:rsid w:val="3BD510A5"/>
    <w:rsid w:val="3CA527DA"/>
    <w:rsid w:val="3D31301E"/>
    <w:rsid w:val="3E4248A2"/>
    <w:rsid w:val="3E9F6E85"/>
    <w:rsid w:val="3EB06CF8"/>
    <w:rsid w:val="3F2A6F74"/>
    <w:rsid w:val="3FAA2001"/>
    <w:rsid w:val="40A446C6"/>
    <w:rsid w:val="41A53B97"/>
    <w:rsid w:val="41F4126B"/>
    <w:rsid w:val="43527732"/>
    <w:rsid w:val="43E35579"/>
    <w:rsid w:val="442C4123"/>
    <w:rsid w:val="44B240CD"/>
    <w:rsid w:val="45BC2604"/>
    <w:rsid w:val="46731692"/>
    <w:rsid w:val="4698217B"/>
    <w:rsid w:val="46B9202E"/>
    <w:rsid w:val="46B9784A"/>
    <w:rsid w:val="4886322D"/>
    <w:rsid w:val="48A32564"/>
    <w:rsid w:val="4A5C5852"/>
    <w:rsid w:val="4B156D78"/>
    <w:rsid w:val="4B185C17"/>
    <w:rsid w:val="4B32242A"/>
    <w:rsid w:val="4BD200E2"/>
    <w:rsid w:val="4C4C7EB5"/>
    <w:rsid w:val="4C94161E"/>
    <w:rsid w:val="4D7E0D16"/>
    <w:rsid w:val="4D9A1AE4"/>
    <w:rsid w:val="4E6B40F9"/>
    <w:rsid w:val="4E943B4A"/>
    <w:rsid w:val="4EB17855"/>
    <w:rsid w:val="4EB865B4"/>
    <w:rsid w:val="51226609"/>
    <w:rsid w:val="51481F98"/>
    <w:rsid w:val="52161234"/>
    <w:rsid w:val="5362033F"/>
    <w:rsid w:val="53835F8C"/>
    <w:rsid w:val="545C7EF1"/>
    <w:rsid w:val="55F952C3"/>
    <w:rsid w:val="568E3622"/>
    <w:rsid w:val="56C35090"/>
    <w:rsid w:val="57AB0586"/>
    <w:rsid w:val="57B26855"/>
    <w:rsid w:val="57B31EBE"/>
    <w:rsid w:val="58E16FA0"/>
    <w:rsid w:val="58FD0F5B"/>
    <w:rsid w:val="59077C1F"/>
    <w:rsid w:val="5A1A076B"/>
    <w:rsid w:val="5AED2B12"/>
    <w:rsid w:val="5B192693"/>
    <w:rsid w:val="5C467657"/>
    <w:rsid w:val="5C8A2CE5"/>
    <w:rsid w:val="5CB833E0"/>
    <w:rsid w:val="5CD62955"/>
    <w:rsid w:val="5D314548"/>
    <w:rsid w:val="5D3402B3"/>
    <w:rsid w:val="5D585E2A"/>
    <w:rsid w:val="5D7137C3"/>
    <w:rsid w:val="5E2D6D58"/>
    <w:rsid w:val="5E662FA7"/>
    <w:rsid w:val="5EAD6223"/>
    <w:rsid w:val="5EE51311"/>
    <w:rsid w:val="5F57134C"/>
    <w:rsid w:val="606E165A"/>
    <w:rsid w:val="609F1529"/>
    <w:rsid w:val="6101653C"/>
    <w:rsid w:val="62D01C18"/>
    <w:rsid w:val="62DD6F12"/>
    <w:rsid w:val="62E03A0B"/>
    <w:rsid w:val="63CE4AFD"/>
    <w:rsid w:val="63E16E17"/>
    <w:rsid w:val="64D07607"/>
    <w:rsid w:val="657A3D03"/>
    <w:rsid w:val="67784263"/>
    <w:rsid w:val="680B6B2B"/>
    <w:rsid w:val="680C4A75"/>
    <w:rsid w:val="6A4E06DD"/>
    <w:rsid w:val="6AFD61D5"/>
    <w:rsid w:val="6C0A0567"/>
    <w:rsid w:val="6C0E61C3"/>
    <w:rsid w:val="6CEB6883"/>
    <w:rsid w:val="6D442618"/>
    <w:rsid w:val="717411A7"/>
    <w:rsid w:val="73F3087C"/>
    <w:rsid w:val="740272E9"/>
    <w:rsid w:val="7428645C"/>
    <w:rsid w:val="75124D44"/>
    <w:rsid w:val="75807784"/>
    <w:rsid w:val="76B851C0"/>
    <w:rsid w:val="76FC7267"/>
    <w:rsid w:val="775B72F5"/>
    <w:rsid w:val="77A715D9"/>
    <w:rsid w:val="77AD51D0"/>
    <w:rsid w:val="78677342"/>
    <w:rsid w:val="797B7F2C"/>
    <w:rsid w:val="7A0337FA"/>
    <w:rsid w:val="7A236015"/>
    <w:rsid w:val="7A955D3E"/>
    <w:rsid w:val="7AE95F94"/>
    <w:rsid w:val="7B466292"/>
    <w:rsid w:val="7C29335C"/>
    <w:rsid w:val="7C6E5E69"/>
    <w:rsid w:val="7CBC16D0"/>
    <w:rsid w:val="7D2A49F4"/>
    <w:rsid w:val="7E4240A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link w:val="51"/>
    <w:qFormat/>
    <w:uiPriority w:val="0"/>
    <w:pPr>
      <w:keepNext/>
      <w:keepLines/>
      <w:spacing w:before="340" w:after="330" w:line="578" w:lineRule="auto"/>
      <w:outlineLvl w:val="0"/>
    </w:pPr>
    <w:rPr>
      <w:rFonts w:eastAsia="仿宋_GB2312"/>
      <w:b/>
      <w:bCs/>
      <w:kern w:val="44"/>
      <w:sz w:val="44"/>
      <w:szCs w:val="44"/>
    </w:rPr>
  </w:style>
  <w:style w:type="paragraph" w:styleId="5">
    <w:name w:val="heading 2"/>
    <w:basedOn w:val="1"/>
    <w:next w:val="1"/>
    <w:link w:val="52"/>
    <w:qFormat/>
    <w:uiPriority w:val="0"/>
    <w:pPr>
      <w:keepNext/>
      <w:keepLines/>
      <w:spacing w:before="260" w:after="260" w:line="416" w:lineRule="auto"/>
      <w:ind w:firstLine="200" w:firstLineChars="200"/>
      <w:jc w:val="left"/>
      <w:outlineLvl w:val="1"/>
    </w:pPr>
    <w:rPr>
      <w:rFonts w:ascii="Cambria" w:hAnsi="Cambria"/>
      <w:b/>
      <w:bCs/>
      <w:kern w:val="2"/>
      <w:sz w:val="32"/>
      <w:szCs w:val="32"/>
    </w:rPr>
  </w:style>
  <w:style w:type="paragraph" w:styleId="6">
    <w:name w:val="heading 3"/>
    <w:basedOn w:val="1"/>
    <w:next w:val="1"/>
    <w:link w:val="53"/>
    <w:qFormat/>
    <w:uiPriority w:val="0"/>
    <w:pPr>
      <w:keepNext/>
      <w:keepLines/>
      <w:spacing w:before="260" w:after="260" w:line="416" w:lineRule="auto"/>
      <w:outlineLvl w:val="2"/>
    </w:pPr>
    <w:rPr>
      <w:rFonts w:eastAsia="仿宋_GB2312"/>
      <w:b/>
      <w:bCs/>
      <w:kern w:val="2"/>
      <w:sz w:val="32"/>
      <w:szCs w:val="32"/>
    </w:rPr>
  </w:style>
  <w:style w:type="character" w:default="1" w:styleId="21">
    <w:name w:val="Default Paragraph Font"/>
    <w:link w:val="22"/>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line="640" w:lineRule="exact"/>
    </w:pPr>
    <w:rPr>
      <w:rFonts w:ascii="仿宋_GB2312" w:hAnsi="宋体" w:eastAsia="仿宋_GB2312"/>
      <w:sz w:val="32"/>
    </w:rPr>
  </w:style>
  <w:style w:type="paragraph" w:styleId="7">
    <w:name w:val="Normal Indent"/>
    <w:basedOn w:val="1"/>
    <w:next w:val="1"/>
    <w:qFormat/>
    <w:uiPriority w:val="0"/>
    <w:pPr>
      <w:ind w:firstLine="420" w:firstLineChars="200"/>
    </w:pPr>
    <w:rPr>
      <w:rFonts w:ascii="Calibri" w:hAnsi="Calibri" w:eastAsia="宋体" w:cs="Times New Roman"/>
    </w:rPr>
  </w:style>
  <w:style w:type="paragraph" w:styleId="8">
    <w:name w:val="Salutation"/>
    <w:basedOn w:val="1"/>
    <w:next w:val="1"/>
    <w:qFormat/>
    <w:uiPriority w:val="0"/>
    <w:pPr>
      <w:jc w:val="center"/>
    </w:pPr>
    <w:rPr>
      <w:rFonts w:eastAsia="楷体"/>
      <w:sz w:val="32"/>
    </w:rPr>
  </w:style>
  <w:style w:type="paragraph" w:styleId="9">
    <w:name w:val="Body Text Indent"/>
    <w:basedOn w:val="1"/>
    <w:qFormat/>
    <w:uiPriority w:val="0"/>
    <w:pPr>
      <w:spacing w:after="120" w:afterLines="0"/>
      <w:ind w:left="420" w:leftChars="200"/>
    </w:p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eastAsia="宋体" w:cs="Courier New"/>
      <w:szCs w:val="21"/>
    </w:rPr>
  </w:style>
  <w:style w:type="paragraph" w:styleId="12">
    <w:name w:val="footer"/>
    <w:basedOn w:val="1"/>
    <w:link w:val="55"/>
    <w:qFormat/>
    <w:uiPriority w:val="0"/>
    <w:pPr>
      <w:tabs>
        <w:tab w:val="center" w:pos="4153"/>
        <w:tab w:val="right" w:pos="8306"/>
      </w:tabs>
      <w:snapToGrid w:val="0"/>
      <w:jc w:val="left"/>
    </w:pPr>
    <w:rPr>
      <w:rFonts w:eastAsia="仿宋_GB2312"/>
      <w:kern w:val="2"/>
      <w:sz w:val="18"/>
      <w:szCs w:val="18"/>
    </w:rPr>
  </w:style>
  <w:style w:type="paragraph" w:styleId="13">
    <w:name w:val="header"/>
    <w:basedOn w:val="1"/>
    <w:link w:val="56"/>
    <w:qFormat/>
    <w:uiPriority w:val="0"/>
    <w:pPr>
      <w:pBdr>
        <w:bottom w:val="single" w:color="auto" w:sz="6" w:space="1"/>
      </w:pBdr>
      <w:tabs>
        <w:tab w:val="center" w:pos="4153"/>
        <w:tab w:val="right" w:pos="8306"/>
      </w:tabs>
      <w:snapToGrid w:val="0"/>
      <w:jc w:val="center"/>
    </w:pPr>
    <w:rPr>
      <w:rFonts w:eastAsia="仿宋_GB2312"/>
      <w:kern w:val="2"/>
      <w:sz w:val="18"/>
      <w:szCs w:val="18"/>
    </w:rPr>
  </w:style>
  <w:style w:type="paragraph" w:styleId="14">
    <w:name w:val="toc 1"/>
    <w:basedOn w:val="1"/>
    <w:next w:val="1"/>
    <w:qFormat/>
    <w:uiPriority w:val="0"/>
  </w:style>
  <w:style w:type="paragraph" w:styleId="15">
    <w:name w:val="Subtitle"/>
    <w:basedOn w:val="1"/>
    <w:next w:val="1"/>
    <w:link w:val="57"/>
    <w:qFormat/>
    <w:uiPriority w:val="0"/>
    <w:pPr>
      <w:spacing w:before="240" w:after="60" w:line="312" w:lineRule="auto"/>
      <w:jc w:val="center"/>
      <w:outlineLvl w:val="1"/>
    </w:pPr>
    <w:rPr>
      <w:rFonts w:ascii="Cambria" w:hAnsi="Cambria" w:cs="Times New Roman"/>
      <w:b/>
      <w:bCs/>
      <w:kern w:val="28"/>
      <w:sz w:val="32"/>
      <w:szCs w:val="32"/>
    </w:rPr>
  </w:style>
  <w:style w:type="paragraph" w:styleId="16">
    <w:name w:val="footnote text"/>
    <w:basedOn w:val="1"/>
    <w:qFormat/>
    <w:uiPriority w:val="0"/>
    <w:pPr>
      <w:snapToGrid w:val="0"/>
      <w:jc w:val="left"/>
    </w:pPr>
    <w:rPr>
      <w:sz w:val="18"/>
    </w:rPr>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rPr>
  </w:style>
  <w:style w:type="paragraph" w:styleId="19">
    <w:name w:val="Title"/>
    <w:basedOn w:val="1"/>
    <w:next w:val="1"/>
    <w:link w:val="58"/>
    <w:qFormat/>
    <w:uiPriority w:val="0"/>
    <w:pPr>
      <w:spacing w:before="240" w:after="60"/>
      <w:jc w:val="center"/>
      <w:outlineLvl w:val="0"/>
    </w:pPr>
    <w:rPr>
      <w:rFonts w:ascii="Cambria" w:hAnsi="Cambria" w:cs="Times New Roman"/>
      <w:b/>
      <w:bCs/>
      <w:kern w:val="2"/>
      <w:sz w:val="32"/>
      <w:szCs w:val="32"/>
    </w:rPr>
  </w:style>
  <w:style w:type="paragraph" w:customStyle="1" w:styleId="22">
    <w:name w:val=" Char Char Char Char Char Char Char"/>
    <w:basedOn w:val="1"/>
    <w:link w:val="21"/>
    <w:qFormat/>
    <w:uiPriority w:val="0"/>
  </w:style>
  <w:style w:type="character" w:styleId="23">
    <w:name w:val="Strong"/>
    <w:basedOn w:val="21"/>
    <w:qFormat/>
    <w:uiPriority w:val="0"/>
    <w:rPr>
      <w:b/>
      <w:bCs/>
    </w:rPr>
  </w:style>
  <w:style w:type="character" w:styleId="24">
    <w:name w:val="page number"/>
    <w:basedOn w:val="21"/>
    <w:qFormat/>
    <w:uiPriority w:val="0"/>
    <w:rPr>
      <w:rFonts w:ascii="Times New Roman" w:hAnsi="Times New Roman" w:eastAsia="宋体"/>
    </w:rPr>
  </w:style>
  <w:style w:type="character" w:styleId="25">
    <w:name w:val="FollowedHyperlink"/>
    <w:qFormat/>
    <w:uiPriority w:val="0"/>
    <w:rPr>
      <w:color w:val="800080"/>
      <w:u w:val="single"/>
    </w:rPr>
  </w:style>
  <w:style w:type="character" w:styleId="26">
    <w:name w:val="Emphasis"/>
    <w:qFormat/>
    <w:uiPriority w:val="0"/>
    <w:rPr>
      <w:i/>
      <w:iCs/>
    </w:rPr>
  </w:style>
  <w:style w:type="character" w:styleId="27">
    <w:name w:val="Hyperlink"/>
    <w:basedOn w:val="21"/>
    <w:qFormat/>
    <w:uiPriority w:val="0"/>
    <w:rPr>
      <w:rFonts w:hint="default" w:ascii="ˎ̥" w:hAnsi="ˎ̥"/>
      <w:color w:val="0404B3"/>
      <w:sz w:val="18"/>
      <w:szCs w:val="18"/>
      <w:u w:val="none"/>
    </w:rPr>
  </w:style>
  <w:style w:type="character" w:styleId="28">
    <w:name w:val="footnote reference"/>
    <w:basedOn w:val="21"/>
    <w:qFormat/>
    <w:uiPriority w:val="0"/>
    <w:rPr>
      <w:vertAlign w:val="superscript"/>
    </w:rPr>
  </w:style>
  <w:style w:type="paragraph" w:customStyle="1" w:styleId="29">
    <w:name w:val=" Char"/>
    <w:basedOn w:val="1"/>
    <w:qFormat/>
    <w:uiPriority w:val="0"/>
  </w:style>
  <w:style w:type="paragraph" w:customStyle="1" w:styleId="30">
    <w:name w:val="Default"/>
    <w:qFormat/>
    <w:uiPriority w:val="0"/>
    <w:pPr>
      <w:widowControl w:val="0"/>
      <w:autoSpaceDE w:val="0"/>
      <w:autoSpaceDN w:val="0"/>
      <w:adjustRightInd w:val="0"/>
    </w:pPr>
    <w:rPr>
      <w:rFonts w:hint="eastAsia" w:ascii="方正仿宋_GBK" w:hAnsi="方正仿宋_GBK" w:eastAsia="方正仿宋_GBK" w:cs="Times New Roman"/>
      <w:color w:val="000000"/>
      <w:sz w:val="24"/>
      <w:szCs w:val="22"/>
      <w:lang w:val="en-US" w:eastAsia="zh-CN" w:bidi="ar-SA"/>
    </w:rPr>
  </w:style>
  <w:style w:type="paragraph" w:customStyle="1" w:styleId="31">
    <w:name w:val="Plain Text"/>
    <w:basedOn w:val="1"/>
    <w:link w:val="54"/>
    <w:qFormat/>
    <w:uiPriority w:val="0"/>
    <w:rPr>
      <w:rFonts w:ascii="宋体" w:hAnsi="Courier New" w:cs="Courier New"/>
      <w:kern w:val="2"/>
      <w:sz w:val="21"/>
      <w:szCs w:val="21"/>
    </w:rPr>
  </w:style>
  <w:style w:type="paragraph" w:customStyle="1" w:styleId="32">
    <w:name w:val="批注框文本1"/>
    <w:basedOn w:val="1"/>
    <w:qFormat/>
    <w:uiPriority w:val="0"/>
    <w:rPr>
      <w:sz w:val="18"/>
      <w:szCs w:val="18"/>
    </w:rPr>
  </w:style>
  <w:style w:type="paragraph" w:customStyle="1" w:styleId="33">
    <w:name w:val="Normal Indent"/>
    <w:basedOn w:val="1"/>
    <w:qFormat/>
    <w:uiPriority w:val="0"/>
    <w:pPr>
      <w:ind w:firstLine="420" w:firstLineChars="200"/>
    </w:pPr>
    <w:rPr>
      <w:rFonts w:ascii="Calibri" w:hAnsi="Calibri" w:eastAsia="宋体" w:cs="Times New Roman"/>
    </w:rPr>
  </w:style>
  <w:style w:type="paragraph" w:customStyle="1" w:styleId="34">
    <w:name w:val="Document Map"/>
    <w:basedOn w:val="1"/>
    <w:qFormat/>
    <w:uiPriority w:val="0"/>
    <w:pPr>
      <w:shd w:val="clear" w:color="auto" w:fill="000080"/>
    </w:pPr>
  </w:style>
  <w:style w:type="paragraph" w:customStyle="1" w:styleId="35">
    <w:name w:val="Body Text Indent"/>
    <w:basedOn w:val="1"/>
    <w:qFormat/>
    <w:uiPriority w:val="0"/>
    <w:pPr>
      <w:ind w:firstLine="640" w:firstLineChars="200"/>
    </w:pPr>
    <w:rPr>
      <w:rFonts w:eastAsia="华文行楷"/>
      <w:sz w:val="32"/>
    </w:rPr>
  </w:style>
  <w:style w:type="paragraph" w:customStyle="1" w:styleId="36">
    <w:name w:val="Body Text Indent 2"/>
    <w:basedOn w:val="1"/>
    <w:qFormat/>
    <w:uiPriority w:val="0"/>
    <w:pPr>
      <w:spacing w:after="120" w:line="480" w:lineRule="auto"/>
      <w:ind w:left="420" w:leftChars="200"/>
    </w:pPr>
  </w:style>
  <w:style w:type="paragraph" w:customStyle="1" w:styleId="37">
    <w:name w:val="Normal (Web)"/>
    <w:basedOn w:val="1"/>
    <w:qFormat/>
    <w:uiPriority w:val="0"/>
    <w:pPr>
      <w:spacing w:before="0" w:beforeAutospacing="1" w:after="0" w:afterAutospacing="1"/>
      <w:ind w:left="0" w:right="0"/>
      <w:jc w:val="left"/>
    </w:pPr>
    <w:rPr>
      <w:kern w:val="0"/>
      <w:sz w:val="24"/>
      <w:lang w:val="en-US" w:eastAsia="zh-CN"/>
    </w:rPr>
  </w:style>
  <w:style w:type="paragraph" w:customStyle="1" w:styleId="38">
    <w:name w:val="_Style 20"/>
    <w:basedOn w:val="4"/>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39">
    <w:name w:val="1.1"/>
    <w:basedOn w:val="6"/>
    <w:link w:val="61"/>
    <w:qFormat/>
    <w:uiPriority w:val="0"/>
    <w:pPr>
      <w:numPr>
        <w:ilvl w:val="1"/>
        <w:numId w:val="1"/>
      </w:numPr>
      <w:ind w:firstLine="0"/>
      <w:jc w:val="left"/>
    </w:pPr>
    <w:rPr>
      <w:rFonts w:ascii="Calibri" w:hAnsi="Calibri"/>
      <w:kern w:val="2"/>
      <w:sz w:val="30"/>
      <w:szCs w:val="32"/>
    </w:rPr>
  </w:style>
  <w:style w:type="paragraph" w:customStyle="1" w:styleId="40">
    <w:name w:val="_Style 9"/>
    <w:basedOn w:val="1"/>
    <w:next w:val="35"/>
    <w:qFormat/>
    <w:uiPriority w:val="0"/>
    <w:pPr>
      <w:ind w:firstLine="640" w:firstLineChars="200"/>
    </w:pPr>
    <w:rPr>
      <w:rFonts w:eastAsia="华文行楷"/>
      <w:sz w:val="32"/>
    </w:rPr>
  </w:style>
  <w:style w:type="paragraph" w:customStyle="1" w:styleId="41">
    <w:name w:val="_Style 1"/>
    <w:basedOn w:val="1"/>
    <w:next w:val="36"/>
    <w:qFormat/>
    <w:uiPriority w:val="0"/>
    <w:pPr>
      <w:ind w:firstLine="420"/>
    </w:pPr>
    <w:rPr>
      <w:rFonts w:eastAsia="仿宋_GB2312"/>
      <w:szCs w:val="20"/>
    </w:rPr>
  </w:style>
  <w:style w:type="paragraph" w:customStyle="1" w:styleId="42">
    <w:name w:val="_Style 7"/>
    <w:basedOn w:val="1"/>
    <w:next w:val="36"/>
    <w:qFormat/>
    <w:uiPriority w:val="0"/>
    <w:pPr>
      <w:spacing w:after="120" w:line="480" w:lineRule="auto"/>
      <w:ind w:left="420" w:leftChars="200"/>
    </w:pPr>
  </w:style>
  <w:style w:type="paragraph" w:customStyle="1" w:styleId="43">
    <w:name w:val="正文 New New"/>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customStyle="1" w:styleId="4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纯文本 New"/>
    <w:basedOn w:val="43"/>
    <w:qFormat/>
    <w:uiPriority w:val="0"/>
    <w:rPr>
      <w:rFonts w:ascii="宋体" w:hAnsi="Courier New" w:cs="Courier New"/>
      <w:szCs w:val="21"/>
    </w:rPr>
  </w:style>
  <w:style w:type="paragraph" w:customStyle="1" w:styleId="46">
    <w:name w:val="正文 New New New"/>
    <w:qFormat/>
    <w:uiPriority w:val="0"/>
    <w:pPr>
      <w:widowControl w:val="0"/>
      <w:jc w:val="both"/>
    </w:pPr>
    <w:rPr>
      <w:rFonts w:ascii="Times New Roman" w:hAnsi="Times New Roman" w:eastAsia="宋体" w:cs="黑体"/>
      <w:kern w:val="2"/>
      <w:sz w:val="21"/>
      <w:szCs w:val="24"/>
      <w:lang w:val="en-US" w:eastAsia="zh-CN" w:bidi="ar-SA"/>
    </w:rPr>
  </w:style>
  <w:style w:type="paragraph" w:customStyle="1" w:styleId="47">
    <w:name w:val="HTML 地址1"/>
    <w:qFormat/>
    <w:uiPriority w:val="0"/>
    <w:pPr>
      <w:widowControl w:val="0"/>
      <w:spacing w:before="100" w:beforeAutospacing="1" w:after="100" w:afterAutospacing="1"/>
      <w:jc w:val="left"/>
    </w:pPr>
    <w:rPr>
      <w:rFonts w:ascii="等线" w:hAnsi="等线" w:eastAsia="等线" w:cs="黑体"/>
      <w:kern w:val="2"/>
      <w:sz w:val="24"/>
      <w:szCs w:val="22"/>
      <w:lang w:val="en-US" w:eastAsia="zh-CN" w:bidi="ar-SA"/>
    </w:rPr>
  </w:style>
  <w:style w:type="paragraph" w:customStyle="1" w:styleId="48">
    <w:name w:val="普通(网站)1"/>
    <w:basedOn w:val="1"/>
    <w:qFormat/>
    <w:uiPriority w:val="0"/>
    <w:pPr>
      <w:spacing w:before="100" w:beforeAutospacing="1" w:after="100" w:afterAutospacing="1"/>
      <w:jc w:val="left"/>
    </w:pPr>
    <w:rPr>
      <w:rFonts w:ascii="Calibri" w:hAnsi="Calibri" w:eastAsia="宋体" w:cs="Times New Roman"/>
      <w:kern w:val="0"/>
      <w:sz w:val="24"/>
    </w:rPr>
  </w:style>
  <w:style w:type="paragraph" w:customStyle="1" w:styleId="49">
    <w:name w:val="p0"/>
    <w:basedOn w:val="50"/>
    <w:qFormat/>
    <w:uiPriority w:val="0"/>
    <w:pPr>
      <w:widowControl/>
    </w:pPr>
    <w:rPr>
      <w:rFonts w:hint="eastAsia" w:ascii="宋体" w:hAnsi="宋体"/>
      <w:sz w:val="32"/>
    </w:rPr>
  </w:style>
  <w:style w:type="paragraph" w:customStyle="1" w:styleId="50">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1">
    <w:name w:val="标题 1 Char"/>
    <w:link w:val="4"/>
    <w:semiHidden/>
    <w:qFormat/>
    <w:uiPriority w:val="0"/>
    <w:rPr>
      <w:rFonts w:eastAsia="仿宋_GB2312"/>
      <w:b/>
      <w:bCs/>
      <w:kern w:val="44"/>
      <w:sz w:val="44"/>
      <w:szCs w:val="44"/>
    </w:rPr>
  </w:style>
  <w:style w:type="character" w:customStyle="1" w:styleId="52">
    <w:name w:val="标题 2 Char"/>
    <w:link w:val="5"/>
    <w:semiHidden/>
    <w:qFormat/>
    <w:uiPriority w:val="0"/>
    <w:rPr>
      <w:rFonts w:ascii="Cambria" w:hAnsi="Cambria"/>
      <w:b/>
      <w:bCs/>
      <w:kern w:val="2"/>
      <w:sz w:val="32"/>
      <w:szCs w:val="32"/>
    </w:rPr>
  </w:style>
  <w:style w:type="character" w:customStyle="1" w:styleId="53">
    <w:name w:val="标题 3 Char"/>
    <w:link w:val="6"/>
    <w:semiHidden/>
    <w:qFormat/>
    <w:uiPriority w:val="0"/>
    <w:rPr>
      <w:rFonts w:eastAsia="仿宋_GB2312"/>
      <w:b/>
      <w:bCs/>
      <w:kern w:val="2"/>
      <w:sz w:val="32"/>
      <w:szCs w:val="32"/>
    </w:rPr>
  </w:style>
  <w:style w:type="character" w:customStyle="1" w:styleId="54">
    <w:name w:val="纯文本 Char"/>
    <w:link w:val="31"/>
    <w:semiHidden/>
    <w:qFormat/>
    <w:uiPriority w:val="0"/>
    <w:rPr>
      <w:rFonts w:ascii="宋体" w:hAnsi="Courier New" w:cs="Courier New"/>
      <w:kern w:val="2"/>
      <w:sz w:val="21"/>
      <w:szCs w:val="21"/>
    </w:rPr>
  </w:style>
  <w:style w:type="character" w:customStyle="1" w:styleId="55">
    <w:name w:val="页脚 Char"/>
    <w:link w:val="12"/>
    <w:semiHidden/>
    <w:qFormat/>
    <w:uiPriority w:val="0"/>
    <w:rPr>
      <w:rFonts w:eastAsia="仿宋_GB2312"/>
      <w:kern w:val="2"/>
      <w:sz w:val="18"/>
      <w:szCs w:val="18"/>
    </w:rPr>
  </w:style>
  <w:style w:type="character" w:customStyle="1" w:styleId="56">
    <w:name w:val="页眉 Char"/>
    <w:link w:val="13"/>
    <w:semiHidden/>
    <w:qFormat/>
    <w:uiPriority w:val="0"/>
    <w:rPr>
      <w:rFonts w:eastAsia="仿宋_GB2312"/>
      <w:kern w:val="2"/>
      <w:sz w:val="18"/>
      <w:szCs w:val="18"/>
    </w:rPr>
  </w:style>
  <w:style w:type="character" w:customStyle="1" w:styleId="57">
    <w:name w:val="副标题 Char"/>
    <w:link w:val="15"/>
    <w:semiHidden/>
    <w:qFormat/>
    <w:uiPriority w:val="0"/>
    <w:rPr>
      <w:rFonts w:ascii="Cambria" w:hAnsi="Cambria" w:cs="Times New Roman"/>
      <w:b/>
      <w:bCs/>
      <w:kern w:val="28"/>
      <w:sz w:val="32"/>
      <w:szCs w:val="32"/>
    </w:rPr>
  </w:style>
  <w:style w:type="character" w:customStyle="1" w:styleId="58">
    <w:name w:val="标题 Char"/>
    <w:link w:val="19"/>
    <w:semiHidden/>
    <w:qFormat/>
    <w:uiPriority w:val="0"/>
    <w:rPr>
      <w:rFonts w:ascii="Cambria" w:hAnsi="Cambria" w:cs="Times New Roman"/>
      <w:b/>
      <w:bCs/>
      <w:kern w:val="2"/>
      <w:sz w:val="32"/>
      <w:szCs w:val="32"/>
    </w:rPr>
  </w:style>
  <w:style w:type="character" w:customStyle="1" w:styleId="59">
    <w:name w:val="page number"/>
    <w:basedOn w:val="21"/>
    <w:qFormat/>
    <w:uiPriority w:val="0"/>
  </w:style>
  <w:style w:type="character" w:customStyle="1" w:styleId="60">
    <w:name w:val="纯文本 Char1"/>
    <w:qFormat/>
    <w:uiPriority w:val="0"/>
    <w:rPr>
      <w:rFonts w:ascii="宋体" w:hAnsi="Courier New" w:cs="Courier New"/>
      <w:kern w:val="2"/>
      <w:sz w:val="21"/>
      <w:szCs w:val="21"/>
    </w:rPr>
  </w:style>
  <w:style w:type="character" w:customStyle="1" w:styleId="61">
    <w:name w:val="1.1 Char Char"/>
    <w:link w:val="39"/>
    <w:semiHidden/>
    <w:qFormat/>
    <w:uiPriority w:val="0"/>
    <w:rPr>
      <w:rFonts w:ascii="Calibri" w:hAnsi="Calibri"/>
      <w:b/>
      <w:bCs/>
      <w:kern w:val="2"/>
      <w:sz w:val="30"/>
      <w:szCs w:val="32"/>
    </w:rPr>
  </w:style>
  <w:style w:type="character" w:customStyle="1" w:styleId="62">
    <w:name w:val="rec-time"/>
    <w:basedOn w:val="21"/>
    <w:qFormat/>
    <w:uiPriority w:val="0"/>
  </w:style>
  <w:style w:type="character" w:customStyle="1" w:styleId="63">
    <w:name w:val="rec-status-desc"/>
    <w:basedOn w:val="21"/>
    <w:qFormat/>
    <w:uiPriority w:val="0"/>
  </w:style>
  <w:style w:type="character" w:customStyle="1" w:styleId="64">
    <w:name w:val="rec-volume"/>
    <w:basedOn w:val="21"/>
    <w:qFormat/>
    <w:uiPriority w:val="0"/>
  </w:style>
  <w:style w:type="character" w:customStyle="1" w:styleId="65">
    <w:name w:val="font_fulltext1"/>
    <w:basedOn w:val="21"/>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2699</Pages>
  <Words>1246958</Words>
  <Characters>1254911</Characters>
  <Lines>132</Lines>
  <Paragraphs>37</Paragraphs>
  <TotalTime>7</TotalTime>
  <ScaleCrop>false</ScaleCrop>
  <LinksUpToDate>false</LinksUpToDate>
  <CharactersWithSpaces>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2019-01-10T14:20:00Z</dcterms:created>
  <dc:creator>Lenovo</dc:creator>
  <cp:lastModifiedBy>sqb</cp:lastModifiedBy>
  <cp:lastPrinted>2021-06-07T10:15:00Z</cp:lastPrinted>
  <dcterms:modified xsi:type="dcterms:W3CDTF">2024-03-26T07:38:38Z</dcterms:modified>
  <dc:title>YU</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