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2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leftChars="0" w:firstLine="0" w:firstLineChars="0"/>
        <w:jc w:val="both"/>
        <w:rPr>
          <w:rFonts w:hint="eastAsia" w:ascii="黑体" w:hAnsi="黑体" w:eastAsia="黑体" w:cs="仿宋_GB2312"/>
          <w:b w:val="0"/>
          <w:bCs w:val="0"/>
          <w:color w:val="000000" w:themeColor="text1"/>
          <w:sz w:val="32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b w:val="0"/>
          <w:bCs w:val="0"/>
          <w:color w:val="000000" w:themeColor="text1"/>
          <w:sz w:val="32"/>
          <w:szCs w:val="44"/>
          <w:lang w:val="en-US" w:eastAsia="zh-CN"/>
          <w14:textFill>
            <w14:solidFill>
              <w14:schemeClr w14:val="tx1"/>
            </w14:solidFill>
          </w14:textFill>
        </w:rPr>
        <w:t>附件3</w:t>
      </w:r>
    </w:p>
    <w:p>
      <w:pPr>
        <w:pStyle w:val="22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rPr>
          <w:rFonts w:hint="default" w:ascii="宋体" w:hAnsi="宋体" w:eastAsia="宋体"/>
          <w:b/>
          <w:i w:val="0"/>
          <w:snapToGrid/>
          <w:color w:val="000000" w:themeColor="text1"/>
          <w:sz w:val="44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snapToGrid/>
          <w:color w:val="000000" w:themeColor="text1"/>
          <w:sz w:val="44"/>
          <w:u w:val="none"/>
          <w:lang w:eastAsia="zh-CN"/>
          <w14:textFill>
            <w14:solidFill>
              <w14:schemeClr w14:val="tx1"/>
            </w14:solidFill>
          </w14:textFill>
        </w:rPr>
        <w:t>优质水稻推荐品种性状分析表</w:t>
      </w:r>
    </w:p>
    <w:p>
      <w:pPr>
        <w:pStyle w:val="22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rPr>
          <w:rFonts w:hint="eastAsia" w:ascii="宋体" w:hAnsi="宋体" w:eastAsia="宋体"/>
          <w:b/>
          <w:i w:val="0"/>
          <w:snapToGrid/>
          <w:color w:val="000000" w:themeColor="text1"/>
          <w:sz w:val="44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9"/>
        <w:tblW w:w="8580" w:type="dxa"/>
        <w:tblInd w:w="18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"/>
        <w:gridCol w:w="908"/>
        <w:gridCol w:w="5052"/>
        <w:gridCol w:w="1259"/>
        <w:gridCol w:w="8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snapToGrid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snapToGrid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snapToGrid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snapToGrid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品种名称</w:t>
            </w:r>
          </w:p>
        </w:tc>
        <w:tc>
          <w:tcPr>
            <w:tcW w:w="50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snapToGrid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snapToGrid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性状表现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snapToGrid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snapToGrid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参考亩产（kg/亩）</w:t>
            </w:r>
          </w:p>
        </w:tc>
        <w:tc>
          <w:tcPr>
            <w:tcW w:w="8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snapToGrid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snapToGrid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备 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0" w:hRule="atLeast"/>
        </w:trPr>
        <w:tc>
          <w:tcPr>
            <w:tcW w:w="4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美香占2号</w:t>
            </w:r>
          </w:p>
        </w:tc>
        <w:tc>
          <w:tcPr>
            <w:tcW w:w="505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both"/>
              <w:textAlignment w:val="top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感温型常规稻品种，属香稻。晚造平均全生育期112～113天，与粳籼89相当。株型好，生势强，谷粒较小，分蘖力较强，结实率较高，熟色好，后期耐寒力中弱。广东省审定意见：适宜我省各稻作区早、晚造种植，但粤北稻作区根据生育期慎重选择使用，栽培上要注意防治稻瘟病和白叶枯病。2018年5月，“美香占2号”获得首届“国家优质稻品种食味品质鉴评会”金奖第一名。目前，该品种在广东省累计推广面积超过800万亩，在南方稻区累计种植面积超过2000万亩。该品种在我县引种试验成功，表现良好。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400</w:t>
            </w:r>
          </w:p>
        </w:tc>
        <w:tc>
          <w:tcPr>
            <w:tcW w:w="8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中、晚造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0" w:hRule="atLeast"/>
        </w:trPr>
        <w:tc>
          <w:tcPr>
            <w:tcW w:w="4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象牙香占</w:t>
            </w:r>
          </w:p>
        </w:tc>
        <w:tc>
          <w:tcPr>
            <w:tcW w:w="505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both"/>
              <w:textAlignment w:val="top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感温型常规稻品种，属香稻。早、晚造平均全生育期112～114天，与粳籼89相当。植株较高，株型适中，有效穗多，穗长，着粒疏，后期熟色尚好，整齐度较好，抗倒性中等，耐寒性弱。米质达国标和省标优质特级，整精米率52.5%，长宽比4.1，食味品质分82分。煮熟的米饭油光闪亮，吸水后拉长而不开裂，品尝时软、滑、香，有饭味，课题组都觉得很惊艳。获得首届“国家优质稻品种食味品质鉴评会”金奖之一。广东省审定意见：适宜我省粤北以外稻作区早、晚造种植，栽培上要注意防治白叶枯病。在三江镇、大坪镇等地曾较大规模种植，米质优，香味浓，深受消费者欢迎，但产量低，易倒伏，感稻瘟病，早造成熟期较迟。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325</w:t>
            </w:r>
          </w:p>
        </w:tc>
        <w:tc>
          <w:tcPr>
            <w:tcW w:w="8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中、晚造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5" w:hRule="atLeast"/>
        </w:trPr>
        <w:tc>
          <w:tcPr>
            <w:tcW w:w="4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黄华占</w:t>
            </w:r>
          </w:p>
        </w:tc>
        <w:tc>
          <w:tcPr>
            <w:tcW w:w="505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both"/>
              <w:textAlignment w:val="top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感温型常规稻品种。早造全生育期129～131天，比粤香占迟熟4天。株型较好，植株较高，稻米外观品质鉴定为早造特二级，抗稻瘟病。广东省审定意见：早造全生育期比粤香占迟熟4天，产量与粤香占相当，米质未达国家优质标准，外观品质鉴定为早造特二级，抗稻瘟病和白叶枯病。适宜我省各地晚造种植和粤北以外地区早造种植。该品种在三江镇晚造引种试验，表现良好。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450</w:t>
            </w:r>
          </w:p>
        </w:tc>
        <w:tc>
          <w:tcPr>
            <w:tcW w:w="8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中、晚造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5" w:hRule="atLeast"/>
        </w:trPr>
        <w:tc>
          <w:tcPr>
            <w:tcW w:w="4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五山丝苗</w:t>
            </w:r>
          </w:p>
        </w:tc>
        <w:tc>
          <w:tcPr>
            <w:tcW w:w="505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both"/>
              <w:textAlignment w:val="top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广东省农业农村厅推荐的农业主导品种。为感温型常规稻品种。晚造平均全生育期109～114天，比粳籼89早熟3天。丰产性较好，株型中集，叶色浓，叶姿挺直，抽穗整齐，成穗率高，熟色好，抗倒力中强。耐寒性模拟鉴定孕穗期为中，开花期为中强。米质鉴定为国标优质2级、省标优质2级，食味品质分80分。高抗稻瘟病，2008年雷州试点表现重感纹枯病。《广东省农业主导品种和主推技术》（2018）介绍,该品种适宜区域:华南双季稻区可早晚造兼种，长江流域可作中稻、双季晚稻和一季晚稻种植。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450</w:t>
            </w:r>
          </w:p>
        </w:tc>
        <w:tc>
          <w:tcPr>
            <w:tcW w:w="8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中、晚造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粤农丝苗</w:t>
            </w:r>
          </w:p>
        </w:tc>
        <w:tc>
          <w:tcPr>
            <w:tcW w:w="505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both"/>
              <w:textAlignment w:val="top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广东省农业农村厅推荐的农业主导品种。为感温型常规稻品种。晚造平均全生育期111～113天，比对照种粳籼89短1～2天。株型紧凑，分蘖力中等，抗倒力强，耐寒性中，后期熟色好。米质鉴定为国标和省标优质2级，整精米率71.8%～73.0%，食味品质分80～81分。高抗稻瘟病。广东省审定意见：粤农丝苗为感温型常规稻品种。晚造全生育期比对照种粳籼89短1～2天。丰产性好，米质鉴定为国标和省标优质2级，高抗稻瘟病，中抗白叶枯病，耐寒性中。适宜我省粤北以外稻作区早、晚造种植。我县于三江镇晚造引种试验，表现良好，丰产优质，再生能力强。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450</w:t>
            </w:r>
          </w:p>
        </w:tc>
        <w:tc>
          <w:tcPr>
            <w:tcW w:w="8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中、晚造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858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snapToGrid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snapToGrid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说明：亩产、售价、产值等均为预计数据，具体与当地栽种管理水平、当年市场行情等因素影响会有波动。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3" w:type="default"/>
      <w:pgSz w:w="11905" w:h="16838"/>
      <w:pgMar w:top="2211" w:right="1587" w:bottom="1871" w:left="1587" w:header="850" w:footer="147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45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uXW5UtAAAAAFAQAADwAAAAAA&#10;AAABACAAAAAiAAAAZHJzL2Rvd25yZXYueG1sUEsBAhQAFAAAAAgAh07iQGOauqypAQAATAMAAA4A&#10;AAAAAAAAAQAgAAAAHwEAAGRycy9lMm9Eb2MueG1sUEsFBgAAAAAGAAYAWQEAADo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22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2C6325"/>
    <w:rsid w:val="022E38E2"/>
    <w:rsid w:val="0247675E"/>
    <w:rsid w:val="040A1A94"/>
    <w:rsid w:val="04B75AD4"/>
    <w:rsid w:val="06B2420B"/>
    <w:rsid w:val="07650BC0"/>
    <w:rsid w:val="086540CF"/>
    <w:rsid w:val="08B21A25"/>
    <w:rsid w:val="0B7573EF"/>
    <w:rsid w:val="102D578E"/>
    <w:rsid w:val="10A81441"/>
    <w:rsid w:val="115C300F"/>
    <w:rsid w:val="11E53162"/>
    <w:rsid w:val="12006F69"/>
    <w:rsid w:val="14505EFB"/>
    <w:rsid w:val="163D6688"/>
    <w:rsid w:val="16A24F6D"/>
    <w:rsid w:val="16B87A51"/>
    <w:rsid w:val="176E1CE2"/>
    <w:rsid w:val="18811D00"/>
    <w:rsid w:val="18A70651"/>
    <w:rsid w:val="19786E88"/>
    <w:rsid w:val="1AD903A6"/>
    <w:rsid w:val="1B2C6325"/>
    <w:rsid w:val="1E84549F"/>
    <w:rsid w:val="1FA564DA"/>
    <w:rsid w:val="1FE15494"/>
    <w:rsid w:val="21602BB3"/>
    <w:rsid w:val="224F0DEE"/>
    <w:rsid w:val="23CE3D52"/>
    <w:rsid w:val="244F634A"/>
    <w:rsid w:val="25BC1F12"/>
    <w:rsid w:val="27F90504"/>
    <w:rsid w:val="28BD3AA3"/>
    <w:rsid w:val="28D93A82"/>
    <w:rsid w:val="292608E9"/>
    <w:rsid w:val="2B5C6045"/>
    <w:rsid w:val="2ED574BE"/>
    <w:rsid w:val="2EE72BDD"/>
    <w:rsid w:val="30ED433E"/>
    <w:rsid w:val="32016D76"/>
    <w:rsid w:val="32C640B8"/>
    <w:rsid w:val="34D37DDE"/>
    <w:rsid w:val="3509332E"/>
    <w:rsid w:val="354C127B"/>
    <w:rsid w:val="357C5F8B"/>
    <w:rsid w:val="38605C8E"/>
    <w:rsid w:val="39036F52"/>
    <w:rsid w:val="39785F4E"/>
    <w:rsid w:val="3AA42DF6"/>
    <w:rsid w:val="3B887068"/>
    <w:rsid w:val="3BAA2EDB"/>
    <w:rsid w:val="3BC4797D"/>
    <w:rsid w:val="3CCA0EAE"/>
    <w:rsid w:val="3D7C6308"/>
    <w:rsid w:val="3E371EE2"/>
    <w:rsid w:val="3F427FE7"/>
    <w:rsid w:val="401932A3"/>
    <w:rsid w:val="40873618"/>
    <w:rsid w:val="4308586D"/>
    <w:rsid w:val="47996F1C"/>
    <w:rsid w:val="47DC413A"/>
    <w:rsid w:val="48483BAB"/>
    <w:rsid w:val="49BE6E71"/>
    <w:rsid w:val="49CF41C5"/>
    <w:rsid w:val="4A5633F7"/>
    <w:rsid w:val="4A75415B"/>
    <w:rsid w:val="4B313356"/>
    <w:rsid w:val="4B331D81"/>
    <w:rsid w:val="4B4658E4"/>
    <w:rsid w:val="4CC1134C"/>
    <w:rsid w:val="4EE460D8"/>
    <w:rsid w:val="511D454A"/>
    <w:rsid w:val="51BD5A1D"/>
    <w:rsid w:val="52C110A3"/>
    <w:rsid w:val="52F610FD"/>
    <w:rsid w:val="5352390D"/>
    <w:rsid w:val="544A6A2F"/>
    <w:rsid w:val="54705725"/>
    <w:rsid w:val="550973E0"/>
    <w:rsid w:val="55584664"/>
    <w:rsid w:val="55670DA3"/>
    <w:rsid w:val="57544984"/>
    <w:rsid w:val="5A9D2826"/>
    <w:rsid w:val="5BA54C31"/>
    <w:rsid w:val="5BE50475"/>
    <w:rsid w:val="5F15252C"/>
    <w:rsid w:val="60C6044B"/>
    <w:rsid w:val="60ED75C8"/>
    <w:rsid w:val="611827AF"/>
    <w:rsid w:val="643D16C4"/>
    <w:rsid w:val="645C1091"/>
    <w:rsid w:val="64D177A8"/>
    <w:rsid w:val="652B1DE8"/>
    <w:rsid w:val="66434A37"/>
    <w:rsid w:val="66E16E2F"/>
    <w:rsid w:val="670B0CC7"/>
    <w:rsid w:val="6805728B"/>
    <w:rsid w:val="6A6A7513"/>
    <w:rsid w:val="6A875588"/>
    <w:rsid w:val="6AB82FBA"/>
    <w:rsid w:val="6AF26AB6"/>
    <w:rsid w:val="6B864839"/>
    <w:rsid w:val="6C67333B"/>
    <w:rsid w:val="6D513AF7"/>
    <w:rsid w:val="6E8F4B33"/>
    <w:rsid w:val="70BA6092"/>
    <w:rsid w:val="71965931"/>
    <w:rsid w:val="7255421B"/>
    <w:rsid w:val="738753C1"/>
    <w:rsid w:val="748051E7"/>
    <w:rsid w:val="75D6543A"/>
    <w:rsid w:val="76D648D6"/>
    <w:rsid w:val="76D839A2"/>
    <w:rsid w:val="77B16EBA"/>
    <w:rsid w:val="794908F0"/>
    <w:rsid w:val="794C6C68"/>
    <w:rsid w:val="7B28684A"/>
    <w:rsid w:val="7B52744B"/>
    <w:rsid w:val="7B551B7B"/>
    <w:rsid w:val="7DBF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outlineLvl w:val="2"/>
    </w:pPr>
    <w:rPr>
      <w:b/>
      <w:bCs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3"/>
    <w:qFormat/>
    <w:uiPriority w:val="0"/>
    <w:pPr>
      <w:spacing w:after="120" w:line="480" w:lineRule="auto"/>
      <w:ind w:left="420"/>
    </w:pPr>
    <w:rPr>
      <w:rFonts w:ascii="Calibri"/>
      <w:color w:val="000000"/>
      <w:u w:color="000000"/>
    </w:rPr>
  </w:style>
  <w:style w:type="paragraph" w:customStyle="1" w:styleId="3">
    <w:name w:val="reader-word-layer reader-word-s46-2"/>
    <w:basedOn w:val="1"/>
    <w:next w:val="4"/>
    <w:qFormat/>
    <w:uiPriority w:val="0"/>
    <w:pPr>
      <w:widowControl/>
      <w:spacing w:before="280" w:after="280"/>
    </w:pPr>
    <w:rPr>
      <w:rFonts w:ascii="宋体"/>
      <w:sz w:val="24"/>
    </w:rPr>
  </w:style>
  <w:style w:type="paragraph" w:customStyle="1" w:styleId="4">
    <w:name w:val="xl35"/>
    <w:basedOn w:val="1"/>
    <w:next w:val="1"/>
    <w:qFormat/>
    <w:uiPriority w:val="0"/>
    <w:pPr>
      <w:widowControl/>
      <w:shd w:val="clear" w:color="FFFFFF" w:fill="FFFFFF"/>
      <w:spacing w:before="280" w:after="280"/>
    </w:pPr>
    <w:rPr>
      <w:rFonts w:ascii="Arial Unicode MS" w:eastAsia="Arial Unicode MS"/>
      <w:sz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11">
    <w:name w:val="TableGrid"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NormalCharacter"/>
    <w:qFormat/>
    <w:uiPriority w:val="0"/>
    <w:rPr>
      <w:rFonts w:ascii="Times New Roman" w:hAnsi="Times New Roman" w:eastAsia="宋体"/>
    </w:rPr>
  </w:style>
  <w:style w:type="paragraph" w:customStyle="1" w:styleId="13">
    <w:name w:val="NormalIndent"/>
    <w:basedOn w:val="1"/>
    <w:qFormat/>
    <w:uiPriority w:val="0"/>
    <w:pPr>
      <w:widowControl/>
      <w:ind w:firstLine="420"/>
      <w:textAlignment w:val="baseline"/>
    </w:pPr>
  </w:style>
  <w:style w:type="paragraph" w:customStyle="1" w:styleId="14">
    <w:name w:val="Normal"/>
    <w:qFormat/>
    <w:uiPriority w:val="0"/>
    <w:pPr>
      <w:widowControl w:val="0"/>
      <w:jc w:val="both"/>
    </w:pPr>
    <w:rPr>
      <w:rFonts w:hint="eastAsia" w:ascii="Times New Roman" w:hAnsi="Times New Roman" w:eastAsia="仿宋_GB2312" w:cs="Times New Roman"/>
      <w:kern w:val="2"/>
      <w:sz w:val="30"/>
      <w:lang w:val="en-US" w:eastAsia="zh-CN" w:bidi="ar-SA"/>
    </w:rPr>
  </w:style>
  <w:style w:type="paragraph" w:customStyle="1" w:styleId="15">
    <w:name w:val="正文 New New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paragraph" w:customStyle="1" w:styleId="16">
    <w:name w:val="文章标题"/>
    <w:basedOn w:val="15"/>
    <w:qFormat/>
    <w:uiPriority w:val="0"/>
    <w:pPr>
      <w:spacing w:line="560" w:lineRule="exact"/>
      <w:ind w:firstLine="196" w:firstLineChars="45"/>
      <w:jc w:val="center"/>
    </w:pPr>
    <w:rPr>
      <w:rFonts w:ascii="方正小标宋简体" w:eastAsia="方正小标宋简体"/>
      <w:sz w:val="44"/>
      <w:szCs w:val="44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paragraph" w:customStyle="1" w:styleId="18">
    <w:name w:val="Normal (Web)"/>
    <w:basedOn w:val="15"/>
    <w:qFormat/>
    <w:uiPriority w:val="0"/>
    <w:pPr>
      <w:spacing w:before="0" w:beforeLines="0" w:beforeAutospacing="0" w:after="0" w:afterLines="0" w:afterAutospacing="0"/>
      <w:ind w:left="0" w:right="0"/>
      <w:jc w:val="left"/>
    </w:pPr>
    <w:rPr>
      <w:kern w:val="0"/>
      <w:sz w:val="24"/>
      <w:lang w:val="en-US" w:eastAsia="zh-CN"/>
    </w:rPr>
  </w:style>
  <w:style w:type="paragraph" w:customStyle="1" w:styleId="19">
    <w:name w:val="正文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">
    <w:name w:val="正文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">
    <w:name w:val="Normal New New New New New New New New New New New New New New New New New New New New New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/>
    </w:rPr>
  </w:style>
  <w:style w:type="paragraph" w:customStyle="1" w:styleId="22">
    <w:name w:val="正文 New New New New New New New New New New New New New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2023-04-07T06:46:00Z</dcterms:created>
  <dc:creator>李艳瑛</dc:creator>
  <cp:lastModifiedBy>sqb</cp:lastModifiedBy>
  <cp:lastPrinted>2023-04-18T07:18:00Z</cp:lastPrinted>
  <dcterms:modified xsi:type="dcterms:W3CDTF">2024-04-11T08:14:22Z</dcterms:modified>
  <dc:title>附件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