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附件：两病村医报销流程指引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1、打开清远村医保APP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对针对已办理高血压、糖尿病门诊特定病种的病人点击页面左下方的“门诊慢病”模块进行医保结算：</w:t>
      </w:r>
    </w:p>
    <w:p>
      <w:pPr>
        <w:jc w:val="center"/>
        <w:rPr>
          <w:rFonts w:hint="eastAsia" w:eastAsiaTheme="minorEastAsia"/>
          <w:lang w:eastAsia="zh-CN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2659380</wp:posOffset>
            </wp:positionH>
            <wp:positionV relativeFrom="paragraph">
              <wp:posOffset>24765</wp:posOffset>
            </wp:positionV>
            <wp:extent cx="2695575" cy="5772785"/>
            <wp:effectExtent l="0" t="0" r="0" b="3175"/>
            <wp:wrapTight wrapText="bothSides">
              <wp:wrapPolygon>
                <wp:start x="0" y="0"/>
                <wp:lineTo x="0" y="21555"/>
                <wp:lineTo x="21493" y="21555"/>
                <wp:lineTo x="21493" y="0"/>
                <wp:lineTo x="0" y="0"/>
              </wp:wrapPolygon>
            </wp:wrapTight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577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-67310</wp:posOffset>
            </wp:positionH>
            <wp:positionV relativeFrom="paragraph">
              <wp:posOffset>33020</wp:posOffset>
            </wp:positionV>
            <wp:extent cx="2662555" cy="5774690"/>
            <wp:effectExtent l="0" t="0" r="4445" b="1270"/>
            <wp:wrapTopAndBottom/>
            <wp:docPr id="1" name="图片 1" descr="a7054d57ad281ebc03aa743779fa5bd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7054d57ad281ebc03aa743779fa5bd1_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2555" cy="577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2、根据病人实际情况在“疾病病种”中选择“糖尿病”或“高血压”即可。其余就医登记和开具处方等操作与普通病人一致。</w:t>
      </w:r>
    </w:p>
    <w:p>
      <w:pPr>
        <w:jc w:val="center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mY2I3NDZmZmI3Y2FiODY4YmQyYjdmYWVmYTJlMGYifQ=="/>
  </w:docVars>
  <w:rsids>
    <w:rsidRoot w:val="00000000"/>
    <w:rsid w:val="01043E3E"/>
    <w:rsid w:val="4A327B8A"/>
    <w:rsid w:val="6F05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2024-06-20T03:49:00Z</dcterms:created>
  <dc:creator>Administrator</dc:creator>
  <cp:lastModifiedBy>黄元威</cp:lastModifiedBy>
  <dcterms:modified xsi:type="dcterms:W3CDTF">2024-07-15T02:01:34Z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7C7A3E82E35340D19754E882B35F619F</vt:lpwstr>
  </property>
</Properties>
</file>